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76" w:before="0" w:after="0"/>
              <w:jc w:val="center"/>
              <w:rPr>
                <w:color w:val="000000"/>
              </w:rPr>
            </w:pPr>
            <w:r>
              <w:rPr>
                <w:color w:val="000000"/>
              </w:rPr>
              <w:t> </w:t>
            </w:r>
          </w:p>
          <w:p>
            <w:pPr>
              <w:pStyle w:val="TableContents"/>
              <w:bidi w:val="0"/>
              <w:spacing w:lineRule="auto" w:line="276" w:before="0" w:after="40"/>
              <w:jc w:val="center"/>
              <w:rPr>
                <w:color w:val="000000"/>
              </w:rPr>
            </w:pPr>
            <w:r>
              <w:rPr>
                <w:color w:val="000000"/>
              </w:rPr>
              <w:t> </w:t>
            </w:r>
          </w:p>
        </w:tc>
      </w:tr>
    </w:tbl>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0"/>
        <w:jc w:val="left"/>
        <w:rPr/>
      </w:pPr>
      <w:r>
        <w:rPr/>
      </w:r>
    </w:p>
    <w:p>
      <w:pPr>
        <w:pStyle w:val="TextBody"/>
        <w:bidi w:val="0"/>
        <w:spacing w:lineRule="auto" w:line="240"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40" w:before="18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April 20,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0"/>
        <w:jc w:val="left"/>
        <w:rPr/>
      </w:pPr>
      <w:r>
        <w:rPr/>
      </w:r>
    </w:p>
    <w:p>
      <w:pPr>
        <w:pStyle w:val="TextBody"/>
        <w:bidi w:val="0"/>
        <w:spacing w:lineRule="auto" w:line="240" w:before="180" w:after="283"/>
        <w:jc w:val="center"/>
        <w:rPr>
          <w:rFonts w:ascii="Times New Roman;serif" w:hAnsi="Times New Roman;serif"/>
          <w:b/>
          <w:color w:val="000000"/>
          <w:sz w:val="48"/>
        </w:rPr>
      </w:pPr>
      <w:r>
        <w:rPr>
          <w:rFonts w:ascii="Times New Roman;serif" w:hAnsi="Times New Roman;serif"/>
          <w:b/>
          <w:color w:val="000000"/>
          <w:sz w:val="48"/>
        </w:rPr>
        <w:t>Brookfield Oaktree Holdings, LLC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0"/>
        <w:jc w:val="left"/>
        <w:rPr/>
      </w:pPr>
      <w:r>
        <w:rPr/>
      </w:r>
    </w:p>
    <w:tbl>
      <w:tblPr>
        <w:tblW w:w="5271"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001-35500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26-0174894</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40" w:before="180" w:after="283"/>
        <w:jc w:val="center"/>
        <w:rPr>
          <w:rFonts w:ascii="Times New Roman;serif" w:hAnsi="Times New Roman;serif"/>
          <w:b/>
          <w:color w:val="000000"/>
          <w:sz w:val="20"/>
        </w:rPr>
      </w:pPr>
      <w:r>
        <w:rPr>
          <w:rFonts w:ascii="Times New Roman;serif" w:hAnsi="Times New Roman;serif"/>
          <w:b/>
          <w:color w:val="000000"/>
          <w:sz w:val="20"/>
        </w:rPr>
        <w:t>333 South Grand Avenue, 28th Floor</w:t>
        <w:br/>
        <w:t>Los Angeles, CA 90071 </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40" w:before="180" w:after="283"/>
        <w:jc w:val="center"/>
        <w:rPr>
          <w:rFonts w:ascii="Times New Roman;serif" w:hAnsi="Times New Roman;serif"/>
          <w:b/>
          <w:color w:val="000000"/>
          <w:sz w:val="20"/>
        </w:rPr>
      </w:pPr>
      <w:r>
        <w:rPr>
          <w:rFonts w:ascii="Times New Roman;serif" w:hAnsi="Times New Roman;serif"/>
          <w:b/>
          <w:color w:val="000000"/>
          <w:sz w:val="20"/>
        </w:rPr>
        <w:t xml:space="preserve">(213) 830-6300 </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714" w:type="dxa"/>
        <w:jc w:val="left"/>
        <w:tblInd w:w="0" w:type="dxa"/>
        <w:tblLayout w:type="fixed"/>
        <w:tblCellMar>
          <w:top w:w="28" w:type="dxa"/>
          <w:left w:w="28" w:type="dxa"/>
          <w:bottom w:w="28" w:type="dxa"/>
          <w:right w:w="28" w:type="dxa"/>
        </w:tblCellMar>
      </w:tblPr>
      <w:tblGrid>
        <w:gridCol w:w="1019"/>
        <w:gridCol w:w="894"/>
        <w:gridCol w:w="906"/>
        <w:gridCol w:w="109"/>
        <w:gridCol w:w="109"/>
        <w:gridCol w:w="109"/>
        <w:gridCol w:w="284"/>
        <w:gridCol w:w="284"/>
        <w:gridCol w:w="288"/>
        <w:gridCol w:w="109"/>
        <w:gridCol w:w="109"/>
        <w:gridCol w:w="109"/>
        <w:gridCol w:w="698"/>
        <w:gridCol w:w="698"/>
        <w:gridCol w:w="989"/>
      </w:tblGrid>
      <w:tr>
        <w:trPr/>
        <w:tc>
          <w:tcPr>
            <w:tcW w:w="101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6.625% Series A preferred units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OAK-PA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6.550% Series B preferred units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OAK-PB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180" w:after="283"/>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4768" w:type="dxa"/>
        <w:jc w:val="left"/>
        <w:tblInd w:w="0" w:type="dxa"/>
        <w:tblLayout w:type="fixed"/>
        <w:tblCellMar>
          <w:top w:w="28" w:type="dxa"/>
          <w:left w:w="28" w:type="dxa"/>
          <w:bottom w:w="28" w:type="dxa"/>
          <w:right w:w="28" w:type="dxa"/>
        </w:tblCellMar>
      </w:tblPr>
      <w:tblGrid>
        <w:gridCol w:w="331"/>
        <w:gridCol w:w="290"/>
        <w:gridCol w:w="293"/>
        <w:gridCol w:w="1126"/>
        <w:gridCol w:w="1126"/>
        <w:gridCol w:w="160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1.01</w:t>
            </w:r>
          </w:p>
        </w:tc>
        <w:tc>
          <w:tcPr>
            <w:tcW w:w="38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Entry into a Material Definitive Agreement.</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20, 2026, Brookfield Oaktree Holdings, LLC, a Delaware limited liability company (“BOH”), entered into a distribution agreement (the “Distribution Agreement”) with Brookfield Oaktree Holdings Canada Inc., a corporation incorporated under the laws of the Province of Ontario (“BOHCI”). BOHCI is an affiliate of Brookfield Corporation. An affiliate of Brookfield Corporation is the sole holder of BOH’s Class A common units. Pursuant to the Distribution Agreement, BOH distributed to BOHCI 100 Common Shares of OCG NTR Holdings LLC (“NTR”) (the “Distributed Shares”) representing 100% of BOH’s equity interests in NTR, through a distribution in kind in respect of the Class A common units of BOH, on the terms and conditions contained in the Distribution Agreement. NTR, as the holder of 100% of the interest in OCG NTR Holdings Sub LLC, is the indirect holder of 100% of the interests in BUSI II GP-C LLC, BUSI II-C L.P., BUSI II SLP-GP LLC and Brookfield REIT OP Special Limited Partner L.P., including their indirect ownership in Brookfield Real Estate Income Trust Inc., a Maryland corporation. The distribution of the Distributed Shares was completed on April 20, 2026.</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Distribution Agreement is a summary and is qualified in its entirety by reference to the Distribution Agreement, a copy of which is attached hereto as Exhibit 10.1 and which is incorporated herein by reference.</w:t>
      </w:r>
    </w:p>
    <w:p>
      <w:pPr>
        <w:pStyle w:val="TextBody"/>
        <w:bidi w:val="0"/>
        <w:spacing w:before="0" w:after="0"/>
        <w:jc w:val="both"/>
        <w:rPr/>
      </w:pPr>
      <w:r>
        <w:rPr/>
      </w:r>
    </w:p>
    <w:tbl>
      <w:tblPr>
        <w:tblW w:w="3989" w:type="dxa"/>
        <w:jc w:val="left"/>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45"/>
        <w:gridCol w:w="2645"/>
        <w:gridCol w:w="377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ntrdistribution.htm">
              <w:r>
                <w:rPr>
                  <w:rStyle w:val="InternetLink"/>
                  <w:rFonts w:ascii="Times New Roman;serif" w:hAnsi="Times New Roman;serif"/>
                  <w:b w:val="false"/>
                  <w:color w:val="0E32E1"/>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ntrdistribution.htm">
              <w:r>
                <w:rPr>
                  <w:rStyle w:val="InternetLink"/>
                  <w:rFonts w:ascii="Times New Roman;serif" w:hAnsi="Times New Roman;serif"/>
                  <w:b w:val="false"/>
                  <w:color w:val="0000FF"/>
                  <w:sz w:val="20"/>
                  <w:u w:val="single"/>
                </w:rPr>
                <w:t>Distribution Agreement, dated April 20, 2026, by and between Brookfield Oaktree Holdings, LLC and Brookfield Oaktree Holdings Canada Inc.</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by the undersigned hereunto duly authorized. </w:t>
      </w:r>
    </w:p>
    <w:p>
      <w:pPr>
        <w:pStyle w:val="TextBody"/>
        <w:bidi w:val="0"/>
        <w:spacing w:lineRule="auto" w:line="240" w:before="0" w:after="0"/>
        <w:jc w:val="left"/>
        <w:rPr>
          <w:color w:val="000000"/>
        </w:rPr>
      </w:pPr>
      <w:r>
        <w:rPr>
          <w:color w:val="000000"/>
        </w:rPr>
        <w:t> </w:t>
      </w:r>
    </w:p>
    <w:tbl>
      <w:tblPr>
        <w:tblW w:w="4621" w:type="dxa"/>
        <w:jc w:val="left"/>
        <w:tblInd w:w="0" w:type="dxa"/>
        <w:tblLayout w:type="fixed"/>
        <w:tblCellMar>
          <w:top w:w="28" w:type="dxa"/>
          <w:left w:w="28" w:type="dxa"/>
          <w:bottom w:w="28" w:type="dxa"/>
          <w:right w:w="28" w:type="dxa"/>
        </w:tblCellMar>
      </w:tblPr>
      <w:tblGrid>
        <w:gridCol w:w="486"/>
        <w:gridCol w:w="425"/>
        <w:gridCol w:w="425"/>
        <w:gridCol w:w="425"/>
        <w:gridCol w:w="425"/>
        <w:gridCol w:w="425"/>
        <w:gridCol w:w="583"/>
        <w:gridCol w:w="583"/>
        <w:gridCol w:w="844"/>
      </w:tblGrid>
      <w:tr>
        <w:trPr/>
        <w:tc>
          <w:tcPr>
            <w:tcW w:w="48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BROOKFIELD OAKTREE HOLDINGS, LLC</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D. Levin</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D. Levin</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27, 2026</w:t>
      </w:r>
    </w:p>
    <w:p>
      <w:pPr>
        <w:pStyle w:val="TextBody"/>
        <w:bidi w:val="0"/>
        <w:spacing w:before="2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DISTRIBUTION AGREEMENT</w:t>
      </w:r>
    </w:p>
    <w:p>
      <w:pPr>
        <w:pStyle w:val="TextBody"/>
        <w:bidi w:val="0"/>
        <w:spacing w:lineRule="auto" w:line="288" w:before="236" w:after="283"/>
        <w:ind w:left="0" w:right="0" w:firstLine="1439"/>
        <w:jc w:val="both"/>
        <w:rPr/>
      </w:pPr>
      <w:r>
        <w:rPr>
          <w:rFonts w:ascii="Times New Roman;serif" w:hAnsi="Times New Roman;serif"/>
          <w:b w:val="false"/>
          <w:color w:val="000000"/>
          <w:sz w:val="24"/>
        </w:rPr>
        <w:t>This DISTRIBUTION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as of April 20,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is entered into between Brookfield Oaktree Holdings, LLC, a Delaware limited liability company (“</w:t>
      </w:r>
      <w:r>
        <w:rPr>
          <w:rFonts w:ascii="Times New Roman;serif" w:hAnsi="Times New Roman;serif"/>
          <w:b w:val="false"/>
          <w:color w:val="000000"/>
          <w:sz w:val="24"/>
          <w:u w:val="single"/>
        </w:rPr>
        <w:t>BOH</w:t>
      </w:r>
      <w:r>
        <w:rPr>
          <w:color w:val="000000"/>
        </w:rPr>
        <w:t>”</w:t>
      </w:r>
      <w:r>
        <w:rPr>
          <w:rFonts w:ascii="Times New Roman;serif" w:hAnsi="Times New Roman;serif"/>
          <w:b w:val="false"/>
          <w:color w:val="000000"/>
          <w:sz w:val="24"/>
        </w:rPr>
        <w:t>), and Brookfield Oaktree Holdings Canada Inc., an Ontario corporation (“</w:t>
      </w:r>
      <w:r>
        <w:rPr>
          <w:rFonts w:ascii="Times New Roman;serif" w:hAnsi="Times New Roman;serif"/>
          <w:b w:val="false"/>
          <w:color w:val="000000"/>
          <w:sz w:val="24"/>
          <w:u w:val="single"/>
        </w:rPr>
        <w:t>BOHCI</w:t>
      </w:r>
      <w:r>
        <w:rPr>
          <w:color w:val="000000"/>
        </w:rPr>
        <w:t>”</w:t>
      </w:r>
      <w:r>
        <w:rPr>
          <w:rFonts w:ascii="Times New Roman;serif" w:hAnsi="Times New Roman;serif"/>
          <w:b w:val="false"/>
          <w:color w:val="000000"/>
          <w:sz w:val="24"/>
        </w:rPr>
        <w:t>).</w:t>
      </w:r>
    </w:p>
    <w:p>
      <w:pPr>
        <w:pStyle w:val="TextBody"/>
        <w:bidi w:val="0"/>
        <w:spacing w:lineRule="auto" w:line="288" w:before="240" w:after="283"/>
        <w:jc w:val="center"/>
        <w:rPr/>
      </w:pPr>
      <w:r>
        <w:rPr>
          <w:rFonts w:ascii="Times New Roman;serif" w:hAnsi="Times New Roman;serif"/>
          <w:b w:val="false"/>
          <w:color w:val="000000"/>
          <w:sz w:val="24"/>
          <w:u w:val="single"/>
        </w:rPr>
        <w:t>W</w:t>
      </w:r>
      <w:r>
        <w:rPr>
          <w:color w:val="000000"/>
          <w:u w:val="single"/>
        </w:rPr>
        <w:t xml:space="preserve"> </w:t>
      </w:r>
      <w:r>
        <w:rPr>
          <w:rFonts w:ascii="Times New Roman;serif" w:hAnsi="Times New Roman;serif"/>
          <w:b w:val="false"/>
          <w:color w:val="000000"/>
          <w:sz w:val="24"/>
          <w:u w:val="single"/>
        </w:rPr>
        <w:t>I</w:t>
      </w:r>
      <w:r>
        <w:rPr>
          <w:color w:val="000000"/>
          <w:u w:val="single"/>
        </w:rPr>
        <w:t xml:space="preserve"> </w:t>
      </w:r>
      <w:r>
        <w:rPr>
          <w:rFonts w:ascii="Times New Roman;serif" w:hAnsi="Times New Roman;serif"/>
          <w:b w:val="false"/>
          <w:color w:val="000000"/>
          <w:sz w:val="24"/>
          <w:u w:val="single"/>
        </w:rPr>
        <w:t>T N</w:t>
      </w:r>
      <w:r>
        <w:rPr>
          <w:color w:val="000000"/>
          <w:u w:val="single"/>
        </w:rPr>
        <w:t xml:space="preserve"> </w:t>
      </w:r>
      <w:r>
        <w:rPr>
          <w:rFonts w:ascii="Times New Roman;serif" w:hAnsi="Times New Roman;serif"/>
          <w:b w:val="false"/>
          <w:color w:val="000000"/>
          <w:sz w:val="24"/>
          <w:u w:val="single"/>
        </w:rPr>
        <w:t>E S S E T H</w:t>
      </w:r>
    </w:p>
    <w:p>
      <w:pPr>
        <w:pStyle w:val="TextBody"/>
        <w:bidi w:val="0"/>
        <w:spacing w:lineRule="auto" w:line="288" w:before="240" w:after="283"/>
        <w:ind w:left="0" w:right="0" w:firstLine="1439"/>
        <w:jc w:val="both"/>
        <w:rPr/>
      </w:pPr>
      <w:r>
        <w:rPr>
          <w:rFonts w:ascii="Times New Roman;serif" w:hAnsi="Times New Roman;serif"/>
          <w:b/>
          <w:color w:val="000000"/>
          <w:sz w:val="24"/>
        </w:rPr>
        <w:t>WHEREAS</w:t>
      </w:r>
      <w:r>
        <w:rPr>
          <w:rFonts w:ascii="Times New Roman;serif" w:hAnsi="Times New Roman;serif"/>
          <w:b w:val="false"/>
          <w:color w:val="000000"/>
          <w:sz w:val="24"/>
        </w:rPr>
        <w:t>, BOH holds 100 Common Shares with a fair market value of $317,356,320 in OCG NTR Holdings LLC, a Delaware limited liability company (“</w:t>
      </w:r>
      <w:r>
        <w:rPr>
          <w:rFonts w:ascii="Times New Roman;serif" w:hAnsi="Times New Roman;serif"/>
          <w:b w:val="false"/>
          <w:color w:val="000000"/>
          <w:sz w:val="24"/>
          <w:u w:val="single"/>
        </w:rPr>
        <w:t>OCG NTR</w:t>
      </w:r>
      <w:r>
        <w:rPr>
          <w:color w:val="000000"/>
        </w:rPr>
        <w:t>”</w:t>
      </w:r>
      <w:r>
        <w:rPr>
          <w:rFonts w:ascii="Times New Roman;serif" w:hAnsi="Times New Roman;serif"/>
          <w:b w:val="false"/>
          <w:color w:val="000000"/>
          <w:sz w:val="24"/>
        </w:rPr>
        <w:t>, and the interests in OCG NTR, the “</w:t>
      </w:r>
      <w:r>
        <w:rPr>
          <w:rFonts w:ascii="Times New Roman;serif" w:hAnsi="Times New Roman;serif"/>
          <w:b w:val="false"/>
          <w:color w:val="000000"/>
          <w:sz w:val="24"/>
          <w:u w:val="single"/>
        </w:rPr>
        <w:t>Assets</w:t>
      </w:r>
      <w:r>
        <w:rPr>
          <w:color w:val="000000"/>
        </w:rPr>
        <w:t>”</w:t>
      </w:r>
      <w:r>
        <w:rPr>
          <w:rFonts w:ascii="Times New Roman;serif" w:hAnsi="Times New Roman;serif"/>
          <w:b w:val="false"/>
          <w:color w:val="000000"/>
          <w:sz w:val="24"/>
        </w:rPr>
        <w:t>); and</w:t>
      </w:r>
    </w:p>
    <w:p>
      <w:pPr>
        <w:pStyle w:val="TextBody"/>
        <w:bidi w:val="0"/>
        <w:spacing w:lineRule="auto" w:line="288" w:before="240" w:after="283"/>
        <w:ind w:left="0" w:right="0" w:firstLine="1439"/>
        <w:jc w:val="both"/>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the Board of Directors of BOH authorized BOH to declare and pay an in-kind distribution of the Assets to BOHCI on the Class A common units of BOH (“</w:t>
      </w:r>
      <w:r>
        <w:rPr>
          <w:rFonts w:ascii="Times New Roman;serif" w:hAnsi="Times New Roman;serif"/>
          <w:b w:val="false"/>
          <w:color w:val="000000"/>
          <w:sz w:val="24"/>
          <w:u w:val="single"/>
        </w:rPr>
        <w:t>Class A Units</w:t>
      </w:r>
      <w:r>
        <w:rPr>
          <w:color w:val="000000"/>
        </w:rPr>
        <w:t>”</w:t>
      </w:r>
      <w:r>
        <w:rPr>
          <w:rFonts w:ascii="Times New Roman;serif" w:hAnsi="Times New Roman;serif"/>
          <w:b w:val="false"/>
          <w:color w:val="000000"/>
          <w:sz w:val="24"/>
        </w:rPr>
        <w:t>) held by BOHCI.</w:t>
      </w:r>
    </w:p>
    <w:p>
      <w:pPr>
        <w:pStyle w:val="TextBody"/>
        <w:bidi w:val="0"/>
        <w:spacing w:lineRule="auto" w:line="288" w:before="240" w:after="283"/>
        <w:ind w:left="0" w:right="0" w:firstLine="1439"/>
        <w:jc w:val="both"/>
        <w:rPr/>
      </w:pPr>
      <w:r>
        <w:rPr>
          <w:rFonts w:ascii="Times New Roman;serif" w:hAnsi="Times New Roman;serif"/>
          <w:b/>
          <w:color w:val="000000"/>
          <w:sz w:val="24"/>
        </w:rPr>
        <w:t>NOW, THEREFORE</w:t>
      </w:r>
      <w:r>
        <w:rPr>
          <w:rFonts w:ascii="Times New Roman;serif" w:hAnsi="Times New Roman;serif"/>
          <w:b w:val="false"/>
          <w:color w:val="000000"/>
          <w:sz w:val="24"/>
        </w:rPr>
        <w:t>, for good and valuable consideration, the receipt and sufficiency of which are hereby acknowledged, the parties hereto agree as follows:</w:t>
      </w:r>
    </w:p>
    <w:p>
      <w:pPr>
        <w:pStyle w:val="TextBody"/>
        <w:bidi w:val="0"/>
        <w:spacing w:lineRule="auto" w:line="288" w:before="241" w:after="283"/>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Distribution</w:t>
      </w:r>
      <w:r>
        <w:rPr>
          <w:rFonts w:ascii="Times New Roman;serif" w:hAnsi="Times New Roman;serif"/>
          <w:b w:val="false"/>
          <w:color w:val="000000"/>
          <w:sz w:val="24"/>
        </w:rPr>
        <w:t>. Effective on the Effective Date, BOH hereby distributes the Assets to BOHCI by means of a distribution in kind declared and paid by BOH on the Class A Units to BOHCI as the holder of the Class A Units (the “</w:t>
      </w:r>
      <w:r>
        <w:rPr>
          <w:rFonts w:ascii="Times New Roman;serif" w:hAnsi="Times New Roman;serif"/>
          <w:b w:val="false"/>
          <w:color w:val="000000"/>
          <w:sz w:val="24"/>
          <w:u w:val="single"/>
        </w:rPr>
        <w:t>Distribution</w:t>
      </w:r>
      <w:r>
        <w:rPr>
          <w:color w:val="000000"/>
        </w:rPr>
        <w:t>”</w:t>
      </w:r>
      <w:r>
        <w:rPr>
          <w:rFonts w:ascii="Times New Roman;serif" w:hAnsi="Times New Roman;serif"/>
          <w:b w:val="false"/>
          <w:color w:val="000000"/>
          <w:sz w:val="24"/>
        </w:rPr>
        <w:t>). Simultaneously with the Distribution, BOH hereby assigns and transfers to BOHCI all of BOH’s rights, title, and interest in and to the Assets, including without limitation all financial rights now or hereafter existing and associated with ownership of the Assets. BOH agrees to execute such additional assignments as BOHCI may direct to evidence the foregoing Distribution.</w:t>
      </w:r>
    </w:p>
    <w:p>
      <w:pPr>
        <w:pStyle w:val="TextBody"/>
        <w:bidi w:val="0"/>
        <w:spacing w:lineRule="auto" w:line="288" w:before="241" w:after="283"/>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Representations and Warranties of BOH.</w:t>
      </w:r>
      <w:r>
        <w:rPr>
          <w:color w:val="000000"/>
        </w:rPr>
        <w:t xml:space="preserve"> </w:t>
      </w:r>
      <w:r>
        <w:rPr>
          <w:rFonts w:ascii="Times New Roman;serif" w:hAnsi="Times New Roman;serif"/>
          <w:b w:val="false"/>
          <w:color w:val="000000"/>
          <w:sz w:val="24"/>
        </w:rPr>
        <w:t>As an inducement to BOHCI to enter into this Agreement and to consummate the transactions contemplated herein, BOH hereby represents and warrants to BOHCI as follows:</w:t>
      </w:r>
    </w:p>
    <w:p>
      <w:pPr>
        <w:pStyle w:val="TextBody"/>
        <w:bidi w:val="0"/>
        <w:spacing w:lineRule="auto" w:line="288" w:before="241" w:after="283"/>
        <w:ind w:left="0" w:right="0" w:hanging="360"/>
        <w:jc w:val="both"/>
        <w:rPr/>
      </w:pPr>
      <w:r>
        <w:rPr>
          <w:rFonts w:ascii="Times New Roman;serif" w:hAnsi="Times New Roman;serif"/>
          <w:b w:val="false"/>
          <w:color w:val="000000"/>
          <w:sz w:val="24"/>
        </w:rPr>
        <w:t>a.</w:t>
      </w:r>
      <w:r>
        <w:rPr>
          <w:rFonts w:ascii="Times New Roman;serif" w:hAnsi="Times New Roman;serif"/>
          <w:b w:val="false"/>
          <w:i/>
          <w:color w:val="000000"/>
          <w:sz w:val="24"/>
        </w:rPr>
        <w:t>Good Title</w:t>
      </w:r>
      <w:r>
        <w:rPr>
          <w:rFonts w:ascii="Times New Roman;serif" w:hAnsi="Times New Roman;serif"/>
          <w:b w:val="false"/>
          <w:color w:val="000000"/>
          <w:sz w:val="24"/>
        </w:rPr>
        <w:t xml:space="preserve">. BOH is the sole legal and beneficial owner of, and has good and marketable title to, the Assets, which constitute 100% of the issued and outstanding equity interests of OCG NTR held by it. </w:t>
      </w:r>
    </w:p>
    <w:p>
      <w:pPr>
        <w:pStyle w:val="TextBody"/>
        <w:bidi w:val="0"/>
        <w:spacing w:lineRule="auto" w:line="288" w:before="241" w:after="283"/>
        <w:ind w:left="0" w:right="0" w:hanging="360"/>
        <w:jc w:val="both"/>
        <w:rPr/>
      </w:pPr>
      <w:r>
        <w:rPr>
          <w:rFonts w:ascii="Times New Roman;serif" w:hAnsi="Times New Roman;serif"/>
          <w:b w:val="false"/>
          <w:color w:val="000000"/>
          <w:sz w:val="24"/>
        </w:rPr>
        <w:t>b.</w:t>
      </w:r>
      <w:r>
        <w:rPr>
          <w:rFonts w:ascii="Times New Roman;serif" w:hAnsi="Times New Roman;serif"/>
          <w:b w:val="false"/>
          <w:i/>
          <w:color w:val="000000"/>
          <w:sz w:val="24"/>
        </w:rPr>
        <w:t>Power and Authority</w:t>
      </w:r>
      <w:r>
        <w:rPr>
          <w:rFonts w:ascii="Times New Roman;serif" w:hAnsi="Times New Roman;serif"/>
          <w:b w:val="false"/>
          <w:color w:val="000000"/>
          <w:sz w:val="24"/>
        </w:rPr>
        <w:t>. All acts required to be taken by BOH to enter into this Agreement and to carry out the transactions contemplated herein have been properly taken. This Agreement constitutes BOH’s legal, valid and binding obligations, enforceable against BOH in accordance with the terms hereof and thereof.</w:t>
      </w:r>
    </w:p>
    <w:p>
      <w:pPr>
        <w:pStyle w:val="TextBody"/>
        <w:bidi w:val="0"/>
        <w:spacing w:lineRule="auto" w:line="288" w:before="241" w:after="283"/>
        <w:ind w:left="0" w:right="0" w:hanging="360"/>
        <w:jc w:val="both"/>
        <w:rPr/>
      </w:pPr>
      <w:r>
        <w:rPr>
          <w:rFonts w:ascii="Times New Roman;serif" w:hAnsi="Times New Roman;serif"/>
          <w:b w:val="false"/>
          <w:color w:val="000000"/>
          <w:sz w:val="24"/>
        </w:rPr>
        <w:t>c.</w:t>
      </w:r>
      <w:r>
        <w:rPr>
          <w:rFonts w:ascii="Times New Roman;serif" w:hAnsi="Times New Roman;serif"/>
          <w:b w:val="false"/>
          <w:i/>
          <w:color w:val="000000"/>
          <w:sz w:val="24"/>
        </w:rPr>
        <w:t>No Conflicts</w:t>
      </w:r>
      <w:r>
        <w:rPr>
          <w:rFonts w:ascii="Times New Roman;serif" w:hAnsi="Times New Roman;serif"/>
          <w:b w:val="false"/>
          <w:color w:val="000000"/>
          <w:sz w:val="24"/>
        </w:rPr>
        <w:t>. The execution and delivery by BOH of this Agreement and the performance by BOH of its obligations hereunder and thereunder does not and will not: (i) violate any laws applicable to any of BOH or OCG NTR; or (ii) violate or breach any contractual obligation to which any of BOH or OCG NTR is a party or subject.</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Representations and Warranties of BOHCI</w:t>
      </w:r>
      <w:r>
        <w:rPr>
          <w:rFonts w:ascii="Times New Roman;serif" w:hAnsi="Times New Roman;serif"/>
          <w:b w:val="false"/>
          <w:color w:val="000000"/>
          <w:sz w:val="24"/>
        </w:rPr>
        <w:t>. As an inducement to BOH to enter into this Agreement and to consummate the transactions contemplated herein, BOHCI hereby represents and warrants to BOH as follows:</w:t>
      </w:r>
    </w:p>
    <w:p>
      <w:pPr>
        <w:pStyle w:val="TextBody"/>
        <w:bidi w:val="0"/>
        <w:spacing w:lineRule="auto" w:line="288" w:before="241" w:after="283"/>
        <w:ind w:left="0" w:right="0" w:hanging="360"/>
        <w:jc w:val="both"/>
        <w:rPr/>
      </w:pPr>
      <w:r>
        <w:rPr>
          <w:rFonts w:ascii="Times New Roman;serif" w:hAnsi="Times New Roman;serif"/>
          <w:b w:val="false"/>
          <w:color w:val="000000"/>
          <w:sz w:val="24"/>
        </w:rPr>
        <w:t>a.</w:t>
      </w:r>
      <w:r>
        <w:rPr>
          <w:rFonts w:ascii="Times New Roman;serif" w:hAnsi="Times New Roman;serif"/>
          <w:b w:val="false"/>
          <w:i/>
          <w:color w:val="000000"/>
          <w:sz w:val="24"/>
        </w:rPr>
        <w:t xml:space="preserve">Compliance with Laws and Instruments. </w:t>
      </w:r>
      <w:r>
        <w:rPr>
          <w:rFonts w:ascii="Times New Roman;serif" w:hAnsi="Times New Roman;serif"/>
          <w:b w:val="false"/>
          <w:color w:val="000000"/>
          <w:sz w:val="24"/>
        </w:rPr>
        <w:t>There is no judgment, injunction, order, or decree binding upon BOHCI which has or would reasonably be expected to have the effect of prohibiting or materially impairing BOHCI’s business or its ability to consummate the Distribution or enter into the Agreement.</w:t>
      </w:r>
    </w:p>
    <w:p>
      <w:pPr>
        <w:pStyle w:val="TextBody"/>
        <w:bidi w:val="0"/>
        <w:spacing w:lineRule="auto" w:line="288" w:before="241" w:after="283"/>
        <w:ind w:left="0" w:right="0" w:hanging="360"/>
        <w:jc w:val="both"/>
        <w:rPr/>
      </w:pPr>
      <w:r>
        <w:rPr>
          <w:rFonts w:ascii="Times New Roman;serif" w:hAnsi="Times New Roman;serif"/>
          <w:b w:val="false"/>
          <w:color w:val="000000"/>
          <w:sz w:val="24"/>
        </w:rPr>
        <w:t>b.</w:t>
      </w:r>
      <w:r>
        <w:rPr>
          <w:rFonts w:ascii="Times New Roman;serif" w:hAnsi="Times New Roman;serif"/>
          <w:b w:val="false"/>
          <w:i/>
          <w:color w:val="000000"/>
          <w:sz w:val="24"/>
        </w:rPr>
        <w:t>Power and Authority</w:t>
      </w:r>
      <w:r>
        <w:rPr>
          <w:rFonts w:ascii="Times New Roman;serif" w:hAnsi="Times New Roman;serif"/>
          <w:b w:val="false"/>
          <w:color w:val="000000"/>
          <w:sz w:val="24"/>
        </w:rPr>
        <w:t>. All acts required to be taken by BOHCI to enter into the Agreement and to carry out the transactions contemplated herein have been properly taken. The Agreement constitutes BOHCI’s legal, valid and binding obligations, enforceable against BOHCI in accordance with the terms hereof.</w:t>
      </w:r>
    </w:p>
    <w:p>
      <w:pPr>
        <w:pStyle w:val="TextBody"/>
        <w:bidi w:val="0"/>
        <w:spacing w:lineRule="auto" w:line="288" w:before="241" w:after="283"/>
        <w:ind w:left="0" w:right="0" w:hanging="360"/>
        <w:jc w:val="both"/>
        <w:rPr/>
      </w:pPr>
      <w:r>
        <w:rPr>
          <w:rFonts w:ascii="Times New Roman;serif" w:hAnsi="Times New Roman;serif"/>
          <w:b w:val="false"/>
          <w:color w:val="000000"/>
          <w:sz w:val="24"/>
        </w:rPr>
        <w:t>c.</w:t>
      </w:r>
      <w:r>
        <w:rPr>
          <w:rFonts w:ascii="Times New Roman;serif" w:hAnsi="Times New Roman;serif"/>
          <w:b w:val="false"/>
          <w:i/>
          <w:color w:val="000000"/>
          <w:sz w:val="24"/>
        </w:rPr>
        <w:t xml:space="preserve">No Conflict. </w:t>
      </w:r>
      <w:r>
        <w:rPr>
          <w:rFonts w:ascii="Times New Roman;serif" w:hAnsi="Times New Roman;serif"/>
          <w:b w:val="false"/>
          <w:color w:val="000000"/>
          <w:sz w:val="24"/>
        </w:rPr>
        <w:t>The execution and delivery by BOHCI of this Agreement and the performance by BOHCI of its obligations hereunder does not and will not: (i) violate any laws applicable to BOHCI; or (ii) violate or breach any contractual obligation to which BOHCI is a party or subject.</w:t>
      </w:r>
    </w:p>
    <w:p>
      <w:pPr>
        <w:pStyle w:val="TextBody"/>
        <w:bidi w:val="0"/>
        <w:spacing w:lineRule="auto" w:line="288" w:before="241" w:after="283"/>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and delivered in one or more counterparts, all of which shall constitute one and the same instrument.</w:t>
      </w:r>
    </w:p>
    <w:p>
      <w:pPr>
        <w:pStyle w:val="TextBody"/>
        <w:bidi w:val="0"/>
        <w:spacing w:lineRule="auto" w:line="288" w:before="241" w:after="283"/>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constitutes the entire agreement of the parties with respect to the subject matter hereof.</w:t>
      </w:r>
    </w:p>
    <w:p>
      <w:pPr>
        <w:pStyle w:val="TextBody"/>
        <w:bidi w:val="0"/>
        <w:spacing w:lineRule="auto" w:line="288" w:before="241" w:after="283"/>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all questions concerning the construction, interpretation and validity of this Agreement, the rights and obligations of the parties hereto, all claims or causes of action that may be based upon, arise out of or related to this Agreement and the negotiation, execution or performance of this Agreement (including any claim or cause of action based upon or arising out of or related to any representation or warranty made in or in connection with this Agreement or as an inducement to enter this Agreement) shall be governed by and construed and enforced in accordance with the laws of the State of Delaware, without giving effect to any choice or conflict of law provision or rule (whether in Delaware or any other jurisdiction) that would cause the application of the laws of any jurisdiction other than Delaware.</w:t>
      </w:r>
    </w:p>
    <w:p>
      <w:pPr>
        <w:pStyle w:val="TextBody"/>
        <w:bidi w:val="0"/>
        <w:spacing w:lineRule="auto" w:line="288" w:before="241" w:after="283"/>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Amendments, Modifications, Waivers</w:t>
      </w:r>
      <w:r>
        <w:rPr>
          <w:rFonts w:ascii="Times New Roman;serif" w:hAnsi="Times New Roman;serif"/>
          <w:b w:val="false"/>
          <w:color w:val="000000"/>
          <w:sz w:val="24"/>
        </w:rPr>
        <w:t>. This Agreement may be waived, changed, modified or discharged only by an agreement in writing signed by the party against whom enforcement of any waiver, change, modification or discharge is sought.</w:t>
      </w:r>
    </w:p>
    <w:p>
      <w:pPr>
        <w:pStyle w:val="TextBody"/>
        <w:bidi w:val="0"/>
        <w:spacing w:lineRule="auto" w:line="288" w:before="241" w:after="283"/>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Headings</w:t>
      </w:r>
      <w:r>
        <w:rPr>
          <w:rFonts w:ascii="Times New Roman;serif" w:hAnsi="Times New Roman;serif"/>
          <w:b w:val="false"/>
          <w:color w:val="000000"/>
          <w:sz w:val="24"/>
        </w:rPr>
        <w:t>. The section headings in this Agreement are for convenience of reference only, and shall not be deemed to alter or affect the meaning or interpretation of any provisions hereof.</w:t>
      </w:r>
    </w:p>
    <w:p>
      <w:pPr>
        <w:pStyle w:val="TextBody"/>
        <w:bidi w:val="0"/>
        <w:spacing w:lineRule="auto" w:line="288" w:before="241" w:after="283"/>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Each of the parties hereto shall execute and cause to be delivered to the other party hereto such instruments and other documents, and shall take such other actions, as such other party may reasonably request for the purpose of carrying out or evidencing any of the transactions contemplated by this Agreement.</w:t>
      </w:r>
    </w:p>
    <w:p>
      <w:pPr>
        <w:pStyle w:val="TextBody"/>
        <w:bidi w:val="0"/>
        <w:spacing w:before="240" w:after="283"/>
        <w:ind w:left="0" w:right="0" w:firstLine="360"/>
        <w:jc w:val="both"/>
        <w:rPr/>
      </w:pPr>
      <w:r>
        <w:rPr/>
      </w:r>
    </w:p>
    <w:p>
      <w:pPr>
        <w:pStyle w:val="TextBody"/>
        <w:bidi w:val="0"/>
        <w:spacing w:lineRule="auto" w:line="288" w:before="1" w:after="283"/>
        <w:jc w:val="center"/>
        <w:rPr/>
      </w:pPr>
      <w:r>
        <w:rPr>
          <w:rFonts w:ascii="Times New Roman;serif" w:hAnsi="Times New Roman;serif"/>
          <w:b w:val="false"/>
          <w:color w:val="000000"/>
          <w:sz w:val="24"/>
        </w:rPr>
        <w:t>[REMAINDER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PAGE</w:t>
      </w:r>
      <w:r>
        <w:rPr>
          <w:color w:val="000000"/>
        </w:rPr>
        <w:t xml:space="preserve"> </w:t>
      </w:r>
      <w:r>
        <w:rPr>
          <w:rFonts w:ascii="Times New Roman;serif" w:hAnsi="Times New Roman;serif"/>
          <w:b w:val="false"/>
          <w:color w:val="000000"/>
          <w:sz w:val="24"/>
        </w:rPr>
        <w:t>INTENTIONALLY</w:t>
      </w:r>
      <w:r>
        <w:rPr>
          <w:color w:val="000000"/>
        </w:rPr>
        <w:t xml:space="preserve"> </w:t>
      </w:r>
      <w:r>
        <w:rPr>
          <w:rFonts w:ascii="Times New Roman;serif" w:hAnsi="Times New Roman;serif"/>
          <w:b w:val="false"/>
          <w:color w:val="000000"/>
          <w:sz w:val="24"/>
        </w:rPr>
        <w:t>LEFT</w:t>
      </w:r>
      <w:r>
        <w:rPr>
          <w:color w:val="000000"/>
        </w:rPr>
        <w:t xml:space="preserve"> </w:t>
      </w:r>
      <w:r>
        <w:rPr>
          <w:rFonts w:ascii="Times New Roman;serif" w:hAnsi="Times New Roman;serif"/>
          <w:b w:val="false"/>
          <w:color w:val="000000"/>
          <w:sz w:val="24"/>
        </w:rPr>
        <w:t>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firstLine="1440"/>
        <w:jc w:val="left"/>
        <w:rPr/>
      </w:pPr>
      <w:r>
        <w:rPr>
          <w:rFonts w:ascii="Times New Roman;serif" w:hAnsi="Times New Roman;serif"/>
          <w:b w:val="false"/>
          <w:color w:val="000000"/>
          <w:sz w:val="24"/>
        </w:rPr>
        <w:t>IN WITNESS WHEREOF, the parties hereto have caused this Agreement to be</w:t>
      </w:r>
      <w:r>
        <w:rPr>
          <w:color w:val="000000"/>
        </w:rPr>
        <w:t xml:space="preserve"> </w:t>
      </w:r>
      <w:r>
        <w:rPr>
          <w:rFonts w:ascii="Times New Roman;serif" w:hAnsi="Times New Roman;serif"/>
          <w:b w:val="false"/>
          <w:color w:val="000000"/>
          <w:sz w:val="24"/>
        </w:rPr>
        <w:t>executed as of the date first above written.</w:t>
      </w:r>
    </w:p>
    <w:p>
      <w:pPr>
        <w:pStyle w:val="TextBody"/>
        <w:bidi w:val="0"/>
        <w:spacing w:before="10" w:after="283"/>
        <w:ind w:left="0" w:right="0" w:firstLine="1440"/>
        <w:jc w:val="left"/>
        <w:rPr/>
      </w:pPr>
      <w:r>
        <w:rPr/>
      </w:r>
    </w:p>
    <w:p>
      <w:pPr>
        <w:pStyle w:val="TextBody"/>
        <w:bidi w:val="0"/>
        <w:spacing w:lineRule="auto" w:line="288" w:before="10" w:after="283"/>
        <w:ind w:left="0" w:right="0" w:firstLine="1440"/>
        <w:jc w:val="left"/>
        <w:rPr>
          <w:color w:val="000000"/>
        </w:rPr>
      </w:pPr>
      <w:r>
        <w:rPr>
          <w:color w:val="000000"/>
        </w:rPr>
        <w:t>                    </w:t>
      </w:r>
    </w:p>
    <w:p>
      <w:pPr>
        <w:pStyle w:val="TextBody"/>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BROOKFIELD OAKTREE HOLDINGS, LLC</w:t>
      </w:r>
    </w:p>
    <w:p>
      <w:pPr>
        <w:pStyle w:val="TextBody"/>
        <w:bidi w:val="0"/>
        <w:spacing w:before="10" w:after="283"/>
        <w:ind w:left="0" w:right="0" w:firstLine="1440"/>
        <w:jc w:val="left"/>
        <w:rPr/>
      </w:pPr>
      <w:r>
        <w:rPr/>
      </w:r>
    </w:p>
    <w:p>
      <w:pPr>
        <w:pStyle w:val="TextBody"/>
        <w:bidi w:val="0"/>
        <w:spacing w:before="10" w:after="283"/>
        <w:ind w:left="0" w:right="0" w:firstLine="1440"/>
        <w:jc w:val="left"/>
        <w:rPr/>
      </w:pPr>
      <w:r>
        <w:rPr/>
      </w:r>
    </w:p>
    <w:p>
      <w:pPr>
        <w:pStyle w:val="TextBody"/>
        <w:bidi w:val="0"/>
        <w:spacing w:lineRule="auto" w:line="288" w:before="1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Jeffrey Joseph</w:t>
      </w:r>
      <w:r>
        <w:rPr>
          <w:rFonts w:ascii="Times New Roman;serif" w:hAnsi="Times New Roman;serif"/>
          <w:b w:val="false"/>
          <w:color w:val="000000"/>
          <w:sz w:val="24"/>
        </w:rPr>
        <w:t>_______</w:t>
      </w:r>
    </w:p>
    <w:p>
      <w:pPr>
        <w:pStyle w:val="TextBody"/>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Name: Jeffrey Joseph </w:t>
      </w:r>
    </w:p>
    <w:p>
      <w:pPr>
        <w:pStyle w:val="TextBody"/>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before="10" w:after="283"/>
        <w:ind w:left="0" w:right="0" w:firstLine="1440"/>
        <w:jc w:val="left"/>
        <w:rPr/>
      </w:pPr>
      <w:r>
        <w:rPr/>
      </w:r>
    </w:p>
    <w:p>
      <w:pPr>
        <w:pStyle w:val="TextBody"/>
        <w:bidi w:val="0"/>
        <w:spacing w:before="10" w:after="283"/>
        <w:ind w:left="0" w:right="0" w:firstLine="1440"/>
        <w:jc w:val="left"/>
        <w:rPr/>
      </w:pPr>
      <w:r>
        <w:rPr/>
      </w:r>
    </w:p>
    <w:p>
      <w:pPr>
        <w:pStyle w:val="TextBody"/>
        <w:bidi w:val="0"/>
        <w:spacing w:before="10" w:after="283"/>
        <w:ind w:left="0" w:right="0" w:firstLine="1440"/>
        <w:jc w:val="left"/>
        <w:rPr/>
      </w:pPr>
      <w:r>
        <w:rPr/>
      </w:r>
    </w:p>
    <w:p>
      <w:pPr>
        <w:pStyle w:val="TextBody"/>
        <w:bidi w:val="0"/>
        <w:spacing w:lineRule="auto" w:line="288" w:before="1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Lenard Gorokhov</w:t>
      </w:r>
      <w:r>
        <w:rPr>
          <w:rFonts w:ascii="Times New Roman;serif" w:hAnsi="Times New Roman;serif"/>
          <w:b w:val="false"/>
          <w:color w:val="000000"/>
          <w:sz w:val="24"/>
        </w:rPr>
        <w:t>_____</w:t>
      </w:r>
    </w:p>
    <w:p>
      <w:pPr>
        <w:pStyle w:val="TextBody"/>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Name: Lenard Gorokhov</w:t>
      </w:r>
    </w:p>
    <w:p>
      <w:pPr>
        <w:pStyle w:val="TextBody"/>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before="204" w:after="283"/>
        <w:jc w:val="left"/>
        <w:rPr/>
      </w:pPr>
      <w:r>
        <w:rPr/>
      </w:r>
    </w:p>
    <w:p>
      <w:pPr>
        <w:pStyle w:val="TextBody"/>
        <w:bidi w:val="0"/>
        <w:spacing w:before="0" w:after="0"/>
        <w:ind w:left="0" w:right="0" w:hanging="480"/>
        <w:jc w:val="both"/>
        <w:rPr/>
      </w:pPr>
      <w:r>
        <w:rPr/>
      </w:r>
    </w:p>
    <w:p>
      <w:pPr>
        <w:pStyle w:val="TextBody"/>
        <w:bidi w:val="0"/>
        <w:spacing w:lineRule="atLeast" w:line="240" w:before="0" w:after="0"/>
        <w:jc w:val="left"/>
        <w:rPr>
          <w:rFonts w:ascii="Times New Roman;serif" w:hAnsi="Times New Roman;serif"/>
          <w:b/>
          <w:color w:val="000000"/>
          <w:sz w:val="24"/>
        </w:rPr>
      </w:pPr>
      <w:r>
        <w:rPr>
          <w:rFonts w:ascii="Times New Roman;serif" w:hAnsi="Times New Roman;serif"/>
          <w:b/>
          <w:color w:val="000000"/>
          <w:sz w:val="24"/>
        </w:rPr>
        <w:t>BROOKFIELD OAKTREE HOLDINGS CANADA INC.</w:t>
      </w:r>
    </w:p>
    <w:p>
      <w:pPr>
        <w:pStyle w:val="TextBody"/>
        <w:bidi w:val="0"/>
        <w:spacing w:before="0" w:after="0"/>
        <w:ind w:left="0" w:right="0" w:hanging="480"/>
        <w:jc w:val="both"/>
        <w:rPr/>
      </w:pPr>
      <w:r>
        <w:rPr/>
      </w:r>
    </w:p>
    <w:p>
      <w:pPr>
        <w:pStyle w:val="TextBody"/>
        <w:bidi w:val="0"/>
        <w:spacing w:before="0" w:after="0"/>
        <w:ind w:left="0" w:right="0" w:hanging="480"/>
        <w:jc w:val="both"/>
        <w:rPr/>
      </w:pPr>
      <w:r>
        <w:rPr/>
      </w:r>
    </w:p>
    <w:p>
      <w:pPr>
        <w:pStyle w:val="TextBody"/>
        <w:bidi w:val="0"/>
        <w:spacing w:before="0" w:after="0"/>
        <w:ind w:left="0" w:right="0" w:hanging="480"/>
        <w:jc w:val="both"/>
        <w:rPr/>
      </w:pPr>
      <w:r>
        <w:rPr/>
      </w:r>
    </w:p>
    <w:p>
      <w:pPr>
        <w:pStyle w:val="TextBody"/>
        <w:bidi w:val="0"/>
        <w:spacing w:lineRule="auto" w:line="288" w:before="10" w:after="283"/>
        <w:jc w:val="left"/>
        <w:rPr/>
      </w:pPr>
      <w:r>
        <w:rPr>
          <w:rFonts w:ascii="Times New Roman;serif" w:hAnsi="Times New Roman;serif"/>
          <w:b w:val="false"/>
          <w:color w:val="000000"/>
          <w:sz w:val="24"/>
        </w:rPr>
        <w:t xml:space="preserve">By: /s/ </w:t>
      </w:r>
      <w:r>
        <w:rPr>
          <w:rFonts w:ascii="Times New Roman;serif" w:hAnsi="Times New Roman;serif"/>
          <w:b w:val="false"/>
          <w:color w:val="000000"/>
          <w:sz w:val="24"/>
          <w:u w:val="single"/>
        </w:rPr>
        <w:t>Matt Herrington</w:t>
      </w:r>
      <w:r>
        <w:rPr>
          <w:rFonts w:ascii="Times New Roman;serif" w:hAnsi="Times New Roman;serif"/>
          <w:b w:val="false"/>
          <w:color w:val="000000"/>
          <w:sz w:val="24"/>
        </w:rPr>
        <w:t>_______</w:t>
      </w:r>
    </w:p>
    <w:p>
      <w:pPr>
        <w:pStyle w:val="TextBody"/>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Name: Matt Herrington</w:t>
      </w:r>
    </w:p>
    <w:p>
      <w:pPr>
        <w:pStyle w:val="TextBody"/>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Title: President</w:t>
      </w:r>
    </w:p>
    <w:p>
      <w:pPr>
        <w:pStyle w:val="TextBody"/>
        <w:bidi w:val="0"/>
        <w:spacing w:before="10" w:after="283"/>
        <w:ind w:left="0" w:right="0" w:firstLine="1440"/>
        <w:jc w:val="left"/>
        <w:rPr/>
      </w:pPr>
      <w:r>
        <w:rPr/>
      </w:r>
    </w:p>
    <w:p>
      <w:pPr>
        <w:pStyle w:val="TextBody"/>
        <w:bidi w:val="0"/>
        <w:spacing w:before="10" w:after="283"/>
        <w:ind w:left="0" w:right="0" w:firstLine="1440"/>
        <w:jc w:val="left"/>
        <w:rPr/>
      </w:pPr>
      <w:r>
        <w:rPr/>
      </w:r>
    </w:p>
    <w:p>
      <w:pPr>
        <w:pStyle w:val="TextBody"/>
        <w:bidi w:val="0"/>
        <w:spacing w:before="10" w:after="283"/>
        <w:ind w:left="0" w:right="0" w:firstLine="1440"/>
        <w:jc w:val="left"/>
        <w:rPr/>
      </w:pPr>
      <w:r>
        <w:rPr/>
      </w:r>
    </w:p>
    <w:p>
      <w:pPr>
        <w:pStyle w:val="TextBody"/>
        <w:bidi w:val="0"/>
        <w:spacing w:lineRule="auto" w:line="288" w:before="1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Swati Mandava</w:t>
      </w:r>
      <w:r>
        <w:rPr>
          <w:rFonts w:ascii="Times New Roman;serif" w:hAnsi="Times New Roman;serif"/>
          <w:b w:val="false"/>
          <w:color w:val="000000"/>
          <w:sz w:val="24"/>
        </w:rPr>
        <w:t>________</w:t>
      </w:r>
    </w:p>
    <w:p>
      <w:pPr>
        <w:pStyle w:val="TextBody"/>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Name: Swati Mandava</w:t>
      </w:r>
    </w:p>
    <w:p>
      <w:pPr>
        <w:pStyle w:val="TextBody"/>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Title: Vice President and Secretary</w:t>
      </w:r>
    </w:p>
    <w:p>
      <w:pPr>
        <w:pStyle w:val="TextBody"/>
        <w:bidi w:val="0"/>
        <w:spacing w:before="204" w:after="283"/>
        <w:jc w:val="left"/>
        <w:rPr/>
      </w:pPr>
      <w:r>
        <w:rPr/>
      </w:r>
    </w:p>
    <w:p>
      <w:pPr>
        <w:pStyle w:val="TextBody"/>
        <w:bidi w:val="0"/>
        <w:spacing w:before="204" w:after="283"/>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66"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1588</Words>
  <Characters>8562</Characters>
  <CharactersWithSpaces>10121</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