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46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Oaktree Capital Group Holdings GP, LLC</w:t>
        </w:r>
      </w:hyperlink>
    </w:p>
    <w:p>
      <w:pPr>
        <w:spacing w:after="0" w:line="33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98" w:lineRule="auto"/>
        <w:rPr>
          <w:sz w:val="20"/>
          <w:szCs w:val="20"/>
          <w:color w:val="auto"/>
        </w:rPr>
      </w:pPr>
      <w:r>
        <w:rPr>
          <w:rFonts w:ascii="Arial" w:cs="Arial" w:eastAsia="Arial" w:hAnsi="Arial"/>
          <w:sz w:val="16"/>
          <w:szCs w:val="16"/>
          <w:color w:val="0000FF"/>
        </w:rPr>
        <w:t>C/O OAKTREE CAPITAL MANAGEMENT, L.P. 333 SOUTH GRAND AVENUE, 28TH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LOS ANGELES CA</w:t>
            </w:r>
          </w:p>
        </w:tc>
        <w:tc>
          <w:tcPr>
            <w:tcW w:w="1680" w:type="dxa"/>
            <w:vAlign w:val="bottom"/>
          </w:tcPr>
          <w:p>
            <w:pPr>
              <w:ind w:left="440"/>
              <w:spacing w:after="0"/>
              <w:rPr>
                <w:sz w:val="20"/>
                <w:szCs w:val="20"/>
                <w:color w:val="auto"/>
              </w:rPr>
            </w:pPr>
            <w:r>
              <w:rPr>
                <w:rFonts w:ascii="Arial" w:cs="Arial" w:eastAsia="Arial" w:hAnsi="Arial"/>
                <w:sz w:val="17"/>
                <w:szCs w:val="17"/>
                <w:color w:val="0000FF"/>
              </w:rPr>
              <w:t>90071</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GT Solar International,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SOLR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80" w:type="dxa"/>
            <w:vAlign w:val="bottom"/>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24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680" w:type="dxa"/>
            <w:vAlign w:val="bottom"/>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40" w:type="dxa"/>
            <w:vAlign w:val="bottom"/>
          </w:tcPr>
          <w:p>
            <w:pPr>
              <w:ind w:left="420"/>
              <w:spacing w:after="0"/>
              <w:rPr>
                <w:sz w:val="20"/>
                <w:szCs w:val="20"/>
                <w:color w:val="auto"/>
              </w:rPr>
            </w:pPr>
            <w:r>
              <w:rPr>
                <w:rFonts w:ascii="Arial" w:cs="Arial" w:eastAsia="Arial" w:hAnsi="Arial"/>
                <w:sz w:val="13"/>
                <w:szCs w:val="13"/>
                <w:color w:val="auto"/>
              </w:rPr>
              <w:t>below)</w:t>
            </w:r>
          </w:p>
        </w:tc>
        <w:tc>
          <w:tcPr>
            <w:tcW w:w="1680" w:type="dxa"/>
            <w:vAlign w:val="bottom"/>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2440" w:type="dxa"/>
            <w:vAlign w:val="bottom"/>
            <w:gridSpan w:val="3"/>
          </w:tcPr>
          <w:p>
            <w:pPr>
              <w:ind w:left="80"/>
              <w:spacing w:after="0"/>
              <w:rPr>
                <w:sz w:val="20"/>
                <w:szCs w:val="20"/>
                <w:color w:val="auto"/>
              </w:rPr>
            </w:pPr>
            <w:r>
              <w:rPr>
                <w:rFonts w:ascii="Arial" w:cs="Arial" w:eastAsia="Arial" w:hAnsi="Arial"/>
                <w:sz w:val="17"/>
                <w:szCs w:val="17"/>
                <w:color w:val="0000FF"/>
              </w:rPr>
              <w:t>03/15/2010</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spacing w:after="0" w:line="38" w:lineRule="exact"/>
        <w:rPr>
          <w:sz w:val="24"/>
          <w:szCs w:val="24"/>
          <w:color w:val="auto"/>
        </w:rPr>
      </w:pPr>
    </w:p>
    <w:tbl>
      <w:tblPr>
        <w:tblLayout w:type="fixed"/>
        <w:tblInd w:w="426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4" w:lineRule="exact"/>
        <w:rPr>
          <w:sz w:val="24"/>
          <w:szCs w:val="24"/>
          <w:color w:val="auto"/>
        </w:rPr>
      </w:pPr>
    </w:p>
    <w:p>
      <w:pPr>
        <w:sectPr>
          <w:pgSz w:w="11900" w:h="16838" w:orient="portrait"/>
          <w:cols w:equalWidth="0" w:num="2">
            <w:col w:w="3920" w:space="8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540" w:type="dxa"/>
            <w:vAlign w:val="bottom"/>
          </w:tcPr>
          <w:p>
            <w:pPr>
              <w:spacing w:after="0"/>
              <w:rPr>
                <w:sz w:val="11"/>
                <w:szCs w:val="11"/>
                <w:color w:val="auto"/>
              </w:rPr>
            </w:pPr>
          </w:p>
        </w:tc>
        <w:tc>
          <w:tcPr>
            <w:tcW w:w="182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820" w:type="dxa"/>
            <w:vAlign w:val="bottom"/>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By GT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18"/>
                <w:szCs w:val="18"/>
                <w:color w:val="auto"/>
              </w:rPr>
            </w:pPr>
          </w:p>
        </w:tc>
        <w:tc>
          <w:tcPr>
            <w:tcW w:w="1760" w:type="dxa"/>
            <w:vAlign w:val="bottom"/>
            <w:gridSpan w:val="4"/>
            <w:vMerge w:val="restart"/>
          </w:tcPr>
          <w:p>
            <w:pPr>
              <w:ind w:left="740"/>
              <w:spacing w:after="0"/>
              <w:rPr>
                <w:sz w:val="20"/>
                <w:szCs w:val="20"/>
                <w:color w:val="auto"/>
              </w:rPr>
            </w:pPr>
            <w:r>
              <w:rPr>
                <w:rFonts w:ascii="Arial" w:cs="Arial" w:eastAsia="Arial" w:hAnsi="Arial"/>
                <w:sz w:val="17"/>
                <w:szCs w:val="17"/>
                <w:color w:val="0000FF"/>
              </w:rPr>
              <w:t>03/15/2010</w:t>
            </w:r>
          </w:p>
        </w:tc>
        <w:tc>
          <w:tcPr>
            <w:tcW w:w="100" w:type="dxa"/>
            <w:vAlign w:val="bottom"/>
          </w:tcPr>
          <w:p>
            <w:pPr>
              <w:spacing w:after="0"/>
              <w:rPr>
                <w:sz w:val="18"/>
                <w:szCs w:val="18"/>
                <w:color w:val="auto"/>
              </w:rPr>
            </w:pPr>
          </w:p>
        </w:tc>
        <w:tc>
          <w:tcPr>
            <w:tcW w:w="840" w:type="dxa"/>
            <w:vAlign w:val="bottom"/>
            <w:vMerge w:val="restart"/>
          </w:tcPr>
          <w:p>
            <w:pPr>
              <w:spacing w:after="0"/>
              <w:rPr>
                <w:sz w:val="20"/>
                <w:szCs w:val="20"/>
                <w:color w:val="auto"/>
              </w:rPr>
            </w:pPr>
            <w:r>
              <w:rPr>
                <w:rFonts w:ascii="Arial" w:cs="Arial" w:eastAsia="Arial" w:hAnsi="Arial"/>
                <w:sz w:val="17"/>
                <w:szCs w:val="17"/>
                <w:color w:val="0000FF"/>
                <w:w w:val="96"/>
              </w:rPr>
              <w:t>03/15/2010</w:t>
            </w:r>
          </w:p>
        </w:tc>
        <w:tc>
          <w:tcPr>
            <w:tcW w:w="780" w:type="dxa"/>
            <w:vAlign w:val="bottom"/>
            <w:vMerge w:val="restart"/>
          </w:tcPr>
          <w:p>
            <w:pPr>
              <w:jc w:val="center"/>
              <w:ind w:right="20"/>
              <w:spacing w:after="0"/>
              <w:rPr>
                <w:sz w:val="20"/>
                <w:szCs w:val="20"/>
                <w:color w:val="auto"/>
              </w:rPr>
            </w:pPr>
            <w:r>
              <w:rPr>
                <w:rFonts w:ascii="Arial" w:cs="Arial" w:eastAsia="Arial" w:hAnsi="Arial"/>
                <w:sz w:val="12"/>
                <w:szCs w:val="12"/>
                <w:color w:val="0000FF"/>
                <w:w w:val="74"/>
              </w:rPr>
              <w:t>S</w:t>
            </w:r>
          </w:p>
        </w:tc>
        <w:tc>
          <w:tcPr>
            <w:tcW w:w="14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25,000,000   D</w:t>
            </w:r>
          </w:p>
        </w:tc>
        <w:tc>
          <w:tcPr>
            <w:tcW w:w="800" w:type="dxa"/>
            <w:vAlign w:val="bottom"/>
            <w:gridSpan w:val="2"/>
            <w:vMerge w:val="restart"/>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4.85</w:t>
            </w:r>
          </w:p>
        </w:tc>
        <w:tc>
          <w:tcPr>
            <w:tcW w:w="1440" w:type="dxa"/>
            <w:vAlign w:val="bottom"/>
            <w:gridSpan w:val="2"/>
            <w:vMerge w:val="restart"/>
          </w:tcPr>
          <w:p>
            <w:pPr>
              <w:jc w:val="right"/>
              <w:ind w:right="439"/>
              <w:spacing w:after="0"/>
              <w:rPr>
                <w:sz w:val="20"/>
                <w:szCs w:val="20"/>
                <w:color w:val="auto"/>
              </w:rPr>
            </w:pPr>
            <w:r>
              <w:rPr>
                <w:rFonts w:ascii="Arial" w:cs="Arial" w:eastAsia="Arial" w:hAnsi="Arial"/>
                <w:sz w:val="17"/>
                <w:szCs w:val="17"/>
                <w:color w:val="0000FF"/>
              </w:rPr>
              <w:t>80,538,149</w:t>
            </w:r>
          </w:p>
        </w:tc>
        <w:tc>
          <w:tcPr>
            <w:tcW w:w="720" w:type="dxa"/>
            <w:vAlign w:val="bottom"/>
            <w:vMerge w:val="restart"/>
          </w:tcPr>
          <w:p>
            <w:pPr>
              <w:ind w:left="160"/>
              <w:spacing w:after="0"/>
              <w:rPr>
                <w:sz w:val="20"/>
                <w:szCs w:val="20"/>
                <w:color w:val="auto"/>
              </w:rPr>
            </w:pPr>
            <w:r>
              <w:rPr>
                <w:rFonts w:ascii="Arial" w:cs="Arial" w:eastAsia="Arial" w:hAnsi="Arial"/>
                <w:sz w:val="17"/>
                <w:szCs w:val="17"/>
                <w:color w:val="0000FF"/>
              </w:rPr>
              <w:t>I</w:t>
            </w: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Solar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20"/>
              <w:spacing w:after="0" w:line="276"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20" w:type="dxa"/>
            <w:vAlign w:val="bottom"/>
            <w:gridSpan w:val="13"/>
          </w:tcPr>
          <w:p>
            <w:pPr>
              <w:jc w:val="center"/>
              <w:ind w:left="100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20" w:type="dxa"/>
            <w:vAlign w:val="bottom"/>
            <w:gridSpan w:val="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9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9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9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color w:val="0000FF"/>
              </w:rPr>
              <w:t>By Oaktree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Restricted</w:t>
            </w:r>
          </w:p>
        </w:tc>
        <w:tc>
          <w:tcPr>
            <w:tcW w:w="780" w:type="dxa"/>
            <w:vAlign w:val="bottom"/>
          </w:tcPr>
          <w:p>
            <w:pPr>
              <w:ind w:left="340"/>
              <w:spacing w:after="0"/>
              <w:rPr>
                <w:sz w:val="20"/>
                <w:szCs w:val="20"/>
                <w:color w:val="auto"/>
              </w:rPr>
            </w:pPr>
            <w:r>
              <w:rPr>
                <w:rFonts w:ascii="Arial" w:cs="Arial" w:eastAsia="Arial" w:hAnsi="Arial"/>
                <w:sz w:val="11"/>
                <w:szCs w:val="11"/>
                <w:color w:val="008000"/>
              </w:rPr>
              <w:t>(4)</w:t>
            </w: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740" w:type="dxa"/>
            <w:vAlign w:val="bottom"/>
          </w:tcPr>
          <w:p>
            <w:pPr>
              <w:jc w:val="right"/>
              <w:ind w:right="234"/>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10,772</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vMerge w:val="restart"/>
          </w:tcPr>
          <w:p>
            <w:pPr>
              <w:ind w:left="280"/>
              <w:spacing w:after="0"/>
              <w:rPr>
                <w:sz w:val="20"/>
                <w:szCs w:val="20"/>
                <w:color w:val="auto"/>
              </w:rPr>
            </w:pPr>
            <w:r>
              <w:rPr>
                <w:rFonts w:ascii="Arial" w:cs="Arial" w:eastAsia="Arial" w:hAnsi="Arial"/>
                <w:sz w:val="13"/>
                <w:szCs w:val="13"/>
                <w:color w:val="0000FF"/>
              </w:rPr>
              <w:t>10,772</w:t>
            </w:r>
          </w:p>
        </w:tc>
        <w:tc>
          <w:tcPr>
            <w:tcW w:w="72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920" w:type="dxa"/>
            <w:vAlign w:val="bottom"/>
            <w:gridSpan w:val="2"/>
          </w:tcPr>
          <w:p>
            <w:pPr>
              <w:ind w:left="100"/>
              <w:spacing w:after="0" w:line="148"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 Unit</w:t>
            </w:r>
          </w:p>
        </w:tc>
        <w:tc>
          <w:tcPr>
            <w:tcW w:w="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80"/>
              <w:spacing w:after="0" w:line="145" w:lineRule="exact"/>
              <w:rPr>
                <w:sz w:val="20"/>
                <w:szCs w:val="20"/>
                <w:color w:val="auto"/>
              </w:rPr>
            </w:pPr>
            <w:r>
              <w:rPr>
                <w:rFonts w:ascii="Arial" w:cs="Arial" w:eastAsia="Arial" w:hAnsi="Arial"/>
                <w:sz w:val="13"/>
                <w:szCs w:val="13"/>
                <w:color w:val="0000FF"/>
              </w:rPr>
              <w:t>$0.01 par</w:t>
            </w: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gridSpan w:val="2"/>
          </w:tcPr>
          <w:p>
            <w:pPr>
              <w:ind w:left="100"/>
              <w:spacing w:after="0" w:line="145" w:lineRule="exact"/>
              <w:rPr>
                <w:sz w:val="20"/>
                <w:szCs w:val="20"/>
                <w:color w:val="auto"/>
              </w:rPr>
            </w:pPr>
            <w:r>
              <w:rPr>
                <w:rFonts w:ascii="Arial" w:cs="Arial" w:eastAsia="Arial" w:hAnsi="Arial"/>
                <w:sz w:val="13"/>
                <w:szCs w:val="13"/>
                <w:color w:val="0000FF"/>
              </w:rPr>
              <w:t>Management,</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value</w:t>
            </w: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100"/>
              <w:spacing w:after="0" w:line="242" w:lineRule="exact"/>
              <w:rPr>
                <w:sz w:val="20"/>
                <w:szCs w:val="20"/>
                <w:color w:val="auto"/>
              </w:rPr>
            </w:pPr>
            <w:r>
              <w:rPr>
                <w:rFonts w:ascii="Arial" w:cs="Arial" w:eastAsia="Arial" w:hAnsi="Arial"/>
                <w:sz w:val="13"/>
                <w:szCs w:val="13"/>
                <w:color w:val="0000FF"/>
              </w:rPr>
              <w:t>L.P.</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4"/>
          </w:tcPr>
          <w:p>
            <w:pPr>
              <w:ind w:left="60"/>
              <w:spacing w:after="0" w:line="24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3" w:lineRule="exact"/>
              <w:rPr>
                <w:rFonts w:ascii="Arial" w:cs="Arial" w:eastAsia="Arial" w:hAnsi="Arial"/>
                <w:sz w:val="21"/>
                <w:szCs w:val="21"/>
                <w:color w:val="0000EE"/>
                <w:w w:val="95"/>
              </w:rPr>
            </w:pPr>
            <w:hyperlink r:id="rId12">
              <w:r>
                <w:rPr>
                  <w:rFonts w:ascii="Arial" w:cs="Arial" w:eastAsia="Arial" w:hAnsi="Arial"/>
                  <w:sz w:val="21"/>
                  <w:szCs w:val="21"/>
                  <w:color w:val="0000EE"/>
                  <w:w w:val="95"/>
                </w:rPr>
                <w:t>Oaktree Capital Group Holdings GP, LLC</w:t>
              </w:r>
            </w:hyperlink>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7"/>
                <w:szCs w:val="17"/>
                <w:color w:val="0000FF"/>
              </w:rPr>
              <w:t>C/O OAKTREE CAPITAL MANAGEMENT, L.P.</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gridSpan w:val="6"/>
          </w:tcPr>
          <w:p>
            <w:pPr>
              <w:spacing w:after="0"/>
              <w:rPr>
                <w:sz w:val="20"/>
                <w:szCs w:val="20"/>
                <w:color w:val="auto"/>
              </w:rPr>
            </w:pPr>
            <w:r>
              <w:rPr>
                <w:rFonts w:ascii="Arial" w:cs="Arial" w:eastAsia="Arial" w:hAnsi="Arial"/>
                <w:sz w:val="17"/>
                <w:szCs w:val="17"/>
                <w:color w:val="0000FF"/>
              </w:rPr>
              <w:t>333 SOUTH GRAND AVENUE, 28TH FLOOR</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80" w:type="dxa"/>
            <w:vAlign w:val="bottom"/>
          </w:tcPr>
          <w:p>
            <w:pPr>
              <w:ind w:left="60"/>
              <w:spacing w:after="0"/>
              <w:rPr>
                <w:sz w:val="20"/>
                <w:szCs w:val="20"/>
                <w:color w:val="auto"/>
              </w:rPr>
            </w:pPr>
            <w:r>
              <w:rPr>
                <w:rFonts w:ascii="Arial" w:cs="Arial" w:eastAsia="Arial" w:hAnsi="Arial"/>
                <w:sz w:val="17"/>
                <w:szCs w:val="17"/>
                <w:color w:val="0000FF"/>
              </w:rPr>
              <w:t>CA</w:t>
            </w:r>
          </w:p>
        </w:tc>
        <w:tc>
          <w:tcPr>
            <w:tcW w:w="1040" w:type="dxa"/>
            <w:vAlign w:val="bottom"/>
            <w:gridSpan w:val="2"/>
          </w:tcPr>
          <w:p>
            <w:pPr>
              <w:ind w:left="340"/>
              <w:spacing w:after="0"/>
              <w:rPr>
                <w:sz w:val="20"/>
                <w:szCs w:val="20"/>
                <w:color w:val="auto"/>
              </w:rPr>
            </w:pPr>
            <w:r>
              <w:rPr>
                <w:rFonts w:ascii="Arial" w:cs="Arial" w:eastAsia="Arial" w:hAnsi="Arial"/>
                <w:sz w:val="17"/>
                <w:szCs w:val="17"/>
                <w:color w:val="0000FF"/>
              </w:rPr>
              <w:t>90071</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3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3" w:lineRule="exact"/>
              <w:rPr>
                <w:rFonts w:ascii="Arial" w:cs="Arial" w:eastAsia="Arial" w:hAnsi="Arial"/>
                <w:sz w:val="21"/>
                <w:szCs w:val="21"/>
                <w:color w:val="0000EE"/>
              </w:rPr>
            </w:pPr>
            <w:hyperlink r:id="rId14">
              <w:r>
                <w:rPr>
                  <w:rFonts w:ascii="Arial" w:cs="Arial" w:eastAsia="Arial" w:hAnsi="Arial"/>
                  <w:sz w:val="21"/>
                  <w:szCs w:val="21"/>
                  <w:color w:val="0000EE"/>
                </w:rPr>
                <w:t>Oaktree Capital Group Holdings, L.P.</w:t>
              </w:r>
            </w:hyperlink>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18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7"/>
                <w:szCs w:val="17"/>
                <w:color w:val="0000FF"/>
              </w:rPr>
              <w:t>C/O OAKTREE CAPITAL MANAGEMENT, L.P.</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gridSpan w:val="6"/>
          </w:tcPr>
          <w:p>
            <w:pPr>
              <w:spacing w:after="0"/>
              <w:rPr>
                <w:sz w:val="20"/>
                <w:szCs w:val="20"/>
                <w:color w:val="auto"/>
              </w:rPr>
            </w:pPr>
            <w:r>
              <w:rPr>
                <w:rFonts w:ascii="Arial" w:cs="Arial" w:eastAsia="Arial" w:hAnsi="Arial"/>
                <w:sz w:val="17"/>
                <w:szCs w:val="17"/>
                <w:color w:val="0000FF"/>
              </w:rPr>
              <w:t>333 SOUTH GRAND AVENUE, 28TH FLOOR</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180" w:type="dxa"/>
            <w:vAlign w:val="bottom"/>
          </w:tcPr>
          <w:p>
            <w:pPr>
              <w:ind w:left="60"/>
              <w:spacing w:after="0"/>
              <w:rPr>
                <w:sz w:val="20"/>
                <w:szCs w:val="20"/>
                <w:color w:val="auto"/>
              </w:rPr>
            </w:pPr>
            <w:r>
              <w:rPr>
                <w:rFonts w:ascii="Arial" w:cs="Arial" w:eastAsia="Arial" w:hAnsi="Arial"/>
                <w:sz w:val="17"/>
                <w:szCs w:val="17"/>
                <w:color w:val="0000FF"/>
              </w:rPr>
              <w:t>CA</w:t>
            </w:r>
          </w:p>
        </w:tc>
        <w:tc>
          <w:tcPr>
            <w:tcW w:w="1040" w:type="dxa"/>
            <w:vAlign w:val="bottom"/>
            <w:gridSpan w:val="2"/>
          </w:tcPr>
          <w:p>
            <w:pPr>
              <w:ind w:left="340"/>
              <w:spacing w:after="0"/>
              <w:rPr>
                <w:sz w:val="20"/>
                <w:szCs w:val="20"/>
                <w:color w:val="auto"/>
              </w:rPr>
            </w:pPr>
            <w:r>
              <w:rPr>
                <w:rFonts w:ascii="Arial" w:cs="Arial" w:eastAsia="Arial" w:hAnsi="Arial"/>
                <w:sz w:val="17"/>
                <w:szCs w:val="17"/>
                <w:color w:val="0000FF"/>
              </w:rPr>
              <w:t>90071</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-5529580</wp:posOffset>
            </wp:positionV>
            <wp:extent cx="24765" cy="230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765" cy="2307590"/>
                    </a:xfrm>
                    <a:prstGeom prst="rect">
                      <a:avLst/>
                    </a:prstGeom>
                    <a:noFill/>
                  </pic:spPr>
                </pic:pic>
              </a:graphicData>
            </a:graphic>
          </wp:anchor>
        </w:drawing>
      </w:r>
    </w:p>
    <w:p>
      <w:pPr>
        <w:sectPr>
          <w:pgSz w:w="11900" w:h="16838" w:orient="portrait"/>
          <w:cols w:equalWidth="0" w:num="1">
            <w:col w:w="11520"/>
          </w:cols>
          <w:pgMar w:left="240" w:top="225" w:right="139" w:bottom="0" w:gutter="0" w:footer="0" w:header="0"/>
          <w:type w:val="continuous"/>
        </w:sectPr>
      </w:pPr>
    </w:p>
    <w:p>
      <w:pPr>
        <w:spacing w:after="0" w:line="323"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520"/>
          </w:cols>
          <w:pgMar w:left="240" w:top="225" w:right="13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292100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00" cy="1051560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Oaktree Capital Group, LLC</w:t>
        </w:r>
      </w:hyperlink>
    </w:p>
    <w:p>
      <w:pPr>
        <w:spacing w:after="0" w:line="3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OAKTREE CAPITAL MANAGEMENT, L.P.</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333 SOUTH GRAND AVENUE, 28TH FLOOR</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0"/>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48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540" w:type="dxa"/>
            <w:vAlign w:val="bottom"/>
          </w:tcPr>
          <w:p>
            <w:pPr>
              <w:ind w:left="120"/>
              <w:spacing w:after="0"/>
              <w:rPr>
                <w:sz w:val="20"/>
                <w:szCs w:val="20"/>
                <w:color w:val="auto"/>
              </w:rPr>
            </w:pPr>
            <w:r>
              <w:rPr>
                <w:rFonts w:ascii="Arial" w:cs="Arial" w:eastAsia="Arial" w:hAnsi="Arial"/>
                <w:sz w:val="17"/>
                <w:szCs w:val="17"/>
                <w:color w:val="0000FF"/>
              </w:rPr>
              <w:t>90071</w:t>
            </w:r>
          </w:p>
        </w:tc>
        <w:tc>
          <w:tcPr>
            <w:tcW w:w="100" w:type="dxa"/>
            <w:vAlign w:val="bottom"/>
          </w:tcPr>
          <w:p>
            <w:pPr>
              <w:spacing w:after="0"/>
              <w:rPr>
                <w:sz w:val="20"/>
                <w:szCs w:val="20"/>
                <w:color w:val="auto"/>
              </w:rPr>
            </w:pPr>
          </w:p>
        </w:tc>
      </w:tr>
      <w:tr>
        <w:trPr>
          <w:trHeight w:val="156"/>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0"/>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100" w:type="dxa"/>
            <w:vAlign w:val="bottom"/>
          </w:tcPr>
          <w:p>
            <w:pPr>
              <w:spacing w:after="0"/>
              <w:rPr>
                <w:sz w:val="19"/>
                <w:szCs w:val="19"/>
                <w:color w:val="auto"/>
              </w:rPr>
            </w:pPr>
          </w:p>
        </w:tc>
        <w:tc>
          <w:tcPr>
            <w:tcW w:w="2800" w:type="dxa"/>
            <w:vAlign w:val="bottom"/>
            <w:gridSpan w:val="3"/>
          </w:tcPr>
          <w:p>
            <w:pPr>
              <w:spacing w:after="0" w:line="223" w:lineRule="exact"/>
              <w:rPr>
                <w:rFonts w:ascii="Arial" w:cs="Arial" w:eastAsia="Arial" w:hAnsi="Arial"/>
                <w:sz w:val="21"/>
                <w:szCs w:val="21"/>
                <w:color w:val="0000EE"/>
              </w:rPr>
            </w:pPr>
            <w:hyperlink r:id="rId18">
              <w:r>
                <w:rPr>
                  <w:rFonts w:ascii="Arial" w:cs="Arial" w:eastAsia="Arial" w:hAnsi="Arial"/>
                  <w:sz w:val="21"/>
                  <w:szCs w:val="21"/>
                  <w:color w:val="0000EE"/>
                </w:rPr>
                <w:t>OAKTREE HOLDINGS, LLC</w:t>
              </w:r>
            </w:hyperlink>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OAKTREE CAPITAL MANAGEMENT, L.P.</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333 SOUTH GRAND AVENUE, 28TH FLOOR</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0"/>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tcPr>
          <w:p>
            <w:pPr>
              <w:ind w:left="200"/>
              <w:spacing w:after="0"/>
              <w:rPr>
                <w:sz w:val="20"/>
                <w:szCs w:val="20"/>
                <w:color w:val="auto"/>
              </w:rPr>
            </w:pPr>
            <w:r>
              <w:rPr>
                <w:rFonts w:ascii="Arial" w:cs="Arial" w:eastAsia="Arial" w:hAnsi="Arial"/>
                <w:sz w:val="17"/>
                <w:szCs w:val="17"/>
                <w:color w:val="0000FF"/>
              </w:rPr>
              <w:t>90071</w:t>
            </w:r>
          </w:p>
        </w:tc>
        <w:tc>
          <w:tcPr>
            <w:tcW w:w="100" w:type="dxa"/>
            <w:vAlign w:val="bottom"/>
          </w:tcPr>
          <w:p>
            <w:pPr>
              <w:spacing w:after="0"/>
              <w:rPr>
                <w:sz w:val="20"/>
                <w:szCs w:val="20"/>
                <w:color w:val="auto"/>
              </w:rPr>
            </w:pPr>
          </w:p>
        </w:tc>
      </w:tr>
      <w:tr>
        <w:trPr>
          <w:trHeight w:val="156"/>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0"/>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100" w:type="dxa"/>
            <w:vAlign w:val="bottom"/>
          </w:tcPr>
          <w:p>
            <w:pPr>
              <w:spacing w:after="0"/>
              <w:rPr>
                <w:sz w:val="19"/>
                <w:szCs w:val="19"/>
                <w:color w:val="auto"/>
              </w:rPr>
            </w:pPr>
          </w:p>
        </w:tc>
        <w:tc>
          <w:tcPr>
            <w:tcW w:w="2720" w:type="dxa"/>
            <w:vAlign w:val="bottom"/>
            <w:gridSpan w:val="3"/>
          </w:tcPr>
          <w:p>
            <w:pPr>
              <w:spacing w:after="0" w:line="223" w:lineRule="exact"/>
              <w:rPr>
                <w:rFonts w:ascii="Arial" w:cs="Arial" w:eastAsia="Arial" w:hAnsi="Arial"/>
                <w:sz w:val="21"/>
                <w:szCs w:val="21"/>
                <w:color w:val="0000EE"/>
              </w:rPr>
            </w:pPr>
            <w:hyperlink r:id="rId19">
              <w:r>
                <w:rPr>
                  <w:rFonts w:ascii="Arial" w:cs="Arial" w:eastAsia="Arial" w:hAnsi="Arial"/>
                  <w:sz w:val="21"/>
                  <w:szCs w:val="21"/>
                  <w:color w:val="0000EE"/>
                </w:rPr>
                <w:t>OCM HOLDINGS I, LLC</w:t>
              </w:r>
            </w:hyperlink>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5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OAKTREE CAPITAL MANAGEMENT, L.P.</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333 SOUTH GRAND AVENUE, 28TH FLOOR</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0"/>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tcPr>
          <w:p>
            <w:pPr>
              <w:ind w:left="200"/>
              <w:spacing w:after="0"/>
              <w:rPr>
                <w:sz w:val="20"/>
                <w:szCs w:val="20"/>
                <w:color w:val="auto"/>
              </w:rPr>
            </w:pPr>
            <w:r>
              <w:rPr>
                <w:rFonts w:ascii="Arial" w:cs="Arial" w:eastAsia="Arial" w:hAnsi="Arial"/>
                <w:sz w:val="17"/>
                <w:szCs w:val="17"/>
                <w:color w:val="0000FF"/>
              </w:rPr>
              <w:t>90071</w:t>
            </w:r>
          </w:p>
        </w:tc>
        <w:tc>
          <w:tcPr>
            <w:tcW w:w="100" w:type="dxa"/>
            <w:vAlign w:val="bottom"/>
          </w:tcPr>
          <w:p>
            <w:pPr>
              <w:spacing w:after="0"/>
              <w:rPr>
                <w:sz w:val="20"/>
                <w:szCs w:val="20"/>
                <w:color w:val="auto"/>
              </w:rPr>
            </w:pPr>
          </w:p>
        </w:tc>
      </w:tr>
      <w:tr>
        <w:trPr>
          <w:trHeight w:val="156"/>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0"/>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100" w:type="dxa"/>
            <w:vAlign w:val="bottom"/>
          </w:tcPr>
          <w:p>
            <w:pPr>
              <w:spacing w:after="0"/>
              <w:rPr>
                <w:sz w:val="19"/>
                <w:szCs w:val="19"/>
                <w:color w:val="auto"/>
              </w:rPr>
            </w:pPr>
          </w:p>
        </w:tc>
        <w:tc>
          <w:tcPr>
            <w:tcW w:w="2720" w:type="dxa"/>
            <w:vAlign w:val="bottom"/>
            <w:gridSpan w:val="3"/>
          </w:tcPr>
          <w:p>
            <w:pPr>
              <w:spacing w:after="0" w:line="223" w:lineRule="exact"/>
              <w:rPr>
                <w:rFonts w:ascii="Arial" w:cs="Arial" w:eastAsia="Arial" w:hAnsi="Arial"/>
                <w:sz w:val="21"/>
                <w:szCs w:val="21"/>
                <w:color w:val="0000EE"/>
              </w:rPr>
            </w:pPr>
            <w:hyperlink r:id="rId20">
              <w:r>
                <w:rPr>
                  <w:rFonts w:ascii="Arial" w:cs="Arial" w:eastAsia="Arial" w:hAnsi="Arial"/>
                  <w:sz w:val="21"/>
                  <w:szCs w:val="21"/>
                  <w:color w:val="0000EE"/>
                </w:rPr>
                <w:t>Oaktree Capital I, L.P.</w:t>
              </w:r>
            </w:hyperlink>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5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OAKTREE CAPITAL MANAGEMENT, L.P.</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333 SOUTH GRAND AVENUE, 28TH FLOOR</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0"/>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tcPr>
          <w:p>
            <w:pPr>
              <w:ind w:left="200"/>
              <w:spacing w:after="0"/>
              <w:rPr>
                <w:sz w:val="20"/>
                <w:szCs w:val="20"/>
                <w:color w:val="auto"/>
              </w:rPr>
            </w:pPr>
            <w:r>
              <w:rPr>
                <w:rFonts w:ascii="Arial" w:cs="Arial" w:eastAsia="Arial" w:hAnsi="Arial"/>
                <w:sz w:val="17"/>
                <w:szCs w:val="17"/>
                <w:color w:val="0000FF"/>
              </w:rPr>
              <w:t>90071</w:t>
            </w:r>
          </w:p>
        </w:tc>
        <w:tc>
          <w:tcPr>
            <w:tcW w:w="100" w:type="dxa"/>
            <w:vAlign w:val="bottom"/>
          </w:tcPr>
          <w:p>
            <w:pPr>
              <w:spacing w:after="0"/>
              <w:rPr>
                <w:sz w:val="20"/>
                <w:szCs w:val="20"/>
                <w:color w:val="auto"/>
              </w:rPr>
            </w:pPr>
          </w:p>
        </w:tc>
      </w:tr>
      <w:tr>
        <w:trPr>
          <w:trHeight w:val="156"/>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0"/>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100" w:type="dxa"/>
            <w:vAlign w:val="bottom"/>
          </w:tcPr>
          <w:p>
            <w:pPr>
              <w:spacing w:after="0"/>
              <w:rPr>
                <w:sz w:val="19"/>
                <w:szCs w:val="19"/>
                <w:color w:val="auto"/>
              </w:rPr>
            </w:pPr>
          </w:p>
        </w:tc>
        <w:tc>
          <w:tcPr>
            <w:tcW w:w="2720" w:type="dxa"/>
            <w:vAlign w:val="bottom"/>
            <w:gridSpan w:val="3"/>
          </w:tcPr>
          <w:p>
            <w:pPr>
              <w:spacing w:after="0" w:line="223" w:lineRule="exact"/>
              <w:rPr>
                <w:rFonts w:ascii="Arial" w:cs="Arial" w:eastAsia="Arial" w:hAnsi="Arial"/>
                <w:sz w:val="21"/>
                <w:szCs w:val="21"/>
                <w:color w:val="0000EE"/>
              </w:rPr>
            </w:pPr>
            <w:hyperlink r:id="rId21">
              <w:r>
                <w:rPr>
                  <w:rFonts w:ascii="Arial" w:cs="Arial" w:eastAsia="Arial" w:hAnsi="Arial"/>
                  <w:sz w:val="21"/>
                  <w:szCs w:val="21"/>
                  <w:color w:val="0000EE"/>
                </w:rPr>
                <w:t>OAKTREE FUND GP I, L.P.</w:t>
              </w:r>
            </w:hyperlink>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5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OAKTREE CAPITAL MANAGEMENT, L.P.</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333 SOUTH GRAND AVENUE, 28TH FLOOR</w:t>
      </w:r>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060" w:type="dxa"/>
            <w:vAlign w:val="bottom"/>
          </w:tcPr>
          <w:p>
            <w:pPr>
              <w:ind w:left="140"/>
              <w:spacing w:after="0"/>
              <w:rPr>
                <w:sz w:val="20"/>
                <w:szCs w:val="20"/>
                <w:color w:val="auto"/>
              </w:rPr>
            </w:pPr>
            <w:r>
              <w:rPr>
                <w:rFonts w:ascii="Arial" w:cs="Arial" w:eastAsia="Arial" w:hAnsi="Arial"/>
                <w:sz w:val="17"/>
                <w:szCs w:val="17"/>
                <w:color w:val="0000FF"/>
              </w:rPr>
              <w:t>CA</w:t>
            </w:r>
          </w:p>
        </w:tc>
        <w:tc>
          <w:tcPr>
            <w:tcW w:w="1960" w:type="dxa"/>
            <w:vAlign w:val="bottom"/>
          </w:tcPr>
          <w:p>
            <w:pPr>
              <w:ind w:left="540"/>
              <w:spacing w:after="0"/>
              <w:rPr>
                <w:sz w:val="20"/>
                <w:szCs w:val="20"/>
                <w:color w:val="auto"/>
              </w:rPr>
            </w:pPr>
            <w:r>
              <w:rPr>
                <w:rFonts w:ascii="Arial" w:cs="Arial" w:eastAsia="Arial" w:hAnsi="Arial"/>
                <w:sz w:val="17"/>
                <w:szCs w:val="17"/>
                <w:color w:val="0000FF"/>
              </w:rPr>
              <w:t>90071</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OCM Power Opportunities Fund II GP, L.P.</w:t>
        </w:r>
      </w:hyperlink>
    </w:p>
    <w:p>
      <w:pPr>
        <w:spacing w:after="0" w:line="3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OAKTREE CAPITAL MANAGEMENT, L.P.</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333 SOUTH GRAND AVENUE, 28TH FLOOR</w:t>
      </w:r>
    </w:p>
    <w:p>
      <w:pPr>
        <w:spacing w:after="0" w:line="3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0199"/>
          </w:cols>
          <w:pgMar w:left="260" w:top="111" w:right="1440" w:bottom="0" w:gutter="0" w:footer="0" w:header="0"/>
        </w:sectPr>
      </w:pPr>
    </w:p>
    <w:p>
      <w:pPr>
        <w:spacing w:after="0" w:line="31"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7"/>
          <w:szCs w:val="17"/>
          <w:color w:val="0000FF"/>
        </w:rPr>
        <w:t>LOS ANGELES</w:t>
      </w:r>
      <w:r>
        <w:rPr>
          <w:sz w:val="20"/>
          <w:szCs w:val="20"/>
          <w:color w:val="auto"/>
        </w:rPr>
        <w:tab/>
      </w:r>
      <w:r>
        <w:rPr>
          <w:rFonts w:ascii="Arial" w:cs="Arial" w:eastAsia="Arial" w:hAnsi="Arial"/>
          <w:sz w:val="17"/>
          <w:szCs w:val="17"/>
          <w:color w:val="0000FF"/>
        </w:rPr>
        <w:t>CA</w:t>
      </w:r>
      <w:r>
        <w:rPr>
          <w:sz w:val="20"/>
          <w:szCs w:val="20"/>
          <w:color w:val="auto"/>
        </w:rPr>
        <w:tab/>
      </w:r>
      <w:r>
        <w:rPr>
          <w:rFonts w:ascii="Arial" w:cs="Arial" w:eastAsia="Arial" w:hAnsi="Arial"/>
          <w:sz w:val="15"/>
          <w:szCs w:val="15"/>
          <w:color w:val="0000FF"/>
        </w:rPr>
        <w:t>90071</w:t>
      </w:r>
    </w:p>
    <w:p>
      <w:pPr>
        <w:sectPr>
          <w:pgSz w:w="11900" w:h="16838" w:orient="portrait"/>
          <w:cols w:equalWidth="0" w:num="1">
            <w:col w:w="10199"/>
          </w:cols>
          <w:pgMar w:left="260" w:top="111" w:right="1440" w:bottom="0" w:gutter="0" w:footer="0" w:header="0"/>
          <w:type w:val="continuous"/>
        </w:sectPr>
      </w:pPr>
    </w:p>
    <w:bookmarkStart w:id="2" w:name="page3"/>
    <w:bookmarkEnd w:id="2"/>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2921000" cy="395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921000" cy="3956050"/>
                    </a:xfrm>
                    <a:prstGeom prst="rect">
                      <a:avLst/>
                    </a:prstGeom>
                    <a:noFill/>
                  </pic:spPr>
                </pic:pic>
              </a:graphicData>
            </a:graphic>
          </wp:anchor>
        </w:drawing>
      </w: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OCM Power Opportunities Fund II GP (Cayman)</w:t>
        </w:r>
      </w:hyperlink>
    </w:p>
    <w:p>
      <w:pPr>
        <w:ind w:left="10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Ltd.</w:t>
        </w:r>
      </w:hyperlink>
    </w:p>
    <w:p>
      <w:pPr>
        <w:spacing w:after="0" w:line="325"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OAKTREE CAPITAL MANAGEMENT, L.P.</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333 SOUTH GRAND AVENUE, 28TH FLOOR</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0"/>
        </w:trPr>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400" w:type="dxa"/>
            <w:vAlign w:val="bottom"/>
            <w:gridSpan w:val="2"/>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tcPr>
          <w:p>
            <w:pPr>
              <w:ind w:left="200"/>
              <w:spacing w:after="0"/>
              <w:rPr>
                <w:sz w:val="20"/>
                <w:szCs w:val="20"/>
                <w:color w:val="auto"/>
              </w:rPr>
            </w:pPr>
            <w:r>
              <w:rPr>
                <w:rFonts w:ascii="Arial" w:cs="Arial" w:eastAsia="Arial" w:hAnsi="Arial"/>
                <w:sz w:val="17"/>
                <w:szCs w:val="17"/>
                <w:color w:val="0000FF"/>
              </w:rPr>
              <w:t>90071</w:t>
            </w:r>
          </w:p>
        </w:tc>
        <w:tc>
          <w:tcPr>
            <w:tcW w:w="100" w:type="dxa"/>
            <w:vAlign w:val="bottom"/>
          </w:tcPr>
          <w:p>
            <w:pPr>
              <w:spacing w:after="0"/>
              <w:rPr>
                <w:sz w:val="20"/>
                <w:szCs w:val="20"/>
                <w:color w:val="auto"/>
              </w:rPr>
            </w:pPr>
          </w:p>
        </w:tc>
      </w:tr>
      <w:tr>
        <w:trPr>
          <w:trHeight w:val="156"/>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8"/>
        </w:trPr>
        <w:tc>
          <w:tcPr>
            <w:tcW w:w="1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0"/>
        </w:trPr>
        <w:tc>
          <w:tcPr>
            <w:tcW w:w="28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100" w:type="dxa"/>
            <w:vAlign w:val="bottom"/>
          </w:tcPr>
          <w:p>
            <w:pPr>
              <w:spacing w:after="0"/>
              <w:rPr>
                <w:sz w:val="19"/>
                <w:szCs w:val="19"/>
                <w:color w:val="auto"/>
              </w:rPr>
            </w:pPr>
          </w:p>
        </w:tc>
        <w:tc>
          <w:tcPr>
            <w:tcW w:w="2720" w:type="dxa"/>
            <w:vAlign w:val="bottom"/>
            <w:gridSpan w:val="3"/>
          </w:tcPr>
          <w:p>
            <w:pPr>
              <w:spacing w:after="0" w:line="223" w:lineRule="exact"/>
              <w:rPr>
                <w:rFonts w:ascii="Arial" w:cs="Arial" w:eastAsia="Arial" w:hAnsi="Arial"/>
                <w:sz w:val="21"/>
                <w:szCs w:val="21"/>
                <w:color w:val="0000EE"/>
              </w:rPr>
            </w:pPr>
            <w:hyperlink r:id="rId25">
              <w:r>
                <w:rPr>
                  <w:rFonts w:ascii="Arial" w:cs="Arial" w:eastAsia="Arial" w:hAnsi="Arial"/>
                  <w:sz w:val="21"/>
                  <w:szCs w:val="21"/>
                  <w:color w:val="0000EE"/>
                </w:rPr>
                <w:t>Oaktree Holdings, Inc.</w:t>
              </w:r>
            </w:hyperlink>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8"/>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5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OAKTREE CAPITAL MANAGEMENT, L.P.</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333 SOUTH GRAND AVENUE, 28TH FLOOR</w:t>
      </w:r>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7"/>
                <w:szCs w:val="17"/>
                <w:color w:val="0000FF"/>
              </w:rPr>
              <w:t>LOS ANGELES</w:t>
            </w:r>
          </w:p>
        </w:tc>
        <w:tc>
          <w:tcPr>
            <w:tcW w:w="1060" w:type="dxa"/>
            <w:vAlign w:val="bottom"/>
          </w:tcPr>
          <w:p>
            <w:pPr>
              <w:ind w:left="140"/>
              <w:spacing w:after="0"/>
              <w:rPr>
                <w:sz w:val="20"/>
                <w:szCs w:val="20"/>
                <w:color w:val="auto"/>
              </w:rPr>
            </w:pPr>
            <w:r>
              <w:rPr>
                <w:rFonts w:ascii="Arial" w:cs="Arial" w:eastAsia="Arial" w:hAnsi="Arial"/>
                <w:sz w:val="17"/>
                <w:szCs w:val="17"/>
                <w:color w:val="0000FF"/>
              </w:rPr>
              <w:t>CA</w:t>
            </w:r>
          </w:p>
        </w:tc>
        <w:tc>
          <w:tcPr>
            <w:tcW w:w="1960" w:type="dxa"/>
            <w:vAlign w:val="bottom"/>
          </w:tcPr>
          <w:p>
            <w:pPr>
              <w:ind w:left="540"/>
              <w:spacing w:after="0"/>
              <w:rPr>
                <w:sz w:val="20"/>
                <w:szCs w:val="20"/>
                <w:color w:val="auto"/>
              </w:rPr>
            </w:pPr>
            <w:r>
              <w:rPr>
                <w:rFonts w:ascii="Arial" w:cs="Arial" w:eastAsia="Arial" w:hAnsi="Arial"/>
                <w:sz w:val="17"/>
                <w:szCs w:val="17"/>
                <w:color w:val="0000FF"/>
              </w:rPr>
              <w:t>90071</w:t>
            </w:r>
          </w:p>
        </w:tc>
      </w:tr>
      <w:tr>
        <w:trPr>
          <w:trHeight w:val="156"/>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8"/>
        <w:spacing w:after="0" w:line="248" w:lineRule="auto"/>
        <w:tabs>
          <w:tab w:leader="none" w:pos="15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owned directly by GT Solar Holdings, LLC. OCM/GFI Power Opportunities Fund II, L.P., or the "Main Fund," and OCM/GFI Power Opportunities Fund II (Cayman), L.P. ("Cayman Fund" and together with the Main Fund, "OCM/GFI Funds") are together the managing member of GT Solar Holdings, LLC. Oaktree Capital Management, L.P. ("OCM") is one of the two investment managers of each of the OCM/GFI Funds. Voting and investment power with respect to securities owned by the OCM/GFI Funds is exercised by a four-person committee, including two representatives of OCM (any two of Messrs. Stephen A. Kaplan, Michael P. Harmon, Bruce A. Karsh and Howard S. Marks).</w:t>
      </w:r>
    </w:p>
    <w:p>
      <w:pPr>
        <w:spacing w:after="0" w:line="25" w:lineRule="exact"/>
        <w:rPr>
          <w:rFonts w:ascii="Arial" w:cs="Arial" w:eastAsia="Arial" w:hAnsi="Arial"/>
          <w:sz w:val="13"/>
          <w:szCs w:val="13"/>
          <w:color w:val="008000"/>
        </w:rPr>
      </w:pPr>
    </w:p>
    <w:p>
      <w:pPr>
        <w:ind w:left="20" w:right="260" w:firstLine="8"/>
        <w:spacing w:after="0" w:line="254" w:lineRule="auto"/>
        <w:tabs>
          <w:tab w:leader="none" w:pos="15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Oaktree Holdings, Inc. is the general partner of OCM. Oaktree Capital Group, LLC is the sole shareholder of Oaktree Holdings, Inc. Oaktree Capital Group Holdings, L.P. controls Oaktree Capital Group, LLC. Oaktree Capital Group Holdings GP, LLC is the general partner of Oaktree Capital Group Holdings, L.P. Oaktree Capital Group Holdings GP, LLC is managed by Howard S. Marks, Bruce A. Karsh, Sheldon M. Stone, Larry W. Keele, Stephen A. Kaplan, John B. Frank, David Kirchheimer, Kevin L. Clayton.</w:t>
      </w:r>
    </w:p>
    <w:p>
      <w:pPr>
        <w:spacing w:after="0" w:line="21" w:lineRule="exact"/>
        <w:rPr>
          <w:rFonts w:ascii="Arial" w:cs="Arial" w:eastAsia="Arial" w:hAnsi="Arial"/>
          <w:sz w:val="13"/>
          <w:szCs w:val="13"/>
          <w:color w:val="008000"/>
        </w:rPr>
      </w:pPr>
    </w:p>
    <w:p>
      <w:pPr>
        <w:ind w:left="20" w:firstLine="8"/>
        <w:spacing w:after="0" w:line="248" w:lineRule="auto"/>
        <w:tabs>
          <w:tab w:leader="none" w:pos="15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By virtue of the ownership structure described above, each of the OCM/GFI Funds, Oaktree Capital Group Holdings GP, LLC, Oaktree Capital Group Holdings, L.P., Oaktree Capital Group, LLC, Oaktree Holdings, Inc., OCM, Howard S. Marks, Bruce A. Karsh, Sheldon M. Stone, Larry W. Keele, Stephen A. Kaplan, John B. Frank, David Kirchheimer, Kevin L. Clayton and Michael P. Harmon may be deemed to have beneficial ownership of the shares owned by GT Solar Holdings, LLC. Each of the foregoing persons expressly disclaims beneficial ownership of the shares held by GT Solar Holdings, LLC, except to the extent of their respective pecuniary interests therein.</w:t>
      </w:r>
    </w:p>
    <w:p>
      <w:pPr>
        <w:spacing w:after="0" w:line="25" w:lineRule="exact"/>
        <w:rPr>
          <w:rFonts w:ascii="Arial" w:cs="Arial" w:eastAsia="Arial" w:hAnsi="Arial"/>
          <w:sz w:val="13"/>
          <w:szCs w:val="13"/>
          <w:color w:val="008000"/>
        </w:rPr>
      </w:pPr>
    </w:p>
    <w:p>
      <w:pPr>
        <w:ind w:left="20" w:right="380" w:firstLine="8"/>
        <w:spacing w:after="0" w:line="303" w:lineRule="auto"/>
        <w:tabs>
          <w:tab w:leader="none" w:pos="15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10,772 restricted stock units. Each restricted stock unit represents the right to receive one share of common stock upon vesting. Vesting of the restricted stock units is subject to the continued service of Chad Van Sweden as a director of GT Solar International, Inc. The restricted stock units vest on February 9, 2011. Shares of common stock will be delivered to the reporting person on vesting.</w:t>
      </w:r>
    </w:p>
    <w:p>
      <w:pPr>
        <w:ind w:left="20" w:right="120" w:firstLine="8"/>
        <w:spacing w:after="0" w:line="248" w:lineRule="auto"/>
        <w:tabs>
          <w:tab w:leader="none" w:pos="15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directly owned by OCM. By virtue of the ownership structure described above, each of Oaktree Capital Group Holdings GP, LLC, Oaktree Capital Group Holdings, L.P., Oaktree Capital Group, LLC, Oaktree Holdings, Inc., Howard S. Marks, Bruce A. Karsh, Sheldon M. Stone, Larry W. Keele, Stephen A. Kaplan, John B. Frank, David Kirchheimer, Kevin L. Clayton and Michael P. Harmon may be deemed to have beneficial ownership of the shares owned by OCM. Each of the foregoing persons expressly disclaims beneficial ownership of the shares held by OCM, except to the extent of their respective pecuniary interests therein.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20"/>
        <w:spacing w:after="0" w:line="276" w:lineRule="auto"/>
        <w:rPr>
          <w:sz w:val="20"/>
          <w:szCs w:val="20"/>
          <w:color w:val="auto"/>
        </w:rPr>
      </w:pPr>
      <w:r>
        <w:rPr>
          <w:rFonts w:ascii="Arial" w:cs="Arial" w:eastAsia="Arial" w:hAnsi="Arial"/>
          <w:sz w:val="12"/>
          <w:szCs w:val="12"/>
          <w:color w:val="008000"/>
        </w:rPr>
        <w:t>This Form 4 is being filed in two parts due to the large number of reporting persons. This filing is filed by Oaktree Capital Group Holdings GP, LLC, Oaktree Capital Group Holdings, L.P., Oaktree Capital Group, LLC, Oaktree Holdings, LLC, OCM Holdings I, LLC, Oaktree Capital I, L.P., Oaktree Fund GP I, L.P., OCM Power Opportunities Fund II GP (Cayman) Ltd., OCM Power Opportunities Fund II GP, L.P. and Oaktree Holdings, Inc. An accompanying filing is filed, on the date hereof, by Oaktree Capital Management, L.P. ("OCM"). Both filings relate to the same transaction described above. OCM may be deemed a director by deputization as a result of J. Bradford Forth, a managing director of OCM, and Chad Van Sweden, a vice president of OCM, serving on the board of directors of GT Solar International, Inc.</w:t>
      </w:r>
    </w:p>
    <w:p>
      <w:pPr>
        <w:sectPr>
          <w:pgSz w:w="11900" w:h="16856" w:orient="portrait"/>
          <w:cols w:equalWidth="0" w:num="1">
            <w:col w:w="11340"/>
          </w:cols>
          <w:pgMar w:left="260" w:top="179" w:right="299" w:bottom="0" w:gutter="0" w:footer="0" w:header="0"/>
        </w:sectPr>
      </w:pPr>
    </w:p>
    <w:p>
      <w:pPr>
        <w:spacing w:after="0" w:line="3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OAKTREE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-7620</wp:posOffset>
            </wp:positionV>
            <wp:extent cx="1405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HOLDINGS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306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Todd Molz Name: Todd Molz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3252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132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General Counsel By: /s/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-4445</wp:posOffset>
            </wp:positionV>
            <wp:extent cx="1390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11"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Boskovich Name: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1252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Boskovich Title: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9671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President,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7194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9455" cy="8255"/>
                    </a:xfrm>
                    <a:prstGeom prst="rect">
                      <a:avLst/>
                    </a:prstGeom>
                    <a:noFill/>
                  </pic:spPr>
                </pic:pic>
              </a:graphicData>
            </a:graphic>
          </wp:anchor>
        </w:drawing>
      </w:r>
    </w:p>
    <w:p>
      <w:pPr>
        <w:spacing w:after="0" w:line="46"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OAKTREE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-7620</wp:posOffset>
            </wp:positionV>
            <wp:extent cx="1405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HOLDINGS, L.P. By: Oaktree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3589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Capital Group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248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291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/s/ Todd Molz Name: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1963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Molz 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-4445</wp:posOffset>
            </wp:positionV>
            <wp:extent cx="13938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393825" cy="8255"/>
                    </a:xfrm>
                    <a:prstGeom prst="rect">
                      <a:avLst/>
                    </a:prstGeom>
                    <a:noFill/>
                  </pic:spPr>
                </pic:pic>
              </a:graphicData>
            </a:graphic>
          </wp:anchor>
        </w:drawing>
      </w:r>
    </w:p>
    <w:p>
      <w:pPr>
        <w:spacing w:after="0" w:line="1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Counsel By: /s/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-4445</wp:posOffset>
            </wp:positionV>
            <wp:extent cx="1390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11"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Boskovich Name: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1252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Boskovich Title: V.P.,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2426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46"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OAKTREE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0</wp:posOffset>
            </wp:positionV>
            <wp:extent cx="14211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spacing w:after="0" w:line="17"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LLC By: /s/ Todd Molz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3665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Todd Molz Title: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2979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President and Secretary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-4445</wp:posOffset>
            </wp:positionV>
            <wp:extent cx="13652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11"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Martin Boskovich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1252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Martin Boskovich Title: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296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President and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0331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4178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417830" cy="8255"/>
                    </a:xfrm>
                    <a:prstGeom prst="rect">
                      <a:avLst/>
                    </a:prstGeom>
                    <a:noFill/>
                  </pic:spPr>
                </pic:pic>
              </a:graphicData>
            </a:graphic>
          </wp:anchor>
        </w:drawing>
      </w:r>
    </w:p>
    <w:p>
      <w:pPr>
        <w:spacing w:after="0" w:line="46"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OAKTREE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-7620</wp:posOffset>
            </wp:positionV>
            <wp:extent cx="13747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By: Oaktree Capital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2236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2364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LLC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2573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By: Name: Todd Molz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2611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0000FF"/>
        </w:rPr>
        <w:t>03/15/2010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color w:val="0000FF"/>
        </w:rPr>
        <w:t>03/15/2010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color w:val="0000FF"/>
        </w:rPr>
        <w:t>03/15/2010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0000FF"/>
        </w:rPr>
        <w:t>03/15/2010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ectPr>
          <w:pgSz w:w="11900" w:h="16856" w:orient="portrait"/>
          <w:cols w:equalWidth="0" w:num="2">
            <w:col w:w="9080" w:space="60"/>
            <w:col w:w="2200"/>
          </w:cols>
          <w:pgMar w:left="260" w:top="179" w:right="299" w:bottom="0" w:gutter="0" w:footer="0" w:header="0"/>
          <w:type w:val="continuous"/>
        </w:sectPr>
      </w:pPr>
    </w:p>
    <w:bookmarkStart w:id="3" w:name="page4"/>
    <w:bookmarkEnd w:id="3"/>
    <w:p>
      <w:pPr>
        <w:ind w:left="6820"/>
        <w:spacing w:after="0"/>
        <w:rPr>
          <w:sz w:val="20"/>
          <w:szCs w:val="20"/>
          <w:color w:val="auto"/>
        </w:rPr>
      </w:pPr>
      <w:r>
        <w:rPr>
          <w:rFonts w:ascii="Arial" w:cs="Arial" w:eastAsia="Arial" w:hAnsi="Arial"/>
          <w:sz w:val="17"/>
          <w:szCs w:val="17"/>
          <w:color w:val="0000FF"/>
        </w:rPr>
        <w:t>Senior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-7620</wp:posOffset>
            </wp:positionV>
            <wp:extent cx="1146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Secretary By: Name: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2573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Boskovich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-4445</wp:posOffset>
            </wp:positionV>
            <wp:extent cx="1407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038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OCM HOLDINGS 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-7620</wp:posOffset>
            </wp:positionV>
            <wp:extent cx="13620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Todd Molz Name: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1963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Molz Title: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-4445</wp:posOffset>
            </wp:positionV>
            <wp:extent cx="13544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Secretary By: /s/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0668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Boskovich Name: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1252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Boskovich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-4445</wp:posOffset>
            </wp:positionV>
            <wp:extent cx="140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038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OAKTREE CAPITAL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-7620</wp:posOffset>
            </wp:positionV>
            <wp:extent cx="1294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By: OCM Holdings 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3716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General Partner By: /s/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2712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Molz Name: Todd Molz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3354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275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By: /s/ Martin Boskovich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1226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Name: Martin Boskovich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-4445</wp:posOffset>
            </wp:positionV>
            <wp:extent cx="13887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Vice President and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263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4178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17830" cy="8255"/>
                    </a:xfrm>
                    <a:prstGeom prst="rect">
                      <a:avLst/>
                    </a:prstGeom>
                    <a:noFill/>
                  </pic:spPr>
                </pic:pic>
              </a:graphicData>
            </a:graphic>
          </wp:anchor>
        </w:drawing>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-7620</wp:posOffset>
            </wp:positionV>
            <wp:extent cx="13068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/s/ Todd Molz Name: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-4445</wp:posOffset>
            </wp:positionV>
            <wp:extent cx="13836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Molz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0229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Signatory By: /s/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079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Boskovich Name: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1252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Boskovich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263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4305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OCM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-7620</wp:posOffset>
            </wp:positionV>
            <wp:extent cx="6673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667385"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OPPORTUNITIES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27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GP, L.P. By: Oaktree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-4445</wp:posOffset>
            </wp:positionV>
            <wp:extent cx="134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 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-4445</wp:posOffset>
            </wp:positionV>
            <wp:extent cx="134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Todd Molz Name: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1963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19634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Molz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0229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Signatory By: /s/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079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Boskovich Name: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1252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Boskovich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263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4305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OCM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-7620</wp:posOffset>
            </wp:positionV>
            <wp:extent cx="6673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67385"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OPPORTUNITIES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278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GP (CAYMAN)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1728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OCM Power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1995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Fund II GP, L.P. Its: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278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By: Oaktree Fund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2547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125476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1868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Todd Molz Title: Auth.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0274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Signatory By: /s/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079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Boskovich Title: Auth.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0140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4305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430530" cy="8255"/>
                    </a:xfrm>
                    <a:prstGeom prst="rect">
                      <a:avLst/>
                    </a:prstGeom>
                    <a:noFill/>
                  </pic:spPr>
                </pic:pic>
              </a:graphicData>
            </a:graphic>
          </wp:anchor>
        </w:drawing>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OAKTREE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-7620</wp:posOffset>
            </wp:positionV>
            <wp:extent cx="13836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6"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/s/ Todd Molz Name: Todd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-4445</wp:posOffset>
            </wp:positionV>
            <wp:extent cx="13836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Molz Title: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-4445</wp:posOffset>
            </wp:positionV>
            <wp:extent cx="13544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Secretary By: /s/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0668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Boskovich Name: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1252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12522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Boskovich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-4445</wp:posOffset>
            </wp:positionV>
            <wp:extent cx="140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1038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spacing w:after="0" w:line="54"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0000FF"/>
        </w:rPr>
        <w:t>03/15/2010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color w:val="0000FF"/>
        </w:rPr>
        <w:t>03/15/2010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color w:val="0000FF"/>
        </w:rPr>
        <w:t>03/15/2010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color w:val="0000FF"/>
        </w:rPr>
        <w:t>03/15/2010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03/15/2010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color w:val="0000FF"/>
        </w:rPr>
        <w:t>03/15/2010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0"/>
          <w:szCs w:val="20"/>
          <w:color w:val="auto"/>
        </w:rPr>
      </w:pPr>
    </w:p>
    <w:p>
      <w:pPr>
        <w:sectPr>
          <w:pgSz w:w="11900" w:h="16838" w:orient="portrait"/>
          <w:cols w:equalWidth="0" w:num="2">
            <w:col w:w="9040" w:space="80"/>
            <w:col w:w="1120"/>
          </w:cols>
          <w:pgMar w:left="280" w:top="131" w:right="137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31" w:right="1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3"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 Type="http://schemas.openxmlformats.org/officeDocument/2006/relationships/hyperlink" Target="http://www.sec.gov/cgi-bin/browse-edgar?action=getcompany&amp;CIK=0001403525" TargetMode="External"/><Relationship Id="rId13" Type="http://schemas.openxmlformats.org/officeDocument/2006/relationships/hyperlink" Target="http://www.sec.gov/cgi-bin/browse-edgar?action=getcompany&amp;CIK=0001394954" TargetMode="External"/><Relationship Id="rId14" Type="http://schemas.openxmlformats.org/officeDocument/2006/relationships/hyperlink" Target="http://www.sec.gov/cgi-bin/browse-edgar?action=getcompany&amp;CIK=0001403527" TargetMode="External"/><Relationship Id="rId17" Type="http://schemas.openxmlformats.org/officeDocument/2006/relationships/hyperlink" Target="http://www.sec.gov/cgi-bin/browse-edgar?action=getcompany&amp;CIK=0001403528" TargetMode="External"/><Relationship Id="rId18" Type="http://schemas.openxmlformats.org/officeDocument/2006/relationships/hyperlink" Target="http://www.sec.gov/cgi-bin/browse-edgar?action=getcompany&amp;CIK=0001407181" TargetMode="External"/><Relationship Id="rId19" Type="http://schemas.openxmlformats.org/officeDocument/2006/relationships/hyperlink" Target="http://www.sec.gov/cgi-bin/browse-edgar?action=getcompany&amp;CIK=0001407178" TargetMode="External"/><Relationship Id="rId20" Type="http://schemas.openxmlformats.org/officeDocument/2006/relationships/hyperlink" Target="http://www.sec.gov/cgi-bin/browse-edgar?action=getcompany&amp;CIK=0001403530" TargetMode="External"/><Relationship Id="rId21" Type="http://schemas.openxmlformats.org/officeDocument/2006/relationships/hyperlink" Target="http://www.sec.gov/cgi-bin/browse-edgar?action=getcompany&amp;CIK=0001402746" TargetMode="External"/><Relationship Id="rId22" Type="http://schemas.openxmlformats.org/officeDocument/2006/relationships/hyperlink" Target="http://www.sec.gov/cgi-bin/browse-edgar?action=getcompany&amp;CIK=0001440020" TargetMode="External"/><Relationship Id="rId24" Type="http://schemas.openxmlformats.org/officeDocument/2006/relationships/hyperlink" Target="http://www.sec.gov/cgi-bin/browse-edgar?action=getcompany&amp;CIK=0001440179" TargetMode="External"/><Relationship Id="rId25" Type="http://schemas.openxmlformats.org/officeDocument/2006/relationships/hyperlink" Target="http://www.sec.gov/cgi-bin/browse-edgar?action=getcompany&amp;CIK=0001403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2019-12-16T21:34:01Z</dcterms:created>
  <dcterms:modified xsi:type="dcterms:W3CDTF">2019-12-16T21:34:01Z</dcterms:modified>
</cp:coreProperties>
</file>