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201295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Monterey Capital Acquisition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61244M109</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OCM Value SPAC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OCM Value SPAC Holdings 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Fund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Fund GP 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Capital 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OCM Holdings I,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Capital Group,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Capital Group Holdings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Brookfield Corporation</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BAM Partners Trust</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Monterey Capital Acquisition Corporation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 Webster Street</w:t>
            </w:r>
          </w:p>
        </w:tc>
      </w:tr>
      <w:tr>
        <w:trPr>
          <w:trHeight w:val="234"/>
        </w:trPr>
        <w:tc>
          <w:tcPr>
            <w:tcW w:w="1040" w:type="dxa"/>
            <w:vAlign w:val="bottom"/>
          </w:tcPr>
          <w:p>
            <w:pPr>
              <w:spacing w:after="0"/>
              <w:rPr>
                <w:sz w:val="20"/>
                <w:szCs w:val="20"/>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Monterey, CA 93940</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This statement is filed by the entities and persons listed below, all of whom together are referred to herein as the “Reporting Persons”:</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Value SPAC Holdings, L.P. (“OCM Value SPAC”);</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Value SPAC Holdings II, L.P. (“OCM Value SPAC II”);</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Oaktree Fund GP, LLC (“Fund GP”) in its capacity as the general partner of each of OCM Value SPAC and OCM Value SPAC</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Fund GP I, L.P. (“GP I”, in its capacity as the managing member of Fund GP;</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I, L.P. (“Capital I”) in its capacity as the general partner of GP 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Holdings I, LLC (“Holdings I”) in its capacity as the general partner of Capital 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Holdings, LLC (“Holdings”) in its capacity as the managing member of Holdings 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(viii)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Group, LLC (“OCG”) in its capacity as the managing member of Holdings;</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(ix)</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Group Holdings GP, LLC (“OCGH GP,” and together with each of the foregoing, the “Oaktree Reporting</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Persons”) in its capacity as the indirect owner of the class B units of OCG;</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Brookfield Corporation (f/k/a Brookfield Asset Management Inc.) (“Brookfield”) in its capacity as the indirect owner of the</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units of OCG; and</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BAM Partners Trust (the “BAM Partnership,” and together with Brookfield, the “Brookfield Reporting Persons”) in its capacity</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the sole owner of Class B Limited Voting Shares of Brookfield.</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32"/>
        </w:trPr>
        <w:tc>
          <w:tcPr>
            <w:tcW w:w="1040" w:type="dxa"/>
            <w:vAlign w:val="bottom"/>
          </w:tcPr>
          <w:p>
            <w:pPr>
              <w:spacing w:after="0"/>
              <w:rPr>
                <w:sz w:val="24"/>
                <w:szCs w:val="24"/>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the Brookfield Reporting Persons is:</w:t>
            </w:r>
          </w:p>
        </w:tc>
      </w:tr>
      <w:tr>
        <w:trPr>
          <w:trHeight w:val="432"/>
        </w:trPr>
        <w:tc>
          <w:tcPr>
            <w:tcW w:w="1040" w:type="dxa"/>
            <w:vAlign w:val="bottom"/>
          </w:tcPr>
          <w:p>
            <w:pPr>
              <w:spacing w:after="0"/>
              <w:rPr>
                <w:sz w:val="24"/>
                <w:szCs w:val="24"/>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Brookfield Place, 181 Bay Street, Suite 100, Toronto, Ontario, Canada M5J 2T3.</w:t>
            </w:r>
          </w:p>
        </w:tc>
      </w:tr>
      <w:tr>
        <w:trPr>
          <w:trHeight w:val="432"/>
        </w:trPr>
        <w:tc>
          <w:tcPr>
            <w:tcW w:w="1040" w:type="dxa"/>
            <w:vAlign w:val="bottom"/>
          </w:tcPr>
          <w:p>
            <w:pPr>
              <w:spacing w:after="0"/>
              <w:rPr>
                <w:sz w:val="24"/>
                <w:szCs w:val="24"/>
                <w:color w:val="auto"/>
              </w:rPr>
            </w:pP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the Oaktree Reporting Persons is:</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S. Grand Avenue, 28th Floor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20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 responses to Item 4 on each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Class A Common Stock, $0.0001 par value.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20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61244M109</w:t>
            </w:r>
          </w:p>
        </w:tc>
        <w:tc>
          <w:tcPr>
            <w:tcW w:w="720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Rules 13d-1(b), or 13d-2(b) or (c), check whether the person filing is a (n):</w:t>
            </w:r>
          </w:p>
        </w:tc>
      </w:tr>
      <w:tr>
        <w:trPr>
          <w:trHeight w:val="432"/>
        </w:trPr>
        <w:tc>
          <w:tcPr>
            <w:tcW w:w="10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720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720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9 on each cover page.</w:t>
            </w: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11 on each cover page.</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5 on each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6 on each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7 on each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8 on each cover page.</w:t>
            </w: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ind w:left="1300" w:right="4720" w:hanging="1295"/>
        <w:spacing w:after="0" w:line="50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 xml:space="preserve">Ownership of More than Five Percent on Behalf of Another Person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1300" w:right="5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4" w:name="page15"/>
    <w:bookmarkEnd w:id="1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15" w:name="page16"/>
    <w:bookmarkEnd w:id="1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OCM VALUE SPAC HOLDINGS,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OCM VALUE SPAC HOLDINGS II, L.P.</w:t>
      </w:r>
    </w:p>
    <w:p>
      <w:pPr>
        <w:sectPr>
          <w:pgSz w:w="11900" w:h="16838" w:orient="portrait"/>
          <w:cols w:equalWidth="0" w:num="1">
            <w:col w:w="11060"/>
          </w:cols>
          <w:pgMar w:left="320" w:top="117" w:right="519" w:bottom="1440" w:gutter="0" w:footer="0" w:header="0"/>
        </w:sectPr>
      </w:pP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Fund GP I,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4860"/>
          </w:cols>
          <w:pgMar w:left="320" w:top="117" w:right="519" w:bottom="1440" w:gutter="0" w:footer="0" w:header="0"/>
          <w:type w:val="continuous"/>
        </w:sectPr>
      </w:pP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OAKTREE FUND GP, LLC</w:t>
      </w:r>
    </w:p>
    <w:p>
      <w:pPr>
        <w:sectPr>
          <w:pgSz w:w="11900" w:h="16838" w:orient="portrait"/>
          <w:cols w:equalWidth="0" w:num="1">
            <w:col w:w="11060"/>
          </w:cols>
          <w:pgMar w:left="320" w:top="117" w:right="519" w:bottom="1440" w:gutter="0" w:footer="0" w:header="0"/>
          <w:type w:val="continuous"/>
        </w:sect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Fund GP I,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5900" w:space="300"/>
            <w:col w:w="4860"/>
          </w:cols>
          <w:pgMar w:left="320" w:top="117" w:right="519" w:bottom="1440" w:gutter="0" w:footer="0" w:header="0"/>
          <w:type w:val="continuous"/>
        </w:sectPr>
      </w:pP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FUND GP I,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CAPITAL I,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OCM HOLDINGS 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HOLDINGS,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-130810</wp:posOffset>
            </wp:positionV>
            <wp:extent cx="32061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OAKTREE CAPITAL GROUP, LLC</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OAKTREE CAPITAL GROUP HOLDINGS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BROOKFIELD CORPORATION</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Swati Mandava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Legal &amp; Regulatory</w:t>
      </w:r>
    </w:p>
    <w:p>
      <w:pPr>
        <w:spacing w:after="0" w:line="203" w:lineRule="exact"/>
        <w:rPr>
          <w:sz w:val="20"/>
          <w:szCs w:val="20"/>
          <w:color w:val="auto"/>
        </w:rPr>
      </w:pPr>
    </w:p>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BAM PARTNERS TRUST, by its trustee, BAM CLASS B PARTNERS INC.</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Kathy Sarpash</w:t>
      </w:r>
    </w:p>
    <w:p>
      <w:pPr>
        <w:spacing w:after="0" w:line="36" w:lineRule="exact"/>
        <w:rPr>
          <w:sz w:val="20"/>
          <w:szCs w:val="20"/>
          <w:color w:val="auto"/>
        </w:rPr>
      </w:pPr>
    </w:p>
    <w:p>
      <w:pPr>
        <w:jc w:val="center"/>
        <w:ind w:right="-33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117" w:right="5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ind w:left="1180" w:hanging="1214"/>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Joint Filing Agreement, dated as of February 14, 2023, by and among the Reporting Persons (incorporated herein by reference to Exhibit 1 to that certain Schedule 13G filed on February 14, 2023, by the Reporting Persons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311150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6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2024-02-14T11:30:18Z</dcterms:created>
  <dcterms:modified xsi:type="dcterms:W3CDTF">2024-02-14T11:30:18Z</dcterms:modified>
</cp:coreProperties>
</file>