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184150</wp:posOffset>
            </wp:positionV>
            <wp:extent cx="21431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217170</wp:posOffset>
            </wp:positionV>
            <wp:extent cx="21431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Blue World Acquisition Corporation</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Ordinary Shares, $0.0001 par value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G1263E128</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ind w:firstLine="8"/>
        <w:spacing w:after="0" w:line="282" w:lineRule="auto"/>
        <w:tabs>
          <w:tab w:leader="none" w:pos="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6"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OCM Value SPAC Holdings,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OCM Value SPAC Holdings II,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Oaktree Fund GP,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OO</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Oaktree Fund GP I,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Oaktree Capital I,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PN</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OCM Holdings I,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OO</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Oaktree Holdings,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OO</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Oaktree Capital Group,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OO</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Oaktree Capital Group Holdings GP,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2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OO</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Brookfield Corporation</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6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Ontario, Canada</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6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6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HC</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tcBorders>
              <w:top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BAM Partners Trust</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4"/>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6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Ontario, Canada</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6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6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6"/>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32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0%</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HC</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Name of Issuer</w:t>
      </w:r>
    </w:p>
    <w:p>
      <w:pPr>
        <w:spacing w:after="0" w:line="211" w:lineRule="exact"/>
        <w:rPr>
          <w:sz w:val="20"/>
          <w:szCs w:val="20"/>
          <w:color w:val="auto"/>
        </w:rPr>
      </w:pPr>
    </w:p>
    <w:p>
      <w:pPr>
        <w:sectPr>
          <w:pgSz w:w="11900" w:h="16838" w:orient="portrait"/>
          <w:cols w:equalWidth="0" w:num="2">
            <w:col w:w="760" w:space="540"/>
            <w:col w:w="9940"/>
          </w:cols>
          <w:pgMar w:left="320" w:top="117" w:right="339" w:bottom="1440" w:gutter="0" w:footer="0" w:header="0"/>
        </w:sectPr>
      </w:pP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Blue World Acquisition Corporation (the “Issuer”)</w:t>
      </w:r>
    </w:p>
    <w:p>
      <w:pPr>
        <w:sectPr>
          <w:pgSz w:w="11900" w:h="16838" w:orient="portrait"/>
          <w:cols w:equalWidth="0" w:num="1">
            <w:col w:w="11240"/>
          </w:cols>
          <w:pgMar w:left="320" w:top="117"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Address of the Issuer’s Principal Executive Offices</w:t>
      </w:r>
    </w:p>
    <w:p>
      <w:pPr>
        <w:spacing w:after="0" w:line="200" w:lineRule="exact"/>
        <w:rPr>
          <w:sz w:val="20"/>
          <w:szCs w:val="20"/>
          <w:color w:val="auto"/>
        </w:rPr>
      </w:pPr>
    </w:p>
    <w:p>
      <w:pPr>
        <w:sectPr>
          <w:pgSz w:w="11900" w:h="16838" w:orient="portrait"/>
          <w:cols w:equalWidth="0" w:num="2">
            <w:col w:w="760" w:space="540"/>
            <w:col w:w="9940"/>
          </w:cols>
          <w:pgMar w:left="320" w:top="117" w:right="339" w:bottom="1440" w:gutter="0" w:footer="0" w:header="0"/>
          <w:type w:val="continuous"/>
        </w:sectPr>
      </w:pPr>
    </w:p>
    <w:p>
      <w:pPr>
        <w:spacing w:after="0" w:line="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244 Fifth Avenue, Suite B-88, New York, NY 10001</w:t>
      </w:r>
    </w:p>
    <w:p>
      <w:pPr>
        <w:sectPr>
          <w:pgSz w:w="11900" w:h="16838" w:orient="portrait"/>
          <w:cols w:equalWidth="0" w:num="1">
            <w:col w:w="11240"/>
          </w:cols>
          <w:pgMar w:left="320" w:top="117"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2(a).</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Names of Persons Filing</w:t>
      </w:r>
    </w:p>
    <w:p>
      <w:pPr>
        <w:spacing w:after="0" w:line="200" w:lineRule="exact"/>
        <w:rPr>
          <w:sz w:val="20"/>
          <w:szCs w:val="20"/>
          <w:color w:val="auto"/>
        </w:rPr>
      </w:pPr>
    </w:p>
    <w:p>
      <w:pPr>
        <w:sectPr>
          <w:pgSz w:w="11900" w:h="16838" w:orient="portrait"/>
          <w:cols w:equalWidth="0" w:num="2">
            <w:col w:w="760" w:space="540"/>
            <w:col w:w="9940"/>
          </w:cols>
          <w:pgMar w:left="320" w:top="117" w:right="339" w:bottom="1440" w:gutter="0" w:footer="0" w:header="0"/>
          <w:type w:val="continuous"/>
        </w:sectPr>
      </w:pP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This statement is filed by the entities and persons listed below, all of whom together are referred to herein as the “Reporting Persons”:</w:t>
      </w:r>
    </w:p>
    <w:p>
      <w:pPr>
        <w:sectPr>
          <w:pgSz w:w="11900" w:h="16838" w:orient="portrait"/>
          <w:cols w:equalWidth="0" w:num="1">
            <w:col w:w="11240"/>
          </w:cols>
          <w:pgMar w:left="320" w:top="117" w:right="339" w:bottom="1440" w:gutter="0" w:footer="0" w:header="0"/>
          <w:type w:val="continuous"/>
        </w:sectPr>
      </w:pPr>
    </w:p>
    <w:p>
      <w:pPr>
        <w:spacing w:after="0" w:line="237" w:lineRule="exact"/>
        <w:rPr>
          <w:sz w:val="20"/>
          <w:szCs w:val="20"/>
          <w:color w:val="auto"/>
        </w:rPr>
      </w:pPr>
    </w:p>
    <w:p>
      <w:pPr>
        <w:ind w:left="2280" w:hanging="652"/>
        <w:spacing w:after="0"/>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OCM Value SPAC Holdings, L.P. (“OCM Value SPAC”);</w:t>
      </w:r>
    </w:p>
    <w:p>
      <w:pPr>
        <w:spacing w:after="0" w:line="225"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OCM Value SPAC Holdings II, L.P. (“OCM Value SPAC II”);</w:t>
      </w:r>
    </w:p>
    <w:p>
      <w:pPr>
        <w:spacing w:after="0" w:line="225"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Oaktree Fund GP, LLC (“Fund GP”), in its capacity as the general partner of each of OCM Value SPAC and OCM Value</w:t>
      </w:r>
    </w:p>
    <w:p>
      <w:pPr>
        <w:spacing w:after="0" w:line="27" w:lineRule="exact"/>
        <w:rPr>
          <w:rFonts w:ascii="Times New Roman" w:cs="Times New Roman" w:eastAsia="Times New Roman" w:hAnsi="Times New Roman"/>
          <w:sz w:val="18"/>
          <w:szCs w:val="18"/>
          <w:color w:val="auto"/>
        </w:rPr>
      </w:pPr>
    </w:p>
    <w:p>
      <w:pPr>
        <w:ind w:left="2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 II;</w:t>
      </w:r>
    </w:p>
    <w:p>
      <w:pPr>
        <w:spacing w:after="0" w:line="206"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Oaktree Fund GP I, L.P. (“GP I”), in its capacity as the managing member of Fund GP;</w:t>
      </w:r>
    </w:p>
    <w:p>
      <w:pPr>
        <w:spacing w:after="0" w:line="225"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Oaktree Capital I, L.P. (“Capital I”), in its capacity as the general partner of GP I;</w:t>
      </w:r>
    </w:p>
    <w:p>
      <w:pPr>
        <w:spacing w:after="0" w:line="225"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OCM Holdings I, LLC (“Holdings I”), in its capacity as the general partner of Capital I;</w:t>
      </w:r>
    </w:p>
    <w:p>
      <w:pPr>
        <w:spacing w:after="0" w:line="225"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Oaktree Holdings, LLC (“Holdings”), in its capacity as the managing member of Holdings I;</w:t>
      </w:r>
    </w:p>
    <w:p>
      <w:pPr>
        <w:spacing w:after="0" w:line="225"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Oaktree Capital Group, LLC (“OCG”), in its capacity as the managing member of Holdings;</w:t>
      </w:r>
    </w:p>
    <w:p>
      <w:pPr>
        <w:spacing w:after="0" w:line="225" w:lineRule="exact"/>
        <w:rPr>
          <w:rFonts w:ascii="Times New Roman" w:cs="Times New Roman" w:eastAsia="Times New Roman" w:hAnsi="Times New Roman"/>
          <w:sz w:val="18"/>
          <w:szCs w:val="18"/>
          <w:color w:val="auto"/>
        </w:rPr>
      </w:pPr>
    </w:p>
    <w:p>
      <w:pPr>
        <w:ind w:left="2280" w:hanging="652"/>
        <w:spacing w:after="0"/>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Oaktree Capital Group Holdings GP, LLC (“OCGH GP”), in its capacity as the indirect owner of the class B units of OCG;</w:t>
      </w:r>
    </w:p>
    <w:p>
      <w:pPr>
        <w:spacing w:after="0" w:line="225" w:lineRule="exact"/>
        <w:rPr>
          <w:rFonts w:ascii="Times New Roman" w:cs="Times New Roman" w:eastAsia="Times New Roman" w:hAnsi="Times New Roman"/>
          <w:sz w:val="18"/>
          <w:szCs w:val="18"/>
          <w:color w:val="auto"/>
        </w:rPr>
      </w:pPr>
    </w:p>
    <w:p>
      <w:pPr>
        <w:ind w:left="2280" w:hanging="652"/>
        <w:spacing w:after="0" w:line="282" w:lineRule="auto"/>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Brookfield Corporation (f/k/a Brookfield Asset Management Inc.) (“Brookfield”), in its capacity as the indirect owner of the class A units of OCG; and</w:t>
      </w:r>
    </w:p>
    <w:p>
      <w:pPr>
        <w:spacing w:after="0" w:line="161" w:lineRule="exact"/>
        <w:rPr>
          <w:rFonts w:ascii="Times New Roman" w:cs="Times New Roman" w:eastAsia="Times New Roman" w:hAnsi="Times New Roman"/>
          <w:sz w:val="18"/>
          <w:szCs w:val="18"/>
          <w:color w:val="auto"/>
        </w:rPr>
      </w:pPr>
    </w:p>
    <w:p>
      <w:pPr>
        <w:ind w:left="2280" w:right="600" w:hanging="652"/>
        <w:spacing w:after="0" w:line="282" w:lineRule="auto"/>
        <w:tabs>
          <w:tab w:leader="none" w:pos="2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BAM Partners Trust (the “BAM Partnership”), in its capacity as the sole owner of Class B Limited Voting Shares of Brookfield.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Address of the Principal Business Office, or if none, Residence</w:t>
            </w:r>
          </w:p>
        </w:tc>
      </w:tr>
      <w:tr>
        <w:trPr>
          <w:trHeight w:val="414"/>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address of the principal business office of Brookfield and of the BAM Partnership is Brookfield Place, 181 Bay Street, Suite 100,</w:t>
            </w:r>
          </w:p>
        </w:tc>
      </w:tr>
      <w:tr>
        <w:trPr>
          <w:trHeight w:val="234"/>
        </w:trPr>
        <w:tc>
          <w:tcPr>
            <w:tcW w:w="1040" w:type="dxa"/>
            <w:vAlign w:val="bottom"/>
          </w:tcPr>
          <w:p>
            <w:pPr>
              <w:spacing w:after="0"/>
              <w:rPr>
                <w:sz w:val="20"/>
                <w:szCs w:val="20"/>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Toronto, Ontario, Canada M5J 2T3.</w:t>
            </w:r>
          </w:p>
        </w:tc>
      </w:tr>
      <w:tr>
        <w:trPr>
          <w:trHeight w:val="432"/>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address of the principal business office of other Reporting Persons is 333 S. Grand Avenue, 28th Floor, Los Angeles, CA 90071.</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432"/>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See responses to Item 4 on each cover page.</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r>
      <w:tr>
        <w:trPr>
          <w:trHeight w:val="432"/>
        </w:trPr>
        <w:tc>
          <w:tcPr>
            <w:tcW w:w="1040" w:type="dxa"/>
            <w:vAlign w:val="bottom"/>
          </w:tcPr>
          <w:p>
            <w:pPr>
              <w:spacing w:after="0"/>
              <w:rPr>
                <w:sz w:val="24"/>
                <w:szCs w:val="24"/>
                <w:color w:val="auto"/>
              </w:rPr>
            </w:pP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Class A ordinary shares, $0.0001 par value</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102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CUSIP Number</w:t>
            </w:r>
          </w:p>
        </w:tc>
      </w:tr>
      <w:tr>
        <w:trPr>
          <w:trHeight w:val="399"/>
        </w:trPr>
        <w:tc>
          <w:tcPr>
            <w:tcW w:w="1040" w:type="dxa"/>
            <w:vAlign w:val="bottom"/>
            <w:tcBorders>
              <w:bottom w:val="single" w:sz="8" w:color="auto"/>
            </w:tcBorders>
          </w:tcPr>
          <w:p>
            <w:pPr>
              <w:spacing w:after="0"/>
              <w:rPr>
                <w:sz w:val="24"/>
                <w:szCs w:val="24"/>
                <w:color w:val="auto"/>
              </w:rPr>
            </w:pPr>
          </w:p>
        </w:tc>
        <w:tc>
          <w:tcPr>
            <w:tcW w:w="10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type w:val="continuous"/>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1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G1263E128</w:t>
            </w:r>
          </w:p>
        </w:tc>
        <w:tc>
          <w:tcPr>
            <w:tcW w:w="8640" w:type="dxa"/>
            <w:vAlign w:val="bottom"/>
          </w:tcPr>
          <w:p>
            <w:pPr>
              <w:spacing w:after="0"/>
              <w:rPr>
                <w:sz w:val="20"/>
                <w:szCs w:val="20"/>
                <w:color w:val="auto"/>
              </w:rPr>
            </w:pP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1018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Rules 13d-1(b), or 13d-2(b) or (c), check whether the person filing is a(n):</w:t>
            </w:r>
          </w:p>
        </w:tc>
      </w:tr>
      <w:tr>
        <w:trPr>
          <w:trHeight w:val="432"/>
        </w:trPr>
        <w:tc>
          <w:tcPr>
            <w:tcW w:w="980" w:type="dxa"/>
            <w:vAlign w:val="bottom"/>
          </w:tcPr>
          <w:p>
            <w:pPr>
              <w:spacing w:after="0"/>
              <w:rPr>
                <w:sz w:val="24"/>
                <w:szCs w:val="24"/>
                <w:color w:val="auto"/>
              </w:rPr>
            </w:pPr>
          </w:p>
        </w:tc>
        <w:tc>
          <w:tcPr>
            <w:tcW w:w="1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c>
          <w:tcPr>
            <w:tcW w:w="8640" w:type="dxa"/>
            <w:vAlign w:val="bottom"/>
          </w:tcPr>
          <w:p>
            <w:pPr>
              <w:spacing w:after="0"/>
              <w:rPr>
                <w:sz w:val="24"/>
                <w:szCs w:val="24"/>
                <w:color w:val="auto"/>
              </w:rPr>
            </w:pP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5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8640" w:type="dxa"/>
            <w:vAlign w:val="bottom"/>
          </w:tcPr>
          <w:p>
            <w:pPr>
              <w:spacing w:after="0"/>
              <w:rPr>
                <w:sz w:val="24"/>
                <w:szCs w:val="24"/>
                <w:color w:val="auto"/>
              </w:rPr>
            </w:pPr>
          </w:p>
        </w:tc>
      </w:tr>
      <w:tr>
        <w:trPr>
          <w:trHeight w:val="414"/>
        </w:trPr>
        <w:tc>
          <w:tcPr>
            <w:tcW w:w="980" w:type="dxa"/>
            <w:vAlign w:val="bottom"/>
          </w:tcPr>
          <w:p>
            <w:pPr>
              <w:spacing w:after="0"/>
              <w:rPr>
                <w:sz w:val="24"/>
                <w:szCs w:val="24"/>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(a)</w:t>
            </w:r>
          </w:p>
        </w:tc>
        <w:tc>
          <w:tcPr>
            <w:tcW w:w="94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Amount beneficially owned:</w:t>
            </w:r>
          </w:p>
        </w:tc>
      </w:tr>
      <w:tr>
        <w:trPr>
          <w:trHeight w:val="234"/>
        </w:trPr>
        <w:tc>
          <w:tcPr>
            <w:tcW w:w="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See responses to Item 9 on each cover page.</w:t>
            </w:r>
          </w:p>
        </w:tc>
      </w:tr>
      <w:tr>
        <w:trPr>
          <w:trHeight w:val="414"/>
        </w:trPr>
        <w:tc>
          <w:tcPr>
            <w:tcW w:w="980" w:type="dxa"/>
            <w:vAlign w:val="bottom"/>
          </w:tcPr>
          <w:p>
            <w:pPr>
              <w:spacing w:after="0"/>
              <w:rPr>
                <w:sz w:val="24"/>
                <w:szCs w:val="24"/>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(b)</w:t>
            </w:r>
          </w:p>
        </w:tc>
        <w:tc>
          <w:tcPr>
            <w:tcW w:w="94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Percent of Class:</w:t>
            </w:r>
          </w:p>
        </w:tc>
      </w:tr>
      <w:tr>
        <w:trPr>
          <w:trHeight w:val="234"/>
        </w:trPr>
        <w:tc>
          <w:tcPr>
            <w:tcW w:w="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See responses to Item 11 on each cover page.</w:t>
            </w:r>
          </w:p>
        </w:tc>
      </w:tr>
      <w:tr>
        <w:trPr>
          <w:trHeight w:val="432"/>
        </w:trPr>
        <w:tc>
          <w:tcPr>
            <w:tcW w:w="980" w:type="dxa"/>
            <w:vAlign w:val="bottom"/>
          </w:tcPr>
          <w:p>
            <w:pPr>
              <w:spacing w:after="0"/>
              <w:rPr>
                <w:sz w:val="24"/>
                <w:szCs w:val="24"/>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w:t>
            </w:r>
          </w:p>
        </w:tc>
        <w:tc>
          <w:tcPr>
            <w:tcW w:w="94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Number of shares as to which the Reporting Person has:</w:t>
            </w:r>
          </w:p>
        </w:tc>
      </w:tr>
      <w:tr>
        <w:trPr>
          <w:trHeight w:val="414"/>
        </w:trPr>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w:t>
            </w:r>
          </w:p>
        </w:tc>
        <w:tc>
          <w:tcPr>
            <w:tcW w:w="86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Sole power to vote or to direct the vote:</w:t>
            </w:r>
          </w:p>
        </w:tc>
      </w:tr>
      <w:tr>
        <w:trPr>
          <w:trHeight w:val="234"/>
        </w:trPr>
        <w:tc>
          <w:tcPr>
            <w:tcW w:w="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See responses to Item 5 on each cover page.</w:t>
            </w:r>
          </w:p>
        </w:tc>
      </w:tr>
      <w:tr>
        <w:trPr>
          <w:trHeight w:val="414"/>
        </w:trPr>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(ii)</w:t>
            </w:r>
          </w:p>
        </w:tc>
        <w:tc>
          <w:tcPr>
            <w:tcW w:w="86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Shared power to vote or to direct the vote:</w:t>
            </w:r>
          </w:p>
        </w:tc>
      </w:tr>
      <w:tr>
        <w:trPr>
          <w:trHeight w:val="234"/>
        </w:trPr>
        <w:tc>
          <w:tcPr>
            <w:tcW w:w="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See responses to Item 6 on each cover page.</w:t>
            </w:r>
          </w:p>
        </w:tc>
      </w:tr>
      <w:tr>
        <w:trPr>
          <w:trHeight w:val="414"/>
        </w:trPr>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(iii)</w:t>
            </w:r>
          </w:p>
        </w:tc>
        <w:tc>
          <w:tcPr>
            <w:tcW w:w="86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Sole power to dispose or to direct the disposition of:</w:t>
            </w:r>
          </w:p>
        </w:tc>
      </w:tr>
      <w:tr>
        <w:trPr>
          <w:trHeight w:val="234"/>
        </w:trPr>
        <w:tc>
          <w:tcPr>
            <w:tcW w:w="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See responses to Item 7 on each cover page.</w:t>
            </w:r>
          </w:p>
        </w:tc>
      </w:tr>
      <w:tr>
        <w:trPr>
          <w:trHeight w:val="414"/>
        </w:trPr>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(iv)</w:t>
            </w:r>
          </w:p>
        </w:tc>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Shared power to dispose or to direct the disposition of:</w:t>
            </w:r>
          </w:p>
        </w:tc>
      </w:tr>
      <w:tr>
        <w:trPr>
          <w:trHeight w:val="234"/>
        </w:trPr>
        <w:tc>
          <w:tcPr>
            <w:tcW w:w="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See responses to Item 8 on each cover page.</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18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r>
        <w:trPr>
          <w:trHeight w:val="378"/>
        </w:trPr>
        <w:tc>
          <w:tcPr>
            <w:tcW w:w="980" w:type="dxa"/>
            <w:vAlign w:val="bottom"/>
          </w:tcPr>
          <w:p>
            <w:pPr>
              <w:spacing w:after="0"/>
              <w:rPr>
                <w:sz w:val="24"/>
                <w:szCs w:val="24"/>
                <w:color w:val="auto"/>
              </w:rPr>
            </w:pPr>
          </w:p>
        </w:tc>
        <w:tc>
          <w:tcPr>
            <w:tcW w:w="10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9"/>
              </w:rPr>
              <w:t>If this statement is being filed to report the fact that as of the date hereof the Reporting Persons have ceased to be the beneficial owner of</w:t>
            </w:r>
          </w:p>
        </w:tc>
      </w:tr>
      <w:tr>
        <w:trPr>
          <w:trHeight w:val="303"/>
        </w:trPr>
        <w:tc>
          <w:tcPr>
            <w:tcW w:w="980" w:type="dxa"/>
            <w:vAlign w:val="bottom"/>
          </w:tcPr>
          <w:p>
            <w:pPr>
              <w:spacing w:after="0"/>
              <w:rPr>
                <w:sz w:val="24"/>
                <w:szCs w:val="24"/>
                <w:color w:val="auto"/>
              </w:rPr>
            </w:pPr>
          </w:p>
        </w:tc>
        <w:tc>
          <w:tcPr>
            <w:tcW w:w="10180" w:type="dxa"/>
            <w:vAlign w:val="bottom"/>
            <w:gridSpan w:val="3"/>
          </w:tcPr>
          <w:p>
            <w:pPr>
              <w:ind w:left="320"/>
              <w:spacing w:after="0" w:line="207" w:lineRule="exact"/>
              <w:rPr>
                <w:sz w:val="20"/>
                <w:szCs w:val="20"/>
                <w:color w:val="auto"/>
              </w:rPr>
            </w:pPr>
            <w:r>
              <w:rPr>
                <w:rFonts w:ascii="Times New Roman" w:cs="Times New Roman" w:eastAsia="Times New Roman" w:hAnsi="Times New Roman"/>
                <w:sz w:val="18"/>
                <w:szCs w:val="18"/>
                <w:color w:val="auto"/>
              </w:rPr>
              <w:t xml:space="preserve">more than five percent of the class of securities, check the following: </w:t>
            </w:r>
            <w:r>
              <w:rPr>
                <w:rFonts w:ascii="MS PGothic" w:cs="MS PGothic" w:eastAsia="MS PGothic" w:hAnsi="MS PGothic"/>
                <w:sz w:val="18"/>
                <w:szCs w:val="18"/>
                <w:color w:val="auto"/>
              </w:rPr>
              <w:t>☒</w:t>
            </w:r>
          </w:p>
        </w:tc>
      </w:tr>
      <w:tr>
        <w:trPr>
          <w:trHeight w:val="399"/>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18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432"/>
        </w:trPr>
        <w:tc>
          <w:tcPr>
            <w:tcW w:w="980" w:type="dxa"/>
            <w:vAlign w:val="bottom"/>
          </w:tcPr>
          <w:p>
            <w:pPr>
              <w:spacing w:after="0"/>
              <w:rPr>
                <w:sz w:val="24"/>
                <w:szCs w:val="24"/>
                <w:color w:val="auto"/>
              </w:rPr>
            </w:pPr>
          </w:p>
        </w:tc>
        <w:tc>
          <w:tcPr>
            <w:tcW w:w="1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c>
          <w:tcPr>
            <w:tcW w:w="8640" w:type="dxa"/>
            <w:vAlign w:val="bottom"/>
          </w:tcPr>
          <w:p>
            <w:pPr>
              <w:spacing w:after="0"/>
              <w:rPr>
                <w:sz w:val="24"/>
                <w:szCs w:val="24"/>
                <w:color w:val="auto"/>
              </w:rPr>
            </w:pPr>
          </w:p>
        </w:tc>
      </w:tr>
      <w:tr>
        <w:trPr>
          <w:trHeight w:val="41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18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w:t>
            </w:r>
          </w:p>
        </w:tc>
      </w:tr>
      <w:tr>
        <w:trPr>
          <w:trHeight w:val="238"/>
        </w:trPr>
        <w:tc>
          <w:tcPr>
            <w:tcW w:w="980" w:type="dxa"/>
            <w:vAlign w:val="bottom"/>
          </w:tcPr>
          <w:p>
            <w:pPr>
              <w:spacing w:after="0"/>
              <w:rPr>
                <w:sz w:val="20"/>
                <w:szCs w:val="20"/>
                <w:color w:val="auto"/>
              </w:rPr>
            </w:pPr>
          </w:p>
        </w:tc>
        <w:tc>
          <w:tcPr>
            <w:tcW w:w="15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8640" w:type="dxa"/>
            <w:vAlign w:val="bottom"/>
          </w:tcPr>
          <w:p>
            <w:pPr>
              <w:spacing w:after="0"/>
              <w:rPr>
                <w:sz w:val="20"/>
                <w:szCs w:val="20"/>
                <w:color w:val="auto"/>
              </w:rPr>
            </w:pPr>
          </w:p>
        </w:tc>
      </w:tr>
      <w:tr>
        <w:trPr>
          <w:trHeight w:val="432"/>
        </w:trPr>
        <w:tc>
          <w:tcPr>
            <w:tcW w:w="980" w:type="dxa"/>
            <w:vAlign w:val="bottom"/>
          </w:tcPr>
          <w:p>
            <w:pPr>
              <w:spacing w:after="0"/>
              <w:rPr>
                <w:sz w:val="24"/>
                <w:szCs w:val="24"/>
                <w:color w:val="auto"/>
              </w:rPr>
            </w:pPr>
          </w:p>
        </w:tc>
        <w:tc>
          <w:tcPr>
            <w:tcW w:w="1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c>
          <w:tcPr>
            <w:tcW w:w="8640" w:type="dxa"/>
            <w:vAlign w:val="bottom"/>
          </w:tcPr>
          <w:p>
            <w:pPr>
              <w:spacing w:after="0"/>
              <w:rPr>
                <w:sz w:val="24"/>
                <w:szCs w:val="24"/>
                <w:color w:val="auto"/>
              </w:rPr>
            </w:pP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18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432"/>
        </w:trPr>
        <w:tc>
          <w:tcPr>
            <w:tcW w:w="980" w:type="dxa"/>
            <w:vAlign w:val="bottom"/>
          </w:tcPr>
          <w:p>
            <w:pPr>
              <w:spacing w:after="0"/>
              <w:rPr>
                <w:sz w:val="24"/>
                <w:szCs w:val="24"/>
                <w:color w:val="auto"/>
              </w:rPr>
            </w:pPr>
          </w:p>
        </w:tc>
        <w:tc>
          <w:tcPr>
            <w:tcW w:w="1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c>
          <w:tcPr>
            <w:tcW w:w="8640" w:type="dxa"/>
            <w:vAlign w:val="bottom"/>
          </w:tcPr>
          <w:p>
            <w:pPr>
              <w:spacing w:after="0"/>
              <w:rPr>
                <w:sz w:val="24"/>
                <w:szCs w:val="24"/>
                <w:color w:val="auto"/>
              </w:rPr>
            </w:pP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1018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432"/>
        </w:trPr>
        <w:tc>
          <w:tcPr>
            <w:tcW w:w="980" w:type="dxa"/>
            <w:vAlign w:val="bottom"/>
          </w:tcPr>
          <w:p>
            <w:pPr>
              <w:spacing w:after="0"/>
              <w:rPr>
                <w:sz w:val="24"/>
                <w:szCs w:val="24"/>
                <w:color w:val="auto"/>
              </w:rPr>
            </w:pPr>
          </w:p>
        </w:tc>
        <w:tc>
          <w:tcPr>
            <w:tcW w:w="1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c>
          <w:tcPr>
            <w:tcW w:w="8640" w:type="dxa"/>
            <w:vAlign w:val="bottom"/>
          </w:tcPr>
          <w:p>
            <w:pPr>
              <w:spacing w:after="0"/>
              <w:rPr>
                <w:sz w:val="24"/>
                <w:szCs w:val="24"/>
                <w:color w:val="auto"/>
              </w:rPr>
            </w:pP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15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Certification</w:t>
            </w:r>
          </w:p>
        </w:tc>
        <w:tc>
          <w:tcPr>
            <w:tcW w:w="8640" w:type="dxa"/>
            <w:vAlign w:val="bottom"/>
          </w:tcPr>
          <w:p>
            <w:pPr>
              <w:spacing w:after="0"/>
              <w:rPr>
                <w:sz w:val="24"/>
                <w:szCs w:val="24"/>
                <w:color w:val="auto"/>
              </w:rPr>
            </w:pPr>
          </w:p>
        </w:tc>
      </w:tr>
      <w:tr>
        <w:trPr>
          <w:trHeight w:val="432"/>
        </w:trPr>
        <w:tc>
          <w:tcPr>
            <w:tcW w:w="980" w:type="dxa"/>
            <w:vAlign w:val="bottom"/>
          </w:tcPr>
          <w:p>
            <w:pPr>
              <w:spacing w:after="0"/>
              <w:rPr>
                <w:sz w:val="24"/>
                <w:szCs w:val="24"/>
                <w:color w:val="auto"/>
              </w:rPr>
            </w:pPr>
          </w:p>
        </w:tc>
        <w:tc>
          <w:tcPr>
            <w:tcW w:w="10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9"/>
              </w:rPr>
              <w:t>By signing below each Reporting Person certifies that, to the best of their knowledge and belief, the securities referred to above were not</w:t>
            </w:r>
          </w:p>
        </w:tc>
      </w:tr>
    </w:tbl>
    <w:p>
      <w:pPr>
        <w:ind w:left="1300" w:right="240"/>
        <w:spacing w:after="0" w:line="255" w:lineRule="auto"/>
        <w:rPr>
          <w:sz w:val="20"/>
          <w:szCs w:val="20"/>
          <w:color w:val="auto"/>
        </w:rPr>
      </w:pPr>
      <w:r>
        <w:rPr>
          <w:rFonts w:ascii="Times New Roman" w:cs="Times New Roman" w:eastAsia="Times New Roman" w:hAnsi="Times New Roman"/>
          <w:sz w:val="18"/>
          <w:szCs w:val="18"/>
          <w:color w:val="auto"/>
        </w:rPr>
        <w:t>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4" w:name="page15"/>
    <w:bookmarkEnd w:id="14"/>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OCM VALUE SPAC HOLDINGS,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Oaktree Fund GP I, L.P.</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OCM VALUE SPAC HOLDINGS II,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Oaktree Fund GP I, L.P.</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OAKTREE FUND GP,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Oaktree Fund GP I, L.P.</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Henry Orren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-130810</wp:posOffset>
            </wp:positionV>
            <wp:extent cx="33515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OAKTREE FUND GP I,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OAKTREE CAPITAL I,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17" w:right="519" w:bottom="1440" w:gutter="0" w:footer="0" w:header="0"/>
        </w:sectPr>
      </w:pPr>
    </w:p>
    <w:bookmarkStart w:id="15" w:name="page16"/>
    <w:bookmarkEnd w:id="15"/>
    <w:p>
      <w:pPr>
        <w:ind w:left="4520"/>
        <w:spacing w:after="0"/>
        <w:rPr>
          <w:sz w:val="20"/>
          <w:szCs w:val="20"/>
          <w:color w:val="auto"/>
        </w:rPr>
      </w:pPr>
      <w:r>
        <w:rPr>
          <w:rFonts w:ascii="Times New Roman" w:cs="Times New Roman" w:eastAsia="Times New Roman" w:hAnsi="Times New Roman"/>
          <w:sz w:val="18"/>
          <w:szCs w:val="18"/>
          <w:b w:val="1"/>
          <w:bCs w:val="1"/>
          <w:color w:val="auto"/>
        </w:rPr>
        <w:t>OCM HOLDINGS I,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OAKTREE HOLDINGS,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OAKTREE CAPITAL GROUP,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OAKTREE CAPITAL GROUP HOLDINGS GP, LLC</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Henry Orren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Henry Orren</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BROOKFIELD CORPORATION</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Swati Mandava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Swati Mandava</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Managing Director, Legal &amp; Regulatory</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BAM PARTNERS TRUST</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BAM Class B Partners Inc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Its: Trustee</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Kathy Sarpash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Kathy Sarpash</w:t>
      </w:r>
    </w:p>
    <w:p>
      <w:pPr>
        <w:spacing w:after="0" w:line="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254635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10140" w:type="dxa"/>
            <w:vAlign w:val="bottom"/>
          </w:tcPr>
          <w:p>
            <w:pPr>
              <w:ind w:left="3960"/>
              <w:spacing w:after="0"/>
              <w:rPr>
                <w:sz w:val="20"/>
                <w:szCs w:val="20"/>
                <w:color w:val="auto"/>
              </w:rPr>
            </w:pPr>
            <w:r>
              <w:rPr>
                <w:rFonts w:ascii="Times New Roman" w:cs="Times New Roman" w:eastAsia="Times New Roman" w:hAnsi="Times New Roman"/>
                <w:sz w:val="18"/>
                <w:szCs w:val="18"/>
                <w:color w:val="auto"/>
              </w:rPr>
              <w:t>EXHIBIT LIST</w:t>
            </w:r>
          </w:p>
        </w:tc>
      </w:tr>
      <w:tr>
        <w:trPr>
          <w:trHeight w:val="41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10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Joint Filing Agreement, dated as of February 13, 2023, by and among the Reporting Persons (incorporated herein by reference to</w:t>
            </w:r>
          </w:p>
        </w:tc>
      </w:tr>
      <w:tr>
        <w:trPr>
          <w:trHeight w:val="216"/>
        </w:trPr>
        <w:tc>
          <w:tcPr>
            <w:tcW w:w="1100" w:type="dxa"/>
            <w:vAlign w:val="bottom"/>
          </w:tcPr>
          <w:p>
            <w:pPr>
              <w:spacing w:after="0"/>
              <w:rPr>
                <w:sz w:val="18"/>
                <w:szCs w:val="18"/>
                <w:color w:val="auto"/>
              </w:rPr>
            </w:pPr>
          </w:p>
        </w:tc>
        <w:tc>
          <w:tcPr>
            <w:tcW w:w="10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Exhibit 1 to the statement on Schedule 13G filed by the Reporting Persons with the Securities and Exchange Commission on February</w:t>
            </w:r>
          </w:p>
        </w:tc>
      </w:tr>
      <w:tr>
        <w:trPr>
          <w:trHeight w:val="234"/>
        </w:trPr>
        <w:tc>
          <w:tcPr>
            <w:tcW w:w="1100" w:type="dxa"/>
            <w:vAlign w:val="bottom"/>
          </w:tcPr>
          <w:p>
            <w:pPr>
              <w:spacing w:after="0"/>
              <w:rPr>
                <w:sz w:val="20"/>
                <w:szCs w:val="20"/>
                <w:color w:val="auto"/>
              </w:rPr>
            </w:pPr>
          </w:p>
        </w:tc>
        <w:tc>
          <w:tcPr>
            <w:tcW w:w="10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14, 2023).</w:t>
            </w:r>
          </w:p>
        </w:tc>
      </w:tr>
      <w:tr>
        <w:trPr>
          <w:trHeight w:val="533"/>
        </w:trPr>
        <w:tc>
          <w:tcPr>
            <w:tcW w:w="1100" w:type="dxa"/>
            <w:vAlign w:val="bottom"/>
            <w:tcBorders>
              <w:bottom w:val="single" w:sz="8" w:color="auto"/>
            </w:tcBorders>
          </w:tcPr>
          <w:p>
            <w:pPr>
              <w:spacing w:after="0"/>
              <w:rPr>
                <w:sz w:val="24"/>
                <w:szCs w:val="24"/>
                <w:color w:val="auto"/>
              </w:rPr>
            </w:pPr>
          </w:p>
        </w:tc>
        <w:tc>
          <w:tcPr>
            <w:tcW w:w="10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2024-02-14T19:05:17Z</dcterms:created>
  <dcterms:modified xsi:type="dcterms:W3CDTF">2024-02-14T19:05:17Z</dcterms:modified>
</cp:coreProperties>
</file>