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6"/>
          <w:szCs w:val="26"/>
          <w:b w:val="1"/>
          <w:bCs w:val="1"/>
          <w:color w:val="auto"/>
        </w:rPr>
        <w:t>UNITED STATES</w:t>
      </w:r>
    </w:p>
    <w:p>
      <w:pPr>
        <w:spacing w:after="0" w:line="34" w:lineRule="exact"/>
        <w:rPr>
          <w:sz w:val="24"/>
          <w:szCs w:val="24"/>
          <w:color w:val="auto"/>
        </w:rPr>
      </w:pPr>
    </w:p>
    <w:p>
      <w:pPr>
        <w:jc w:val="center"/>
        <w:ind w:right="-19"/>
        <w:spacing w:after="0"/>
        <w:rPr>
          <w:sz w:val="20"/>
          <w:szCs w:val="20"/>
          <w:color w:val="auto"/>
        </w:rPr>
      </w:pPr>
      <w:r>
        <w:rPr>
          <w:rFonts w:ascii="Arial" w:cs="Arial" w:eastAsia="Arial" w:hAnsi="Arial"/>
          <w:sz w:val="26"/>
          <w:szCs w:val="26"/>
          <w:b w:val="1"/>
          <w:bCs w:val="1"/>
          <w:color w:val="auto"/>
        </w:rPr>
        <w:t>SECURITIES AND EXCHANGE COMMISSION</w:t>
      </w:r>
    </w:p>
    <w:p>
      <w:pPr>
        <w:jc w:val="center"/>
        <w:ind w:right="-19"/>
        <w:spacing w:after="0"/>
        <w:rPr>
          <w:sz w:val="20"/>
          <w:szCs w:val="20"/>
          <w:color w:val="auto"/>
        </w:rPr>
      </w:pPr>
      <w:r>
        <w:rPr>
          <w:rFonts w:ascii="Arial" w:cs="Arial" w:eastAsia="Arial" w:hAnsi="Arial"/>
          <w:sz w:val="17"/>
          <w:szCs w:val="17"/>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2744470</wp:posOffset>
            </wp:positionH>
            <wp:positionV relativeFrom="paragraph">
              <wp:posOffset>73025</wp:posOffset>
            </wp:positionV>
            <wp:extent cx="166179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661795" cy="8255"/>
                    </a:xfrm>
                    <a:prstGeom prst="rect">
                      <a:avLst/>
                    </a:prstGeom>
                    <a:noFill/>
                  </pic:spPr>
                </pic:pic>
              </a:graphicData>
            </a:graphic>
          </wp:anchor>
        </w:drawing>
      </w:r>
    </w:p>
    <w:p>
      <w:pPr>
        <w:spacing w:after="0" w:line="179" w:lineRule="exact"/>
        <w:rPr>
          <w:sz w:val="24"/>
          <w:szCs w:val="24"/>
          <w:color w:val="auto"/>
        </w:rPr>
      </w:pPr>
    </w:p>
    <w:p>
      <w:pPr>
        <w:jc w:val="center"/>
        <w:ind w:right="200"/>
        <w:spacing w:after="0"/>
        <w:rPr>
          <w:sz w:val="20"/>
          <w:szCs w:val="20"/>
          <w:color w:val="auto"/>
        </w:rPr>
      </w:pPr>
      <w:r>
        <w:rPr>
          <w:rFonts w:ascii="Arial" w:cs="Arial" w:eastAsia="Arial" w:hAnsi="Arial"/>
          <w:sz w:val="27"/>
          <w:szCs w:val="27"/>
          <w:b w:val="1"/>
          <w:bCs w:val="1"/>
          <w:color w:val="auto"/>
        </w:rPr>
        <w:t>FORM10-K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2744470</wp:posOffset>
            </wp:positionH>
            <wp:positionV relativeFrom="paragraph">
              <wp:posOffset>27940</wp:posOffset>
            </wp:positionV>
            <wp:extent cx="166179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661795" cy="8255"/>
                    </a:xfrm>
                    <a:prstGeom prst="rect">
                      <a:avLst/>
                    </a:prstGeom>
                    <a:noFill/>
                  </pic:spPr>
                </pic:pic>
              </a:graphicData>
            </a:graphic>
          </wp:anchor>
        </w:drawing>
      </w:r>
    </w:p>
    <w:p>
      <w:pPr>
        <w:spacing w:after="0" w:line="211" w:lineRule="exact"/>
        <w:rPr>
          <w:sz w:val="24"/>
          <w:szCs w:val="24"/>
          <w:color w:val="auto"/>
        </w:rPr>
      </w:pPr>
    </w:p>
    <w:p>
      <w:pPr>
        <w:ind w:left="3820" w:right="2280" w:hanging="3778"/>
        <w:spacing w:after="0" w:line="264" w:lineRule="auto"/>
        <w:tabs>
          <w:tab w:leader="none" w:pos="422" w:val="left"/>
        </w:tabs>
        <w:numPr>
          <w:ilvl w:val="0"/>
          <w:numId w:val="1"/>
        </w:numPr>
        <w:rPr>
          <w:rFonts w:ascii="MS PGothic" w:cs="MS PGothic" w:eastAsia="MS PGothic" w:hAnsi="MS PGothic"/>
          <w:sz w:val="17"/>
          <w:szCs w:val="17"/>
          <w:color w:val="auto"/>
        </w:rPr>
      </w:pPr>
      <w:r>
        <w:rPr>
          <w:rFonts w:ascii="Arial" w:cs="Arial" w:eastAsia="Arial" w:hAnsi="Arial"/>
          <w:sz w:val="17"/>
          <w:szCs w:val="17"/>
          <w:b w:val="1"/>
          <w:bCs w:val="1"/>
          <w:color w:val="auto"/>
        </w:rPr>
        <w:t>ANNUAL REPORT PURSUANT TO SECTION 13 OR 15(d) OF THE SECURITIES EXCHANGE ACT OF 1934. For the fiscal year ended December 31, 2025</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or</w:t>
      </w:r>
    </w:p>
    <w:p>
      <w:pPr>
        <w:spacing w:after="0" w:line="7" w:lineRule="exact"/>
        <w:rPr>
          <w:sz w:val="24"/>
          <w:szCs w:val="24"/>
          <w:color w:val="auto"/>
        </w:rPr>
      </w:pPr>
    </w:p>
    <w:p>
      <w:pPr>
        <w:ind w:left="360" w:hanging="318"/>
        <w:spacing w:after="0"/>
        <w:tabs>
          <w:tab w:leader="none" w:pos="360" w:val="left"/>
        </w:tabs>
        <w:numPr>
          <w:ilvl w:val="0"/>
          <w:numId w:val="2"/>
        </w:numPr>
        <w:rPr>
          <w:rFonts w:ascii="MS PGothic" w:cs="MS PGothic" w:eastAsia="MS PGothic" w:hAnsi="MS PGothic"/>
          <w:sz w:val="17"/>
          <w:szCs w:val="17"/>
          <w:color w:val="auto"/>
        </w:rPr>
      </w:pPr>
      <w:r>
        <w:rPr>
          <w:rFonts w:ascii="Arial" w:cs="Arial" w:eastAsia="Arial" w:hAnsi="Arial"/>
          <w:sz w:val="17"/>
          <w:szCs w:val="17"/>
          <w:b w:val="1"/>
          <w:bCs w:val="1"/>
          <w:color w:val="auto"/>
        </w:rPr>
        <w:t>TRANSITION REPORT PURSUANT TO SECTION 13 OR 15(d) OF THE SECURITIES EXCHANGE ACT OF 1934.</w:t>
      </w:r>
    </w:p>
    <w:p>
      <w:pPr>
        <w:spacing w:after="0" w:line="48" w:lineRule="exact"/>
        <w:rPr>
          <w:sz w:val="24"/>
          <w:szCs w:val="24"/>
          <w:color w:val="auto"/>
        </w:rPr>
      </w:pPr>
    </w:p>
    <w:p>
      <w:pPr>
        <w:ind w:left="3280"/>
        <w:spacing w:after="0"/>
        <w:tabs>
          <w:tab w:leader="none" w:pos="6740" w:val="left"/>
          <w:tab w:leader="none" w:pos="7900" w:val="left"/>
        </w:tabs>
        <w:rPr>
          <w:sz w:val="20"/>
          <w:szCs w:val="20"/>
          <w:color w:val="auto"/>
        </w:rPr>
      </w:pPr>
      <w:r>
        <w:rPr>
          <w:rFonts w:ascii="Arial" w:cs="Arial" w:eastAsia="Arial" w:hAnsi="Arial"/>
          <w:sz w:val="17"/>
          <w:szCs w:val="17"/>
          <w:b w:val="1"/>
          <w:bCs w:val="1"/>
          <w:color w:val="auto"/>
        </w:rPr>
        <w:t>For the transition period from</w:t>
      </w:r>
      <w:r>
        <w:rPr>
          <w:sz w:val="20"/>
          <w:szCs w:val="20"/>
          <w:color w:val="auto"/>
        </w:rPr>
        <w:tab/>
      </w:r>
      <w:r>
        <w:rPr>
          <w:rFonts w:ascii="Arial" w:cs="Arial" w:eastAsia="Arial" w:hAnsi="Arial"/>
          <w:sz w:val="17"/>
          <w:szCs w:val="17"/>
          <w:b w:val="1"/>
          <w:bCs w:val="1"/>
          <w:color w:val="auto"/>
        </w:rPr>
        <w:t>to</w:t>
      </w:r>
      <w:r>
        <w:rPr>
          <w:sz w:val="20"/>
          <w:szCs w:val="20"/>
          <w:color w:val="auto"/>
        </w:rPr>
        <w:tab/>
      </w:r>
      <w:r>
        <w:rPr>
          <w:rFonts w:ascii="Arial" w:cs="Arial" w:eastAsia="Arial" w:hAnsi="Arial"/>
          <w:sz w:val="14"/>
          <w:szCs w:val="14"/>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3677920</wp:posOffset>
            </wp:positionH>
            <wp:positionV relativeFrom="paragraph">
              <wp:posOffset>100965</wp:posOffset>
            </wp:positionV>
            <wp:extent cx="166179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61795" cy="8255"/>
                    </a:xfrm>
                    <a:prstGeom prst="rect">
                      <a:avLst/>
                    </a:prstGeom>
                    <a:noFill/>
                  </pic:spPr>
                </pic:pic>
              </a:graphicData>
            </a:graphic>
          </wp:anchor>
        </w:drawing>
      </w:r>
    </w:p>
    <w:p>
      <w:pPr>
        <w:sectPr>
          <w:pgSz w:w="11900" w:h="16838" w:orient="portrait"/>
          <w:cols w:equalWidth="0" w:num="1">
            <w:col w:w="11220"/>
          </w:cols>
          <w:pgMar w:left="320" w:top="873" w:right="35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81" w:lineRule="exact"/>
        <w:rPr>
          <w:sz w:val="24"/>
          <w:szCs w:val="24"/>
          <w:color w:val="auto"/>
        </w:rPr>
      </w:pPr>
    </w:p>
    <w:p>
      <w:pPr>
        <w:ind w:left="240"/>
        <w:spacing w:after="0"/>
        <w:rPr>
          <w:sz w:val="20"/>
          <w:szCs w:val="20"/>
          <w:color w:val="auto"/>
        </w:rPr>
      </w:pPr>
      <w:r>
        <w:rPr>
          <w:rFonts w:ascii="Arial" w:cs="Arial" w:eastAsia="Arial" w:hAnsi="Arial"/>
          <w:sz w:val="17"/>
          <w:szCs w:val="17"/>
          <w:b w:val="1"/>
          <w:bCs w:val="1"/>
          <w:color w:val="auto"/>
        </w:rPr>
        <w:t>Commission File Number 001-35500</w:t>
      </w:r>
    </w:p>
    <w:p>
      <w:pPr>
        <w:spacing w:after="0" w:line="51" w:lineRule="exact"/>
        <w:rPr>
          <w:sz w:val="24"/>
          <w:szCs w:val="24"/>
          <w:color w:val="auto"/>
        </w:rPr>
      </w:pPr>
    </w:p>
    <w:p>
      <w:pPr>
        <w:jc w:val="center"/>
        <w:ind w:left="1860"/>
        <w:spacing w:after="0"/>
        <w:rPr>
          <w:sz w:val="20"/>
          <w:szCs w:val="20"/>
          <w:color w:val="auto"/>
        </w:rPr>
      </w:pPr>
      <w:r>
        <w:rPr>
          <w:rFonts w:ascii="Arial" w:cs="Arial" w:eastAsia="Arial" w:hAnsi="Arial"/>
          <w:sz w:val="15"/>
          <w:szCs w:val="15"/>
          <w:b w:val="1"/>
          <w:bCs w:val="1"/>
          <w:color w:val="auto"/>
        </w:rPr>
        <w:t>Delaware</w:t>
      </w:r>
    </w:p>
    <w:p>
      <w:pPr>
        <w:spacing w:after="0" w:line="4" w:lineRule="exact"/>
        <w:rPr>
          <w:sz w:val="24"/>
          <w:szCs w:val="24"/>
          <w:color w:val="auto"/>
        </w:rPr>
      </w:pPr>
    </w:p>
    <w:p>
      <w:pPr>
        <w:ind w:left="1880"/>
        <w:spacing w:after="0"/>
        <w:rPr>
          <w:sz w:val="20"/>
          <w:szCs w:val="20"/>
          <w:color w:val="auto"/>
        </w:rPr>
      </w:pPr>
      <w:r>
        <w:rPr>
          <w:rFonts w:ascii="Arial" w:cs="Arial" w:eastAsia="Arial" w:hAnsi="Arial"/>
          <w:sz w:val="15"/>
          <w:szCs w:val="15"/>
          <w:color w:val="auto"/>
        </w:rPr>
        <w:t>(State or other jurisdiction of</w:t>
      </w:r>
    </w:p>
    <w:p>
      <w:pPr>
        <w:ind w:left="1860"/>
        <w:spacing w:after="0"/>
        <w:rPr>
          <w:sz w:val="20"/>
          <w:szCs w:val="20"/>
          <w:color w:val="auto"/>
        </w:rPr>
      </w:pPr>
      <w:r>
        <w:rPr>
          <w:rFonts w:ascii="Arial" w:cs="Arial" w:eastAsia="Arial" w:hAnsi="Arial"/>
          <w:sz w:val="14"/>
          <w:szCs w:val="14"/>
          <w:color w:val="auto"/>
        </w:rPr>
        <w:t>incorporation or organization)</w:t>
      </w:r>
    </w:p>
    <w:p>
      <w:pPr>
        <w:spacing w:after="0" w:line="20" w:lineRule="exact"/>
        <w:rPr>
          <w:sz w:val="24"/>
          <w:szCs w:val="24"/>
          <w:color w:val="auto"/>
        </w:rPr>
      </w:pPr>
      <w:r>
        <w:rPr>
          <w:sz w:val="24"/>
          <w:szCs w:val="24"/>
          <w:color w:val="auto"/>
        </w:rPr>
        <w:br w:type="column"/>
      </w:r>
    </w:p>
    <w:p>
      <w:pPr>
        <w:spacing w:after="0" w:line="158" w:lineRule="exact"/>
        <w:rPr>
          <w:sz w:val="24"/>
          <w:szCs w:val="24"/>
          <w:color w:val="auto"/>
        </w:rPr>
      </w:pPr>
    </w:p>
    <w:p>
      <w:pPr>
        <w:jc w:val="center"/>
        <w:ind w:right="1100"/>
        <w:spacing w:after="0"/>
        <w:rPr>
          <w:sz w:val="20"/>
          <w:szCs w:val="20"/>
          <w:color w:val="auto"/>
        </w:rPr>
      </w:pPr>
      <w:r>
        <w:rPr>
          <w:rFonts w:ascii="Arial" w:cs="Arial" w:eastAsia="Arial" w:hAnsi="Arial"/>
          <w:sz w:val="27"/>
          <w:szCs w:val="27"/>
          <w:b w:val="1"/>
          <w:bCs w:val="1"/>
          <w:color w:val="auto"/>
        </w:rPr>
        <w:t>Brookfield Oaktree Holdings, LLC</w:t>
      </w:r>
    </w:p>
    <w:p>
      <w:pPr>
        <w:spacing w:after="0" w:line="86" w:lineRule="exact"/>
        <w:rPr>
          <w:sz w:val="24"/>
          <w:szCs w:val="24"/>
          <w:color w:val="auto"/>
        </w:rPr>
      </w:pPr>
    </w:p>
    <w:p>
      <w:pPr>
        <w:ind w:left="1140"/>
        <w:spacing w:after="0"/>
        <w:rPr>
          <w:sz w:val="20"/>
          <w:szCs w:val="20"/>
          <w:color w:val="auto"/>
        </w:rPr>
      </w:pPr>
      <w:r>
        <w:rPr>
          <w:rFonts w:ascii="Arial" w:cs="Arial" w:eastAsia="Arial" w:hAnsi="Arial"/>
          <w:sz w:val="16"/>
          <w:szCs w:val="16"/>
          <w:color w:val="auto"/>
        </w:rPr>
        <w:t>(Exact name of registrant as specified in its charter)</w:t>
      </w:r>
    </w:p>
    <w:p>
      <w:pPr>
        <w:spacing w:after="0" w:line="169" w:lineRule="exact"/>
        <w:rPr>
          <w:sz w:val="24"/>
          <w:szCs w:val="24"/>
          <w:color w:val="auto"/>
        </w:rPr>
      </w:pPr>
    </w:p>
    <w:p>
      <w:pPr>
        <w:ind w:left="3920"/>
        <w:spacing w:after="0"/>
        <w:rPr>
          <w:sz w:val="20"/>
          <w:szCs w:val="20"/>
          <w:color w:val="auto"/>
        </w:rPr>
      </w:pPr>
      <w:r>
        <w:rPr>
          <w:rFonts w:ascii="Arial" w:cs="Arial" w:eastAsia="Arial" w:hAnsi="Arial"/>
          <w:sz w:val="15"/>
          <w:szCs w:val="15"/>
          <w:b w:val="1"/>
          <w:bCs w:val="1"/>
          <w:color w:val="auto"/>
        </w:rPr>
        <w:t>26-0174894</w:t>
      </w:r>
    </w:p>
    <w:p>
      <w:pPr>
        <w:spacing w:after="0" w:line="4" w:lineRule="exact"/>
        <w:rPr>
          <w:sz w:val="24"/>
          <w:szCs w:val="24"/>
          <w:color w:val="auto"/>
        </w:rPr>
      </w:pPr>
    </w:p>
    <w:p>
      <w:pPr>
        <w:ind w:left="3760"/>
        <w:spacing w:after="0"/>
        <w:rPr>
          <w:sz w:val="20"/>
          <w:szCs w:val="20"/>
          <w:color w:val="auto"/>
        </w:rPr>
      </w:pPr>
      <w:r>
        <w:rPr>
          <w:rFonts w:ascii="Arial" w:cs="Arial" w:eastAsia="Arial" w:hAnsi="Arial"/>
          <w:sz w:val="15"/>
          <w:szCs w:val="15"/>
          <w:color w:val="auto"/>
        </w:rPr>
        <w:t>(I.R.S. Employer</w:t>
      </w:r>
    </w:p>
    <w:p>
      <w:pPr>
        <w:ind w:left="3600"/>
        <w:spacing w:after="0"/>
        <w:rPr>
          <w:sz w:val="20"/>
          <w:szCs w:val="20"/>
          <w:color w:val="auto"/>
        </w:rPr>
      </w:pPr>
      <w:r>
        <w:rPr>
          <w:rFonts w:ascii="Arial" w:cs="Arial" w:eastAsia="Arial" w:hAnsi="Arial"/>
          <w:sz w:val="15"/>
          <w:szCs w:val="15"/>
          <w:color w:val="auto"/>
        </w:rPr>
        <w:t>Identification Number)</w:t>
      </w:r>
    </w:p>
    <w:p>
      <w:pPr>
        <w:spacing w:after="0" w:line="73" w:lineRule="exact"/>
        <w:rPr>
          <w:sz w:val="24"/>
          <w:szCs w:val="24"/>
          <w:color w:val="auto"/>
        </w:rPr>
      </w:pPr>
    </w:p>
    <w:p>
      <w:pPr>
        <w:jc w:val="center"/>
        <w:ind w:right="4100"/>
        <w:spacing w:after="0"/>
        <w:rPr>
          <w:sz w:val="20"/>
          <w:szCs w:val="20"/>
          <w:color w:val="auto"/>
        </w:rPr>
      </w:pPr>
      <w:r>
        <w:rPr>
          <w:rFonts w:ascii="Arial" w:cs="Arial" w:eastAsia="Arial" w:hAnsi="Arial"/>
          <w:sz w:val="15"/>
          <w:szCs w:val="15"/>
          <w:b w:val="1"/>
          <w:bCs w:val="1"/>
          <w:color w:val="auto"/>
        </w:rPr>
        <w:t>333 South Grand Avenue, 28th Floor</w:t>
      </w:r>
    </w:p>
    <w:p>
      <w:pPr>
        <w:jc w:val="center"/>
        <w:ind w:right="4100"/>
        <w:spacing w:after="0" w:line="215" w:lineRule="auto"/>
        <w:rPr>
          <w:sz w:val="20"/>
          <w:szCs w:val="20"/>
          <w:color w:val="auto"/>
        </w:rPr>
      </w:pPr>
      <w:r>
        <w:rPr>
          <w:rFonts w:ascii="Arial" w:cs="Arial" w:eastAsia="Arial" w:hAnsi="Arial"/>
          <w:sz w:val="15"/>
          <w:szCs w:val="15"/>
          <w:b w:val="1"/>
          <w:bCs w:val="1"/>
          <w:color w:val="auto"/>
        </w:rPr>
        <w:t>Los Angeles, CA 90071</w:t>
      </w:r>
    </w:p>
    <w:p>
      <w:pPr>
        <w:jc w:val="center"/>
        <w:ind w:right="4100"/>
        <w:spacing w:after="0" w:line="230" w:lineRule="auto"/>
        <w:rPr>
          <w:sz w:val="20"/>
          <w:szCs w:val="20"/>
          <w:color w:val="auto"/>
        </w:rPr>
      </w:pPr>
      <w:r>
        <w:rPr>
          <w:rFonts w:ascii="Arial" w:cs="Arial" w:eastAsia="Arial" w:hAnsi="Arial"/>
          <w:sz w:val="15"/>
          <w:szCs w:val="15"/>
          <w:b w:val="1"/>
          <w:bCs w:val="1"/>
          <w:color w:val="auto"/>
        </w:rPr>
        <w:t>Telephone: (213) 830-6300</w:t>
      </w:r>
    </w:p>
    <w:p>
      <w:pPr>
        <w:spacing w:after="0"/>
        <w:rPr>
          <w:sz w:val="20"/>
          <w:szCs w:val="20"/>
          <w:color w:val="auto"/>
        </w:rPr>
      </w:pPr>
      <w:r>
        <w:rPr>
          <w:rFonts w:ascii="Arial" w:cs="Arial" w:eastAsia="Arial" w:hAnsi="Arial"/>
          <w:sz w:val="13"/>
          <w:szCs w:val="13"/>
          <w:color w:val="auto"/>
        </w:rPr>
        <w:t>(Address, zip code, and telephone number, including</w:t>
      </w:r>
    </w:p>
    <w:p>
      <w:pPr>
        <w:spacing w:after="0" w:line="5" w:lineRule="exact"/>
        <w:rPr>
          <w:sz w:val="24"/>
          <w:szCs w:val="24"/>
          <w:color w:val="auto"/>
        </w:rPr>
      </w:pPr>
    </w:p>
    <w:p>
      <w:pPr>
        <w:ind w:left="20"/>
        <w:spacing w:after="0"/>
        <w:rPr>
          <w:sz w:val="20"/>
          <w:szCs w:val="20"/>
          <w:color w:val="auto"/>
        </w:rPr>
      </w:pPr>
      <w:r>
        <w:rPr>
          <w:rFonts w:ascii="Arial" w:cs="Arial" w:eastAsia="Arial" w:hAnsi="Arial"/>
          <w:sz w:val="13"/>
          <w:szCs w:val="13"/>
          <w:color w:val="auto"/>
        </w:rPr>
        <w:t>area code, of registrant’s principal executive offices)</w:t>
      </w:r>
    </w:p>
    <w:p>
      <w:pPr>
        <w:spacing w:after="0" w:line="97" w:lineRule="exact"/>
        <w:rPr>
          <w:sz w:val="24"/>
          <w:szCs w:val="24"/>
          <w:color w:val="auto"/>
        </w:rPr>
      </w:pPr>
    </w:p>
    <w:p>
      <w:pPr>
        <w:sectPr>
          <w:pgSz w:w="11900" w:h="16838" w:orient="portrait"/>
          <w:cols w:equalWidth="0" w:num="2">
            <w:col w:w="3760" w:space="360"/>
            <w:col w:w="7100"/>
          </w:cols>
          <w:pgMar w:left="320" w:top="873" w:right="359" w:bottom="1440" w:gutter="0" w:footer="0" w:header="0"/>
          <w:type w:val="continuous"/>
        </w:sectPr>
      </w:pPr>
    </w:p>
    <w:p>
      <w:pPr>
        <w:jc w:val="center"/>
        <w:ind w:right="-339"/>
        <w:spacing w:after="0"/>
        <w:rPr>
          <w:sz w:val="20"/>
          <w:szCs w:val="20"/>
          <w:color w:val="auto"/>
        </w:rPr>
      </w:pPr>
      <w:r>
        <w:rPr>
          <w:rFonts w:ascii="Arial" w:cs="Arial" w:eastAsia="Arial" w:hAnsi="Arial"/>
          <w:sz w:val="15"/>
          <w:szCs w:val="15"/>
          <w:color w:val="auto"/>
        </w:rPr>
        <w:t>Securities registered pursuant to Section 12(b) of the Act:</w:t>
      </w:r>
    </w:p>
    <w:p>
      <w:pPr>
        <w:spacing w:after="0" w:line="41" w:lineRule="exact"/>
        <w:rPr>
          <w:sz w:val="24"/>
          <w:szCs w:val="24"/>
          <w:color w:val="auto"/>
        </w:rPr>
      </w:pPr>
    </w:p>
    <w:tbl>
      <w:tblPr>
        <w:tblLayout w:type="fixed"/>
        <w:tblInd w:w="320" w:type="dxa"/>
        <w:tblCellMar>
          <w:top w:w="0" w:type="dxa"/>
          <w:left w:w="0" w:type="dxa"/>
          <w:bottom w:w="0" w:type="dxa"/>
          <w:right w:w="0" w:type="dxa"/>
        </w:tblCellMar>
      </w:tblPr>
      <w:tr>
        <w:trPr>
          <w:trHeight w:val="172"/>
        </w:trPr>
        <w:tc>
          <w:tcPr>
            <w:tcW w:w="1060" w:type="dxa"/>
            <w:vAlign w:val="bottom"/>
          </w:tcPr>
          <w:p>
            <w:pPr>
              <w:spacing w:after="0"/>
              <w:rPr>
                <w:sz w:val="14"/>
                <w:szCs w:val="14"/>
                <w:color w:val="auto"/>
              </w:rPr>
            </w:pPr>
          </w:p>
        </w:tc>
        <w:tc>
          <w:tcPr>
            <w:tcW w:w="2120" w:type="dxa"/>
            <w:vAlign w:val="bottom"/>
            <w:gridSpan w:val="2"/>
          </w:tcPr>
          <w:p>
            <w:pPr>
              <w:jc w:val="center"/>
              <w:ind w:right="880"/>
              <w:spacing w:after="0"/>
              <w:rPr>
                <w:sz w:val="20"/>
                <w:szCs w:val="20"/>
                <w:color w:val="auto"/>
              </w:rPr>
            </w:pPr>
            <w:r>
              <w:rPr>
                <w:rFonts w:ascii="Arial" w:cs="Arial" w:eastAsia="Arial" w:hAnsi="Arial"/>
                <w:sz w:val="15"/>
                <w:szCs w:val="15"/>
                <w:b w:val="1"/>
                <w:bCs w:val="1"/>
                <w:color w:val="auto"/>
                <w:w w:val="95"/>
              </w:rPr>
              <w:t>Title of each class</w:t>
            </w:r>
          </w:p>
        </w:tc>
        <w:tc>
          <w:tcPr>
            <w:tcW w:w="1480" w:type="dxa"/>
            <w:vAlign w:val="bottom"/>
          </w:tcPr>
          <w:p>
            <w:pPr>
              <w:spacing w:after="0"/>
              <w:rPr>
                <w:sz w:val="14"/>
                <w:szCs w:val="14"/>
                <w:color w:val="auto"/>
              </w:rPr>
            </w:pPr>
          </w:p>
        </w:tc>
        <w:tc>
          <w:tcPr>
            <w:tcW w:w="2720" w:type="dxa"/>
            <w:vAlign w:val="bottom"/>
            <w:gridSpan w:val="2"/>
          </w:tcPr>
          <w:p>
            <w:pPr>
              <w:jc w:val="center"/>
              <w:ind w:right="1460"/>
              <w:spacing w:after="0"/>
              <w:rPr>
                <w:sz w:val="20"/>
                <w:szCs w:val="20"/>
                <w:color w:val="auto"/>
              </w:rPr>
            </w:pPr>
            <w:r>
              <w:rPr>
                <w:rFonts w:ascii="Arial" w:cs="Arial" w:eastAsia="Arial" w:hAnsi="Arial"/>
                <w:sz w:val="15"/>
                <w:szCs w:val="15"/>
                <w:b w:val="1"/>
                <w:bCs w:val="1"/>
                <w:color w:val="auto"/>
                <w:w w:val="95"/>
              </w:rPr>
              <w:t>Trading Symbol(s)</w:t>
            </w:r>
          </w:p>
        </w:tc>
        <w:tc>
          <w:tcPr>
            <w:tcW w:w="3080" w:type="dxa"/>
            <w:vAlign w:val="bottom"/>
          </w:tcPr>
          <w:p>
            <w:pPr>
              <w:jc w:val="center"/>
              <w:spacing w:after="0"/>
              <w:rPr>
                <w:sz w:val="20"/>
                <w:szCs w:val="20"/>
                <w:color w:val="auto"/>
              </w:rPr>
            </w:pPr>
            <w:r>
              <w:rPr>
                <w:rFonts w:ascii="Arial" w:cs="Arial" w:eastAsia="Arial" w:hAnsi="Arial"/>
                <w:sz w:val="15"/>
                <w:szCs w:val="15"/>
                <w:b w:val="1"/>
                <w:bCs w:val="1"/>
                <w:color w:val="auto"/>
                <w:w w:val="97"/>
              </w:rPr>
              <w:t>Name of each exchange on which registered</w:t>
            </w:r>
          </w:p>
        </w:tc>
      </w:tr>
      <w:tr>
        <w:trPr>
          <w:trHeight w:val="20"/>
        </w:trPr>
        <w:tc>
          <w:tcPr>
            <w:tcW w:w="106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3080" w:type="dxa"/>
            <w:vAlign w:val="bottom"/>
            <w:shd w:val="clear" w:color="auto" w:fill="000000"/>
          </w:tcPr>
          <w:p>
            <w:pPr>
              <w:spacing w:after="0" w:line="20" w:lineRule="exact"/>
              <w:rPr>
                <w:sz w:val="1"/>
                <w:szCs w:val="1"/>
                <w:color w:val="auto"/>
              </w:rPr>
            </w:pPr>
          </w:p>
        </w:tc>
      </w:tr>
      <w:tr>
        <w:trPr>
          <w:trHeight w:val="206"/>
        </w:trPr>
        <w:tc>
          <w:tcPr>
            <w:tcW w:w="3180" w:type="dxa"/>
            <w:vAlign w:val="bottom"/>
            <w:gridSpan w:val="3"/>
          </w:tcPr>
          <w:p>
            <w:pPr>
              <w:jc w:val="center"/>
              <w:ind w:left="111"/>
              <w:spacing w:after="0"/>
              <w:rPr>
                <w:sz w:val="20"/>
                <w:szCs w:val="20"/>
                <w:color w:val="auto"/>
              </w:rPr>
            </w:pPr>
            <w:r>
              <w:rPr>
                <w:rFonts w:ascii="Arial" w:cs="Arial" w:eastAsia="Arial" w:hAnsi="Arial"/>
                <w:sz w:val="15"/>
                <w:szCs w:val="15"/>
                <w:color w:val="auto"/>
                <w:w w:val="97"/>
              </w:rPr>
              <w:t>6.625% Series A preferred units</w:t>
            </w:r>
          </w:p>
        </w:tc>
        <w:tc>
          <w:tcPr>
            <w:tcW w:w="1480" w:type="dxa"/>
            <w:vAlign w:val="bottom"/>
          </w:tcPr>
          <w:p>
            <w:pPr>
              <w:spacing w:after="0"/>
              <w:rPr>
                <w:sz w:val="17"/>
                <w:szCs w:val="17"/>
                <w:color w:val="auto"/>
              </w:rPr>
            </w:pPr>
          </w:p>
        </w:tc>
        <w:tc>
          <w:tcPr>
            <w:tcW w:w="2720" w:type="dxa"/>
            <w:vAlign w:val="bottom"/>
            <w:gridSpan w:val="2"/>
          </w:tcPr>
          <w:p>
            <w:pPr>
              <w:jc w:val="center"/>
              <w:ind w:right="1460"/>
              <w:spacing w:after="0"/>
              <w:rPr>
                <w:sz w:val="20"/>
                <w:szCs w:val="20"/>
                <w:color w:val="auto"/>
              </w:rPr>
            </w:pPr>
            <w:r>
              <w:rPr>
                <w:rFonts w:ascii="Arial" w:cs="Arial" w:eastAsia="Arial" w:hAnsi="Arial"/>
                <w:sz w:val="15"/>
                <w:szCs w:val="15"/>
                <w:color w:val="auto"/>
                <w:w w:val="95"/>
              </w:rPr>
              <w:t>OAK-PA</w:t>
            </w:r>
          </w:p>
        </w:tc>
        <w:tc>
          <w:tcPr>
            <w:tcW w:w="3080" w:type="dxa"/>
            <w:vAlign w:val="bottom"/>
          </w:tcPr>
          <w:p>
            <w:pPr>
              <w:jc w:val="center"/>
              <w:spacing w:after="0"/>
              <w:rPr>
                <w:sz w:val="20"/>
                <w:szCs w:val="20"/>
                <w:color w:val="auto"/>
              </w:rPr>
            </w:pPr>
            <w:r>
              <w:rPr>
                <w:rFonts w:ascii="Arial" w:cs="Arial" w:eastAsia="Arial" w:hAnsi="Arial"/>
                <w:sz w:val="15"/>
                <w:szCs w:val="15"/>
                <w:color w:val="auto"/>
                <w:w w:val="96"/>
              </w:rPr>
              <w:t>New York Stock Exchange</w:t>
            </w:r>
          </w:p>
        </w:tc>
      </w:tr>
      <w:tr>
        <w:trPr>
          <w:trHeight w:val="193"/>
        </w:trPr>
        <w:tc>
          <w:tcPr>
            <w:tcW w:w="3180" w:type="dxa"/>
            <w:vAlign w:val="bottom"/>
            <w:gridSpan w:val="3"/>
          </w:tcPr>
          <w:p>
            <w:pPr>
              <w:jc w:val="center"/>
              <w:ind w:left="111"/>
              <w:spacing w:after="0"/>
              <w:rPr>
                <w:sz w:val="20"/>
                <w:szCs w:val="20"/>
                <w:color w:val="auto"/>
              </w:rPr>
            </w:pPr>
            <w:r>
              <w:rPr>
                <w:rFonts w:ascii="Arial" w:cs="Arial" w:eastAsia="Arial" w:hAnsi="Arial"/>
                <w:sz w:val="15"/>
                <w:szCs w:val="15"/>
                <w:color w:val="auto"/>
                <w:w w:val="97"/>
              </w:rPr>
              <w:t>6.550% Series B preferred units</w:t>
            </w:r>
          </w:p>
        </w:tc>
        <w:tc>
          <w:tcPr>
            <w:tcW w:w="1480" w:type="dxa"/>
            <w:vAlign w:val="bottom"/>
          </w:tcPr>
          <w:p>
            <w:pPr>
              <w:spacing w:after="0"/>
              <w:rPr>
                <w:sz w:val="16"/>
                <w:szCs w:val="16"/>
                <w:color w:val="auto"/>
              </w:rPr>
            </w:pPr>
          </w:p>
        </w:tc>
        <w:tc>
          <w:tcPr>
            <w:tcW w:w="2720" w:type="dxa"/>
            <w:vAlign w:val="bottom"/>
            <w:gridSpan w:val="2"/>
          </w:tcPr>
          <w:p>
            <w:pPr>
              <w:jc w:val="center"/>
              <w:ind w:right="1460"/>
              <w:spacing w:after="0"/>
              <w:rPr>
                <w:sz w:val="20"/>
                <w:szCs w:val="20"/>
                <w:color w:val="auto"/>
              </w:rPr>
            </w:pPr>
            <w:r>
              <w:rPr>
                <w:rFonts w:ascii="Arial" w:cs="Arial" w:eastAsia="Arial" w:hAnsi="Arial"/>
                <w:sz w:val="15"/>
                <w:szCs w:val="15"/>
                <w:color w:val="auto"/>
                <w:w w:val="95"/>
              </w:rPr>
              <w:t>OAK-PB</w:t>
            </w:r>
          </w:p>
        </w:tc>
        <w:tc>
          <w:tcPr>
            <w:tcW w:w="3080" w:type="dxa"/>
            <w:vAlign w:val="bottom"/>
          </w:tcPr>
          <w:p>
            <w:pPr>
              <w:jc w:val="center"/>
              <w:spacing w:after="0"/>
              <w:rPr>
                <w:sz w:val="20"/>
                <w:szCs w:val="20"/>
                <w:color w:val="auto"/>
              </w:rPr>
            </w:pPr>
            <w:r>
              <w:rPr>
                <w:rFonts w:ascii="Arial" w:cs="Arial" w:eastAsia="Arial" w:hAnsi="Arial"/>
                <w:sz w:val="15"/>
                <w:szCs w:val="15"/>
                <w:color w:val="auto"/>
                <w:w w:val="96"/>
              </w:rPr>
              <w:t>New York Stock Exchange</w:t>
            </w:r>
          </w:p>
        </w:tc>
      </w:tr>
      <w:tr>
        <w:trPr>
          <w:trHeight w:val="284"/>
        </w:trPr>
        <w:tc>
          <w:tcPr>
            <w:tcW w:w="10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200" w:type="dxa"/>
            <w:vAlign w:val="bottom"/>
            <w:gridSpan w:val="3"/>
          </w:tcPr>
          <w:p>
            <w:pPr>
              <w:ind w:left="460"/>
              <w:spacing w:after="0"/>
              <w:rPr>
                <w:sz w:val="20"/>
                <w:szCs w:val="20"/>
                <w:color w:val="auto"/>
              </w:rPr>
            </w:pPr>
            <w:r>
              <w:rPr>
                <w:rFonts w:ascii="Arial" w:cs="Arial" w:eastAsia="Arial" w:hAnsi="Arial"/>
                <w:sz w:val="13"/>
                <w:szCs w:val="13"/>
                <w:color w:val="auto"/>
              </w:rPr>
              <w:t>Securities registered pursuant to Section 12(g) of the Act: None</w:t>
            </w:r>
          </w:p>
        </w:tc>
        <w:tc>
          <w:tcPr>
            <w:tcW w:w="3080" w:type="dxa"/>
            <w:vAlign w:val="bottom"/>
          </w:tcPr>
          <w:p>
            <w:pPr>
              <w:spacing w:after="0"/>
              <w:rPr>
                <w:sz w:val="24"/>
                <w:szCs w:val="24"/>
                <w:color w:val="auto"/>
              </w:rPr>
            </w:pPr>
          </w:p>
        </w:tc>
      </w:tr>
      <w:tr>
        <w:trPr>
          <w:trHeight w:val="211"/>
        </w:trPr>
        <w:tc>
          <w:tcPr>
            <w:tcW w:w="10460" w:type="dxa"/>
            <w:vAlign w:val="bottom"/>
            <w:gridSpan w:val="7"/>
          </w:tcPr>
          <w:p>
            <w:pPr>
              <w:spacing w:after="0" w:line="196" w:lineRule="exact"/>
              <w:rPr>
                <w:sz w:val="20"/>
                <w:szCs w:val="20"/>
                <w:color w:val="auto"/>
              </w:rPr>
            </w:pPr>
            <w:r>
              <w:rPr>
                <w:rFonts w:ascii="Arial" w:cs="Arial" w:eastAsia="Arial" w:hAnsi="Arial"/>
                <w:sz w:val="13"/>
                <w:szCs w:val="13"/>
                <w:color w:val="auto"/>
              </w:rPr>
              <w:t xml:space="preserve">Indicate by check mark if the registrant is a well-known seasoned issuer, as defined in Rule 405 of the Securities Act. Yes </w:t>
            </w:r>
            <w:r>
              <w:rPr>
                <w:rFonts w:ascii="MS PGothic" w:cs="MS PGothic" w:eastAsia="MS PGothic" w:hAnsi="MS PGothic"/>
                <w:sz w:val="17"/>
                <w:szCs w:val="17"/>
                <w:color w:val="auto"/>
              </w:rPr>
              <w:t>☐</w:t>
            </w:r>
            <w:r>
              <w:rPr>
                <w:rFonts w:ascii="Arial" w:cs="Arial" w:eastAsia="Arial" w:hAnsi="Arial"/>
                <w:sz w:val="13"/>
                <w:szCs w:val="13"/>
                <w:color w:val="auto"/>
              </w:rPr>
              <w:t xml:space="preserve"> No </w:t>
            </w:r>
            <w:r>
              <w:rPr>
                <w:rFonts w:ascii="MS PGothic" w:cs="MS PGothic" w:eastAsia="MS PGothic" w:hAnsi="MS PGothic"/>
                <w:sz w:val="17"/>
                <w:szCs w:val="17"/>
                <w:color w:val="auto"/>
              </w:rPr>
              <w:t>☒</w:t>
            </w:r>
          </w:p>
        </w:tc>
      </w:tr>
      <w:tr>
        <w:trPr>
          <w:trHeight w:val="257"/>
        </w:trPr>
        <w:tc>
          <w:tcPr>
            <w:tcW w:w="7380" w:type="dxa"/>
            <w:vAlign w:val="bottom"/>
            <w:gridSpan w:val="6"/>
          </w:tcPr>
          <w:p>
            <w:pPr>
              <w:spacing w:after="0" w:line="196" w:lineRule="exact"/>
              <w:rPr>
                <w:sz w:val="20"/>
                <w:szCs w:val="20"/>
                <w:color w:val="auto"/>
              </w:rPr>
            </w:pPr>
            <w:r>
              <w:rPr>
                <w:rFonts w:ascii="Arial" w:cs="Arial" w:eastAsia="Arial" w:hAnsi="Arial"/>
                <w:sz w:val="13"/>
                <w:szCs w:val="13"/>
                <w:color w:val="auto"/>
              </w:rPr>
              <w:t xml:space="preserve">Indicate by check mark if the registrant is not required to file reports pursuant to Section 13 or Section 15(d) of the Act. Yes </w:t>
            </w:r>
            <w:r>
              <w:rPr>
                <w:rFonts w:ascii="MS PGothic" w:cs="MS PGothic" w:eastAsia="MS PGothic" w:hAnsi="MS PGothic"/>
                <w:sz w:val="17"/>
                <w:szCs w:val="17"/>
                <w:color w:val="auto"/>
              </w:rPr>
              <w:t>☐</w:t>
            </w:r>
          </w:p>
        </w:tc>
        <w:tc>
          <w:tcPr>
            <w:tcW w:w="3080" w:type="dxa"/>
            <w:vAlign w:val="bottom"/>
          </w:tcPr>
          <w:p>
            <w:pPr>
              <w:ind w:left="40"/>
              <w:spacing w:after="0" w:line="196" w:lineRule="exact"/>
              <w:rPr>
                <w:sz w:val="20"/>
                <w:szCs w:val="20"/>
                <w:color w:val="auto"/>
              </w:rPr>
            </w:pPr>
            <w:r>
              <w:rPr>
                <w:rFonts w:ascii="Arial" w:cs="Arial" w:eastAsia="Arial" w:hAnsi="Arial"/>
                <w:sz w:val="13"/>
                <w:szCs w:val="13"/>
                <w:color w:val="auto"/>
              </w:rPr>
              <w:t xml:space="preserve">No </w:t>
            </w:r>
            <w:r>
              <w:rPr>
                <w:rFonts w:ascii="MS PGothic" w:cs="MS PGothic" w:eastAsia="MS PGothic" w:hAnsi="MS PGothic"/>
                <w:sz w:val="17"/>
                <w:szCs w:val="17"/>
                <w:color w:val="auto"/>
              </w:rPr>
              <w:t>☒</w:t>
            </w:r>
          </w:p>
        </w:tc>
      </w:tr>
    </w:tbl>
    <w:p>
      <w:pPr>
        <w:ind w:firstLine="309"/>
        <w:spacing w:after="0" w:line="194" w:lineRule="exact"/>
        <w:rPr>
          <w:sz w:val="20"/>
          <w:szCs w:val="20"/>
          <w:color w:val="auto"/>
        </w:rPr>
      </w:pPr>
      <w:r>
        <w:rPr>
          <w:rFonts w:ascii="Arial" w:cs="Arial" w:eastAsia="Arial" w:hAnsi="Arial"/>
          <w:sz w:val="13"/>
          <w:szCs w:val="13"/>
          <w:color w:val="auto"/>
        </w:rPr>
        <w:t xml:space="preserve">Indicate by check mark whether the registrant (1) has filed all reports required to be filed by Section 13 and 15(d) of the Securities Exchange Act of 1934 during the preceding 12 months (or for such shorter periods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Arial" w:cs="Arial" w:eastAsia="Arial" w:hAnsi="Arial"/>
          <w:sz w:val="13"/>
          <w:szCs w:val="13"/>
          <w:color w:val="auto"/>
        </w:rPr>
        <w:t xml:space="preserve"> No </w:t>
      </w:r>
      <w:r>
        <w:rPr>
          <w:rFonts w:ascii="MS PGothic" w:cs="MS PGothic" w:eastAsia="MS PGothic" w:hAnsi="MS PGothic"/>
          <w:sz w:val="17"/>
          <w:szCs w:val="17"/>
          <w:color w:val="auto"/>
        </w:rPr>
        <w:t>☐</w:t>
      </w:r>
    </w:p>
    <w:p>
      <w:pPr>
        <w:spacing w:after="0" w:line="14" w:lineRule="exact"/>
        <w:rPr>
          <w:sz w:val="24"/>
          <w:szCs w:val="24"/>
          <w:color w:val="auto"/>
        </w:rPr>
      </w:pPr>
    </w:p>
    <w:p>
      <w:pPr>
        <w:ind w:right="180" w:firstLine="309"/>
        <w:spacing w:after="0" w:line="200" w:lineRule="exact"/>
        <w:rPr>
          <w:sz w:val="20"/>
          <w:szCs w:val="20"/>
          <w:color w:val="auto"/>
        </w:rPr>
      </w:pPr>
      <w:r>
        <w:rPr>
          <w:rFonts w:ascii="Arial" w:cs="Arial" w:eastAsia="Arial" w:hAnsi="Arial"/>
          <w:sz w:val="13"/>
          <w:szCs w:val="13"/>
          <w:color w:val="auto"/>
        </w:rPr>
        <w:t xml:space="preserve">Indicate by check mark whether the registrant has submitted electronically every Interactive Data File required to be submitted and posted pursuant to Rule 405 of Regulation S-T during the preceding 12 months (or for such shorter period that the registrant was required to submit such files). Yes </w:t>
      </w:r>
      <w:r>
        <w:rPr>
          <w:rFonts w:ascii="MS PGothic" w:cs="MS PGothic" w:eastAsia="MS PGothic" w:hAnsi="MS PGothic"/>
          <w:sz w:val="17"/>
          <w:szCs w:val="17"/>
          <w:color w:val="auto"/>
        </w:rPr>
        <w:t>☒</w:t>
      </w:r>
      <w:r>
        <w:rPr>
          <w:rFonts w:ascii="Arial" w:cs="Arial" w:eastAsia="Arial" w:hAnsi="Arial"/>
          <w:sz w:val="13"/>
          <w:szCs w:val="13"/>
          <w:color w:val="auto"/>
        </w:rPr>
        <w:t xml:space="preserve"> No </w:t>
      </w:r>
      <w:r>
        <w:rPr>
          <w:rFonts w:ascii="MS PGothic" w:cs="MS PGothic" w:eastAsia="MS PGothic" w:hAnsi="MS PGothic"/>
          <w:sz w:val="17"/>
          <w:szCs w:val="17"/>
          <w:color w:val="auto"/>
        </w:rPr>
        <w:t>☐</w:t>
      </w:r>
    </w:p>
    <w:p>
      <w:pPr>
        <w:spacing w:after="0" w:line="13" w:lineRule="exact"/>
        <w:rPr>
          <w:sz w:val="24"/>
          <w:szCs w:val="24"/>
          <w:color w:val="auto"/>
        </w:rPr>
      </w:pPr>
    </w:p>
    <w:p>
      <w:pPr>
        <w:ind w:right="140" w:firstLine="309"/>
        <w:spacing w:after="0" w:line="279"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220"/>
          </w:cols>
          <w:pgMar w:left="320" w:top="873" w:right="359" w:bottom="1440" w:gutter="0" w:footer="0" w:header="0"/>
          <w:type w:val="continuous"/>
        </w:sectPr>
      </w:pPr>
    </w:p>
    <w:p>
      <w:pPr>
        <w:spacing w:after="0" w:line="194" w:lineRule="exact"/>
        <w:rPr>
          <w:sz w:val="24"/>
          <w:szCs w:val="24"/>
          <w:color w:val="auto"/>
        </w:rPr>
      </w:pPr>
    </w:p>
    <w:p>
      <w:pPr>
        <w:ind w:left="60"/>
        <w:spacing w:after="0"/>
        <w:rPr>
          <w:sz w:val="20"/>
          <w:szCs w:val="20"/>
          <w:color w:val="auto"/>
        </w:rPr>
      </w:pPr>
      <w:r>
        <w:rPr>
          <w:rFonts w:ascii="Arial" w:cs="Arial" w:eastAsia="Arial" w:hAnsi="Arial"/>
          <w:sz w:val="12"/>
          <w:szCs w:val="12"/>
          <w:color w:val="auto"/>
        </w:rPr>
        <w:t>Large Accelerated Filer</w:t>
      </w:r>
    </w:p>
    <w:p>
      <w:pPr>
        <w:spacing w:after="0" w:line="184" w:lineRule="exact"/>
        <w:rPr>
          <w:sz w:val="24"/>
          <w:szCs w:val="24"/>
          <w:color w:val="auto"/>
        </w:rPr>
      </w:pPr>
    </w:p>
    <w:p>
      <w:pPr>
        <w:ind w:left="60"/>
        <w:spacing w:after="0"/>
        <w:rPr>
          <w:sz w:val="20"/>
          <w:szCs w:val="20"/>
          <w:color w:val="auto"/>
        </w:rPr>
      </w:pPr>
      <w:r>
        <w:rPr>
          <w:rFonts w:ascii="Arial" w:cs="Arial" w:eastAsia="Arial" w:hAnsi="Arial"/>
          <w:sz w:val="13"/>
          <w:szCs w:val="13"/>
          <w:color w:val="auto"/>
        </w:rPr>
        <w:t>Non-accelerated Filer</w:t>
      </w:r>
    </w:p>
    <w:p>
      <w:pPr>
        <w:spacing w:after="0" w:line="20" w:lineRule="exact"/>
        <w:rPr>
          <w:sz w:val="24"/>
          <w:szCs w:val="24"/>
          <w:color w:val="auto"/>
        </w:rPr>
      </w:pPr>
      <w:r>
        <w:rPr>
          <w:sz w:val="24"/>
          <w:szCs w:val="24"/>
          <w:color w:val="auto"/>
        </w:rPr>
        <w:br w:type="column"/>
      </w:r>
    </w:p>
    <w:p>
      <w:pPr>
        <w:spacing w:after="0" w:line="9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89"/>
        </w:trPr>
        <w:tc>
          <w:tcPr>
            <w:tcW w:w="860" w:type="dxa"/>
            <w:vAlign w:val="bottom"/>
          </w:tcPr>
          <w:p>
            <w:pPr>
              <w:spacing w:after="0" w:line="171" w:lineRule="exact"/>
              <w:rPr>
                <w:sz w:val="20"/>
                <w:szCs w:val="20"/>
                <w:color w:val="auto"/>
              </w:rPr>
            </w:pPr>
            <w:r>
              <w:rPr>
                <w:rFonts w:ascii="MS PGothic" w:cs="MS PGothic" w:eastAsia="MS PGothic" w:hAnsi="MS PGothic"/>
                <w:sz w:val="17"/>
                <w:szCs w:val="17"/>
                <w:color w:val="auto"/>
              </w:rPr>
              <w:t>☐</w:t>
            </w:r>
          </w:p>
        </w:tc>
        <w:tc>
          <w:tcPr>
            <w:tcW w:w="3720" w:type="dxa"/>
            <w:vAlign w:val="bottom"/>
          </w:tcPr>
          <w:p>
            <w:pPr>
              <w:ind w:left="720"/>
              <w:spacing w:after="0"/>
              <w:rPr>
                <w:sz w:val="20"/>
                <w:szCs w:val="20"/>
                <w:color w:val="auto"/>
              </w:rPr>
            </w:pPr>
            <w:r>
              <w:rPr>
                <w:rFonts w:ascii="Arial" w:cs="Arial" w:eastAsia="Arial" w:hAnsi="Arial"/>
                <w:sz w:val="13"/>
                <w:szCs w:val="13"/>
                <w:color w:val="auto"/>
              </w:rPr>
              <w:t>Accelerated Filer</w:t>
            </w:r>
          </w:p>
        </w:tc>
        <w:tc>
          <w:tcPr>
            <w:tcW w:w="1560" w:type="dxa"/>
            <w:vAlign w:val="bottom"/>
          </w:tcPr>
          <w:p>
            <w:pPr>
              <w:ind w:left="140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322"/>
        </w:trPr>
        <w:tc>
          <w:tcPr>
            <w:tcW w:w="860" w:type="dxa"/>
            <w:vAlign w:val="bottom"/>
          </w:tcPr>
          <w:p>
            <w:pPr>
              <w:spacing w:after="0" w:line="171" w:lineRule="exact"/>
              <w:rPr>
                <w:sz w:val="20"/>
                <w:szCs w:val="20"/>
                <w:color w:val="auto"/>
              </w:rPr>
            </w:pPr>
            <w:r>
              <w:rPr>
                <w:rFonts w:ascii="MS PGothic" w:cs="MS PGothic" w:eastAsia="MS PGothic" w:hAnsi="MS PGothic"/>
                <w:sz w:val="17"/>
                <w:szCs w:val="17"/>
                <w:color w:val="auto"/>
              </w:rPr>
              <w:t>☒</w:t>
            </w:r>
          </w:p>
        </w:tc>
        <w:tc>
          <w:tcPr>
            <w:tcW w:w="3720" w:type="dxa"/>
            <w:vAlign w:val="bottom"/>
          </w:tcPr>
          <w:p>
            <w:pPr>
              <w:ind w:left="720"/>
              <w:spacing w:after="0"/>
              <w:rPr>
                <w:sz w:val="20"/>
                <w:szCs w:val="20"/>
                <w:color w:val="auto"/>
              </w:rPr>
            </w:pPr>
            <w:r>
              <w:rPr>
                <w:rFonts w:ascii="Arial" w:cs="Arial" w:eastAsia="Arial" w:hAnsi="Arial"/>
                <w:sz w:val="13"/>
                <w:szCs w:val="13"/>
                <w:color w:val="auto"/>
              </w:rPr>
              <w:t>Smaller Reporting Company</w:t>
            </w:r>
          </w:p>
        </w:tc>
        <w:tc>
          <w:tcPr>
            <w:tcW w:w="1560" w:type="dxa"/>
            <w:vAlign w:val="bottom"/>
          </w:tcPr>
          <w:p>
            <w:pPr>
              <w:ind w:left="140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322"/>
        </w:trPr>
        <w:tc>
          <w:tcPr>
            <w:tcW w:w="860" w:type="dxa"/>
            <w:vAlign w:val="bottom"/>
          </w:tcPr>
          <w:p>
            <w:pPr>
              <w:spacing w:after="0"/>
              <w:rPr>
                <w:sz w:val="24"/>
                <w:szCs w:val="24"/>
                <w:color w:val="auto"/>
              </w:rPr>
            </w:pPr>
          </w:p>
        </w:tc>
        <w:tc>
          <w:tcPr>
            <w:tcW w:w="3720" w:type="dxa"/>
            <w:vAlign w:val="bottom"/>
          </w:tcPr>
          <w:p>
            <w:pPr>
              <w:ind w:left="720"/>
              <w:spacing w:after="0"/>
              <w:rPr>
                <w:sz w:val="20"/>
                <w:szCs w:val="20"/>
                <w:color w:val="auto"/>
              </w:rPr>
            </w:pPr>
            <w:r>
              <w:rPr>
                <w:rFonts w:ascii="Arial" w:cs="Arial" w:eastAsia="Arial" w:hAnsi="Arial"/>
                <w:sz w:val="13"/>
                <w:szCs w:val="13"/>
                <w:color w:val="auto"/>
              </w:rPr>
              <w:t>Emerging Growth Company</w:t>
            </w:r>
          </w:p>
        </w:tc>
        <w:tc>
          <w:tcPr>
            <w:tcW w:w="1560" w:type="dxa"/>
            <w:vAlign w:val="bottom"/>
          </w:tcPr>
          <w:p>
            <w:pPr>
              <w:ind w:left="1400"/>
              <w:spacing w:after="0" w:line="171" w:lineRule="exact"/>
              <w:rPr>
                <w:sz w:val="20"/>
                <w:szCs w:val="20"/>
                <w:color w:val="auto"/>
              </w:rPr>
            </w:pPr>
            <w:r>
              <w:rPr>
                <w:rFonts w:ascii="MS PGothic" w:cs="MS PGothic" w:eastAsia="MS PGothic" w:hAnsi="MS PGothic"/>
                <w:sz w:val="17"/>
                <w:szCs w:val="17"/>
                <w:color w:val="auto"/>
                <w:w w:val="82"/>
              </w:rPr>
              <w:t>☐</w:t>
            </w:r>
          </w:p>
        </w:tc>
      </w:tr>
    </w:tbl>
    <w:p>
      <w:pPr>
        <w:spacing w:after="0" w:line="116" w:lineRule="exact"/>
        <w:rPr>
          <w:sz w:val="24"/>
          <w:szCs w:val="24"/>
          <w:color w:val="auto"/>
        </w:rPr>
      </w:pPr>
    </w:p>
    <w:p>
      <w:pPr>
        <w:sectPr>
          <w:pgSz w:w="11900" w:h="16838" w:orient="portrait"/>
          <w:cols w:equalWidth="0" w:num="2">
            <w:col w:w="3700" w:space="720"/>
            <w:col w:w="6800"/>
          </w:cols>
          <w:pgMar w:left="320" w:top="873" w:right="359" w:bottom="1440" w:gutter="0" w:footer="0" w:header="0"/>
          <w:type w:val="continuous"/>
        </w:sectPr>
      </w:pPr>
    </w:p>
    <w:p>
      <w:pPr>
        <w:ind w:right="460" w:firstLine="309"/>
        <w:spacing w:after="0" w:line="200" w:lineRule="exact"/>
        <w:rPr>
          <w:sz w:val="20"/>
          <w:szCs w:val="20"/>
          <w:color w:val="auto"/>
        </w:rPr>
      </w:pPr>
      <w:r>
        <w:rPr>
          <w:rFonts w:ascii="Arial" w:cs="Arial" w:eastAsia="Arial" w:hAnsi="Arial"/>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1" w:lineRule="exact"/>
        <w:rPr>
          <w:sz w:val="24"/>
          <w:szCs w:val="24"/>
          <w:color w:val="auto"/>
        </w:rPr>
      </w:pPr>
    </w:p>
    <w:p>
      <w:pPr>
        <w:ind w:right="300" w:firstLine="309"/>
        <w:spacing w:after="0" w:line="181" w:lineRule="exact"/>
        <w:rPr>
          <w:sz w:val="20"/>
          <w:szCs w:val="20"/>
          <w:color w:val="auto"/>
        </w:rPr>
      </w:pPr>
      <w:r>
        <w:rPr>
          <w:rFonts w:ascii="Arial" w:cs="Arial" w:eastAsia="Arial" w:hAnsi="Arial"/>
          <w:sz w:val="13"/>
          <w:szCs w:val="13"/>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7"/>
          <w:szCs w:val="17"/>
          <w:color w:val="auto"/>
        </w:rPr>
        <w:t>☐</w:t>
      </w:r>
    </w:p>
    <w:p>
      <w:pPr>
        <w:ind w:right="20" w:firstLine="309"/>
        <w:spacing w:after="0" w:line="213" w:lineRule="exact"/>
        <w:rPr>
          <w:sz w:val="20"/>
          <w:szCs w:val="20"/>
          <w:color w:val="auto"/>
        </w:rPr>
      </w:pPr>
      <w:r>
        <w:rPr>
          <w:rFonts w:ascii="Arial" w:cs="Arial" w:eastAsia="Arial" w:hAnsi="Arial"/>
          <w:sz w:val="13"/>
          <w:szCs w:val="13"/>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7"/>
          <w:szCs w:val="17"/>
          <w:color w:val="auto"/>
        </w:rPr>
        <w:t>☐</w:t>
      </w:r>
    </w:p>
    <w:p>
      <w:pPr>
        <w:spacing w:after="0" w:line="27" w:lineRule="exact"/>
        <w:rPr>
          <w:sz w:val="24"/>
          <w:szCs w:val="24"/>
          <w:color w:val="auto"/>
        </w:rPr>
      </w:pPr>
    </w:p>
    <w:p>
      <w:pPr>
        <w:ind w:right="20" w:firstLine="309"/>
        <w:spacing w:after="0" w:line="220" w:lineRule="exact"/>
        <w:rPr>
          <w:sz w:val="20"/>
          <w:szCs w:val="20"/>
          <w:color w:val="auto"/>
        </w:rPr>
      </w:pPr>
      <w:r>
        <w:rPr>
          <w:rFonts w:ascii="Arial" w:cs="Arial" w:eastAsia="Arial" w:hAnsi="Arial"/>
          <w:sz w:val="13"/>
          <w:szCs w:val="13"/>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7"/>
          <w:szCs w:val="17"/>
          <w:color w:val="auto"/>
        </w:rPr>
        <w:t>☐</w:t>
      </w:r>
    </w:p>
    <w:p>
      <w:pPr>
        <w:ind w:left="320" w:right="3420"/>
        <w:spacing w:after="0" w:line="220" w:lineRule="exact"/>
        <w:rPr>
          <w:sz w:val="20"/>
          <w:szCs w:val="20"/>
          <w:color w:val="auto"/>
        </w:rPr>
      </w:pPr>
      <w:r>
        <w:rPr>
          <w:rFonts w:ascii="Arial" w:cs="Arial" w:eastAsia="Arial" w:hAnsi="Arial"/>
          <w:sz w:val="13"/>
          <w:szCs w:val="13"/>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Arial" w:cs="Arial" w:eastAsia="Arial" w:hAnsi="Arial"/>
          <w:sz w:val="13"/>
          <w:szCs w:val="13"/>
          <w:color w:val="auto"/>
        </w:rPr>
        <w:t xml:space="preserve"> No </w:t>
      </w:r>
      <w:r>
        <w:rPr>
          <w:rFonts w:ascii="MS PGothic" w:cs="MS PGothic" w:eastAsia="MS PGothic" w:hAnsi="MS PGothic"/>
          <w:sz w:val="17"/>
          <w:szCs w:val="17"/>
          <w:color w:val="auto"/>
        </w:rPr>
        <w:t>☒</w:t>
      </w:r>
      <w:r>
        <w:rPr>
          <w:rFonts w:ascii="Arial" w:cs="Arial" w:eastAsia="Arial" w:hAnsi="Arial"/>
          <w:sz w:val="13"/>
          <w:szCs w:val="13"/>
          <w:color w:val="auto"/>
        </w:rPr>
        <w:t xml:space="preserve"> As of March 24, 2026, there were 118,832,320 Class A units and 41,558,979 Class B units of the registrant outstanding.</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13"/>
          <w:szCs w:val="13"/>
          <w:color w:val="auto"/>
        </w:rPr>
        <w:t>DOCUMENTS INCORPORATED BY REFERENCE</w:t>
      </w:r>
    </w:p>
    <w:p>
      <w:pPr>
        <w:spacing w:after="0" w:line="57" w:lineRule="exact"/>
        <w:rPr>
          <w:sz w:val="24"/>
          <w:szCs w:val="24"/>
          <w:color w:val="auto"/>
        </w:rPr>
      </w:pPr>
    </w:p>
    <w:p>
      <w:pPr>
        <w:jc w:val="center"/>
        <w:ind w:right="-19"/>
        <w:spacing w:after="0"/>
        <w:rPr>
          <w:sz w:val="20"/>
          <w:szCs w:val="20"/>
          <w:color w:val="auto"/>
        </w:rPr>
      </w:pPr>
      <w:r>
        <w:rPr>
          <w:rFonts w:ascii="Arial" w:cs="Arial" w:eastAsia="Arial" w:hAnsi="Arial"/>
          <w:sz w:val="13"/>
          <w:szCs w:val="13"/>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-10160</wp:posOffset>
            </wp:positionH>
            <wp:positionV relativeFrom="paragraph">
              <wp:posOffset>457200</wp:posOffset>
            </wp:positionV>
            <wp:extent cx="7164070" cy="419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873" w:right="35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260" w:type="dxa"/>
            <w:vAlign w:val="bottom"/>
            <w:gridSpan w:val="9"/>
          </w:tcPr>
          <w:p>
            <w:pPr>
              <w:ind w:left="80"/>
              <w:spacing w:after="0"/>
              <w:rPr>
                <w:sz w:val="20"/>
                <w:szCs w:val="20"/>
                <w:color w:val="auto"/>
              </w:rPr>
            </w:pPr>
            <w:r>
              <w:rPr>
                <w:rFonts w:ascii="Arial" w:cs="Arial" w:eastAsia="Arial" w:hAnsi="Arial"/>
                <w:sz w:val="17"/>
                <w:szCs w:val="17"/>
                <w:b w:val="1"/>
                <w:bCs w:val="1"/>
                <w:color w:val="auto"/>
              </w:rPr>
              <w:t>TABLE OF CONTENTS</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5"/>
        </w:trPr>
        <w:tc>
          <w:tcPr>
            <w:tcW w:w="1020" w:type="dxa"/>
            <w:vAlign w:val="bottom"/>
            <w:gridSpan w:val="5"/>
            <w:vMerge w:val="restart"/>
          </w:tcPr>
          <w:p>
            <w:pPr>
              <w:spacing w:after="0"/>
              <w:rPr>
                <w:sz w:val="20"/>
                <w:szCs w:val="20"/>
                <w:color w:val="auto"/>
              </w:rPr>
            </w:pPr>
            <w:r>
              <w:rPr>
                <w:rFonts w:ascii="Arial" w:cs="Arial" w:eastAsia="Arial" w:hAnsi="Arial"/>
                <w:sz w:val="17"/>
                <w:szCs w:val="17"/>
                <w:color w:val="auto"/>
              </w:rPr>
              <w:t>PART I.</w:t>
            </w: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gridSpan w:val="5"/>
          </w:tcPr>
          <w:p>
            <w:pPr>
              <w:ind w:left="320"/>
              <w:spacing w:after="0"/>
              <w:rPr>
                <w:sz w:val="20"/>
                <w:szCs w:val="20"/>
                <w:color w:val="auto"/>
              </w:rPr>
            </w:pPr>
            <w:r>
              <w:rPr>
                <w:rFonts w:ascii="Arial" w:cs="Arial" w:eastAsia="Arial" w:hAnsi="Arial"/>
                <w:sz w:val="17"/>
                <w:szCs w:val="17"/>
                <w:color w:val="auto"/>
                <w:w w:val="95"/>
              </w:rPr>
              <w:t>Page</w:t>
            </w:r>
          </w:p>
        </w:tc>
        <w:tc>
          <w:tcPr>
            <w:tcW w:w="0" w:type="dxa"/>
            <w:vAlign w:val="bottom"/>
          </w:tcPr>
          <w:p>
            <w:pPr>
              <w:spacing w:after="0"/>
              <w:rPr>
                <w:sz w:val="1"/>
                <w:szCs w:val="1"/>
                <w:color w:val="auto"/>
              </w:rPr>
            </w:pPr>
          </w:p>
        </w:tc>
      </w:tr>
      <w:tr>
        <w:trPr>
          <w:trHeight w:val="213"/>
        </w:trPr>
        <w:tc>
          <w:tcPr>
            <w:tcW w:w="1020" w:type="dxa"/>
            <w:vAlign w:val="bottom"/>
            <w:gridSpan w:val="5"/>
            <w:vMerge w:val="continue"/>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520" w:type="dxa"/>
            <w:vAlign w:val="bottom"/>
          </w:tcPr>
          <w:p>
            <w:pPr>
              <w:spacing w:after="0" w:line="185" w:lineRule="exact"/>
              <w:rPr>
                <w:sz w:val="20"/>
                <w:szCs w:val="20"/>
                <w:color w:val="auto"/>
              </w:rPr>
            </w:pPr>
            <w:r>
              <w:rPr>
                <w:rFonts w:ascii="Arial" w:cs="Arial" w:eastAsia="Arial" w:hAnsi="Arial"/>
                <w:sz w:val="17"/>
                <w:szCs w:val="17"/>
                <w:color w:val="0000FF"/>
                <w:w w:val="96"/>
              </w:rPr>
              <w:t>Item 1.</w:t>
            </w:r>
          </w:p>
        </w:tc>
        <w:tc>
          <w:tcPr>
            <w:tcW w:w="500" w:type="dxa"/>
            <w:vAlign w:val="bottom"/>
            <w:gridSpan w:val="4"/>
          </w:tcPr>
          <w:p>
            <w:pPr>
              <w:spacing w:after="0"/>
              <w:rPr>
                <w:sz w:val="16"/>
                <w:szCs w:val="16"/>
                <w:color w:val="auto"/>
              </w:rPr>
            </w:pPr>
          </w:p>
        </w:tc>
        <w:tc>
          <w:tcPr>
            <w:tcW w:w="8820" w:type="dxa"/>
            <w:vAlign w:val="bottom"/>
            <w:gridSpan w:val="22"/>
          </w:tcPr>
          <w:p>
            <w:pPr>
              <w:spacing w:after="0" w:line="185" w:lineRule="exact"/>
              <w:rPr>
                <w:sz w:val="20"/>
                <w:szCs w:val="20"/>
                <w:color w:val="auto"/>
              </w:rPr>
            </w:pPr>
            <w:r>
              <w:rPr>
                <w:rFonts w:ascii="Arial" w:cs="Arial" w:eastAsia="Arial" w:hAnsi="Arial"/>
                <w:sz w:val="17"/>
                <w:szCs w:val="17"/>
                <w:color w:val="0000FF"/>
              </w:rPr>
              <w:t>Business</w:t>
            </w:r>
          </w:p>
        </w:tc>
        <w:tc>
          <w:tcPr>
            <w:tcW w:w="520" w:type="dxa"/>
            <w:vAlign w:val="bottom"/>
            <w:gridSpan w:val="3"/>
          </w:tcPr>
          <w:p>
            <w:pPr>
              <w:ind w:left="320"/>
              <w:spacing w:after="0" w:line="185" w:lineRule="exact"/>
              <w:rPr>
                <w:sz w:val="20"/>
                <w:szCs w:val="20"/>
                <w:color w:val="auto"/>
              </w:rPr>
            </w:pPr>
            <w:r>
              <w:rPr>
                <w:rFonts w:ascii="Arial" w:cs="Arial" w:eastAsia="Arial" w:hAnsi="Arial"/>
                <w:sz w:val="17"/>
                <w:szCs w:val="17"/>
                <w:color w:val="0000FF"/>
              </w:rPr>
              <w:t>8</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640" w:type="dxa"/>
            <w:vAlign w:val="bottom"/>
            <w:tcBorders>
              <w:bottom w:val="single" w:sz="8" w:color="0000FF"/>
            </w:tcBorders>
            <w:gridSpan w:val="3"/>
          </w:tcPr>
          <w:p>
            <w:pPr>
              <w:spacing w:after="0"/>
              <w:rPr>
                <w:sz w:val="20"/>
                <w:szCs w:val="20"/>
                <w:color w:val="auto"/>
              </w:rPr>
            </w:pPr>
            <w:r>
              <w:rPr>
                <w:rFonts w:ascii="Arial" w:cs="Arial" w:eastAsia="Arial" w:hAnsi="Arial"/>
                <w:sz w:val="17"/>
                <w:szCs w:val="17"/>
                <w:color w:val="0000FF"/>
                <w:w w:val="94"/>
              </w:rPr>
              <w:t>Item 1A.</w:t>
            </w:r>
          </w:p>
        </w:tc>
        <w:tc>
          <w:tcPr>
            <w:tcW w:w="380" w:type="dxa"/>
            <w:vAlign w:val="bottom"/>
            <w:gridSpan w:val="2"/>
          </w:tcPr>
          <w:p>
            <w:pPr>
              <w:spacing w:after="0"/>
              <w:rPr>
                <w:sz w:val="17"/>
                <w:szCs w:val="17"/>
                <w:color w:val="auto"/>
              </w:rPr>
            </w:pPr>
          </w:p>
        </w:tc>
        <w:tc>
          <w:tcPr>
            <w:tcW w:w="960" w:type="dxa"/>
            <w:vAlign w:val="bottom"/>
            <w:tcBorders>
              <w:bottom w:val="single" w:sz="8" w:color="0000FF"/>
            </w:tcBorders>
            <w:gridSpan w:val="3"/>
          </w:tcPr>
          <w:p>
            <w:pPr>
              <w:spacing w:after="0"/>
              <w:rPr>
                <w:sz w:val="20"/>
                <w:szCs w:val="20"/>
                <w:color w:val="auto"/>
              </w:rPr>
            </w:pPr>
            <w:r>
              <w:rPr>
                <w:rFonts w:ascii="Arial" w:cs="Arial" w:eastAsia="Arial" w:hAnsi="Arial"/>
                <w:sz w:val="17"/>
                <w:szCs w:val="17"/>
                <w:color w:val="0000FF"/>
                <w:w w:val="99"/>
              </w:rPr>
              <w:t>Risk Factors</w:t>
            </w:r>
          </w:p>
        </w:tc>
        <w:tc>
          <w:tcPr>
            <w:tcW w:w="7860" w:type="dxa"/>
            <w:vAlign w:val="bottom"/>
            <w:gridSpan w:val="19"/>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Borders>
              <w:bottom w:val="single" w:sz="8" w:color="0000FF"/>
            </w:tcBorders>
            <w:gridSpan w:val="2"/>
          </w:tcPr>
          <w:p>
            <w:pPr>
              <w:spacing w:after="0"/>
              <w:rPr>
                <w:sz w:val="20"/>
                <w:szCs w:val="20"/>
                <w:color w:val="auto"/>
              </w:rPr>
            </w:pPr>
            <w:r>
              <w:rPr>
                <w:rFonts w:ascii="Arial" w:cs="Arial" w:eastAsia="Arial" w:hAnsi="Arial"/>
                <w:sz w:val="17"/>
                <w:szCs w:val="17"/>
                <w:color w:val="0000FF"/>
                <w:w w:val="94"/>
              </w:rPr>
              <w:t>20</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640" w:type="dxa"/>
            <w:vAlign w:val="bottom"/>
            <w:gridSpan w:val="3"/>
          </w:tcPr>
          <w:p>
            <w:pPr>
              <w:spacing w:after="0"/>
              <w:rPr>
                <w:sz w:val="20"/>
                <w:szCs w:val="20"/>
                <w:color w:val="auto"/>
              </w:rPr>
            </w:pPr>
            <w:r>
              <w:rPr>
                <w:rFonts w:ascii="Arial" w:cs="Arial" w:eastAsia="Arial" w:hAnsi="Arial"/>
                <w:sz w:val="17"/>
                <w:szCs w:val="17"/>
                <w:color w:val="0000FF"/>
                <w:w w:val="94"/>
              </w:rPr>
              <w:t>Item 1B.</w:t>
            </w:r>
          </w:p>
        </w:tc>
        <w:tc>
          <w:tcPr>
            <w:tcW w:w="380" w:type="dxa"/>
            <w:vAlign w:val="bottom"/>
            <w:gridSpan w:val="2"/>
          </w:tcPr>
          <w:p>
            <w:pPr>
              <w:spacing w:after="0"/>
              <w:rPr>
                <w:sz w:val="17"/>
                <w:szCs w:val="17"/>
                <w:color w:val="auto"/>
              </w:rPr>
            </w:pPr>
          </w:p>
        </w:tc>
        <w:tc>
          <w:tcPr>
            <w:tcW w:w="8820" w:type="dxa"/>
            <w:vAlign w:val="bottom"/>
            <w:gridSpan w:val="22"/>
          </w:tcPr>
          <w:p>
            <w:pPr>
              <w:spacing w:after="0"/>
              <w:rPr>
                <w:sz w:val="20"/>
                <w:szCs w:val="20"/>
                <w:color w:val="auto"/>
              </w:rPr>
            </w:pPr>
            <w:r>
              <w:rPr>
                <w:rFonts w:ascii="Arial" w:cs="Arial" w:eastAsia="Arial" w:hAnsi="Arial"/>
                <w:sz w:val="17"/>
                <w:szCs w:val="17"/>
                <w:color w:val="0000FF"/>
              </w:rPr>
              <w:t>Unresolved Staff Comments</w:t>
            </w:r>
          </w:p>
        </w:tc>
        <w:tc>
          <w:tcPr>
            <w:tcW w:w="600" w:type="dxa"/>
            <w:vAlign w:val="bottom"/>
            <w:gridSpan w:val="4"/>
          </w:tcPr>
          <w:p>
            <w:pPr>
              <w:ind w:left="320"/>
              <w:spacing w:after="0"/>
              <w:rPr>
                <w:sz w:val="20"/>
                <w:szCs w:val="20"/>
                <w:color w:val="auto"/>
              </w:rPr>
            </w:pPr>
            <w:r>
              <w:rPr>
                <w:rFonts w:ascii="Arial" w:cs="Arial" w:eastAsia="Arial" w:hAnsi="Arial"/>
                <w:sz w:val="17"/>
                <w:szCs w:val="17"/>
                <w:color w:val="0000FF"/>
              </w:rPr>
              <w:t>45</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0" w:type="dxa"/>
            <w:vAlign w:val="bottom"/>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Borders>
              <w:right w:val="single" w:sz="8" w:color="0000FF"/>
            </w:tcBorders>
            <w:gridSpan w:val="2"/>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1020" w:type="dxa"/>
            <w:vAlign w:val="bottom"/>
            <w:gridSpan w:val="5"/>
          </w:tcPr>
          <w:p>
            <w:pPr>
              <w:spacing w:after="0"/>
              <w:rPr>
                <w:sz w:val="20"/>
                <w:szCs w:val="20"/>
                <w:color w:val="auto"/>
              </w:rPr>
            </w:pPr>
            <w:r>
              <w:rPr>
                <w:rFonts w:ascii="Arial" w:cs="Arial" w:eastAsia="Arial" w:hAnsi="Arial"/>
                <w:sz w:val="17"/>
                <w:szCs w:val="17"/>
                <w:color w:val="0000FF"/>
              </w:rPr>
              <w:t>Item 1C.</w:t>
            </w:r>
          </w:p>
        </w:tc>
        <w:tc>
          <w:tcPr>
            <w:tcW w:w="8820" w:type="dxa"/>
            <w:vAlign w:val="bottom"/>
            <w:gridSpan w:val="22"/>
          </w:tcPr>
          <w:p>
            <w:pPr>
              <w:spacing w:after="0"/>
              <w:rPr>
                <w:sz w:val="20"/>
                <w:szCs w:val="20"/>
                <w:color w:val="auto"/>
              </w:rPr>
            </w:pPr>
            <w:r>
              <w:rPr>
                <w:rFonts w:ascii="Arial" w:cs="Arial" w:eastAsia="Arial" w:hAnsi="Arial"/>
                <w:sz w:val="17"/>
                <w:szCs w:val="17"/>
                <w:color w:val="0000FF"/>
              </w:rPr>
              <w:t>Cybersecurity</w:t>
            </w:r>
          </w:p>
        </w:tc>
        <w:tc>
          <w:tcPr>
            <w:tcW w:w="600" w:type="dxa"/>
            <w:vAlign w:val="bottom"/>
            <w:gridSpan w:val="4"/>
          </w:tcPr>
          <w:p>
            <w:pPr>
              <w:ind w:left="320"/>
              <w:spacing w:after="0"/>
              <w:rPr>
                <w:sz w:val="20"/>
                <w:szCs w:val="20"/>
                <w:color w:val="auto"/>
              </w:rPr>
            </w:pPr>
            <w:r>
              <w:rPr>
                <w:rFonts w:ascii="Arial" w:cs="Arial" w:eastAsia="Arial" w:hAnsi="Arial"/>
                <w:sz w:val="17"/>
                <w:szCs w:val="17"/>
                <w:color w:val="0000FF"/>
              </w:rPr>
              <w:t>45</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520" w:type="dxa"/>
            <w:vAlign w:val="bottom"/>
            <w:tcBorders>
              <w:top w:val="single" w:sz="8" w:color="0000FF"/>
            </w:tcBorders>
          </w:tcPr>
          <w:p>
            <w:pPr>
              <w:spacing w:after="0"/>
              <w:rPr>
                <w:sz w:val="20"/>
                <w:szCs w:val="20"/>
                <w:color w:val="auto"/>
              </w:rPr>
            </w:pPr>
            <w:r>
              <w:rPr>
                <w:rFonts w:ascii="Arial" w:cs="Arial" w:eastAsia="Arial" w:hAnsi="Arial"/>
                <w:sz w:val="17"/>
                <w:szCs w:val="17"/>
                <w:color w:val="0000FF"/>
                <w:w w:val="96"/>
              </w:rPr>
              <w:t>Item 2.</w:t>
            </w:r>
          </w:p>
        </w:tc>
        <w:tc>
          <w:tcPr>
            <w:tcW w:w="120" w:type="dxa"/>
            <w:vAlign w:val="bottom"/>
            <w:tcBorders>
              <w:top w:val="single" w:sz="8" w:color="0000FF"/>
            </w:tcBorders>
            <w:gridSpan w:val="2"/>
          </w:tcPr>
          <w:p>
            <w:pPr>
              <w:spacing w:after="0"/>
              <w:rPr>
                <w:sz w:val="17"/>
                <w:szCs w:val="17"/>
                <w:color w:val="auto"/>
              </w:rPr>
            </w:pPr>
          </w:p>
        </w:tc>
        <w:tc>
          <w:tcPr>
            <w:tcW w:w="380" w:type="dxa"/>
            <w:vAlign w:val="bottom"/>
            <w:gridSpan w:val="2"/>
          </w:tcPr>
          <w:p>
            <w:pPr>
              <w:spacing w:after="0"/>
              <w:rPr>
                <w:sz w:val="17"/>
                <w:szCs w:val="17"/>
                <w:color w:val="auto"/>
              </w:rPr>
            </w:pPr>
          </w:p>
        </w:tc>
        <w:tc>
          <w:tcPr>
            <w:tcW w:w="1060" w:type="dxa"/>
            <w:vAlign w:val="bottom"/>
            <w:tcBorders>
              <w:top w:val="single" w:sz="8" w:color="0000FF"/>
            </w:tcBorders>
            <w:gridSpan w:val="4"/>
          </w:tcPr>
          <w:p>
            <w:pPr>
              <w:spacing w:after="0"/>
              <w:rPr>
                <w:sz w:val="20"/>
                <w:szCs w:val="20"/>
                <w:color w:val="auto"/>
              </w:rPr>
            </w:pPr>
            <w:r>
              <w:rPr>
                <w:rFonts w:ascii="Arial" w:cs="Arial" w:eastAsia="Arial" w:hAnsi="Arial"/>
                <w:sz w:val="17"/>
                <w:szCs w:val="17"/>
                <w:color w:val="0000FF"/>
              </w:rPr>
              <w:t>Properties</w:t>
            </w:r>
          </w:p>
        </w:tc>
        <w:tc>
          <w:tcPr>
            <w:tcW w:w="7760" w:type="dxa"/>
            <w:vAlign w:val="bottom"/>
            <w:gridSpan w:val="18"/>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Borders>
              <w:top w:val="single" w:sz="8" w:color="0000FF"/>
            </w:tcBorders>
            <w:gridSpan w:val="2"/>
          </w:tcPr>
          <w:p>
            <w:pPr>
              <w:spacing w:after="0"/>
              <w:rPr>
                <w:sz w:val="20"/>
                <w:szCs w:val="20"/>
                <w:color w:val="auto"/>
              </w:rPr>
            </w:pPr>
            <w:r>
              <w:rPr>
                <w:rFonts w:ascii="Arial" w:cs="Arial" w:eastAsia="Arial" w:hAnsi="Arial"/>
                <w:sz w:val="17"/>
                <w:szCs w:val="17"/>
                <w:color w:val="0000FF"/>
                <w:w w:val="94"/>
              </w:rPr>
              <w:t>46</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520" w:type="dxa"/>
            <w:vAlign w:val="bottom"/>
          </w:tcPr>
          <w:p>
            <w:pPr>
              <w:spacing w:after="0"/>
              <w:rPr>
                <w:sz w:val="20"/>
                <w:szCs w:val="20"/>
                <w:color w:val="auto"/>
              </w:rPr>
            </w:pPr>
            <w:r>
              <w:rPr>
                <w:rFonts w:ascii="Arial" w:cs="Arial" w:eastAsia="Arial" w:hAnsi="Arial"/>
                <w:sz w:val="17"/>
                <w:szCs w:val="17"/>
                <w:color w:val="0000FF"/>
                <w:w w:val="96"/>
              </w:rPr>
              <w:t>Item 3.</w:t>
            </w:r>
          </w:p>
        </w:tc>
        <w:tc>
          <w:tcPr>
            <w:tcW w:w="500" w:type="dxa"/>
            <w:vAlign w:val="bottom"/>
            <w:gridSpan w:val="4"/>
          </w:tcPr>
          <w:p>
            <w:pPr>
              <w:spacing w:after="0"/>
              <w:rPr>
                <w:sz w:val="17"/>
                <w:szCs w:val="17"/>
                <w:color w:val="auto"/>
              </w:rPr>
            </w:pPr>
          </w:p>
        </w:tc>
        <w:tc>
          <w:tcPr>
            <w:tcW w:w="8820" w:type="dxa"/>
            <w:vAlign w:val="bottom"/>
            <w:gridSpan w:val="22"/>
          </w:tcPr>
          <w:p>
            <w:pPr>
              <w:spacing w:after="0"/>
              <w:rPr>
                <w:sz w:val="20"/>
                <w:szCs w:val="20"/>
                <w:color w:val="auto"/>
              </w:rPr>
            </w:pPr>
            <w:r>
              <w:rPr>
                <w:rFonts w:ascii="Arial" w:cs="Arial" w:eastAsia="Arial" w:hAnsi="Arial"/>
                <w:sz w:val="17"/>
                <w:szCs w:val="17"/>
                <w:color w:val="0000FF"/>
              </w:rPr>
              <w:t>Legal Proceedings</w:t>
            </w:r>
          </w:p>
        </w:tc>
        <w:tc>
          <w:tcPr>
            <w:tcW w:w="600" w:type="dxa"/>
            <w:vAlign w:val="bottom"/>
            <w:gridSpan w:val="4"/>
          </w:tcPr>
          <w:p>
            <w:pPr>
              <w:ind w:left="320"/>
              <w:spacing w:after="0"/>
              <w:rPr>
                <w:sz w:val="20"/>
                <w:szCs w:val="20"/>
                <w:color w:val="auto"/>
              </w:rPr>
            </w:pPr>
            <w:r>
              <w:rPr>
                <w:rFonts w:ascii="Arial" w:cs="Arial" w:eastAsia="Arial" w:hAnsi="Arial"/>
                <w:sz w:val="17"/>
                <w:szCs w:val="17"/>
                <w:color w:val="0000FF"/>
              </w:rPr>
              <w:t>46</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520" w:type="dxa"/>
            <w:vAlign w:val="bottom"/>
          </w:tcPr>
          <w:p>
            <w:pPr>
              <w:spacing w:after="0"/>
              <w:rPr>
                <w:sz w:val="20"/>
                <w:szCs w:val="20"/>
                <w:color w:val="auto"/>
              </w:rPr>
            </w:pPr>
            <w:r>
              <w:rPr>
                <w:rFonts w:ascii="Arial" w:cs="Arial" w:eastAsia="Arial" w:hAnsi="Arial"/>
                <w:sz w:val="17"/>
                <w:szCs w:val="17"/>
                <w:color w:val="0000FF"/>
                <w:w w:val="96"/>
              </w:rPr>
              <w:t>Item 4.</w:t>
            </w:r>
          </w:p>
        </w:tc>
        <w:tc>
          <w:tcPr>
            <w:tcW w:w="500" w:type="dxa"/>
            <w:vAlign w:val="bottom"/>
            <w:gridSpan w:val="4"/>
          </w:tcPr>
          <w:p>
            <w:pPr>
              <w:spacing w:after="0"/>
              <w:rPr>
                <w:sz w:val="17"/>
                <w:szCs w:val="17"/>
                <w:color w:val="auto"/>
              </w:rPr>
            </w:pPr>
          </w:p>
        </w:tc>
        <w:tc>
          <w:tcPr>
            <w:tcW w:w="8820" w:type="dxa"/>
            <w:vAlign w:val="bottom"/>
            <w:gridSpan w:val="22"/>
          </w:tcPr>
          <w:p>
            <w:pPr>
              <w:spacing w:after="0"/>
              <w:rPr>
                <w:sz w:val="20"/>
                <w:szCs w:val="20"/>
                <w:color w:val="auto"/>
              </w:rPr>
            </w:pPr>
            <w:r>
              <w:rPr>
                <w:rFonts w:ascii="Arial" w:cs="Arial" w:eastAsia="Arial" w:hAnsi="Arial"/>
                <w:sz w:val="17"/>
                <w:szCs w:val="17"/>
                <w:color w:val="0000FF"/>
              </w:rPr>
              <w:t>Mine Safety Disclosures</w:t>
            </w:r>
          </w:p>
        </w:tc>
        <w:tc>
          <w:tcPr>
            <w:tcW w:w="600" w:type="dxa"/>
            <w:vAlign w:val="bottom"/>
            <w:gridSpan w:val="4"/>
          </w:tcPr>
          <w:p>
            <w:pPr>
              <w:ind w:left="320"/>
              <w:spacing w:after="0"/>
              <w:rPr>
                <w:sz w:val="20"/>
                <w:szCs w:val="20"/>
                <w:color w:val="auto"/>
              </w:rPr>
            </w:pPr>
            <w:r>
              <w:rPr>
                <w:rFonts w:ascii="Arial" w:cs="Arial" w:eastAsia="Arial" w:hAnsi="Arial"/>
                <w:sz w:val="17"/>
                <w:szCs w:val="17"/>
                <w:color w:val="0000FF"/>
              </w:rPr>
              <w:t>46</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1020" w:type="dxa"/>
            <w:vAlign w:val="bottom"/>
            <w:gridSpan w:val="5"/>
          </w:tcPr>
          <w:p>
            <w:pPr>
              <w:spacing w:after="0"/>
              <w:rPr>
                <w:sz w:val="20"/>
                <w:szCs w:val="20"/>
                <w:color w:val="auto"/>
              </w:rPr>
            </w:pPr>
            <w:r>
              <w:rPr>
                <w:rFonts w:ascii="Arial" w:cs="Arial" w:eastAsia="Arial" w:hAnsi="Arial"/>
                <w:sz w:val="17"/>
                <w:szCs w:val="17"/>
                <w:color w:val="auto"/>
              </w:rPr>
              <w:t>PART II.</w:t>
            </w: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4"/>
        </w:trPr>
        <w:tc>
          <w:tcPr>
            <w:tcW w:w="520" w:type="dxa"/>
            <w:vAlign w:val="bottom"/>
            <w:tcBorders>
              <w:bottom w:val="single" w:sz="8" w:color="0000FF"/>
            </w:tcBorders>
          </w:tcPr>
          <w:p>
            <w:pPr>
              <w:spacing w:after="0" w:line="185" w:lineRule="exact"/>
              <w:rPr>
                <w:sz w:val="20"/>
                <w:szCs w:val="20"/>
                <w:color w:val="auto"/>
              </w:rPr>
            </w:pPr>
            <w:r>
              <w:rPr>
                <w:rFonts w:ascii="Arial" w:cs="Arial" w:eastAsia="Arial" w:hAnsi="Arial"/>
                <w:sz w:val="17"/>
                <w:szCs w:val="17"/>
                <w:color w:val="0000FF"/>
                <w:w w:val="96"/>
              </w:rPr>
              <w:t>Item 5.</w:t>
            </w:r>
          </w:p>
        </w:tc>
        <w:tc>
          <w:tcPr>
            <w:tcW w:w="500" w:type="dxa"/>
            <w:vAlign w:val="bottom"/>
            <w:gridSpan w:val="4"/>
          </w:tcPr>
          <w:p>
            <w:pPr>
              <w:spacing w:after="0"/>
              <w:rPr>
                <w:sz w:val="16"/>
                <w:szCs w:val="16"/>
                <w:color w:val="auto"/>
              </w:rPr>
            </w:pPr>
          </w:p>
        </w:tc>
        <w:tc>
          <w:tcPr>
            <w:tcW w:w="8480" w:type="dxa"/>
            <w:vAlign w:val="bottom"/>
            <w:tcBorders>
              <w:bottom w:val="single" w:sz="8" w:color="0000FF"/>
            </w:tcBorders>
            <w:gridSpan w:val="21"/>
          </w:tcPr>
          <w:p>
            <w:pPr>
              <w:spacing w:after="0" w:line="185" w:lineRule="exact"/>
              <w:rPr>
                <w:sz w:val="20"/>
                <w:szCs w:val="20"/>
                <w:color w:val="auto"/>
              </w:rPr>
            </w:pPr>
            <w:r>
              <w:rPr>
                <w:rFonts w:ascii="Arial" w:cs="Arial" w:eastAsia="Arial" w:hAnsi="Arial"/>
                <w:sz w:val="17"/>
                <w:szCs w:val="17"/>
                <w:color w:val="0000FF"/>
              </w:rPr>
              <w:t>Market for Registrant’s Common Equity, Related Stockholder Matters and Issuer Purchases of Equity Securities</w:t>
            </w:r>
          </w:p>
        </w:tc>
        <w:tc>
          <w:tcPr>
            <w:tcW w:w="3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0" w:type="dxa"/>
            <w:vAlign w:val="bottom"/>
            <w:tcBorders>
              <w:bottom w:val="single" w:sz="8" w:color="0000FF"/>
            </w:tcBorders>
            <w:gridSpan w:val="2"/>
          </w:tcPr>
          <w:p>
            <w:pPr>
              <w:spacing w:after="0" w:line="185" w:lineRule="exact"/>
              <w:rPr>
                <w:sz w:val="20"/>
                <w:szCs w:val="20"/>
                <w:color w:val="auto"/>
              </w:rPr>
            </w:pPr>
            <w:r>
              <w:rPr>
                <w:rFonts w:ascii="Arial" w:cs="Arial" w:eastAsia="Arial" w:hAnsi="Arial"/>
                <w:sz w:val="17"/>
                <w:szCs w:val="17"/>
                <w:color w:val="0000FF"/>
                <w:w w:val="94"/>
              </w:rPr>
              <w:t>47</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520" w:type="dxa"/>
            <w:vAlign w:val="bottom"/>
            <w:tcBorders>
              <w:bottom w:val="single" w:sz="8" w:color="0000FF"/>
            </w:tcBorders>
          </w:tcPr>
          <w:p>
            <w:pPr>
              <w:spacing w:after="0"/>
              <w:rPr>
                <w:sz w:val="20"/>
                <w:szCs w:val="20"/>
                <w:color w:val="auto"/>
              </w:rPr>
            </w:pPr>
            <w:r>
              <w:rPr>
                <w:rFonts w:ascii="Arial" w:cs="Arial" w:eastAsia="Arial" w:hAnsi="Arial"/>
                <w:sz w:val="17"/>
                <w:szCs w:val="17"/>
                <w:color w:val="0000FF"/>
                <w:w w:val="96"/>
              </w:rPr>
              <w:t>Item 6.</w:t>
            </w:r>
          </w:p>
        </w:tc>
        <w:tc>
          <w:tcPr>
            <w:tcW w:w="500" w:type="dxa"/>
            <w:vAlign w:val="bottom"/>
            <w:gridSpan w:val="4"/>
          </w:tcPr>
          <w:p>
            <w:pPr>
              <w:spacing w:after="0"/>
              <w:rPr>
                <w:sz w:val="17"/>
                <w:szCs w:val="17"/>
                <w:color w:val="auto"/>
              </w:rPr>
            </w:pPr>
          </w:p>
        </w:tc>
        <w:tc>
          <w:tcPr>
            <w:tcW w:w="780" w:type="dxa"/>
            <w:vAlign w:val="bottom"/>
            <w:tcBorders>
              <w:bottom w:val="single" w:sz="8" w:color="0000FF"/>
            </w:tcBorders>
            <w:gridSpan w:val="2"/>
          </w:tcPr>
          <w:p>
            <w:pPr>
              <w:spacing w:after="0"/>
              <w:rPr>
                <w:sz w:val="20"/>
                <w:szCs w:val="20"/>
                <w:color w:val="auto"/>
              </w:rPr>
            </w:pPr>
            <w:r>
              <w:rPr>
                <w:rFonts w:ascii="Arial" w:cs="Arial" w:eastAsia="Arial" w:hAnsi="Arial"/>
                <w:sz w:val="17"/>
                <w:szCs w:val="17"/>
                <w:color w:val="0000FF"/>
              </w:rPr>
              <w:t>Reserved</w:t>
            </w:r>
          </w:p>
        </w:tc>
        <w:tc>
          <w:tcPr>
            <w:tcW w:w="8040" w:type="dxa"/>
            <w:vAlign w:val="bottom"/>
            <w:gridSpan w:val="20"/>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Borders>
              <w:bottom w:val="single" w:sz="8" w:color="0000FF"/>
            </w:tcBorders>
            <w:gridSpan w:val="2"/>
          </w:tcPr>
          <w:p>
            <w:pPr>
              <w:spacing w:after="0"/>
              <w:rPr>
                <w:sz w:val="20"/>
                <w:szCs w:val="20"/>
                <w:color w:val="auto"/>
              </w:rPr>
            </w:pPr>
            <w:r>
              <w:rPr>
                <w:rFonts w:ascii="Arial" w:cs="Arial" w:eastAsia="Arial" w:hAnsi="Arial"/>
                <w:sz w:val="17"/>
                <w:szCs w:val="17"/>
                <w:color w:val="0000FF"/>
                <w:w w:val="94"/>
              </w:rPr>
              <w:t>47</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520" w:type="dxa"/>
            <w:vAlign w:val="bottom"/>
          </w:tcPr>
          <w:p>
            <w:pPr>
              <w:spacing w:after="0"/>
              <w:rPr>
                <w:sz w:val="20"/>
                <w:szCs w:val="20"/>
                <w:color w:val="auto"/>
              </w:rPr>
            </w:pPr>
            <w:r>
              <w:rPr>
                <w:rFonts w:ascii="Arial" w:cs="Arial" w:eastAsia="Arial" w:hAnsi="Arial"/>
                <w:sz w:val="17"/>
                <w:szCs w:val="17"/>
                <w:color w:val="0000FF"/>
                <w:w w:val="96"/>
              </w:rPr>
              <w:t>Item 7.</w:t>
            </w:r>
          </w:p>
        </w:tc>
        <w:tc>
          <w:tcPr>
            <w:tcW w:w="500" w:type="dxa"/>
            <w:vAlign w:val="bottom"/>
            <w:gridSpan w:val="4"/>
          </w:tcPr>
          <w:p>
            <w:pPr>
              <w:spacing w:after="0"/>
              <w:rPr>
                <w:sz w:val="17"/>
                <w:szCs w:val="17"/>
                <w:color w:val="auto"/>
              </w:rPr>
            </w:pPr>
          </w:p>
        </w:tc>
        <w:tc>
          <w:tcPr>
            <w:tcW w:w="8820" w:type="dxa"/>
            <w:vAlign w:val="bottom"/>
            <w:gridSpan w:val="22"/>
          </w:tcPr>
          <w:p>
            <w:pPr>
              <w:spacing w:after="0"/>
              <w:rPr>
                <w:sz w:val="20"/>
                <w:szCs w:val="20"/>
                <w:color w:val="auto"/>
              </w:rPr>
            </w:pPr>
            <w:r>
              <w:rPr>
                <w:rFonts w:ascii="Arial" w:cs="Arial" w:eastAsia="Arial" w:hAnsi="Arial"/>
                <w:sz w:val="17"/>
                <w:szCs w:val="17"/>
                <w:color w:val="0000FF"/>
              </w:rPr>
              <w:t>Management’s Discussion and Analysis of Financial Condition and Results of Operations</w:t>
            </w:r>
          </w:p>
        </w:tc>
        <w:tc>
          <w:tcPr>
            <w:tcW w:w="600" w:type="dxa"/>
            <w:vAlign w:val="bottom"/>
            <w:gridSpan w:val="4"/>
          </w:tcPr>
          <w:p>
            <w:pPr>
              <w:ind w:left="320"/>
              <w:spacing w:after="0"/>
              <w:rPr>
                <w:sz w:val="20"/>
                <w:szCs w:val="20"/>
                <w:color w:val="auto"/>
              </w:rPr>
            </w:pPr>
            <w:r>
              <w:rPr>
                <w:rFonts w:ascii="Arial" w:cs="Arial" w:eastAsia="Arial" w:hAnsi="Arial"/>
                <w:sz w:val="17"/>
                <w:szCs w:val="17"/>
                <w:color w:val="0000FF"/>
              </w:rPr>
              <w:t>48</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640" w:type="dxa"/>
            <w:vAlign w:val="bottom"/>
            <w:gridSpan w:val="3"/>
          </w:tcPr>
          <w:p>
            <w:pPr>
              <w:spacing w:after="0"/>
              <w:rPr>
                <w:sz w:val="20"/>
                <w:szCs w:val="20"/>
                <w:color w:val="auto"/>
              </w:rPr>
            </w:pPr>
            <w:r>
              <w:rPr>
                <w:rFonts w:ascii="Arial" w:cs="Arial" w:eastAsia="Arial" w:hAnsi="Arial"/>
                <w:sz w:val="17"/>
                <w:szCs w:val="17"/>
                <w:color w:val="0000FF"/>
                <w:w w:val="94"/>
              </w:rPr>
              <w:t>Item 7A.</w:t>
            </w:r>
          </w:p>
        </w:tc>
        <w:tc>
          <w:tcPr>
            <w:tcW w:w="380" w:type="dxa"/>
            <w:vAlign w:val="bottom"/>
            <w:gridSpan w:val="2"/>
          </w:tcPr>
          <w:p>
            <w:pPr>
              <w:spacing w:after="0"/>
              <w:rPr>
                <w:sz w:val="17"/>
                <w:szCs w:val="17"/>
                <w:color w:val="auto"/>
              </w:rPr>
            </w:pPr>
          </w:p>
        </w:tc>
        <w:tc>
          <w:tcPr>
            <w:tcW w:w="8820" w:type="dxa"/>
            <w:vAlign w:val="bottom"/>
            <w:gridSpan w:val="22"/>
          </w:tcPr>
          <w:p>
            <w:pPr>
              <w:spacing w:after="0"/>
              <w:rPr>
                <w:sz w:val="20"/>
                <w:szCs w:val="20"/>
                <w:color w:val="auto"/>
              </w:rPr>
            </w:pPr>
            <w:r>
              <w:rPr>
                <w:rFonts w:ascii="Arial" w:cs="Arial" w:eastAsia="Arial" w:hAnsi="Arial"/>
                <w:sz w:val="17"/>
                <w:szCs w:val="17"/>
                <w:color w:val="0000FF"/>
              </w:rPr>
              <w:t>Quantitative and Qualitative Disclosures about Market Risk</w:t>
            </w:r>
          </w:p>
        </w:tc>
        <w:tc>
          <w:tcPr>
            <w:tcW w:w="600" w:type="dxa"/>
            <w:vAlign w:val="bottom"/>
            <w:gridSpan w:val="4"/>
          </w:tcPr>
          <w:p>
            <w:pPr>
              <w:ind w:left="320"/>
              <w:spacing w:after="0"/>
              <w:rPr>
                <w:sz w:val="20"/>
                <w:szCs w:val="20"/>
                <w:color w:val="auto"/>
              </w:rPr>
            </w:pPr>
            <w:r>
              <w:rPr>
                <w:rFonts w:ascii="Arial" w:cs="Arial" w:eastAsia="Arial" w:hAnsi="Arial"/>
                <w:sz w:val="17"/>
                <w:szCs w:val="17"/>
                <w:color w:val="0000FF"/>
              </w:rPr>
              <w:t>60</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520" w:type="dxa"/>
            <w:vAlign w:val="bottom"/>
            <w:tcBorders>
              <w:top w:val="single" w:sz="8" w:color="0000FF"/>
              <w:bottom w:val="single" w:sz="8" w:color="0000FF"/>
            </w:tcBorders>
          </w:tcPr>
          <w:p>
            <w:pPr>
              <w:spacing w:after="0"/>
              <w:rPr>
                <w:sz w:val="20"/>
                <w:szCs w:val="20"/>
                <w:color w:val="auto"/>
              </w:rPr>
            </w:pPr>
            <w:r>
              <w:rPr>
                <w:rFonts w:ascii="Arial" w:cs="Arial" w:eastAsia="Arial" w:hAnsi="Arial"/>
                <w:sz w:val="17"/>
                <w:szCs w:val="17"/>
                <w:color w:val="0000FF"/>
                <w:w w:val="96"/>
              </w:rPr>
              <w:t>Item 8.</w:t>
            </w:r>
          </w:p>
        </w:tc>
        <w:tc>
          <w:tcPr>
            <w:tcW w:w="120" w:type="dxa"/>
            <w:vAlign w:val="bottom"/>
            <w:tcBorders>
              <w:top w:val="single" w:sz="8" w:color="0000FF"/>
            </w:tcBorders>
            <w:gridSpan w:val="2"/>
          </w:tcPr>
          <w:p>
            <w:pPr>
              <w:spacing w:after="0"/>
              <w:rPr>
                <w:sz w:val="17"/>
                <w:szCs w:val="17"/>
                <w:color w:val="auto"/>
              </w:rPr>
            </w:pPr>
          </w:p>
        </w:tc>
        <w:tc>
          <w:tcPr>
            <w:tcW w:w="380" w:type="dxa"/>
            <w:vAlign w:val="bottom"/>
            <w:gridSpan w:val="2"/>
          </w:tcPr>
          <w:p>
            <w:pPr>
              <w:spacing w:after="0"/>
              <w:rPr>
                <w:sz w:val="17"/>
                <w:szCs w:val="17"/>
                <w:color w:val="auto"/>
              </w:rPr>
            </w:pPr>
          </w:p>
        </w:tc>
        <w:tc>
          <w:tcPr>
            <w:tcW w:w="3560" w:type="dxa"/>
            <w:vAlign w:val="bottom"/>
            <w:tcBorders>
              <w:top w:val="single" w:sz="8" w:color="0000FF"/>
              <w:bottom w:val="single" w:sz="8" w:color="0000FF"/>
            </w:tcBorders>
            <w:gridSpan w:val="13"/>
          </w:tcPr>
          <w:p>
            <w:pPr>
              <w:spacing w:after="0"/>
              <w:rPr>
                <w:sz w:val="20"/>
                <w:szCs w:val="20"/>
                <w:color w:val="auto"/>
              </w:rPr>
            </w:pPr>
            <w:r>
              <w:rPr>
                <w:rFonts w:ascii="Arial" w:cs="Arial" w:eastAsia="Arial" w:hAnsi="Arial"/>
                <w:sz w:val="17"/>
                <w:szCs w:val="17"/>
                <w:color w:val="0000FF"/>
              </w:rPr>
              <w:t>Financial Statements and Supplementary Data</w:t>
            </w:r>
          </w:p>
        </w:tc>
        <w:tc>
          <w:tcPr>
            <w:tcW w:w="920" w:type="dxa"/>
            <w:vAlign w:val="bottom"/>
            <w:tcBorders>
              <w:top w:val="single" w:sz="8" w:color="0000FF"/>
            </w:tcBorders>
            <w:gridSpan w:val="2"/>
          </w:tcPr>
          <w:p>
            <w:pPr>
              <w:spacing w:after="0"/>
              <w:rPr>
                <w:sz w:val="17"/>
                <w:szCs w:val="17"/>
                <w:color w:val="auto"/>
              </w:rPr>
            </w:pPr>
          </w:p>
        </w:tc>
        <w:tc>
          <w:tcPr>
            <w:tcW w:w="4340" w:type="dxa"/>
            <w:vAlign w:val="bottom"/>
            <w:gridSpan w:val="7"/>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Borders>
              <w:top w:val="single" w:sz="8" w:color="0000FF"/>
              <w:bottom w:val="single" w:sz="8" w:color="0000FF"/>
            </w:tcBorders>
            <w:gridSpan w:val="2"/>
          </w:tcPr>
          <w:p>
            <w:pPr>
              <w:spacing w:after="0"/>
              <w:rPr>
                <w:sz w:val="20"/>
                <w:szCs w:val="20"/>
                <w:color w:val="auto"/>
              </w:rPr>
            </w:pPr>
            <w:r>
              <w:rPr>
                <w:rFonts w:ascii="Arial" w:cs="Arial" w:eastAsia="Arial" w:hAnsi="Arial"/>
                <w:sz w:val="17"/>
                <w:szCs w:val="17"/>
                <w:color w:val="0000FF"/>
                <w:w w:val="94"/>
              </w:rPr>
              <w:t>62</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520" w:type="dxa"/>
            <w:vAlign w:val="bottom"/>
            <w:tcBorders>
              <w:bottom w:val="single" w:sz="8" w:color="0000FF"/>
            </w:tcBorders>
          </w:tcPr>
          <w:p>
            <w:pPr>
              <w:spacing w:after="0"/>
              <w:rPr>
                <w:sz w:val="20"/>
                <w:szCs w:val="20"/>
                <w:color w:val="auto"/>
              </w:rPr>
            </w:pPr>
            <w:r>
              <w:rPr>
                <w:rFonts w:ascii="Arial" w:cs="Arial" w:eastAsia="Arial" w:hAnsi="Arial"/>
                <w:sz w:val="17"/>
                <w:szCs w:val="17"/>
                <w:color w:val="0000FF"/>
                <w:w w:val="96"/>
              </w:rPr>
              <w:t>Item 9.</w:t>
            </w:r>
          </w:p>
        </w:tc>
        <w:tc>
          <w:tcPr>
            <w:tcW w:w="500" w:type="dxa"/>
            <w:vAlign w:val="bottom"/>
            <w:gridSpan w:val="4"/>
          </w:tcPr>
          <w:p>
            <w:pPr>
              <w:spacing w:after="0"/>
              <w:rPr>
                <w:sz w:val="17"/>
                <w:szCs w:val="17"/>
                <w:color w:val="auto"/>
              </w:rPr>
            </w:pPr>
          </w:p>
        </w:tc>
        <w:tc>
          <w:tcPr>
            <w:tcW w:w="6820" w:type="dxa"/>
            <w:vAlign w:val="bottom"/>
            <w:tcBorders>
              <w:bottom w:val="single" w:sz="8" w:color="0000FF"/>
            </w:tcBorders>
            <w:gridSpan w:val="19"/>
          </w:tcPr>
          <w:p>
            <w:pPr>
              <w:spacing w:after="0"/>
              <w:rPr>
                <w:sz w:val="20"/>
                <w:szCs w:val="20"/>
                <w:color w:val="auto"/>
              </w:rPr>
            </w:pPr>
            <w:r>
              <w:rPr>
                <w:rFonts w:ascii="Arial" w:cs="Arial" w:eastAsia="Arial" w:hAnsi="Arial"/>
                <w:sz w:val="17"/>
                <w:szCs w:val="17"/>
                <w:color w:val="0000FF"/>
              </w:rPr>
              <w:t>Changes in and Disagreements with Accountants on Accounting and Financial Disclosure</w:t>
            </w:r>
          </w:p>
        </w:tc>
        <w:tc>
          <w:tcPr>
            <w:tcW w:w="2000" w:type="dxa"/>
            <w:vAlign w:val="bottom"/>
            <w:gridSpan w:val="3"/>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Borders>
              <w:bottom w:val="single" w:sz="8" w:color="0000FF"/>
            </w:tcBorders>
            <w:gridSpan w:val="3"/>
          </w:tcPr>
          <w:p>
            <w:pPr>
              <w:spacing w:after="0"/>
              <w:rPr>
                <w:sz w:val="20"/>
                <w:szCs w:val="20"/>
                <w:color w:val="auto"/>
              </w:rPr>
            </w:pPr>
            <w:r>
              <w:rPr>
                <w:rFonts w:ascii="Arial" w:cs="Arial" w:eastAsia="Arial" w:hAnsi="Arial"/>
                <w:sz w:val="17"/>
                <w:szCs w:val="17"/>
                <w:color w:val="0000FF"/>
                <w:w w:val="84"/>
              </w:rPr>
              <w:t>107</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640" w:type="dxa"/>
            <w:vAlign w:val="bottom"/>
            <w:gridSpan w:val="3"/>
          </w:tcPr>
          <w:p>
            <w:pPr>
              <w:spacing w:after="0"/>
              <w:rPr>
                <w:sz w:val="20"/>
                <w:szCs w:val="20"/>
                <w:color w:val="auto"/>
              </w:rPr>
            </w:pPr>
            <w:r>
              <w:rPr>
                <w:rFonts w:ascii="Arial" w:cs="Arial" w:eastAsia="Arial" w:hAnsi="Arial"/>
                <w:sz w:val="17"/>
                <w:szCs w:val="17"/>
                <w:color w:val="0000FF"/>
                <w:w w:val="94"/>
              </w:rPr>
              <w:t>Item 9A.</w:t>
            </w:r>
          </w:p>
        </w:tc>
        <w:tc>
          <w:tcPr>
            <w:tcW w:w="380" w:type="dxa"/>
            <w:vAlign w:val="bottom"/>
            <w:gridSpan w:val="2"/>
          </w:tcPr>
          <w:p>
            <w:pPr>
              <w:spacing w:after="0"/>
              <w:rPr>
                <w:sz w:val="17"/>
                <w:szCs w:val="17"/>
                <w:color w:val="auto"/>
              </w:rPr>
            </w:pPr>
          </w:p>
        </w:tc>
        <w:tc>
          <w:tcPr>
            <w:tcW w:w="8820" w:type="dxa"/>
            <w:vAlign w:val="bottom"/>
            <w:gridSpan w:val="22"/>
          </w:tcPr>
          <w:p>
            <w:pPr>
              <w:spacing w:after="0"/>
              <w:rPr>
                <w:sz w:val="20"/>
                <w:szCs w:val="20"/>
                <w:color w:val="auto"/>
              </w:rPr>
            </w:pPr>
            <w:r>
              <w:rPr>
                <w:rFonts w:ascii="Arial" w:cs="Arial" w:eastAsia="Arial" w:hAnsi="Arial"/>
                <w:sz w:val="17"/>
                <w:szCs w:val="17"/>
                <w:color w:val="0000FF"/>
              </w:rPr>
              <w:t>Controls and Procedures</w:t>
            </w:r>
          </w:p>
        </w:tc>
        <w:tc>
          <w:tcPr>
            <w:tcW w:w="720" w:type="dxa"/>
            <w:vAlign w:val="bottom"/>
            <w:gridSpan w:val="5"/>
          </w:tcPr>
          <w:p>
            <w:pPr>
              <w:ind w:left="320"/>
              <w:spacing w:after="0"/>
              <w:rPr>
                <w:sz w:val="20"/>
                <w:szCs w:val="20"/>
                <w:color w:val="auto"/>
              </w:rPr>
            </w:pPr>
            <w:r>
              <w:rPr>
                <w:rFonts w:ascii="Arial" w:cs="Arial" w:eastAsia="Arial" w:hAnsi="Arial"/>
                <w:sz w:val="17"/>
                <w:szCs w:val="17"/>
                <w:color w:val="0000FF"/>
              </w:rPr>
              <w:t>107</w:t>
            </w:r>
          </w:p>
        </w:tc>
        <w:tc>
          <w:tcPr>
            <w:tcW w:w="0" w:type="dxa"/>
            <w:vAlign w:val="bottom"/>
          </w:tcPr>
          <w:p>
            <w:pPr>
              <w:spacing w:after="0"/>
              <w:rPr>
                <w:sz w:val="1"/>
                <w:szCs w:val="1"/>
                <w:color w:val="auto"/>
              </w:rPr>
            </w:pPr>
          </w:p>
        </w:tc>
      </w:tr>
      <w:tr>
        <w:trPr>
          <w:trHeight w:val="199"/>
        </w:trPr>
        <w:tc>
          <w:tcPr>
            <w:tcW w:w="640" w:type="dxa"/>
            <w:vAlign w:val="bottom"/>
            <w:tcBorders>
              <w:top w:val="single" w:sz="8" w:color="0000FF"/>
            </w:tcBorders>
            <w:gridSpan w:val="3"/>
          </w:tcPr>
          <w:p>
            <w:pPr>
              <w:spacing w:after="0"/>
              <w:rPr>
                <w:sz w:val="20"/>
                <w:szCs w:val="20"/>
                <w:color w:val="auto"/>
              </w:rPr>
            </w:pPr>
            <w:r>
              <w:rPr>
                <w:rFonts w:ascii="Arial" w:cs="Arial" w:eastAsia="Arial" w:hAnsi="Arial"/>
                <w:sz w:val="17"/>
                <w:szCs w:val="17"/>
                <w:color w:val="0000FF"/>
                <w:w w:val="94"/>
              </w:rPr>
              <w:t>Item 9B.</w:t>
            </w:r>
          </w:p>
        </w:tc>
        <w:tc>
          <w:tcPr>
            <w:tcW w:w="380" w:type="dxa"/>
            <w:vAlign w:val="bottom"/>
            <w:gridSpan w:val="2"/>
          </w:tcPr>
          <w:p>
            <w:pPr>
              <w:spacing w:after="0"/>
              <w:rPr>
                <w:sz w:val="17"/>
                <w:szCs w:val="17"/>
                <w:color w:val="auto"/>
              </w:rPr>
            </w:pPr>
          </w:p>
        </w:tc>
        <w:tc>
          <w:tcPr>
            <w:tcW w:w="1900" w:type="dxa"/>
            <w:vAlign w:val="bottom"/>
            <w:tcBorders>
              <w:top w:val="single" w:sz="8" w:color="0000FF"/>
            </w:tcBorders>
            <w:gridSpan w:val="9"/>
          </w:tcPr>
          <w:p>
            <w:pPr>
              <w:spacing w:after="0"/>
              <w:rPr>
                <w:sz w:val="20"/>
                <w:szCs w:val="20"/>
                <w:color w:val="auto"/>
              </w:rPr>
            </w:pPr>
            <w:r>
              <w:rPr>
                <w:rFonts w:ascii="Arial" w:cs="Arial" w:eastAsia="Arial" w:hAnsi="Arial"/>
                <w:sz w:val="17"/>
                <w:szCs w:val="17"/>
                <w:color w:val="0000FF"/>
              </w:rPr>
              <w:t>Other Information</w:t>
            </w:r>
          </w:p>
        </w:tc>
        <w:tc>
          <w:tcPr>
            <w:tcW w:w="6920" w:type="dxa"/>
            <w:vAlign w:val="bottom"/>
            <w:gridSpan w:val="13"/>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Borders>
              <w:top w:val="single" w:sz="8" w:color="0000FF"/>
            </w:tcBorders>
            <w:gridSpan w:val="3"/>
          </w:tcPr>
          <w:p>
            <w:pPr>
              <w:spacing w:after="0"/>
              <w:rPr>
                <w:sz w:val="20"/>
                <w:szCs w:val="20"/>
                <w:color w:val="auto"/>
              </w:rPr>
            </w:pPr>
            <w:r>
              <w:rPr>
                <w:rFonts w:ascii="Arial" w:cs="Arial" w:eastAsia="Arial" w:hAnsi="Arial"/>
                <w:sz w:val="17"/>
                <w:szCs w:val="17"/>
                <w:color w:val="0000FF"/>
                <w:w w:val="84"/>
              </w:rPr>
              <w:t>107</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0" w:type="dxa"/>
            <w:vAlign w:val="bottom"/>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40" w:type="dxa"/>
            <w:vAlign w:val="bottom"/>
            <w:gridSpan w:val="5"/>
            <w:shd w:val="clear" w:color="auto" w:fill="0000FF"/>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44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60" w:type="dxa"/>
            <w:vAlign w:val="bottom"/>
            <w:gridSpan w:val="3"/>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gridSpan w:val="3"/>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1020" w:type="dxa"/>
            <w:vAlign w:val="bottom"/>
            <w:gridSpan w:val="5"/>
          </w:tcPr>
          <w:p>
            <w:pPr>
              <w:spacing w:after="0"/>
              <w:rPr>
                <w:sz w:val="20"/>
                <w:szCs w:val="20"/>
                <w:color w:val="auto"/>
              </w:rPr>
            </w:pPr>
            <w:r>
              <w:rPr>
                <w:rFonts w:ascii="Arial" w:cs="Arial" w:eastAsia="Arial" w:hAnsi="Arial"/>
                <w:sz w:val="17"/>
                <w:szCs w:val="17"/>
                <w:color w:val="0000FF"/>
              </w:rPr>
              <w:t>Item 9C.</w:t>
            </w:r>
          </w:p>
        </w:tc>
        <w:tc>
          <w:tcPr>
            <w:tcW w:w="8820" w:type="dxa"/>
            <w:vAlign w:val="bottom"/>
            <w:gridSpan w:val="22"/>
          </w:tcPr>
          <w:p>
            <w:pPr>
              <w:spacing w:after="0"/>
              <w:rPr>
                <w:sz w:val="20"/>
                <w:szCs w:val="20"/>
                <w:color w:val="auto"/>
              </w:rPr>
            </w:pPr>
            <w:r>
              <w:rPr>
                <w:rFonts w:ascii="Arial" w:cs="Arial" w:eastAsia="Arial" w:hAnsi="Arial"/>
                <w:sz w:val="17"/>
                <w:szCs w:val="17"/>
                <w:color w:val="0000FF"/>
              </w:rPr>
              <w:t>Disclosure Regarding Foreign Jurisdictions that Prevent Inspections</w:t>
            </w:r>
          </w:p>
        </w:tc>
        <w:tc>
          <w:tcPr>
            <w:tcW w:w="720" w:type="dxa"/>
            <w:vAlign w:val="bottom"/>
            <w:gridSpan w:val="5"/>
          </w:tcPr>
          <w:p>
            <w:pPr>
              <w:ind w:left="320"/>
              <w:spacing w:after="0"/>
              <w:rPr>
                <w:sz w:val="20"/>
                <w:szCs w:val="20"/>
                <w:color w:val="auto"/>
              </w:rPr>
            </w:pPr>
            <w:r>
              <w:rPr>
                <w:rFonts w:ascii="Arial" w:cs="Arial" w:eastAsia="Arial" w:hAnsi="Arial"/>
                <w:sz w:val="17"/>
                <w:szCs w:val="17"/>
                <w:color w:val="0000FF"/>
              </w:rPr>
              <w:t>108</w:t>
            </w:r>
          </w:p>
        </w:tc>
        <w:tc>
          <w:tcPr>
            <w:tcW w:w="0" w:type="dxa"/>
            <w:vAlign w:val="bottom"/>
          </w:tcPr>
          <w:p>
            <w:pPr>
              <w:spacing w:after="0"/>
              <w:rPr>
                <w:sz w:val="1"/>
                <w:szCs w:val="1"/>
                <w:color w:val="auto"/>
              </w:rPr>
            </w:pPr>
          </w:p>
        </w:tc>
      </w:tr>
      <w:tr>
        <w:trPr>
          <w:trHeight w:val="20"/>
        </w:trPr>
        <w:tc>
          <w:tcPr>
            <w:tcW w:w="5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1020" w:type="dxa"/>
            <w:vAlign w:val="bottom"/>
            <w:gridSpan w:val="5"/>
          </w:tcPr>
          <w:p>
            <w:pPr>
              <w:spacing w:after="0"/>
              <w:rPr>
                <w:sz w:val="20"/>
                <w:szCs w:val="20"/>
                <w:color w:val="auto"/>
              </w:rPr>
            </w:pPr>
            <w:r>
              <w:rPr>
                <w:rFonts w:ascii="Arial" w:cs="Arial" w:eastAsia="Arial" w:hAnsi="Arial"/>
                <w:sz w:val="17"/>
                <w:szCs w:val="17"/>
                <w:color w:val="auto"/>
              </w:rPr>
              <w:t>PART III.</w:t>
            </w: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4"/>
        </w:trPr>
        <w:tc>
          <w:tcPr>
            <w:tcW w:w="640" w:type="dxa"/>
            <w:vAlign w:val="bottom"/>
            <w:tcBorders>
              <w:bottom w:val="single" w:sz="8" w:color="0000FF"/>
            </w:tcBorders>
            <w:gridSpan w:val="3"/>
          </w:tcPr>
          <w:p>
            <w:pPr>
              <w:spacing w:after="0" w:line="185" w:lineRule="exact"/>
              <w:rPr>
                <w:sz w:val="20"/>
                <w:szCs w:val="20"/>
                <w:color w:val="auto"/>
              </w:rPr>
            </w:pPr>
            <w:r>
              <w:rPr>
                <w:rFonts w:ascii="Arial" w:cs="Arial" w:eastAsia="Arial" w:hAnsi="Arial"/>
                <w:sz w:val="17"/>
                <w:szCs w:val="17"/>
                <w:color w:val="0000FF"/>
                <w:w w:val="97"/>
              </w:rPr>
              <w:t>Item 10.</w:t>
            </w:r>
          </w:p>
        </w:tc>
        <w:tc>
          <w:tcPr>
            <w:tcW w:w="380" w:type="dxa"/>
            <w:vAlign w:val="bottom"/>
            <w:gridSpan w:val="2"/>
          </w:tcPr>
          <w:p>
            <w:pPr>
              <w:spacing w:after="0"/>
              <w:rPr>
                <w:sz w:val="16"/>
                <w:szCs w:val="16"/>
                <w:color w:val="auto"/>
              </w:rPr>
            </w:pPr>
          </w:p>
        </w:tc>
        <w:tc>
          <w:tcPr>
            <w:tcW w:w="4300" w:type="dxa"/>
            <w:vAlign w:val="bottom"/>
            <w:tcBorders>
              <w:bottom w:val="single" w:sz="8" w:color="0000FF"/>
            </w:tcBorders>
            <w:gridSpan w:val="14"/>
          </w:tcPr>
          <w:p>
            <w:pPr>
              <w:spacing w:after="0" w:line="185" w:lineRule="exact"/>
              <w:rPr>
                <w:sz w:val="20"/>
                <w:szCs w:val="20"/>
                <w:color w:val="auto"/>
              </w:rPr>
            </w:pPr>
            <w:r>
              <w:rPr>
                <w:rFonts w:ascii="Arial" w:cs="Arial" w:eastAsia="Arial" w:hAnsi="Arial"/>
                <w:sz w:val="17"/>
                <w:szCs w:val="17"/>
                <w:color w:val="0000FF"/>
              </w:rPr>
              <w:t>Directors, Executive Officers and Corporate Governance</w:t>
            </w:r>
          </w:p>
        </w:tc>
        <w:tc>
          <w:tcPr>
            <w:tcW w:w="4520" w:type="dxa"/>
            <w:vAlign w:val="bottom"/>
            <w:gridSpan w:val="8"/>
          </w:tcPr>
          <w:p>
            <w:pPr>
              <w:spacing w:after="0"/>
              <w:rPr>
                <w:sz w:val="16"/>
                <w:szCs w:val="16"/>
                <w:color w:val="auto"/>
              </w:rPr>
            </w:pPr>
          </w:p>
        </w:tc>
        <w:tc>
          <w:tcPr>
            <w:tcW w:w="320" w:type="dxa"/>
            <w:vAlign w:val="bottom"/>
          </w:tcPr>
          <w:p>
            <w:pPr>
              <w:spacing w:after="0"/>
              <w:rPr>
                <w:sz w:val="16"/>
                <w:szCs w:val="16"/>
                <w:color w:val="auto"/>
              </w:rPr>
            </w:pPr>
          </w:p>
        </w:tc>
        <w:tc>
          <w:tcPr>
            <w:tcW w:w="280" w:type="dxa"/>
            <w:vAlign w:val="bottom"/>
            <w:tcBorders>
              <w:bottom w:val="single" w:sz="8" w:color="0000FF"/>
            </w:tcBorders>
            <w:gridSpan w:val="3"/>
          </w:tcPr>
          <w:p>
            <w:pPr>
              <w:spacing w:after="0" w:line="185" w:lineRule="exact"/>
              <w:rPr>
                <w:sz w:val="20"/>
                <w:szCs w:val="20"/>
                <w:color w:val="auto"/>
              </w:rPr>
            </w:pPr>
            <w:r>
              <w:rPr>
                <w:rFonts w:ascii="Arial" w:cs="Arial" w:eastAsia="Arial" w:hAnsi="Arial"/>
                <w:sz w:val="17"/>
                <w:szCs w:val="17"/>
                <w:color w:val="0000FF"/>
                <w:w w:val="84"/>
              </w:rPr>
              <w:t>108</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1020" w:type="dxa"/>
            <w:vAlign w:val="bottom"/>
            <w:gridSpan w:val="5"/>
          </w:tcPr>
          <w:p>
            <w:pPr>
              <w:spacing w:after="0"/>
              <w:rPr>
                <w:sz w:val="20"/>
                <w:szCs w:val="20"/>
                <w:color w:val="auto"/>
              </w:rPr>
            </w:pPr>
            <w:r>
              <w:rPr>
                <w:rFonts w:ascii="Arial" w:cs="Arial" w:eastAsia="Arial" w:hAnsi="Arial"/>
                <w:sz w:val="17"/>
                <w:szCs w:val="17"/>
                <w:color w:val="0000FF"/>
              </w:rPr>
              <w:t>Item 11.</w:t>
            </w:r>
          </w:p>
        </w:tc>
        <w:tc>
          <w:tcPr>
            <w:tcW w:w="8820" w:type="dxa"/>
            <w:vAlign w:val="bottom"/>
            <w:gridSpan w:val="22"/>
          </w:tcPr>
          <w:p>
            <w:pPr>
              <w:spacing w:after="0"/>
              <w:rPr>
                <w:sz w:val="20"/>
                <w:szCs w:val="20"/>
                <w:color w:val="auto"/>
              </w:rPr>
            </w:pPr>
            <w:r>
              <w:rPr>
                <w:rFonts w:ascii="Arial" w:cs="Arial" w:eastAsia="Arial" w:hAnsi="Arial"/>
                <w:sz w:val="17"/>
                <w:szCs w:val="17"/>
                <w:color w:val="0000FF"/>
              </w:rPr>
              <w:t>Executive Compensation</w:t>
            </w:r>
          </w:p>
        </w:tc>
        <w:tc>
          <w:tcPr>
            <w:tcW w:w="600" w:type="dxa"/>
            <w:vAlign w:val="bottom"/>
            <w:gridSpan w:val="4"/>
          </w:tcPr>
          <w:p>
            <w:pPr>
              <w:ind w:left="320"/>
              <w:spacing w:after="0"/>
              <w:rPr>
                <w:sz w:val="20"/>
                <w:szCs w:val="20"/>
                <w:color w:val="auto"/>
              </w:rPr>
            </w:pPr>
            <w:r>
              <w:rPr>
                <w:rFonts w:ascii="Arial" w:cs="Arial" w:eastAsia="Arial" w:hAnsi="Arial"/>
                <w:sz w:val="17"/>
                <w:szCs w:val="17"/>
                <w:color w:val="0000FF"/>
                <w:w w:val="84"/>
              </w:rPr>
              <w:t>114</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0" w:type="dxa"/>
            <w:vAlign w:val="bottom"/>
            <w:gridSpan w:val="7"/>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720" w:type="dxa"/>
            <w:vAlign w:val="bottom"/>
            <w:gridSpan w:val="5"/>
          </w:tcPr>
          <w:p>
            <w:pPr>
              <w:spacing w:after="0" w:line="20" w:lineRule="exact"/>
              <w:rPr>
                <w:sz w:val="1"/>
                <w:szCs w:val="1"/>
                <w:color w:val="auto"/>
              </w:rPr>
            </w:pPr>
          </w:p>
        </w:tc>
        <w:tc>
          <w:tcPr>
            <w:tcW w:w="1860" w:type="dxa"/>
            <w:vAlign w:val="bottom"/>
            <w:gridSpan w:val="3"/>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gridSpan w:val="3"/>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640" w:type="dxa"/>
            <w:vAlign w:val="bottom"/>
            <w:tcBorders>
              <w:bottom w:val="single" w:sz="8" w:color="0000FF"/>
            </w:tcBorders>
            <w:gridSpan w:val="3"/>
          </w:tcPr>
          <w:p>
            <w:pPr>
              <w:spacing w:after="0"/>
              <w:rPr>
                <w:sz w:val="20"/>
                <w:szCs w:val="20"/>
                <w:color w:val="auto"/>
              </w:rPr>
            </w:pPr>
            <w:r>
              <w:rPr>
                <w:rFonts w:ascii="Arial" w:cs="Arial" w:eastAsia="Arial" w:hAnsi="Arial"/>
                <w:sz w:val="17"/>
                <w:szCs w:val="17"/>
                <w:color w:val="0000FF"/>
                <w:w w:val="97"/>
              </w:rPr>
              <w:t>Item 12.</w:t>
            </w:r>
          </w:p>
        </w:tc>
        <w:tc>
          <w:tcPr>
            <w:tcW w:w="380" w:type="dxa"/>
            <w:vAlign w:val="bottom"/>
            <w:gridSpan w:val="2"/>
          </w:tcPr>
          <w:p>
            <w:pPr>
              <w:spacing w:after="0"/>
              <w:rPr>
                <w:sz w:val="17"/>
                <w:szCs w:val="17"/>
                <w:color w:val="auto"/>
              </w:rPr>
            </w:pPr>
          </w:p>
        </w:tc>
        <w:tc>
          <w:tcPr>
            <w:tcW w:w="7660" w:type="dxa"/>
            <w:vAlign w:val="bottom"/>
            <w:tcBorders>
              <w:bottom w:val="single" w:sz="8" w:color="0000FF"/>
            </w:tcBorders>
            <w:gridSpan w:val="20"/>
          </w:tcPr>
          <w:p>
            <w:pPr>
              <w:spacing w:after="0"/>
              <w:rPr>
                <w:sz w:val="20"/>
                <w:szCs w:val="20"/>
                <w:color w:val="auto"/>
              </w:rPr>
            </w:pPr>
            <w:r>
              <w:rPr>
                <w:rFonts w:ascii="Arial" w:cs="Arial" w:eastAsia="Arial" w:hAnsi="Arial"/>
                <w:sz w:val="17"/>
                <w:szCs w:val="17"/>
                <w:color w:val="0000FF"/>
              </w:rPr>
              <w:t>Security Ownership of Certain Beneficial Owners and Management and Related Stockholder Matters</w:t>
            </w:r>
          </w:p>
        </w:tc>
        <w:tc>
          <w:tcPr>
            <w:tcW w:w="1160" w:type="dxa"/>
            <w:vAlign w:val="bottom"/>
            <w:gridSpan w:val="2"/>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Borders>
              <w:bottom w:val="single" w:sz="8" w:color="0000FF"/>
            </w:tcBorders>
            <w:gridSpan w:val="3"/>
          </w:tcPr>
          <w:p>
            <w:pPr>
              <w:spacing w:after="0"/>
              <w:rPr>
                <w:sz w:val="20"/>
                <w:szCs w:val="20"/>
                <w:color w:val="auto"/>
              </w:rPr>
            </w:pPr>
            <w:r>
              <w:rPr>
                <w:rFonts w:ascii="Arial" w:cs="Arial" w:eastAsia="Arial" w:hAnsi="Arial"/>
                <w:sz w:val="17"/>
                <w:szCs w:val="17"/>
                <w:color w:val="0000FF"/>
                <w:w w:val="84"/>
              </w:rPr>
              <w:t>118</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640" w:type="dxa"/>
            <w:vAlign w:val="bottom"/>
            <w:gridSpan w:val="3"/>
          </w:tcPr>
          <w:p>
            <w:pPr>
              <w:spacing w:after="0"/>
              <w:rPr>
                <w:sz w:val="20"/>
                <w:szCs w:val="20"/>
                <w:color w:val="auto"/>
              </w:rPr>
            </w:pPr>
            <w:r>
              <w:rPr>
                <w:rFonts w:ascii="Arial" w:cs="Arial" w:eastAsia="Arial" w:hAnsi="Arial"/>
                <w:sz w:val="17"/>
                <w:szCs w:val="17"/>
                <w:color w:val="0000FF"/>
                <w:w w:val="97"/>
              </w:rPr>
              <w:t>Item 13.</w:t>
            </w:r>
          </w:p>
        </w:tc>
        <w:tc>
          <w:tcPr>
            <w:tcW w:w="380" w:type="dxa"/>
            <w:vAlign w:val="bottom"/>
            <w:gridSpan w:val="2"/>
          </w:tcPr>
          <w:p>
            <w:pPr>
              <w:spacing w:after="0"/>
              <w:rPr>
                <w:sz w:val="17"/>
                <w:szCs w:val="17"/>
                <w:color w:val="auto"/>
              </w:rPr>
            </w:pPr>
          </w:p>
        </w:tc>
        <w:tc>
          <w:tcPr>
            <w:tcW w:w="8820" w:type="dxa"/>
            <w:vAlign w:val="bottom"/>
            <w:gridSpan w:val="22"/>
          </w:tcPr>
          <w:p>
            <w:pPr>
              <w:spacing w:after="0"/>
              <w:rPr>
                <w:sz w:val="20"/>
                <w:szCs w:val="20"/>
                <w:color w:val="auto"/>
              </w:rPr>
            </w:pPr>
            <w:r>
              <w:rPr>
                <w:rFonts w:ascii="Arial" w:cs="Arial" w:eastAsia="Arial" w:hAnsi="Arial"/>
                <w:sz w:val="17"/>
                <w:szCs w:val="17"/>
                <w:color w:val="0000FF"/>
              </w:rPr>
              <w:t>Certain Relationships and Related Transactions, and Director Independence</w:t>
            </w:r>
          </w:p>
        </w:tc>
        <w:tc>
          <w:tcPr>
            <w:tcW w:w="720" w:type="dxa"/>
            <w:vAlign w:val="bottom"/>
            <w:gridSpan w:val="5"/>
          </w:tcPr>
          <w:p>
            <w:pPr>
              <w:ind w:left="320"/>
              <w:spacing w:after="0"/>
              <w:rPr>
                <w:sz w:val="20"/>
                <w:szCs w:val="20"/>
                <w:color w:val="auto"/>
              </w:rPr>
            </w:pPr>
            <w:r>
              <w:rPr>
                <w:rFonts w:ascii="Arial" w:cs="Arial" w:eastAsia="Arial" w:hAnsi="Arial"/>
                <w:sz w:val="17"/>
                <w:szCs w:val="17"/>
                <w:color w:val="0000FF"/>
              </w:rPr>
              <w:t>120</w:t>
            </w:r>
          </w:p>
        </w:tc>
        <w:tc>
          <w:tcPr>
            <w:tcW w:w="0" w:type="dxa"/>
            <w:vAlign w:val="bottom"/>
          </w:tcPr>
          <w:p>
            <w:pPr>
              <w:spacing w:after="0"/>
              <w:rPr>
                <w:sz w:val="1"/>
                <w:szCs w:val="1"/>
                <w:color w:val="auto"/>
              </w:rPr>
            </w:pPr>
          </w:p>
        </w:tc>
      </w:tr>
      <w:tr>
        <w:trPr>
          <w:trHeight w:val="199"/>
        </w:trPr>
        <w:tc>
          <w:tcPr>
            <w:tcW w:w="640" w:type="dxa"/>
            <w:vAlign w:val="bottom"/>
            <w:tcBorders>
              <w:top w:val="single" w:sz="8" w:color="0000FF"/>
              <w:bottom w:val="single" w:sz="8" w:color="0000FF"/>
            </w:tcBorders>
            <w:gridSpan w:val="3"/>
          </w:tcPr>
          <w:p>
            <w:pPr>
              <w:spacing w:after="0"/>
              <w:rPr>
                <w:sz w:val="20"/>
                <w:szCs w:val="20"/>
                <w:color w:val="auto"/>
              </w:rPr>
            </w:pPr>
            <w:r>
              <w:rPr>
                <w:rFonts w:ascii="Arial" w:cs="Arial" w:eastAsia="Arial" w:hAnsi="Arial"/>
                <w:sz w:val="17"/>
                <w:szCs w:val="17"/>
                <w:color w:val="0000FF"/>
                <w:w w:val="97"/>
              </w:rPr>
              <w:t>Item 14.</w:t>
            </w:r>
          </w:p>
        </w:tc>
        <w:tc>
          <w:tcPr>
            <w:tcW w:w="380" w:type="dxa"/>
            <w:vAlign w:val="bottom"/>
            <w:gridSpan w:val="2"/>
          </w:tcPr>
          <w:p>
            <w:pPr>
              <w:spacing w:after="0"/>
              <w:rPr>
                <w:sz w:val="17"/>
                <w:szCs w:val="17"/>
                <w:color w:val="auto"/>
              </w:rPr>
            </w:pPr>
          </w:p>
        </w:tc>
        <w:tc>
          <w:tcPr>
            <w:tcW w:w="3040" w:type="dxa"/>
            <w:vAlign w:val="bottom"/>
            <w:tcBorders>
              <w:top w:val="single" w:sz="8" w:color="0000FF"/>
              <w:bottom w:val="single" w:sz="8" w:color="0000FF"/>
            </w:tcBorders>
            <w:gridSpan w:val="11"/>
          </w:tcPr>
          <w:p>
            <w:pPr>
              <w:spacing w:after="0"/>
              <w:rPr>
                <w:sz w:val="20"/>
                <w:szCs w:val="20"/>
                <w:color w:val="auto"/>
              </w:rPr>
            </w:pPr>
            <w:r>
              <w:rPr>
                <w:rFonts w:ascii="Arial" w:cs="Arial" w:eastAsia="Arial" w:hAnsi="Arial"/>
                <w:sz w:val="17"/>
                <w:szCs w:val="17"/>
                <w:color w:val="0000FF"/>
              </w:rPr>
              <w:t>Principal Accounting Fees and Services</w:t>
            </w:r>
          </w:p>
        </w:tc>
        <w:tc>
          <w:tcPr>
            <w:tcW w:w="2760" w:type="dxa"/>
            <w:vAlign w:val="bottom"/>
            <w:tcBorders>
              <w:top w:val="single" w:sz="8" w:color="0000FF"/>
            </w:tcBorders>
            <w:gridSpan w:val="6"/>
          </w:tcPr>
          <w:p>
            <w:pPr>
              <w:spacing w:after="0"/>
              <w:rPr>
                <w:sz w:val="17"/>
                <w:szCs w:val="17"/>
                <w:color w:val="auto"/>
              </w:rPr>
            </w:pPr>
          </w:p>
        </w:tc>
        <w:tc>
          <w:tcPr>
            <w:tcW w:w="3020" w:type="dxa"/>
            <w:vAlign w:val="bottom"/>
            <w:gridSpan w:val="5"/>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Borders>
              <w:top w:val="single" w:sz="8" w:color="0000FF"/>
              <w:bottom w:val="single" w:sz="8" w:color="0000FF"/>
            </w:tcBorders>
            <w:gridSpan w:val="3"/>
          </w:tcPr>
          <w:p>
            <w:pPr>
              <w:spacing w:after="0"/>
              <w:rPr>
                <w:sz w:val="20"/>
                <w:szCs w:val="20"/>
                <w:color w:val="auto"/>
              </w:rPr>
            </w:pPr>
            <w:r>
              <w:rPr>
                <w:rFonts w:ascii="Arial" w:cs="Arial" w:eastAsia="Arial" w:hAnsi="Arial"/>
                <w:sz w:val="17"/>
                <w:szCs w:val="17"/>
                <w:color w:val="0000FF"/>
                <w:w w:val="84"/>
              </w:rPr>
              <w:t>124</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020" w:type="dxa"/>
            <w:vAlign w:val="bottom"/>
            <w:gridSpan w:val="5"/>
          </w:tcPr>
          <w:p>
            <w:pPr>
              <w:spacing w:after="0"/>
              <w:rPr>
                <w:sz w:val="20"/>
                <w:szCs w:val="20"/>
                <w:color w:val="auto"/>
              </w:rPr>
            </w:pPr>
            <w:r>
              <w:rPr>
                <w:rFonts w:ascii="Arial" w:cs="Arial" w:eastAsia="Arial" w:hAnsi="Arial"/>
                <w:sz w:val="17"/>
                <w:szCs w:val="17"/>
                <w:color w:val="auto"/>
              </w:rPr>
              <w:t>PART IV.</w:t>
            </w: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4"/>
        </w:trPr>
        <w:tc>
          <w:tcPr>
            <w:tcW w:w="640" w:type="dxa"/>
            <w:vAlign w:val="bottom"/>
            <w:tcBorders>
              <w:bottom w:val="single" w:sz="8" w:color="0000FF"/>
            </w:tcBorders>
            <w:gridSpan w:val="3"/>
          </w:tcPr>
          <w:p>
            <w:pPr>
              <w:spacing w:after="0" w:line="185" w:lineRule="exact"/>
              <w:rPr>
                <w:sz w:val="20"/>
                <w:szCs w:val="20"/>
                <w:color w:val="auto"/>
              </w:rPr>
            </w:pPr>
            <w:r>
              <w:rPr>
                <w:rFonts w:ascii="Arial" w:cs="Arial" w:eastAsia="Arial" w:hAnsi="Arial"/>
                <w:sz w:val="17"/>
                <w:szCs w:val="17"/>
                <w:color w:val="0000FF"/>
                <w:w w:val="97"/>
              </w:rPr>
              <w:t>Item 15.</w:t>
            </w:r>
          </w:p>
        </w:tc>
        <w:tc>
          <w:tcPr>
            <w:tcW w:w="380" w:type="dxa"/>
            <w:vAlign w:val="bottom"/>
            <w:gridSpan w:val="2"/>
          </w:tcPr>
          <w:p>
            <w:pPr>
              <w:spacing w:after="0"/>
              <w:rPr>
                <w:sz w:val="16"/>
                <w:szCs w:val="16"/>
                <w:color w:val="auto"/>
              </w:rPr>
            </w:pPr>
          </w:p>
        </w:tc>
        <w:tc>
          <w:tcPr>
            <w:tcW w:w="3080" w:type="dxa"/>
            <w:vAlign w:val="bottom"/>
            <w:tcBorders>
              <w:bottom w:val="single" w:sz="8" w:color="0000FF"/>
            </w:tcBorders>
            <w:gridSpan w:val="12"/>
          </w:tcPr>
          <w:p>
            <w:pPr>
              <w:spacing w:after="0" w:line="185" w:lineRule="exact"/>
              <w:rPr>
                <w:sz w:val="20"/>
                <w:szCs w:val="20"/>
                <w:color w:val="auto"/>
              </w:rPr>
            </w:pPr>
            <w:r>
              <w:rPr>
                <w:rFonts w:ascii="Arial" w:cs="Arial" w:eastAsia="Arial" w:hAnsi="Arial"/>
                <w:sz w:val="17"/>
                <w:szCs w:val="17"/>
                <w:color w:val="0000FF"/>
              </w:rPr>
              <w:t>Exhibits, Financial Statement Schedules</w:t>
            </w:r>
          </w:p>
        </w:tc>
        <w:tc>
          <w:tcPr>
            <w:tcW w:w="5740" w:type="dxa"/>
            <w:vAlign w:val="bottom"/>
            <w:gridSpan w:val="10"/>
          </w:tcPr>
          <w:p>
            <w:pPr>
              <w:spacing w:after="0"/>
              <w:rPr>
                <w:sz w:val="16"/>
                <w:szCs w:val="16"/>
                <w:color w:val="auto"/>
              </w:rPr>
            </w:pPr>
          </w:p>
        </w:tc>
        <w:tc>
          <w:tcPr>
            <w:tcW w:w="320" w:type="dxa"/>
            <w:vAlign w:val="bottom"/>
          </w:tcPr>
          <w:p>
            <w:pPr>
              <w:spacing w:after="0"/>
              <w:rPr>
                <w:sz w:val="16"/>
                <w:szCs w:val="16"/>
                <w:color w:val="auto"/>
              </w:rPr>
            </w:pPr>
          </w:p>
        </w:tc>
        <w:tc>
          <w:tcPr>
            <w:tcW w:w="280" w:type="dxa"/>
            <w:vAlign w:val="bottom"/>
            <w:tcBorders>
              <w:bottom w:val="single" w:sz="8" w:color="0000FF"/>
            </w:tcBorders>
            <w:gridSpan w:val="3"/>
          </w:tcPr>
          <w:p>
            <w:pPr>
              <w:spacing w:after="0" w:line="185" w:lineRule="exact"/>
              <w:rPr>
                <w:sz w:val="20"/>
                <w:szCs w:val="20"/>
                <w:color w:val="auto"/>
              </w:rPr>
            </w:pPr>
            <w:r>
              <w:rPr>
                <w:rFonts w:ascii="Arial" w:cs="Arial" w:eastAsia="Arial" w:hAnsi="Arial"/>
                <w:sz w:val="17"/>
                <w:szCs w:val="17"/>
                <w:color w:val="0000FF"/>
                <w:w w:val="84"/>
              </w:rPr>
              <w:t>125</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640" w:type="dxa"/>
            <w:vAlign w:val="bottom"/>
            <w:tcBorders>
              <w:bottom w:val="single" w:sz="8" w:color="0000FF"/>
            </w:tcBorders>
            <w:gridSpan w:val="3"/>
          </w:tcPr>
          <w:p>
            <w:pPr>
              <w:spacing w:after="0"/>
              <w:rPr>
                <w:sz w:val="20"/>
                <w:szCs w:val="20"/>
                <w:color w:val="auto"/>
              </w:rPr>
            </w:pPr>
            <w:r>
              <w:rPr>
                <w:rFonts w:ascii="Arial" w:cs="Arial" w:eastAsia="Arial" w:hAnsi="Arial"/>
                <w:sz w:val="17"/>
                <w:szCs w:val="17"/>
                <w:color w:val="0000FF"/>
                <w:w w:val="97"/>
              </w:rPr>
              <w:t>Item 16.</w:t>
            </w:r>
          </w:p>
        </w:tc>
        <w:tc>
          <w:tcPr>
            <w:tcW w:w="380" w:type="dxa"/>
            <w:vAlign w:val="bottom"/>
            <w:gridSpan w:val="2"/>
          </w:tcPr>
          <w:p>
            <w:pPr>
              <w:spacing w:after="0"/>
              <w:rPr>
                <w:sz w:val="17"/>
                <w:szCs w:val="17"/>
                <w:color w:val="auto"/>
              </w:rPr>
            </w:pPr>
          </w:p>
        </w:tc>
        <w:tc>
          <w:tcPr>
            <w:tcW w:w="1600" w:type="dxa"/>
            <w:vAlign w:val="bottom"/>
            <w:tcBorders>
              <w:bottom w:val="single" w:sz="8" w:color="0000FF"/>
            </w:tcBorders>
            <w:gridSpan w:val="7"/>
          </w:tcPr>
          <w:p>
            <w:pPr>
              <w:spacing w:after="0"/>
              <w:rPr>
                <w:sz w:val="20"/>
                <w:szCs w:val="20"/>
                <w:color w:val="auto"/>
              </w:rPr>
            </w:pPr>
            <w:r>
              <w:rPr>
                <w:rFonts w:ascii="Arial" w:cs="Arial" w:eastAsia="Arial" w:hAnsi="Arial"/>
                <w:sz w:val="17"/>
                <w:szCs w:val="17"/>
                <w:color w:val="0000FF"/>
              </w:rPr>
              <w:t>Form 10-K Summary</w:t>
            </w:r>
          </w:p>
        </w:tc>
        <w:tc>
          <w:tcPr>
            <w:tcW w:w="7220" w:type="dxa"/>
            <w:vAlign w:val="bottom"/>
            <w:gridSpan w:val="15"/>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Borders>
              <w:bottom w:val="single" w:sz="8" w:color="0000FF"/>
            </w:tcBorders>
            <w:gridSpan w:val="3"/>
          </w:tcPr>
          <w:p>
            <w:pPr>
              <w:spacing w:after="0"/>
              <w:rPr>
                <w:sz w:val="20"/>
                <w:szCs w:val="20"/>
                <w:color w:val="auto"/>
              </w:rPr>
            </w:pPr>
            <w:r>
              <w:rPr>
                <w:rFonts w:ascii="Arial" w:cs="Arial" w:eastAsia="Arial" w:hAnsi="Arial"/>
                <w:sz w:val="17"/>
                <w:szCs w:val="17"/>
                <w:color w:val="0000FF"/>
                <w:w w:val="84"/>
              </w:rPr>
              <w:t>126</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820" w:type="dxa"/>
            <w:vAlign w:val="bottom"/>
            <w:tcBorders>
              <w:bottom w:val="single" w:sz="8" w:color="0000FF"/>
            </w:tcBorders>
            <w:gridSpan w:val="4"/>
          </w:tcPr>
          <w:p>
            <w:pPr>
              <w:spacing w:after="0"/>
              <w:rPr>
                <w:sz w:val="20"/>
                <w:szCs w:val="20"/>
                <w:color w:val="auto"/>
              </w:rPr>
            </w:pPr>
            <w:r>
              <w:rPr>
                <w:rFonts w:ascii="Arial" w:cs="Arial" w:eastAsia="Arial" w:hAnsi="Arial"/>
                <w:sz w:val="17"/>
                <w:szCs w:val="17"/>
                <w:color w:val="0000FF"/>
                <w:w w:val="98"/>
              </w:rPr>
              <w:t>Signatures</w:t>
            </w: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5540"/>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-35560</wp:posOffset>
            </wp:positionH>
            <wp:positionV relativeFrom="paragraph">
              <wp:posOffset>70485</wp:posOffset>
            </wp:positionV>
            <wp:extent cx="7164070"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0560"/>
          </w:cols>
          <w:pgMar w:left="360" w:top="1088" w:right="979" w:bottom="1440" w:gutter="0" w:footer="0" w:header="0"/>
        </w:sectPr>
      </w:pPr>
    </w:p>
    <w:bookmarkStart w:id="2" w:name="page3"/>
    <w:bookmarkEnd w:id="2"/>
    <w:p>
      <w:pPr>
        <w:jc w:val="center"/>
        <w:ind w:right="-79"/>
        <w:spacing w:after="0"/>
        <w:rPr>
          <w:sz w:val="20"/>
          <w:szCs w:val="20"/>
          <w:color w:val="auto"/>
        </w:rPr>
      </w:pPr>
      <w:r>
        <w:rPr>
          <w:rFonts w:ascii="Arial" w:cs="Arial" w:eastAsia="Arial" w:hAnsi="Arial"/>
          <w:sz w:val="17"/>
          <w:szCs w:val="17"/>
          <w:b w:val="1"/>
          <w:bCs w:val="1"/>
          <w:color w:val="auto"/>
        </w:rPr>
        <w:t>FORWARD-LOOKING STATEMENTS</w:t>
      </w:r>
    </w:p>
    <w:p>
      <w:pPr>
        <w:spacing w:after="0" w:line="232" w:lineRule="exact"/>
        <w:rPr>
          <w:sz w:val="20"/>
          <w:szCs w:val="20"/>
          <w:color w:val="auto"/>
        </w:rPr>
      </w:pPr>
    </w:p>
    <w:p>
      <w:pPr>
        <w:ind w:firstLine="619"/>
        <w:spacing w:after="0"/>
        <w:rPr>
          <w:sz w:val="20"/>
          <w:szCs w:val="20"/>
          <w:color w:val="auto"/>
        </w:rPr>
      </w:pPr>
      <w:r>
        <w:rPr>
          <w:rFonts w:ascii="Arial" w:cs="Arial" w:eastAsia="Arial" w:hAnsi="Arial"/>
          <w:sz w:val="17"/>
          <w:szCs w:val="17"/>
          <w:color w:val="auto"/>
        </w:rPr>
        <w:t xml:space="preserve">This annual report contains forward-looking statements within the meaning of Section 27A of the U.S. Securities Act of 1933, as amended (the </w:t>
      </w:r>
      <w:r>
        <w:rPr>
          <w:rFonts w:ascii="Times New Roman" w:cs="Times New Roman" w:eastAsia="Times New Roman" w:hAnsi="Times New Roman"/>
          <w:sz w:val="17"/>
          <w:szCs w:val="17"/>
          <w:color w:val="auto"/>
        </w:rPr>
        <w:t>“</w:t>
      </w:r>
      <w:r>
        <w:rPr>
          <w:rFonts w:ascii="Arial" w:cs="Arial" w:eastAsia="Arial" w:hAnsi="Arial"/>
          <w:sz w:val="17"/>
          <w:szCs w:val="17"/>
          <w:color w:val="auto"/>
        </w:rPr>
        <w:t>Securities Act</w:t>
      </w:r>
      <w:r>
        <w:rPr>
          <w:rFonts w:ascii="Times New Roman" w:cs="Times New Roman" w:eastAsia="Times New Roman" w:hAnsi="Times New Roman"/>
          <w:sz w:val="17"/>
          <w:szCs w:val="17"/>
          <w:color w:val="auto"/>
        </w:rPr>
        <w:t>”</w:t>
      </w:r>
      <w:r>
        <w:rPr>
          <w:rFonts w:ascii="Arial" w:cs="Arial" w:eastAsia="Arial" w:hAnsi="Arial"/>
          <w:sz w:val="17"/>
          <w:szCs w:val="17"/>
          <w:color w:val="auto"/>
        </w:rPr>
        <w:t xml:space="preserve">), and Section 21E of the U.S. Securities Exchange Act of 1934, as amended (the </w:t>
      </w:r>
      <w:r>
        <w:rPr>
          <w:rFonts w:ascii="Times New Roman" w:cs="Times New Roman" w:eastAsia="Times New Roman" w:hAnsi="Times New Roman"/>
          <w:sz w:val="17"/>
          <w:szCs w:val="17"/>
          <w:color w:val="auto"/>
        </w:rPr>
        <w:t>“</w:t>
      </w:r>
      <w:r>
        <w:rPr>
          <w:rFonts w:ascii="Arial" w:cs="Arial" w:eastAsia="Arial" w:hAnsi="Arial"/>
          <w:sz w:val="17"/>
          <w:szCs w:val="17"/>
          <w:color w:val="auto"/>
        </w:rPr>
        <w:t>Exchange Act</w:t>
      </w:r>
      <w:r>
        <w:rPr>
          <w:rFonts w:ascii="Times New Roman" w:cs="Times New Roman" w:eastAsia="Times New Roman" w:hAnsi="Times New Roman"/>
          <w:sz w:val="17"/>
          <w:szCs w:val="17"/>
          <w:color w:val="auto"/>
        </w:rPr>
        <w:t>”</w:t>
      </w:r>
      <w:r>
        <w:rPr>
          <w:rFonts w:ascii="Arial" w:cs="Arial" w:eastAsia="Arial" w:hAnsi="Arial"/>
          <w:sz w:val="17"/>
          <w:szCs w:val="17"/>
          <w:color w:val="auto"/>
        </w:rPr>
        <w:t xml:space="preserve">), which reflect our current views with respect to, among other things, our future results of operations and financial performance. In some cases, you can identify forward-looking statements by words such as </w:t>
      </w:r>
      <w:r>
        <w:rPr>
          <w:rFonts w:ascii="Times New Roman" w:cs="Times New Roman" w:eastAsia="Times New Roman" w:hAnsi="Times New Roman"/>
          <w:sz w:val="17"/>
          <w:szCs w:val="17"/>
          <w:color w:val="auto"/>
        </w:rPr>
        <w:t>“</w:t>
      </w:r>
      <w:r>
        <w:rPr>
          <w:rFonts w:ascii="Arial" w:cs="Arial" w:eastAsia="Arial" w:hAnsi="Arial"/>
          <w:sz w:val="17"/>
          <w:szCs w:val="17"/>
          <w:color w:val="auto"/>
        </w:rPr>
        <w:t>anticipate,</w:t>
      </w:r>
      <w:r>
        <w:rPr>
          <w:rFonts w:ascii="Times New Roman" w:cs="Times New Roman" w:eastAsia="Times New Roman" w:hAnsi="Times New Roman"/>
          <w:sz w:val="17"/>
          <w:szCs w:val="17"/>
          <w:color w:val="auto"/>
        </w:rPr>
        <w:t>” “</w:t>
      </w:r>
      <w:r>
        <w:rPr>
          <w:rFonts w:ascii="Arial" w:cs="Arial" w:eastAsia="Arial" w:hAnsi="Arial"/>
          <w:sz w:val="17"/>
          <w:szCs w:val="17"/>
          <w:color w:val="auto"/>
        </w:rPr>
        <w:t>approximately,</w:t>
      </w:r>
      <w:r>
        <w:rPr>
          <w:rFonts w:ascii="Times New Roman" w:cs="Times New Roman" w:eastAsia="Times New Roman" w:hAnsi="Times New Roman"/>
          <w:sz w:val="17"/>
          <w:szCs w:val="17"/>
          <w:color w:val="auto"/>
        </w:rPr>
        <w:t>” “</w:t>
      </w:r>
      <w:r>
        <w:rPr>
          <w:rFonts w:ascii="Arial" w:cs="Arial" w:eastAsia="Arial" w:hAnsi="Arial"/>
          <w:sz w:val="17"/>
          <w:szCs w:val="17"/>
          <w:color w:val="auto"/>
        </w:rPr>
        <w:t>believe,</w:t>
      </w:r>
      <w:r>
        <w:rPr>
          <w:rFonts w:ascii="Times New Roman" w:cs="Times New Roman" w:eastAsia="Times New Roman" w:hAnsi="Times New Roman"/>
          <w:sz w:val="17"/>
          <w:szCs w:val="17"/>
          <w:color w:val="auto"/>
        </w:rPr>
        <w:t>” “</w:t>
      </w:r>
      <w:r>
        <w:rPr>
          <w:rFonts w:ascii="Arial" w:cs="Arial" w:eastAsia="Arial" w:hAnsi="Arial"/>
          <w:sz w:val="17"/>
          <w:szCs w:val="17"/>
          <w:color w:val="auto"/>
        </w:rPr>
        <w:t>continue,</w:t>
      </w:r>
      <w:r>
        <w:rPr>
          <w:rFonts w:ascii="Times New Roman" w:cs="Times New Roman" w:eastAsia="Times New Roman" w:hAnsi="Times New Roman"/>
          <w:sz w:val="17"/>
          <w:szCs w:val="17"/>
          <w:color w:val="auto"/>
        </w:rPr>
        <w:t>” “</w:t>
      </w:r>
      <w:r>
        <w:rPr>
          <w:rFonts w:ascii="Arial" w:cs="Arial" w:eastAsia="Arial" w:hAnsi="Arial"/>
          <w:sz w:val="17"/>
          <w:szCs w:val="17"/>
          <w:color w:val="auto"/>
        </w:rPr>
        <w:t>could,</w:t>
      </w:r>
      <w:r>
        <w:rPr>
          <w:rFonts w:ascii="Times New Roman" w:cs="Times New Roman" w:eastAsia="Times New Roman" w:hAnsi="Times New Roman"/>
          <w:sz w:val="17"/>
          <w:szCs w:val="17"/>
          <w:color w:val="auto"/>
        </w:rPr>
        <w:t>” “</w:t>
      </w:r>
      <w:r>
        <w:rPr>
          <w:rFonts w:ascii="Arial" w:cs="Arial" w:eastAsia="Arial" w:hAnsi="Arial"/>
          <w:sz w:val="17"/>
          <w:szCs w:val="17"/>
          <w:color w:val="auto"/>
        </w:rPr>
        <w:t>estimate,</w:t>
      </w:r>
      <w:r>
        <w:rPr>
          <w:rFonts w:ascii="Times New Roman" w:cs="Times New Roman" w:eastAsia="Times New Roman" w:hAnsi="Times New Roman"/>
          <w:sz w:val="17"/>
          <w:szCs w:val="17"/>
          <w:color w:val="auto"/>
        </w:rPr>
        <w:t>” “</w:t>
      </w:r>
      <w:r>
        <w:rPr>
          <w:rFonts w:ascii="Arial" w:cs="Arial" w:eastAsia="Arial" w:hAnsi="Arial"/>
          <w:sz w:val="17"/>
          <w:szCs w:val="17"/>
          <w:color w:val="auto"/>
        </w:rPr>
        <w:t>expect,</w:t>
      </w:r>
      <w:r>
        <w:rPr>
          <w:rFonts w:ascii="Times New Roman" w:cs="Times New Roman" w:eastAsia="Times New Roman" w:hAnsi="Times New Roman"/>
          <w:sz w:val="17"/>
          <w:szCs w:val="17"/>
          <w:color w:val="auto"/>
        </w:rPr>
        <w:t>” “</w:t>
      </w:r>
      <w:r>
        <w:rPr>
          <w:rFonts w:ascii="Arial" w:cs="Arial" w:eastAsia="Arial" w:hAnsi="Arial"/>
          <w:sz w:val="17"/>
          <w:szCs w:val="17"/>
          <w:color w:val="auto"/>
        </w:rPr>
        <w:t>intend,</w:t>
      </w:r>
      <w:r>
        <w:rPr>
          <w:rFonts w:ascii="Times New Roman" w:cs="Times New Roman" w:eastAsia="Times New Roman" w:hAnsi="Times New Roman"/>
          <w:sz w:val="17"/>
          <w:szCs w:val="17"/>
          <w:color w:val="auto"/>
        </w:rPr>
        <w:t>” “</w:t>
      </w:r>
      <w:r>
        <w:rPr>
          <w:rFonts w:ascii="Arial" w:cs="Arial" w:eastAsia="Arial" w:hAnsi="Arial"/>
          <w:sz w:val="17"/>
          <w:szCs w:val="17"/>
          <w:color w:val="auto"/>
        </w:rPr>
        <w:t>may,</w:t>
      </w:r>
      <w:r>
        <w:rPr>
          <w:rFonts w:ascii="Times New Roman" w:cs="Times New Roman" w:eastAsia="Times New Roman" w:hAnsi="Times New Roman"/>
          <w:sz w:val="17"/>
          <w:szCs w:val="17"/>
          <w:color w:val="auto"/>
        </w:rPr>
        <w:t>” “</w:t>
      </w:r>
      <w:r>
        <w:rPr>
          <w:rFonts w:ascii="Arial" w:cs="Arial" w:eastAsia="Arial" w:hAnsi="Arial"/>
          <w:sz w:val="17"/>
          <w:szCs w:val="17"/>
          <w:color w:val="auto"/>
        </w:rPr>
        <w:t>outlook,</w:t>
      </w:r>
      <w:r>
        <w:rPr>
          <w:rFonts w:ascii="Times New Roman" w:cs="Times New Roman" w:eastAsia="Times New Roman" w:hAnsi="Times New Roman"/>
          <w:sz w:val="17"/>
          <w:szCs w:val="17"/>
          <w:color w:val="auto"/>
        </w:rPr>
        <w:t>”</w:t>
      </w:r>
      <w:r>
        <w:rPr>
          <w:rFonts w:ascii="Arial" w:cs="Arial" w:eastAsia="Arial" w:hAnsi="Arial"/>
          <w:sz w:val="17"/>
          <w:szCs w:val="17"/>
          <w:color w:val="auto"/>
        </w:rPr>
        <w:t xml:space="preserve"> </w:t>
      </w:r>
      <w:r>
        <w:rPr>
          <w:rFonts w:ascii="Times New Roman" w:cs="Times New Roman" w:eastAsia="Times New Roman" w:hAnsi="Times New Roman"/>
          <w:sz w:val="17"/>
          <w:szCs w:val="17"/>
          <w:color w:val="auto"/>
        </w:rPr>
        <w:t>“</w:t>
      </w:r>
      <w:r>
        <w:rPr>
          <w:rFonts w:ascii="Arial" w:cs="Arial" w:eastAsia="Arial" w:hAnsi="Arial"/>
          <w:sz w:val="17"/>
          <w:szCs w:val="17"/>
          <w:color w:val="auto"/>
        </w:rPr>
        <w:t>plan,</w:t>
      </w:r>
      <w:r>
        <w:rPr>
          <w:rFonts w:ascii="Times New Roman" w:cs="Times New Roman" w:eastAsia="Times New Roman" w:hAnsi="Times New Roman"/>
          <w:sz w:val="17"/>
          <w:szCs w:val="17"/>
          <w:color w:val="auto"/>
        </w:rPr>
        <w:t>” “</w:t>
      </w:r>
      <w:r>
        <w:rPr>
          <w:rFonts w:ascii="Arial" w:cs="Arial" w:eastAsia="Arial" w:hAnsi="Arial"/>
          <w:sz w:val="17"/>
          <w:szCs w:val="17"/>
          <w:color w:val="auto"/>
        </w:rPr>
        <w:t>potential,</w:t>
      </w:r>
      <w:r>
        <w:rPr>
          <w:rFonts w:ascii="Times New Roman" w:cs="Times New Roman" w:eastAsia="Times New Roman" w:hAnsi="Times New Roman"/>
          <w:sz w:val="17"/>
          <w:szCs w:val="17"/>
          <w:color w:val="auto"/>
        </w:rPr>
        <w:t>” “</w:t>
      </w:r>
      <w:r>
        <w:rPr>
          <w:rFonts w:ascii="Arial" w:cs="Arial" w:eastAsia="Arial" w:hAnsi="Arial"/>
          <w:sz w:val="17"/>
          <w:szCs w:val="17"/>
          <w:color w:val="auto"/>
        </w:rPr>
        <w:t>predict,</w:t>
      </w:r>
      <w:r>
        <w:rPr>
          <w:rFonts w:ascii="Times New Roman" w:cs="Times New Roman" w:eastAsia="Times New Roman" w:hAnsi="Times New Roman"/>
          <w:sz w:val="17"/>
          <w:szCs w:val="17"/>
          <w:color w:val="auto"/>
        </w:rPr>
        <w:t>” “</w:t>
      </w:r>
      <w:r>
        <w:rPr>
          <w:rFonts w:ascii="Arial" w:cs="Arial" w:eastAsia="Arial" w:hAnsi="Arial"/>
          <w:sz w:val="17"/>
          <w:szCs w:val="17"/>
          <w:color w:val="auto"/>
        </w:rPr>
        <w:t>seek,</w:t>
      </w:r>
      <w:r>
        <w:rPr>
          <w:rFonts w:ascii="Times New Roman" w:cs="Times New Roman" w:eastAsia="Times New Roman" w:hAnsi="Times New Roman"/>
          <w:sz w:val="17"/>
          <w:szCs w:val="17"/>
          <w:color w:val="auto"/>
        </w:rPr>
        <w:t>” “</w:t>
      </w:r>
      <w:r>
        <w:rPr>
          <w:rFonts w:ascii="Arial" w:cs="Arial" w:eastAsia="Arial" w:hAnsi="Arial"/>
          <w:sz w:val="17"/>
          <w:szCs w:val="17"/>
          <w:color w:val="auto"/>
        </w:rPr>
        <w:t>should,</w:t>
      </w:r>
      <w:r>
        <w:rPr>
          <w:rFonts w:ascii="Times New Roman" w:cs="Times New Roman" w:eastAsia="Times New Roman" w:hAnsi="Times New Roman"/>
          <w:sz w:val="17"/>
          <w:szCs w:val="17"/>
          <w:color w:val="auto"/>
        </w:rPr>
        <w:t>” “</w:t>
      </w:r>
      <w:r>
        <w:rPr>
          <w:rFonts w:ascii="Arial" w:cs="Arial" w:eastAsia="Arial" w:hAnsi="Arial"/>
          <w:sz w:val="17"/>
          <w:szCs w:val="17"/>
          <w:color w:val="auto"/>
        </w:rPr>
        <w:t>will</w:t>
      </w:r>
      <w:r>
        <w:rPr>
          <w:rFonts w:ascii="Times New Roman" w:cs="Times New Roman" w:eastAsia="Times New Roman" w:hAnsi="Times New Roman"/>
          <w:sz w:val="17"/>
          <w:szCs w:val="17"/>
          <w:color w:val="auto"/>
        </w:rPr>
        <w:t xml:space="preserve">” </w:t>
      </w:r>
      <w:r>
        <w:rPr>
          <w:rFonts w:ascii="Arial" w:cs="Arial" w:eastAsia="Arial" w:hAnsi="Arial"/>
          <w:sz w:val="17"/>
          <w:szCs w:val="17"/>
          <w:color w:val="auto"/>
        </w:rPr>
        <w:t>and</w:t>
      </w:r>
      <w:r>
        <w:rPr>
          <w:rFonts w:ascii="Times New Roman" w:cs="Times New Roman" w:eastAsia="Times New Roman" w:hAnsi="Times New Roman"/>
          <w:sz w:val="17"/>
          <w:szCs w:val="17"/>
          <w:color w:val="auto"/>
        </w:rPr>
        <w:t xml:space="preserve"> “</w:t>
      </w:r>
      <w:r>
        <w:rPr>
          <w:rFonts w:ascii="Arial" w:cs="Arial" w:eastAsia="Arial" w:hAnsi="Arial"/>
          <w:sz w:val="17"/>
          <w:szCs w:val="17"/>
          <w:color w:val="auto"/>
        </w:rPr>
        <w:t>would</w:t>
      </w:r>
      <w:r>
        <w:rPr>
          <w:rFonts w:ascii="Times New Roman" w:cs="Times New Roman" w:eastAsia="Times New Roman" w:hAnsi="Times New Roman"/>
          <w:sz w:val="17"/>
          <w:szCs w:val="17"/>
          <w:color w:val="auto"/>
        </w:rPr>
        <w:t xml:space="preserve">” </w:t>
      </w:r>
      <w:r>
        <w:rPr>
          <w:rFonts w:ascii="Arial" w:cs="Arial" w:eastAsia="Arial" w:hAnsi="Arial"/>
          <w:sz w:val="17"/>
          <w:szCs w:val="17"/>
          <w:color w:val="auto"/>
        </w:rPr>
        <w:t>or the negative version of these words or other comparable or similar words.</w:t>
      </w:r>
      <w:r>
        <w:rPr>
          <w:rFonts w:ascii="Times New Roman" w:cs="Times New Roman" w:eastAsia="Times New Roman" w:hAnsi="Times New Roman"/>
          <w:sz w:val="17"/>
          <w:szCs w:val="17"/>
          <w:color w:val="auto"/>
        </w:rPr>
        <w:t xml:space="preserve"> </w:t>
      </w:r>
      <w:r>
        <w:rPr>
          <w:rFonts w:ascii="Arial" w:cs="Arial" w:eastAsia="Arial" w:hAnsi="Arial"/>
          <w:sz w:val="17"/>
          <w:szCs w:val="17"/>
          <w:color w:val="auto"/>
        </w:rPr>
        <w:t>These statements identify prospective information including, without limitation, statements with respect to the recently announced transaction</w:t>
      </w:r>
    </w:p>
    <w:p>
      <w:pPr>
        <w:spacing w:after="0" w:line="1" w:lineRule="exact"/>
        <w:rPr>
          <w:sz w:val="20"/>
          <w:szCs w:val="20"/>
          <w:color w:val="auto"/>
        </w:rPr>
      </w:pPr>
    </w:p>
    <w:p>
      <w:pPr>
        <w:ind w:right="240"/>
        <w:spacing w:after="0" w:line="229" w:lineRule="auto"/>
        <w:rPr>
          <w:sz w:val="20"/>
          <w:szCs w:val="20"/>
          <w:color w:val="auto"/>
        </w:rPr>
      </w:pPr>
      <w:r>
        <w:rPr>
          <w:rFonts w:ascii="Arial" w:cs="Arial" w:eastAsia="Arial" w:hAnsi="Arial"/>
          <w:sz w:val="17"/>
          <w:szCs w:val="17"/>
          <w:color w:val="auto"/>
        </w:rPr>
        <w:t>whereby Brookfield will acquire the approximately 26% interest in Oaktree that it does not already own, subject to regulatory approvals and customary closing conditions. Important factors could cause actual results to differ, possibly materially, from those indicated in these statements.</w:t>
      </w:r>
    </w:p>
    <w:p>
      <w:pPr>
        <w:spacing w:after="0" w:line="1" w:lineRule="exact"/>
        <w:rPr>
          <w:sz w:val="20"/>
          <w:szCs w:val="20"/>
          <w:color w:val="auto"/>
        </w:rPr>
      </w:pPr>
    </w:p>
    <w:p>
      <w:pPr>
        <w:ind w:right="120"/>
        <w:spacing w:after="0" w:line="246" w:lineRule="auto"/>
        <w:rPr>
          <w:sz w:val="20"/>
          <w:szCs w:val="20"/>
          <w:color w:val="auto"/>
        </w:rPr>
      </w:pPr>
      <w:r>
        <w:rPr>
          <w:rFonts w:ascii="Arial" w:cs="Arial" w:eastAsia="Arial" w:hAnsi="Arial"/>
          <w:sz w:val="17"/>
          <w:szCs w:val="17"/>
          <w:color w:val="auto"/>
        </w:rPr>
        <w:t>Forward-looking statements are based on our beliefs, assumptions and expectations of our future performance, taking into account all information currently available to us. Such forward-looking statements are subject to risks and uncertainties and assumptions relating to our operations, financial results, financial condition, business prospects, growth strategy and liquidity.</w:t>
      </w:r>
    </w:p>
    <w:p>
      <w:pPr>
        <w:spacing w:after="0" w:line="131" w:lineRule="exact"/>
        <w:rPr>
          <w:sz w:val="20"/>
          <w:szCs w:val="20"/>
          <w:color w:val="auto"/>
        </w:rPr>
      </w:pPr>
    </w:p>
    <w:p>
      <w:pPr>
        <w:ind w:right="140" w:firstLine="619"/>
        <w:spacing w:after="0" w:line="258" w:lineRule="auto"/>
        <w:rPr>
          <w:sz w:val="20"/>
          <w:szCs w:val="20"/>
          <w:color w:val="auto"/>
        </w:rPr>
      </w:pPr>
      <w:r>
        <w:rPr>
          <w:rFonts w:ascii="Arial" w:cs="Arial" w:eastAsia="Arial" w:hAnsi="Arial"/>
          <w:sz w:val="17"/>
          <w:szCs w:val="17"/>
          <w:color w:val="auto"/>
        </w:rPr>
        <w:t>In addition to factors identified elsewhere in this annual report, the following factors, among others, could cause actual results to differ materially from forward-looking statements and information or historical performance: the ability of Brookfield Oaktree Holdings, LLC (“BOH”) to retain and hire key service providers; the continued availability of capital and financing; the business, economic and political conditions in the markets in which BOH operates; changes in BOH’s anticipated revenue and income, which are inherently volatile; changes in the value of BOH’s investments; the pace of Oaktree’s raising of new funds; changes in assets under management; the timing and receipt of, and impact of taxes on, carried interest; distributions from and liquidation of Oaktree’s existing funds; the amount and timing of distributions on BOH’s preferred units; changes in BOH’s operating or other expenses; the degree to which BOH encounters competition; and general political, economic and market conditions.</w:t>
      </w:r>
    </w:p>
    <w:p>
      <w:pPr>
        <w:spacing w:after="0" w:line="124" w:lineRule="exact"/>
        <w:rPr>
          <w:sz w:val="20"/>
          <w:szCs w:val="20"/>
          <w:color w:val="auto"/>
        </w:rPr>
      </w:pPr>
    </w:p>
    <w:p>
      <w:pPr>
        <w:ind w:right="20" w:firstLine="619"/>
        <w:spacing w:after="0" w:line="262" w:lineRule="auto"/>
        <w:rPr>
          <w:sz w:val="20"/>
          <w:szCs w:val="20"/>
          <w:color w:val="auto"/>
        </w:rPr>
      </w:pPr>
      <w:r>
        <w:rPr>
          <w:rFonts w:ascii="Arial" w:cs="Arial" w:eastAsia="Arial" w:hAnsi="Arial"/>
          <w:sz w:val="17"/>
          <w:szCs w:val="17"/>
          <w:color w:val="auto"/>
        </w:rPr>
        <w:t>Any forward-looking statements and information speak only as of the date of this annual report or as of the date they were made, and except as required by law, BOH does not undertake any obligation to update forward-looking statements and information. For a more detailed discussion of these factors, also see the information under the captions “Risk Factors” and “Management’s Discussion and Analysis of Financial Condition and Results of Operations” in this annual report, and in each case any material updates to these factors contained in any of BOH’s future filings.</w:t>
      </w:r>
    </w:p>
    <w:p>
      <w:pPr>
        <w:spacing w:after="0" w:line="119" w:lineRule="exact"/>
        <w:rPr>
          <w:sz w:val="20"/>
          <w:szCs w:val="20"/>
          <w:color w:val="auto"/>
        </w:rPr>
      </w:pPr>
    </w:p>
    <w:p>
      <w:pPr>
        <w:ind w:right="180" w:firstLine="619"/>
        <w:spacing w:after="0" w:line="271" w:lineRule="auto"/>
        <w:rPr>
          <w:sz w:val="20"/>
          <w:szCs w:val="20"/>
          <w:color w:val="auto"/>
        </w:rPr>
      </w:pPr>
      <w:r>
        <w:rPr>
          <w:rFonts w:ascii="Arial" w:cs="Arial" w:eastAsia="Arial" w:hAnsi="Arial"/>
          <w:sz w:val="17"/>
          <w:szCs w:val="17"/>
          <w:color w:val="auto"/>
        </w:rPr>
        <w:t>As for the forward-looking statements and information that relate to future financial results and other projections, actual results will be different due to the inherent uncertainties of estimates, forecasts and projections and may be better or worse than projected and such differences could be material. Given these uncertainties, you should not place any reliance on these forward-looking statements and information.</w:t>
      </w:r>
    </w:p>
    <w:p>
      <w:pPr>
        <w:spacing w:after="0" w:line="111" w:lineRule="exact"/>
        <w:rPr>
          <w:sz w:val="20"/>
          <w:szCs w:val="20"/>
          <w:color w:val="auto"/>
        </w:rPr>
      </w:pPr>
    </w:p>
    <w:p>
      <w:pPr>
        <w:ind w:right="280" w:firstLine="619"/>
        <w:spacing w:after="0" w:line="290" w:lineRule="auto"/>
        <w:rPr>
          <w:sz w:val="20"/>
          <w:szCs w:val="20"/>
          <w:color w:val="auto"/>
        </w:rPr>
      </w:pPr>
      <w:r>
        <w:rPr>
          <w:rFonts w:ascii="Arial" w:cs="Arial" w:eastAsia="Arial" w:hAnsi="Arial"/>
          <w:sz w:val="17"/>
          <w:szCs w:val="17"/>
          <w:color w:val="auto"/>
        </w:rPr>
        <w:t>This annual report and its contents do not constitute and should not be construed as (a) a recommendation to buy, (b) an offer to buy or solicitation of an offer to buy, (c) an offer to sell or (d) advice in relation to, any securities of BOH or securities of any Oaktree investment fund.</w:t>
      </w:r>
    </w:p>
    <w:p>
      <w:pPr>
        <w:spacing w:after="0" w:line="200" w:lineRule="exact"/>
        <w:rPr>
          <w:sz w:val="20"/>
          <w:szCs w:val="20"/>
          <w:color w:val="auto"/>
        </w:rPr>
      </w:pPr>
    </w:p>
    <w:p>
      <w:pPr>
        <w:spacing w:after="0" w:line="269"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80"/>
          </w:cols>
          <w:pgMar w:left="320" w:top="856" w:right="399" w:bottom="1440" w:gutter="0" w:footer="0" w:header="0"/>
        </w:sectPr>
      </w:pPr>
    </w:p>
    <w:bookmarkStart w:id="3" w:name="page4"/>
    <w:bookmarkEnd w:id="3"/>
    <w:p>
      <w:pPr>
        <w:jc w:val="center"/>
        <w:ind w:right="-39"/>
        <w:spacing w:after="0"/>
        <w:rPr>
          <w:sz w:val="20"/>
          <w:szCs w:val="20"/>
          <w:color w:val="auto"/>
        </w:rPr>
      </w:pPr>
      <w:r>
        <w:rPr>
          <w:rFonts w:ascii="Arial" w:cs="Arial" w:eastAsia="Arial" w:hAnsi="Arial"/>
          <w:sz w:val="17"/>
          <w:szCs w:val="17"/>
          <w:b w:val="1"/>
          <w:bCs w:val="1"/>
          <w:color w:val="auto"/>
        </w:rPr>
        <w:t>Risk Factor Summary</w:t>
      </w:r>
    </w:p>
    <w:p>
      <w:pPr>
        <w:spacing w:after="0" w:line="169" w:lineRule="exact"/>
        <w:rPr>
          <w:sz w:val="20"/>
          <w:szCs w:val="20"/>
          <w:color w:val="auto"/>
        </w:rPr>
      </w:pPr>
    </w:p>
    <w:p>
      <w:pPr>
        <w:ind w:right="40" w:firstLine="619"/>
        <w:spacing w:after="0" w:line="264" w:lineRule="auto"/>
        <w:rPr>
          <w:sz w:val="20"/>
          <w:szCs w:val="20"/>
          <w:color w:val="auto"/>
        </w:rPr>
      </w:pPr>
      <w:r>
        <w:rPr>
          <w:rFonts w:ascii="Arial" w:cs="Arial" w:eastAsia="Arial" w:hAnsi="Arial"/>
          <w:sz w:val="17"/>
          <w:szCs w:val="17"/>
          <w:i w:val="1"/>
          <w:iCs w:val="1"/>
          <w:color w:val="auto"/>
        </w:rPr>
        <w:t>We are providing the following summary of the risk factors contained in this annual report to enhance the readability and accessibility of our risk factor disclosures. We encourage you to carefully review the full risk factors contained in this annual report in their entirety for additional information regarding the material factors that make an investment in our preferred units speculative or risky. These risks and uncertainties include, but are not limited to,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134620</wp:posOffset>
            </wp:positionV>
            <wp:extent cx="13836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383665" cy="8255"/>
                    </a:xfrm>
                    <a:prstGeom prst="rect">
                      <a:avLst/>
                    </a:prstGeom>
                    <a:noFill/>
                  </pic:spPr>
                </pic:pic>
              </a:graphicData>
            </a:graphic>
          </wp:anchor>
        </w:drawing>
      </w:r>
    </w:p>
    <w:p>
      <w:pPr>
        <w:spacing w:after="0" w:line="381" w:lineRule="exact"/>
        <w:rPr>
          <w:sz w:val="20"/>
          <w:szCs w:val="20"/>
          <w:color w:val="auto"/>
        </w:rPr>
      </w:pPr>
    </w:p>
    <w:p>
      <w:pPr>
        <w:ind w:left="620" w:hanging="307"/>
        <w:spacing w:after="0"/>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Oaktree or we may alter the terms under which it or we do business when Oaktree or we deem it appropriate;</w:t>
      </w:r>
    </w:p>
    <w:p>
      <w:pPr>
        <w:spacing w:after="0" w:line="136" w:lineRule="exact"/>
        <w:rPr>
          <w:rFonts w:ascii="Arial" w:cs="Arial" w:eastAsia="Arial" w:hAnsi="Arial"/>
          <w:sz w:val="17"/>
          <w:szCs w:val="17"/>
          <w:color w:val="auto"/>
        </w:rPr>
      </w:pPr>
    </w:p>
    <w:p>
      <w:pPr>
        <w:ind w:left="620" w:hanging="307"/>
        <w:spacing w:after="0"/>
        <w:tabs>
          <w:tab w:leader="none" w:pos="620" w:val="left"/>
        </w:tabs>
        <w:numPr>
          <w:ilvl w:val="0"/>
          <w:numId w:val="3"/>
        </w:numPr>
        <w:rPr>
          <w:rFonts w:ascii="Arial" w:cs="Arial" w:eastAsia="Arial" w:hAnsi="Arial"/>
          <w:sz w:val="21"/>
          <w:szCs w:val="21"/>
          <w:color w:val="auto"/>
        </w:rPr>
      </w:pPr>
      <w:r>
        <w:rPr>
          <w:rFonts w:ascii="Arial" w:cs="Arial" w:eastAsia="Arial" w:hAnsi="Arial"/>
          <w:sz w:val="17"/>
          <w:szCs w:val="17"/>
          <w:color w:val="auto"/>
        </w:rPr>
        <w:t>Our business could be materially harmed by conditions in the global financial markets and economies;</w:t>
      </w:r>
    </w:p>
    <w:p>
      <w:pPr>
        <w:spacing w:after="0" w:line="83" w:lineRule="exact"/>
        <w:rPr>
          <w:rFonts w:ascii="Arial" w:cs="Arial" w:eastAsia="Arial" w:hAnsi="Arial"/>
          <w:sz w:val="21"/>
          <w:szCs w:val="21"/>
          <w:color w:val="auto"/>
        </w:rPr>
      </w:pPr>
    </w:p>
    <w:p>
      <w:pPr>
        <w:ind w:left="620" w:right="220" w:hanging="307"/>
        <w:spacing w:after="0" w:line="290" w:lineRule="auto"/>
        <w:tabs>
          <w:tab w:leader="none" w:pos="616" w:val="left"/>
        </w:tabs>
        <w:numPr>
          <w:ilvl w:val="0"/>
          <w:numId w:val="3"/>
        </w:numPr>
        <w:rPr>
          <w:rFonts w:ascii="Arial" w:cs="Arial" w:eastAsia="Arial" w:hAnsi="Arial"/>
          <w:sz w:val="17"/>
          <w:szCs w:val="17"/>
          <w:color w:val="auto"/>
        </w:rPr>
      </w:pPr>
      <w:r>
        <w:rPr>
          <w:rFonts w:ascii="Arial" w:cs="Arial" w:eastAsia="Arial" w:hAnsi="Arial"/>
          <w:sz w:val="17"/>
          <w:szCs w:val="17"/>
          <w:color w:val="auto"/>
        </w:rPr>
        <w:t>Inflation has adversely affected and may continue to adversely affect our business and results of operations and the financial condition of Oaktree’s funds and their portfolio companies;</w:t>
      </w:r>
    </w:p>
    <w:p>
      <w:pPr>
        <w:spacing w:after="0" w:line="65" w:lineRule="exact"/>
        <w:rPr>
          <w:rFonts w:ascii="Arial" w:cs="Arial" w:eastAsia="Arial" w:hAnsi="Arial"/>
          <w:sz w:val="17"/>
          <w:szCs w:val="17"/>
          <w:color w:val="auto"/>
        </w:rPr>
      </w:pPr>
    </w:p>
    <w:p>
      <w:pPr>
        <w:ind w:left="620" w:hanging="307"/>
        <w:spacing w:after="0"/>
        <w:tabs>
          <w:tab w:leader="none" w:pos="620" w:val="left"/>
        </w:tabs>
        <w:numPr>
          <w:ilvl w:val="0"/>
          <w:numId w:val="3"/>
        </w:numPr>
        <w:rPr>
          <w:rFonts w:ascii="Arial" w:cs="Arial" w:eastAsia="Arial" w:hAnsi="Arial"/>
          <w:sz w:val="21"/>
          <w:szCs w:val="21"/>
          <w:color w:val="auto"/>
        </w:rPr>
      </w:pPr>
      <w:r>
        <w:rPr>
          <w:rFonts w:ascii="Arial" w:cs="Arial" w:eastAsia="Arial" w:hAnsi="Arial"/>
          <w:sz w:val="17"/>
          <w:szCs w:val="17"/>
          <w:color w:val="auto"/>
        </w:rPr>
        <w:t>If Oaktree were unable to raise capital from investors, it would adversely affect our financial condition;</w:t>
      </w:r>
    </w:p>
    <w:p>
      <w:pPr>
        <w:spacing w:after="0" w:line="106" w:lineRule="exact"/>
        <w:rPr>
          <w:rFonts w:ascii="Arial" w:cs="Arial" w:eastAsia="Arial" w:hAnsi="Arial"/>
          <w:sz w:val="21"/>
          <w:szCs w:val="21"/>
          <w:color w:val="auto"/>
        </w:rPr>
      </w:pPr>
    </w:p>
    <w:p>
      <w:pPr>
        <w:ind w:left="620" w:hanging="307"/>
        <w:spacing w:after="0"/>
        <w:tabs>
          <w:tab w:leader="none" w:pos="620" w:val="left"/>
        </w:tabs>
        <w:numPr>
          <w:ilvl w:val="0"/>
          <w:numId w:val="3"/>
        </w:numPr>
        <w:rPr>
          <w:rFonts w:ascii="Arial" w:cs="Arial" w:eastAsia="Arial" w:hAnsi="Arial"/>
          <w:sz w:val="21"/>
          <w:szCs w:val="21"/>
          <w:color w:val="auto"/>
        </w:rPr>
      </w:pPr>
      <w:r>
        <w:rPr>
          <w:rFonts w:ascii="Arial" w:cs="Arial" w:eastAsia="Arial" w:hAnsi="Arial"/>
          <w:sz w:val="17"/>
          <w:szCs w:val="17"/>
          <w:color w:val="auto"/>
        </w:rPr>
        <w:t>We depend on OCM and certain of its affiliates to advise the funds in which we invest and to support Oaktree’s operations;</w:t>
      </w:r>
    </w:p>
    <w:p>
      <w:pPr>
        <w:spacing w:after="0" w:line="106" w:lineRule="exact"/>
        <w:rPr>
          <w:rFonts w:ascii="Arial" w:cs="Arial" w:eastAsia="Arial" w:hAnsi="Arial"/>
          <w:sz w:val="21"/>
          <w:szCs w:val="21"/>
          <w:color w:val="auto"/>
        </w:rPr>
      </w:pPr>
    </w:p>
    <w:p>
      <w:pPr>
        <w:ind w:left="620" w:hanging="307"/>
        <w:spacing w:after="0"/>
        <w:tabs>
          <w:tab w:leader="none" w:pos="620" w:val="left"/>
        </w:tabs>
        <w:numPr>
          <w:ilvl w:val="0"/>
          <w:numId w:val="3"/>
        </w:numPr>
        <w:rPr>
          <w:rFonts w:ascii="Arial" w:cs="Arial" w:eastAsia="Arial" w:hAnsi="Arial"/>
          <w:sz w:val="21"/>
          <w:szCs w:val="21"/>
          <w:color w:val="auto"/>
        </w:rPr>
      </w:pPr>
      <w:r>
        <w:rPr>
          <w:rFonts w:ascii="Arial" w:cs="Arial" w:eastAsia="Arial" w:hAnsi="Arial"/>
          <w:sz w:val="17"/>
          <w:szCs w:val="17"/>
          <w:color w:val="auto"/>
        </w:rPr>
        <w:t>Our revenues are volatile due to the nature and structure of Oaktree’s business;</w:t>
      </w:r>
    </w:p>
    <w:p>
      <w:pPr>
        <w:spacing w:after="0" w:line="106" w:lineRule="exact"/>
        <w:rPr>
          <w:rFonts w:ascii="Arial" w:cs="Arial" w:eastAsia="Arial" w:hAnsi="Arial"/>
          <w:sz w:val="21"/>
          <w:szCs w:val="21"/>
          <w:color w:val="auto"/>
        </w:rPr>
      </w:pPr>
    </w:p>
    <w:p>
      <w:pPr>
        <w:ind w:left="620" w:hanging="307"/>
        <w:spacing w:after="0"/>
        <w:tabs>
          <w:tab w:leader="none" w:pos="620" w:val="left"/>
        </w:tabs>
        <w:numPr>
          <w:ilvl w:val="0"/>
          <w:numId w:val="3"/>
        </w:numPr>
        <w:rPr>
          <w:rFonts w:ascii="Arial" w:cs="Arial" w:eastAsia="Arial" w:hAnsi="Arial"/>
          <w:sz w:val="21"/>
          <w:szCs w:val="21"/>
          <w:color w:val="auto"/>
        </w:rPr>
      </w:pPr>
      <w:r>
        <w:rPr>
          <w:rFonts w:ascii="Arial" w:cs="Arial" w:eastAsia="Arial" w:hAnsi="Arial"/>
          <w:sz w:val="17"/>
          <w:szCs w:val="17"/>
          <w:color w:val="auto"/>
        </w:rPr>
        <w:t>Conflicts of interest or inter-fund governance matters could cause reputational harm to us;</w:t>
      </w:r>
    </w:p>
    <w:p>
      <w:pPr>
        <w:spacing w:after="0" w:line="83" w:lineRule="exact"/>
        <w:rPr>
          <w:rFonts w:ascii="Arial" w:cs="Arial" w:eastAsia="Arial" w:hAnsi="Arial"/>
          <w:sz w:val="21"/>
          <w:szCs w:val="21"/>
          <w:color w:val="auto"/>
        </w:rPr>
      </w:pPr>
    </w:p>
    <w:p>
      <w:pPr>
        <w:ind w:left="620" w:right="240" w:hanging="307"/>
        <w:spacing w:after="0" w:line="247" w:lineRule="auto"/>
        <w:tabs>
          <w:tab w:leader="none" w:pos="616"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investment management business is intensely competitive, and poor performance of Oaktree funds could adversely affect Oaktree’s ability to raise capital for future funds and, in the case of funds in which we are directly or indirectly invested, could negatively affect our financial performance;</w:t>
      </w:r>
    </w:p>
    <w:p>
      <w:pPr>
        <w:spacing w:after="0" w:line="118" w:lineRule="exact"/>
        <w:rPr>
          <w:rFonts w:ascii="Arial" w:cs="Arial" w:eastAsia="Arial" w:hAnsi="Arial"/>
          <w:sz w:val="17"/>
          <w:szCs w:val="17"/>
          <w:color w:val="auto"/>
        </w:rPr>
      </w:pPr>
    </w:p>
    <w:p>
      <w:pPr>
        <w:ind w:left="620" w:right="240" w:hanging="307"/>
        <w:spacing w:after="0" w:line="249" w:lineRule="auto"/>
        <w:tabs>
          <w:tab w:leader="none" w:pos="615" w:val="left"/>
        </w:tabs>
        <w:numPr>
          <w:ilvl w:val="0"/>
          <w:numId w:val="3"/>
        </w:numPr>
        <w:rPr>
          <w:rFonts w:ascii="Arial" w:cs="Arial" w:eastAsia="Arial" w:hAnsi="Arial"/>
          <w:sz w:val="21"/>
          <w:szCs w:val="21"/>
          <w:color w:val="auto"/>
        </w:rPr>
      </w:pPr>
      <w:r>
        <w:rPr>
          <w:rFonts w:ascii="Arial" w:cs="Arial" w:eastAsia="Arial" w:hAnsi="Arial"/>
          <w:sz w:val="17"/>
          <w:szCs w:val="17"/>
          <w:color w:val="auto"/>
        </w:rPr>
        <w:t>Oaktree may not be able to maintain Oaktree’s current incentive fee structure as a result of industry pressure from clients to reduce fees, which could have an adverse effect on our profit margins and results of operations;</w:t>
      </w:r>
    </w:p>
    <w:p>
      <w:pPr>
        <w:spacing w:after="0" w:line="97" w:lineRule="exact"/>
        <w:rPr>
          <w:rFonts w:ascii="Arial" w:cs="Arial" w:eastAsia="Arial" w:hAnsi="Arial"/>
          <w:sz w:val="21"/>
          <w:szCs w:val="21"/>
          <w:color w:val="auto"/>
        </w:rPr>
      </w:pPr>
    </w:p>
    <w:p>
      <w:pPr>
        <w:ind w:left="620" w:hanging="307"/>
        <w:spacing w:after="0"/>
        <w:tabs>
          <w:tab w:leader="none" w:pos="620" w:val="left"/>
        </w:tabs>
        <w:numPr>
          <w:ilvl w:val="0"/>
          <w:numId w:val="3"/>
        </w:numPr>
        <w:rPr>
          <w:rFonts w:ascii="Arial" w:cs="Arial" w:eastAsia="Arial" w:hAnsi="Arial"/>
          <w:sz w:val="21"/>
          <w:szCs w:val="21"/>
          <w:color w:val="auto"/>
        </w:rPr>
      </w:pPr>
      <w:r>
        <w:rPr>
          <w:rFonts w:ascii="Arial" w:cs="Arial" w:eastAsia="Arial" w:hAnsi="Arial"/>
          <w:sz w:val="17"/>
          <w:szCs w:val="17"/>
          <w:color w:val="auto"/>
        </w:rPr>
        <w:t>Oaktree’s funds often pursue investment opportunities that involve business, regulatory, legal or other complexities;</w:t>
      </w:r>
    </w:p>
    <w:p>
      <w:pPr>
        <w:spacing w:after="0" w:line="122" w:lineRule="exact"/>
        <w:rPr>
          <w:rFonts w:ascii="Arial" w:cs="Arial" w:eastAsia="Arial" w:hAnsi="Arial"/>
          <w:sz w:val="21"/>
          <w:szCs w:val="21"/>
          <w:color w:val="auto"/>
        </w:rPr>
      </w:pPr>
    </w:p>
    <w:p>
      <w:pPr>
        <w:ind w:left="620" w:right="140" w:hanging="307"/>
        <w:spacing w:after="0" w:line="237" w:lineRule="auto"/>
        <w:tabs>
          <w:tab w:leader="none" w:pos="615" w:val="left"/>
        </w:tabs>
        <w:numPr>
          <w:ilvl w:val="0"/>
          <w:numId w:val="3"/>
        </w:numPr>
        <w:rPr>
          <w:rFonts w:ascii="Arial" w:cs="Arial" w:eastAsia="Arial" w:hAnsi="Arial"/>
          <w:sz w:val="21"/>
          <w:szCs w:val="21"/>
          <w:color w:val="auto"/>
        </w:rPr>
      </w:pPr>
      <w:r>
        <w:rPr>
          <w:rFonts w:ascii="Arial" w:cs="Arial" w:eastAsia="Arial" w:hAnsi="Arial"/>
          <w:sz w:val="17"/>
          <w:szCs w:val="17"/>
          <w:color w:val="auto"/>
        </w:rPr>
        <w:t>Technological developments in artificial intelligence could disrupt the markets in which Oaktree operates and subject Oaktree to increased competition, legal and regulatory risks and compliance costs;</w:t>
      </w:r>
    </w:p>
    <w:p>
      <w:pPr>
        <w:spacing w:after="0" w:line="122" w:lineRule="exact"/>
        <w:rPr>
          <w:rFonts w:ascii="Arial" w:cs="Arial" w:eastAsia="Arial" w:hAnsi="Arial"/>
          <w:sz w:val="21"/>
          <w:szCs w:val="21"/>
          <w:color w:val="auto"/>
        </w:rPr>
      </w:pPr>
    </w:p>
    <w:p>
      <w:pPr>
        <w:ind w:left="620" w:right="140" w:hanging="307"/>
        <w:spacing w:after="0" w:line="237" w:lineRule="auto"/>
        <w:tabs>
          <w:tab w:leader="none" w:pos="615" w:val="left"/>
        </w:tabs>
        <w:numPr>
          <w:ilvl w:val="0"/>
          <w:numId w:val="3"/>
        </w:numPr>
        <w:rPr>
          <w:rFonts w:ascii="Arial" w:cs="Arial" w:eastAsia="Arial" w:hAnsi="Arial"/>
          <w:sz w:val="21"/>
          <w:szCs w:val="21"/>
          <w:color w:val="auto"/>
        </w:rPr>
      </w:pPr>
      <w:r>
        <w:rPr>
          <w:rFonts w:ascii="Arial" w:cs="Arial" w:eastAsia="Arial" w:hAnsi="Arial"/>
          <w:sz w:val="17"/>
          <w:szCs w:val="17"/>
          <w:color w:val="auto"/>
        </w:rPr>
        <w:t>Extensive regulation and/or legal and regulatory changes, as well as regulatory compliance failures and negative publicity surrounding the financial industry in general, could adversely affect us;</w:t>
      </w:r>
    </w:p>
    <w:p>
      <w:pPr>
        <w:spacing w:after="0" w:line="84" w:lineRule="exact"/>
        <w:rPr>
          <w:rFonts w:ascii="Arial" w:cs="Arial" w:eastAsia="Arial" w:hAnsi="Arial"/>
          <w:sz w:val="21"/>
          <w:szCs w:val="21"/>
          <w:color w:val="auto"/>
        </w:rPr>
      </w:pPr>
    </w:p>
    <w:p>
      <w:pPr>
        <w:ind w:left="620" w:right="240" w:hanging="307"/>
        <w:spacing w:after="0" w:line="290" w:lineRule="auto"/>
        <w:tabs>
          <w:tab w:leader="none" w:pos="616" w:val="left"/>
        </w:tabs>
        <w:numPr>
          <w:ilvl w:val="0"/>
          <w:numId w:val="3"/>
        </w:numPr>
        <w:rPr>
          <w:rFonts w:ascii="Arial" w:cs="Arial" w:eastAsia="Arial" w:hAnsi="Arial"/>
          <w:sz w:val="17"/>
          <w:szCs w:val="17"/>
          <w:color w:val="auto"/>
        </w:rPr>
      </w:pPr>
      <w:r>
        <w:rPr>
          <w:rFonts w:ascii="Arial" w:cs="Arial" w:eastAsia="Arial" w:hAnsi="Arial"/>
          <w:sz w:val="17"/>
          <w:szCs w:val="17"/>
          <w:color w:val="auto"/>
        </w:rPr>
        <w:t>SEC rules barring so-called “bad actors” from relying on Rule 506 of Regulation D in private placements could materially adversely affect Oaktree’s business, financial condition and results of operations;</w:t>
      </w:r>
    </w:p>
    <w:p>
      <w:pPr>
        <w:spacing w:after="0" w:line="65" w:lineRule="exact"/>
        <w:rPr>
          <w:rFonts w:ascii="Arial" w:cs="Arial" w:eastAsia="Arial" w:hAnsi="Arial"/>
          <w:sz w:val="17"/>
          <w:szCs w:val="17"/>
          <w:color w:val="auto"/>
        </w:rPr>
      </w:pPr>
    </w:p>
    <w:p>
      <w:pPr>
        <w:ind w:left="620" w:hanging="307"/>
        <w:spacing w:after="0"/>
        <w:tabs>
          <w:tab w:leader="none" w:pos="620" w:val="left"/>
        </w:tabs>
        <w:numPr>
          <w:ilvl w:val="0"/>
          <w:numId w:val="3"/>
        </w:numPr>
        <w:rPr>
          <w:rFonts w:ascii="Arial" w:cs="Arial" w:eastAsia="Arial" w:hAnsi="Arial"/>
          <w:sz w:val="21"/>
          <w:szCs w:val="21"/>
          <w:color w:val="auto"/>
        </w:rPr>
      </w:pPr>
      <w:r>
        <w:rPr>
          <w:rFonts w:ascii="Arial" w:cs="Arial" w:eastAsia="Arial" w:hAnsi="Arial"/>
          <w:sz w:val="17"/>
          <w:szCs w:val="17"/>
          <w:color w:val="auto"/>
        </w:rPr>
        <w:t>Oaktree’s failure to comply with, or changes to, “pay to play” regulations could adversely affect our reputation;</w:t>
      </w:r>
    </w:p>
    <w:p>
      <w:pPr>
        <w:spacing w:after="0" w:line="70" w:lineRule="exact"/>
        <w:rPr>
          <w:rFonts w:ascii="Arial" w:cs="Arial" w:eastAsia="Arial" w:hAnsi="Arial"/>
          <w:sz w:val="21"/>
          <w:szCs w:val="21"/>
          <w:color w:val="auto"/>
        </w:rPr>
      </w:pPr>
    </w:p>
    <w:p>
      <w:pPr>
        <w:ind w:left="620" w:hanging="307"/>
        <w:spacing w:after="0" w:line="274" w:lineRule="auto"/>
        <w:tabs>
          <w:tab w:leader="none" w:pos="616" w:val="left"/>
        </w:tabs>
        <w:numPr>
          <w:ilvl w:val="0"/>
          <w:numId w:val="3"/>
        </w:numPr>
        <w:rPr>
          <w:rFonts w:ascii="Arial" w:cs="Arial" w:eastAsia="Arial" w:hAnsi="Arial"/>
          <w:sz w:val="17"/>
          <w:szCs w:val="17"/>
          <w:color w:val="auto"/>
        </w:rPr>
      </w:pPr>
      <w:r>
        <w:rPr>
          <w:rFonts w:ascii="Arial" w:cs="Arial" w:eastAsia="Arial" w:hAnsi="Arial"/>
          <w:sz w:val="17"/>
          <w:szCs w:val="17"/>
          <w:color w:val="auto"/>
        </w:rPr>
        <w:t>Oaktree’s failure to maintain the security of its information and technology networks or a cybersecurity breach or other incident could have a material adverse effect on us;</w:t>
      </w:r>
    </w:p>
    <w:p>
      <w:pPr>
        <w:spacing w:after="0" w:line="95" w:lineRule="exact"/>
        <w:rPr>
          <w:rFonts w:ascii="Arial" w:cs="Arial" w:eastAsia="Arial" w:hAnsi="Arial"/>
          <w:sz w:val="17"/>
          <w:szCs w:val="17"/>
          <w:color w:val="auto"/>
        </w:rPr>
      </w:pPr>
    </w:p>
    <w:p>
      <w:pPr>
        <w:ind w:left="620" w:right="440" w:hanging="307"/>
        <w:spacing w:after="0" w:line="237" w:lineRule="auto"/>
        <w:tabs>
          <w:tab w:leader="none" w:pos="615" w:val="left"/>
        </w:tabs>
        <w:numPr>
          <w:ilvl w:val="0"/>
          <w:numId w:val="3"/>
        </w:numPr>
        <w:rPr>
          <w:rFonts w:ascii="Arial" w:cs="Arial" w:eastAsia="Arial" w:hAnsi="Arial"/>
          <w:sz w:val="21"/>
          <w:szCs w:val="21"/>
          <w:color w:val="auto"/>
        </w:rPr>
      </w:pPr>
      <w:r>
        <w:rPr>
          <w:rFonts w:ascii="Arial" w:cs="Arial" w:eastAsia="Arial" w:hAnsi="Arial"/>
          <w:sz w:val="17"/>
          <w:szCs w:val="17"/>
          <w:color w:val="auto"/>
        </w:rPr>
        <w:t>Interruption of Oaktree’s information technology, communications systems or data services could disrupt our business, result in losses and/or limit our growth;</w:t>
      </w:r>
    </w:p>
    <w:p>
      <w:pPr>
        <w:spacing w:after="0" w:line="106" w:lineRule="exact"/>
        <w:rPr>
          <w:rFonts w:ascii="Arial" w:cs="Arial" w:eastAsia="Arial" w:hAnsi="Arial"/>
          <w:sz w:val="21"/>
          <w:szCs w:val="21"/>
          <w:color w:val="auto"/>
        </w:rPr>
      </w:pPr>
    </w:p>
    <w:p>
      <w:pPr>
        <w:ind w:left="620" w:hanging="307"/>
        <w:spacing w:after="0"/>
        <w:tabs>
          <w:tab w:leader="none" w:pos="620" w:val="left"/>
        </w:tabs>
        <w:numPr>
          <w:ilvl w:val="0"/>
          <w:numId w:val="3"/>
        </w:numPr>
        <w:rPr>
          <w:rFonts w:ascii="Arial" w:cs="Arial" w:eastAsia="Arial" w:hAnsi="Arial"/>
          <w:sz w:val="21"/>
          <w:szCs w:val="21"/>
          <w:color w:val="auto"/>
        </w:rPr>
      </w:pPr>
      <w:r>
        <w:rPr>
          <w:rFonts w:ascii="Arial" w:cs="Arial" w:eastAsia="Arial" w:hAnsi="Arial"/>
          <w:sz w:val="17"/>
          <w:szCs w:val="17"/>
          <w:color w:val="auto"/>
        </w:rPr>
        <w:t>Oaktree is subject to substantial litigation risks and may face significant liabilities and damage to our professional reputation as a result;</w:t>
      </w:r>
    </w:p>
    <w:p>
      <w:pPr>
        <w:spacing w:after="0" w:line="119" w:lineRule="exact"/>
        <w:rPr>
          <w:rFonts w:ascii="Arial" w:cs="Arial" w:eastAsia="Arial" w:hAnsi="Arial"/>
          <w:sz w:val="21"/>
          <w:szCs w:val="21"/>
          <w:color w:val="auto"/>
        </w:rPr>
      </w:pPr>
    </w:p>
    <w:p>
      <w:pPr>
        <w:ind w:left="620" w:hanging="307"/>
        <w:spacing w:after="0"/>
        <w:tabs>
          <w:tab w:leader="none" w:pos="620" w:val="left"/>
        </w:tabs>
        <w:numPr>
          <w:ilvl w:val="0"/>
          <w:numId w:val="3"/>
        </w:numPr>
        <w:rPr>
          <w:rFonts w:ascii="Arial" w:cs="Arial" w:eastAsia="Arial" w:hAnsi="Arial"/>
          <w:sz w:val="21"/>
          <w:szCs w:val="21"/>
          <w:color w:val="auto"/>
        </w:rPr>
      </w:pPr>
      <w:r>
        <w:rPr>
          <w:rFonts w:ascii="Arial" w:cs="Arial" w:eastAsia="Arial" w:hAnsi="Arial"/>
          <w:sz w:val="17"/>
          <w:szCs w:val="17"/>
          <w:color w:val="auto"/>
        </w:rPr>
        <w:t>Oaktree employee misconduct could harm Oaktree’s reputation;</w:t>
      </w:r>
    </w:p>
    <w:p>
      <w:pPr>
        <w:spacing w:after="0" w:line="106" w:lineRule="exact"/>
        <w:rPr>
          <w:rFonts w:ascii="Arial" w:cs="Arial" w:eastAsia="Arial" w:hAnsi="Arial"/>
          <w:sz w:val="21"/>
          <w:szCs w:val="21"/>
          <w:color w:val="auto"/>
        </w:rPr>
      </w:pPr>
    </w:p>
    <w:p>
      <w:pPr>
        <w:ind w:left="620" w:hanging="307"/>
        <w:spacing w:after="0"/>
        <w:tabs>
          <w:tab w:leader="none" w:pos="620" w:val="left"/>
        </w:tabs>
        <w:numPr>
          <w:ilvl w:val="0"/>
          <w:numId w:val="3"/>
        </w:numPr>
        <w:rPr>
          <w:rFonts w:ascii="Arial" w:cs="Arial" w:eastAsia="Arial" w:hAnsi="Arial"/>
          <w:sz w:val="21"/>
          <w:szCs w:val="21"/>
          <w:color w:val="auto"/>
        </w:rPr>
      </w:pPr>
      <w:r>
        <w:rPr>
          <w:rFonts w:ascii="Arial" w:cs="Arial" w:eastAsia="Arial" w:hAnsi="Arial"/>
          <w:sz w:val="17"/>
          <w:szCs w:val="17"/>
          <w:color w:val="auto"/>
        </w:rPr>
        <w:t>The historical returns attributable to Oaktree’s funds should not be considered indicative of future results;</w:t>
      </w:r>
    </w:p>
    <w:p>
      <w:pPr>
        <w:spacing w:after="0" w:line="106" w:lineRule="exact"/>
        <w:rPr>
          <w:rFonts w:ascii="Arial" w:cs="Arial" w:eastAsia="Arial" w:hAnsi="Arial"/>
          <w:sz w:val="21"/>
          <w:szCs w:val="21"/>
          <w:color w:val="auto"/>
        </w:rPr>
      </w:pPr>
    </w:p>
    <w:p>
      <w:pPr>
        <w:ind w:left="620" w:hanging="307"/>
        <w:spacing w:after="0"/>
        <w:tabs>
          <w:tab w:leader="none" w:pos="620" w:val="left"/>
        </w:tabs>
        <w:numPr>
          <w:ilvl w:val="0"/>
          <w:numId w:val="3"/>
        </w:numPr>
        <w:rPr>
          <w:rFonts w:ascii="Arial" w:cs="Arial" w:eastAsia="Arial" w:hAnsi="Arial"/>
          <w:sz w:val="21"/>
          <w:szCs w:val="21"/>
          <w:color w:val="auto"/>
        </w:rPr>
      </w:pPr>
      <w:r>
        <w:rPr>
          <w:rFonts w:ascii="Arial" w:cs="Arial" w:eastAsia="Arial" w:hAnsi="Arial"/>
          <w:sz w:val="17"/>
          <w:szCs w:val="17"/>
          <w:color w:val="auto"/>
        </w:rPr>
        <w:t>Certain of Oaktree’s funds make investments in distressed businesses that involve significant risks and potential liabilities;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010" w:right="359" w:bottom="1440" w:gutter="0" w:footer="0" w:header="0"/>
        </w:sectPr>
      </w:pPr>
    </w:p>
    <w:bookmarkStart w:id="4" w:name="page5"/>
    <w:bookmarkEnd w:id="4"/>
    <w:p>
      <w:pPr>
        <w:ind w:left="307" w:hanging="307"/>
        <w:spacing w:after="0"/>
        <w:tabs>
          <w:tab w:leader="none" w:pos="307" w:val="left"/>
        </w:tabs>
        <w:numPr>
          <w:ilvl w:val="0"/>
          <w:numId w:val="4"/>
        </w:numPr>
        <w:rPr>
          <w:rFonts w:ascii="Arial" w:cs="Arial" w:eastAsia="Arial" w:hAnsi="Arial"/>
          <w:sz w:val="21"/>
          <w:szCs w:val="21"/>
          <w:color w:val="auto"/>
        </w:rPr>
      </w:pPr>
      <w:r>
        <w:rPr>
          <w:rFonts w:ascii="Arial" w:cs="Arial" w:eastAsia="Arial" w:hAnsi="Arial"/>
          <w:sz w:val="17"/>
          <w:szCs w:val="17"/>
          <w:color w:val="auto"/>
        </w:rPr>
        <w:t>Certain of Oaktree’s funds may be subject to risks arising from potential control group liability;</w:t>
      </w:r>
    </w:p>
    <w:p>
      <w:pPr>
        <w:spacing w:after="0" w:line="122" w:lineRule="exact"/>
        <w:rPr>
          <w:rFonts w:ascii="Arial" w:cs="Arial" w:eastAsia="Arial" w:hAnsi="Arial"/>
          <w:sz w:val="21"/>
          <w:szCs w:val="21"/>
          <w:color w:val="auto"/>
        </w:rPr>
      </w:pPr>
    </w:p>
    <w:p>
      <w:pPr>
        <w:ind w:left="307" w:hanging="307"/>
        <w:spacing w:after="0" w:line="237" w:lineRule="auto"/>
        <w:tabs>
          <w:tab w:leader="none" w:pos="302" w:val="left"/>
        </w:tabs>
        <w:numPr>
          <w:ilvl w:val="0"/>
          <w:numId w:val="4"/>
        </w:numPr>
        <w:rPr>
          <w:rFonts w:ascii="Arial" w:cs="Arial" w:eastAsia="Arial" w:hAnsi="Arial"/>
          <w:sz w:val="21"/>
          <w:szCs w:val="21"/>
          <w:color w:val="auto"/>
        </w:rPr>
      </w:pPr>
      <w:r>
        <w:rPr>
          <w:rFonts w:ascii="Arial" w:cs="Arial" w:eastAsia="Arial" w:hAnsi="Arial"/>
          <w:sz w:val="17"/>
          <w:szCs w:val="17"/>
          <w:color w:val="auto"/>
        </w:rPr>
        <w:t>Poor investment performance during periods of adverse market conditions may result in relatively high levels of investor redemptions, which can adversely impact the affected funds;</w:t>
      </w:r>
    </w:p>
    <w:p>
      <w:pPr>
        <w:spacing w:after="0" w:line="122" w:lineRule="exact"/>
        <w:rPr>
          <w:rFonts w:ascii="Arial" w:cs="Arial" w:eastAsia="Arial" w:hAnsi="Arial"/>
          <w:sz w:val="21"/>
          <w:szCs w:val="21"/>
          <w:color w:val="auto"/>
        </w:rPr>
      </w:pPr>
    </w:p>
    <w:p>
      <w:pPr>
        <w:ind w:left="307" w:right="40" w:hanging="307"/>
        <w:spacing w:after="0" w:line="249" w:lineRule="auto"/>
        <w:tabs>
          <w:tab w:leader="none" w:pos="302" w:val="left"/>
        </w:tabs>
        <w:numPr>
          <w:ilvl w:val="0"/>
          <w:numId w:val="4"/>
        </w:numPr>
        <w:rPr>
          <w:rFonts w:ascii="Arial" w:cs="Arial" w:eastAsia="Arial" w:hAnsi="Arial"/>
          <w:sz w:val="21"/>
          <w:szCs w:val="21"/>
          <w:color w:val="auto"/>
        </w:rPr>
      </w:pPr>
      <w:r>
        <w:rPr>
          <w:rFonts w:ascii="Arial" w:cs="Arial" w:eastAsia="Arial" w:hAnsi="Arial"/>
          <w:sz w:val="17"/>
          <w:szCs w:val="17"/>
          <w:color w:val="auto"/>
        </w:rPr>
        <w:t>Valuation methodologies for certain assets in Oaktree’s funds can be subject to significant subjectivity, and the values of assets established pursuant to the methodologies may never be realized;</w:t>
      </w:r>
    </w:p>
    <w:p>
      <w:pPr>
        <w:spacing w:after="0" w:line="97" w:lineRule="exact"/>
        <w:rPr>
          <w:rFonts w:ascii="Arial" w:cs="Arial" w:eastAsia="Arial" w:hAnsi="Arial"/>
          <w:sz w:val="21"/>
          <w:szCs w:val="21"/>
          <w:color w:val="auto"/>
        </w:rPr>
      </w:pPr>
    </w:p>
    <w:p>
      <w:pPr>
        <w:ind w:left="307" w:hanging="307"/>
        <w:spacing w:after="0"/>
        <w:tabs>
          <w:tab w:leader="none" w:pos="307" w:val="left"/>
        </w:tabs>
        <w:numPr>
          <w:ilvl w:val="0"/>
          <w:numId w:val="4"/>
        </w:numPr>
        <w:rPr>
          <w:rFonts w:ascii="Arial" w:cs="Arial" w:eastAsia="Arial" w:hAnsi="Arial"/>
          <w:sz w:val="21"/>
          <w:szCs w:val="21"/>
          <w:color w:val="auto"/>
        </w:rPr>
      </w:pPr>
      <w:r>
        <w:rPr>
          <w:rFonts w:ascii="Arial" w:cs="Arial" w:eastAsia="Arial" w:hAnsi="Arial"/>
          <w:sz w:val="17"/>
          <w:szCs w:val="17"/>
          <w:color w:val="auto"/>
        </w:rPr>
        <w:t>Oaktree’s funds make investments in companies that are based outside the United States, which exposes us to additional risks;</w:t>
      </w:r>
    </w:p>
    <w:p>
      <w:pPr>
        <w:spacing w:after="0" w:line="122" w:lineRule="exact"/>
        <w:rPr>
          <w:rFonts w:ascii="Arial" w:cs="Arial" w:eastAsia="Arial" w:hAnsi="Arial"/>
          <w:sz w:val="21"/>
          <w:szCs w:val="21"/>
          <w:color w:val="auto"/>
        </w:rPr>
      </w:pPr>
    </w:p>
    <w:p>
      <w:pPr>
        <w:ind w:left="307" w:right="220" w:hanging="307"/>
        <w:spacing w:after="0" w:line="237" w:lineRule="auto"/>
        <w:tabs>
          <w:tab w:leader="none" w:pos="302" w:val="left"/>
        </w:tabs>
        <w:numPr>
          <w:ilvl w:val="0"/>
          <w:numId w:val="4"/>
        </w:numPr>
        <w:rPr>
          <w:rFonts w:ascii="Arial" w:cs="Arial" w:eastAsia="Arial" w:hAnsi="Arial"/>
          <w:sz w:val="21"/>
          <w:szCs w:val="21"/>
          <w:color w:val="auto"/>
        </w:rPr>
      </w:pPr>
      <w:r>
        <w:rPr>
          <w:rFonts w:ascii="Arial" w:cs="Arial" w:eastAsia="Arial" w:hAnsi="Arial"/>
          <w:sz w:val="17"/>
          <w:szCs w:val="17"/>
          <w:color w:val="auto"/>
        </w:rPr>
        <w:t>We have made and expect to continue to make significant investments in Oaktree’s current and future funds, and we may lose money on some or all of our investments;</w:t>
      </w:r>
    </w:p>
    <w:p>
      <w:pPr>
        <w:spacing w:after="0" w:line="106" w:lineRule="exact"/>
        <w:rPr>
          <w:rFonts w:ascii="Arial" w:cs="Arial" w:eastAsia="Arial" w:hAnsi="Arial"/>
          <w:sz w:val="21"/>
          <w:szCs w:val="21"/>
          <w:color w:val="auto"/>
        </w:rPr>
      </w:pPr>
    </w:p>
    <w:p>
      <w:pPr>
        <w:ind w:left="307" w:hanging="307"/>
        <w:spacing w:after="0"/>
        <w:tabs>
          <w:tab w:leader="none" w:pos="307" w:val="left"/>
        </w:tabs>
        <w:numPr>
          <w:ilvl w:val="0"/>
          <w:numId w:val="4"/>
        </w:numPr>
        <w:rPr>
          <w:rFonts w:ascii="Arial" w:cs="Arial" w:eastAsia="Arial" w:hAnsi="Arial"/>
          <w:sz w:val="21"/>
          <w:szCs w:val="21"/>
          <w:color w:val="auto"/>
        </w:rPr>
      </w:pPr>
      <w:r>
        <w:rPr>
          <w:rFonts w:ascii="Arial" w:cs="Arial" w:eastAsia="Arial" w:hAnsi="Arial"/>
          <w:sz w:val="17"/>
          <w:szCs w:val="17"/>
          <w:color w:val="auto"/>
        </w:rPr>
        <w:t>Oaktree’s funds often invest in companies that are highly leveraged, a fact that may increase the risk of loss;</w:t>
      </w:r>
    </w:p>
    <w:p>
      <w:pPr>
        <w:spacing w:after="0" w:line="106" w:lineRule="exact"/>
        <w:rPr>
          <w:rFonts w:ascii="Arial" w:cs="Arial" w:eastAsia="Arial" w:hAnsi="Arial"/>
          <w:sz w:val="21"/>
          <w:szCs w:val="21"/>
          <w:color w:val="auto"/>
        </w:rPr>
      </w:pPr>
    </w:p>
    <w:p>
      <w:pPr>
        <w:ind w:left="307" w:hanging="307"/>
        <w:spacing w:after="0"/>
        <w:tabs>
          <w:tab w:leader="none" w:pos="307" w:val="left"/>
        </w:tabs>
        <w:numPr>
          <w:ilvl w:val="0"/>
          <w:numId w:val="4"/>
        </w:numPr>
        <w:rPr>
          <w:rFonts w:ascii="Arial" w:cs="Arial" w:eastAsia="Arial" w:hAnsi="Arial"/>
          <w:sz w:val="21"/>
          <w:szCs w:val="21"/>
          <w:color w:val="auto"/>
        </w:rPr>
      </w:pPr>
      <w:r>
        <w:rPr>
          <w:rFonts w:ascii="Arial" w:cs="Arial" w:eastAsia="Arial" w:hAnsi="Arial"/>
          <w:sz w:val="17"/>
          <w:szCs w:val="17"/>
          <w:color w:val="auto"/>
        </w:rPr>
        <w:t>The use of leverage by Oaktree’s funds could have a material adverse effect on us;</w:t>
      </w:r>
    </w:p>
    <w:p>
      <w:pPr>
        <w:spacing w:after="0" w:line="106" w:lineRule="exact"/>
        <w:rPr>
          <w:rFonts w:ascii="Arial" w:cs="Arial" w:eastAsia="Arial" w:hAnsi="Arial"/>
          <w:sz w:val="21"/>
          <w:szCs w:val="21"/>
          <w:color w:val="auto"/>
        </w:rPr>
      </w:pPr>
    </w:p>
    <w:p>
      <w:pPr>
        <w:ind w:left="307" w:hanging="307"/>
        <w:spacing w:after="0"/>
        <w:tabs>
          <w:tab w:leader="none" w:pos="307" w:val="left"/>
        </w:tabs>
        <w:numPr>
          <w:ilvl w:val="0"/>
          <w:numId w:val="4"/>
        </w:numPr>
        <w:rPr>
          <w:rFonts w:ascii="Arial" w:cs="Arial" w:eastAsia="Arial" w:hAnsi="Arial"/>
          <w:sz w:val="21"/>
          <w:szCs w:val="21"/>
          <w:color w:val="auto"/>
        </w:rPr>
      </w:pPr>
      <w:r>
        <w:rPr>
          <w:rFonts w:ascii="Arial" w:cs="Arial" w:eastAsia="Arial" w:hAnsi="Arial"/>
          <w:sz w:val="17"/>
          <w:szCs w:val="17"/>
          <w:color w:val="auto"/>
        </w:rPr>
        <w:t>Changes in the debt financing markets and higher interest rates may negatively impact Oaktree’s funds and their portfolio companies;</w:t>
      </w:r>
    </w:p>
    <w:p>
      <w:pPr>
        <w:spacing w:after="0" w:line="119" w:lineRule="exact"/>
        <w:rPr>
          <w:rFonts w:ascii="Arial" w:cs="Arial" w:eastAsia="Arial" w:hAnsi="Arial"/>
          <w:sz w:val="21"/>
          <w:szCs w:val="21"/>
          <w:color w:val="auto"/>
        </w:rPr>
      </w:pPr>
    </w:p>
    <w:p>
      <w:pPr>
        <w:ind w:left="307" w:hanging="307"/>
        <w:spacing w:after="0"/>
        <w:tabs>
          <w:tab w:leader="none" w:pos="307" w:val="left"/>
        </w:tabs>
        <w:numPr>
          <w:ilvl w:val="0"/>
          <w:numId w:val="4"/>
        </w:numPr>
        <w:rPr>
          <w:rFonts w:ascii="Arial" w:cs="Arial" w:eastAsia="Arial" w:hAnsi="Arial"/>
          <w:sz w:val="21"/>
          <w:szCs w:val="21"/>
          <w:color w:val="auto"/>
        </w:rPr>
      </w:pPr>
      <w:r>
        <w:rPr>
          <w:rFonts w:ascii="Arial" w:cs="Arial" w:eastAsia="Arial" w:hAnsi="Arial"/>
          <w:sz w:val="17"/>
          <w:szCs w:val="17"/>
          <w:color w:val="auto"/>
        </w:rPr>
        <w:t>Oaktree’s funds are subject to risks in using agents and third-party service providers;</w:t>
      </w:r>
    </w:p>
    <w:p>
      <w:pPr>
        <w:spacing w:after="0" w:line="106" w:lineRule="exact"/>
        <w:rPr>
          <w:rFonts w:ascii="Arial" w:cs="Arial" w:eastAsia="Arial" w:hAnsi="Arial"/>
          <w:sz w:val="21"/>
          <w:szCs w:val="21"/>
          <w:color w:val="auto"/>
        </w:rPr>
      </w:pPr>
    </w:p>
    <w:p>
      <w:pPr>
        <w:ind w:left="307" w:hanging="307"/>
        <w:spacing w:after="0"/>
        <w:tabs>
          <w:tab w:leader="none" w:pos="307" w:val="left"/>
        </w:tabs>
        <w:numPr>
          <w:ilvl w:val="0"/>
          <w:numId w:val="4"/>
        </w:numPr>
        <w:rPr>
          <w:rFonts w:ascii="Arial" w:cs="Arial" w:eastAsia="Arial" w:hAnsi="Arial"/>
          <w:sz w:val="21"/>
          <w:szCs w:val="21"/>
          <w:color w:val="auto"/>
        </w:rPr>
      </w:pPr>
      <w:r>
        <w:rPr>
          <w:rFonts w:ascii="Arial" w:cs="Arial" w:eastAsia="Arial" w:hAnsi="Arial"/>
          <w:sz w:val="17"/>
          <w:szCs w:val="17"/>
          <w:color w:val="auto"/>
        </w:rPr>
        <w:t>The market price of our preferred units could be adversely affected by various factors;</w:t>
      </w:r>
    </w:p>
    <w:p>
      <w:pPr>
        <w:spacing w:after="0" w:line="70" w:lineRule="exact"/>
        <w:rPr>
          <w:rFonts w:ascii="Arial" w:cs="Arial" w:eastAsia="Arial" w:hAnsi="Arial"/>
          <w:sz w:val="21"/>
          <w:szCs w:val="21"/>
          <w:color w:val="auto"/>
        </w:rPr>
      </w:pPr>
    </w:p>
    <w:p>
      <w:pPr>
        <w:ind w:left="307" w:right="40" w:hanging="307"/>
        <w:spacing w:after="0" w:line="274" w:lineRule="auto"/>
        <w:tabs>
          <w:tab w:leader="none" w:pos="303" w:val="left"/>
        </w:tabs>
        <w:numPr>
          <w:ilvl w:val="0"/>
          <w:numId w:val="4"/>
        </w:numPr>
        <w:rPr>
          <w:rFonts w:ascii="Arial" w:cs="Arial" w:eastAsia="Arial" w:hAnsi="Arial"/>
          <w:sz w:val="17"/>
          <w:szCs w:val="17"/>
          <w:color w:val="auto"/>
        </w:rPr>
      </w:pPr>
      <w:r>
        <w:rPr>
          <w:rFonts w:ascii="Arial" w:cs="Arial" w:eastAsia="Arial" w:hAnsi="Arial"/>
          <w:sz w:val="17"/>
          <w:szCs w:val="17"/>
          <w:color w:val="auto"/>
        </w:rPr>
        <w:t>If we, including any service organizations that we use, fail to maintain effective internal controls over our financial reporting in the future, the accuracy and timing of our financial reporting may be adversely affected;</w:t>
      </w:r>
    </w:p>
    <w:p>
      <w:pPr>
        <w:spacing w:after="0" w:line="79" w:lineRule="exact"/>
        <w:rPr>
          <w:rFonts w:ascii="Arial" w:cs="Arial" w:eastAsia="Arial" w:hAnsi="Arial"/>
          <w:sz w:val="17"/>
          <w:szCs w:val="17"/>
          <w:color w:val="auto"/>
        </w:rPr>
      </w:pPr>
    </w:p>
    <w:p>
      <w:pPr>
        <w:ind w:left="307" w:hanging="307"/>
        <w:spacing w:after="0"/>
        <w:tabs>
          <w:tab w:leader="none" w:pos="307" w:val="left"/>
        </w:tabs>
        <w:numPr>
          <w:ilvl w:val="0"/>
          <w:numId w:val="4"/>
        </w:numPr>
        <w:rPr>
          <w:rFonts w:ascii="Arial" w:cs="Arial" w:eastAsia="Arial" w:hAnsi="Arial"/>
          <w:sz w:val="21"/>
          <w:szCs w:val="21"/>
          <w:color w:val="auto"/>
        </w:rPr>
      </w:pPr>
      <w:r>
        <w:rPr>
          <w:rFonts w:ascii="Arial" w:cs="Arial" w:eastAsia="Arial" w:hAnsi="Arial"/>
          <w:sz w:val="17"/>
          <w:szCs w:val="17"/>
          <w:color w:val="auto"/>
        </w:rPr>
        <w:t>Distributions on the preferred units are discretionary and non-cumulative;</w:t>
      </w:r>
    </w:p>
    <w:p>
      <w:pPr>
        <w:spacing w:after="0" w:line="122" w:lineRule="exact"/>
        <w:rPr>
          <w:rFonts w:ascii="Arial" w:cs="Arial" w:eastAsia="Arial" w:hAnsi="Arial"/>
          <w:sz w:val="21"/>
          <w:szCs w:val="21"/>
          <w:color w:val="auto"/>
        </w:rPr>
      </w:pPr>
    </w:p>
    <w:p>
      <w:pPr>
        <w:ind w:left="307" w:right="380" w:hanging="307"/>
        <w:spacing w:after="0" w:line="237" w:lineRule="auto"/>
        <w:tabs>
          <w:tab w:leader="none" w:pos="302" w:val="left"/>
        </w:tabs>
        <w:numPr>
          <w:ilvl w:val="0"/>
          <w:numId w:val="4"/>
        </w:numPr>
        <w:rPr>
          <w:rFonts w:ascii="Arial" w:cs="Arial" w:eastAsia="Arial" w:hAnsi="Arial"/>
          <w:sz w:val="21"/>
          <w:szCs w:val="21"/>
          <w:color w:val="auto"/>
        </w:rPr>
      </w:pPr>
      <w:r>
        <w:rPr>
          <w:rFonts w:ascii="Arial" w:cs="Arial" w:eastAsia="Arial" w:hAnsi="Arial"/>
          <w:sz w:val="17"/>
          <w:szCs w:val="17"/>
          <w:color w:val="auto"/>
        </w:rPr>
        <w:t>We have an indirect economic interest in only a portion of the Oaktree Operating Group, which may negatively impact our ability to pay distributions on our preferred units;</w:t>
      </w:r>
    </w:p>
    <w:p>
      <w:pPr>
        <w:spacing w:after="0" w:line="122" w:lineRule="exact"/>
        <w:rPr>
          <w:rFonts w:ascii="Arial" w:cs="Arial" w:eastAsia="Arial" w:hAnsi="Arial"/>
          <w:sz w:val="21"/>
          <w:szCs w:val="21"/>
          <w:color w:val="auto"/>
        </w:rPr>
      </w:pPr>
    </w:p>
    <w:p>
      <w:pPr>
        <w:ind w:left="307" w:right="280" w:hanging="307"/>
        <w:spacing w:after="0" w:line="237" w:lineRule="auto"/>
        <w:tabs>
          <w:tab w:leader="none" w:pos="302" w:val="left"/>
        </w:tabs>
        <w:numPr>
          <w:ilvl w:val="0"/>
          <w:numId w:val="4"/>
        </w:numPr>
        <w:rPr>
          <w:rFonts w:ascii="Arial" w:cs="Arial" w:eastAsia="Arial" w:hAnsi="Arial"/>
          <w:sz w:val="21"/>
          <w:szCs w:val="21"/>
          <w:color w:val="auto"/>
        </w:rPr>
      </w:pPr>
      <w:r>
        <w:rPr>
          <w:rFonts w:ascii="Arial" w:cs="Arial" w:eastAsia="Arial" w:hAnsi="Arial"/>
          <w:sz w:val="17"/>
          <w:szCs w:val="17"/>
          <w:color w:val="auto"/>
        </w:rPr>
        <w:t>If we or any of Oaktree’s private funds were deemed an investment company under the Investment Company Act, applicable restrictions could make it impractical for us to continue our business or for Oaktree to continue such funds;</w:t>
      </w:r>
    </w:p>
    <w:p>
      <w:pPr>
        <w:spacing w:after="0" w:line="122" w:lineRule="exact"/>
        <w:rPr>
          <w:rFonts w:ascii="Arial" w:cs="Arial" w:eastAsia="Arial" w:hAnsi="Arial"/>
          <w:sz w:val="21"/>
          <w:szCs w:val="21"/>
          <w:color w:val="auto"/>
        </w:rPr>
      </w:pPr>
    </w:p>
    <w:p>
      <w:pPr>
        <w:ind w:left="307" w:right="260" w:hanging="307"/>
        <w:spacing w:after="0" w:line="237" w:lineRule="auto"/>
        <w:tabs>
          <w:tab w:leader="none" w:pos="302" w:val="left"/>
        </w:tabs>
        <w:numPr>
          <w:ilvl w:val="0"/>
          <w:numId w:val="4"/>
        </w:numPr>
        <w:rPr>
          <w:rFonts w:ascii="Arial" w:cs="Arial" w:eastAsia="Arial" w:hAnsi="Arial"/>
          <w:sz w:val="21"/>
          <w:szCs w:val="21"/>
          <w:color w:val="auto"/>
        </w:rPr>
      </w:pPr>
      <w:r>
        <w:rPr>
          <w:rFonts w:ascii="Arial" w:cs="Arial" w:eastAsia="Arial" w:hAnsi="Arial"/>
          <w:sz w:val="17"/>
          <w:szCs w:val="17"/>
          <w:color w:val="auto"/>
        </w:rPr>
        <w:t>Our operating agreement contains provisions that substantially limit remedies available to our preferred unitholders for actions that might otherwise result in liability for our officers and/or directors;</w:t>
      </w:r>
    </w:p>
    <w:p>
      <w:pPr>
        <w:spacing w:after="0" w:line="106" w:lineRule="exact"/>
        <w:rPr>
          <w:rFonts w:ascii="Arial" w:cs="Arial" w:eastAsia="Arial" w:hAnsi="Arial"/>
          <w:sz w:val="21"/>
          <w:szCs w:val="21"/>
          <w:color w:val="auto"/>
        </w:rPr>
      </w:pPr>
    </w:p>
    <w:p>
      <w:pPr>
        <w:ind w:left="307" w:hanging="307"/>
        <w:spacing w:after="0"/>
        <w:tabs>
          <w:tab w:leader="none" w:pos="307" w:val="left"/>
        </w:tabs>
        <w:numPr>
          <w:ilvl w:val="0"/>
          <w:numId w:val="4"/>
        </w:numPr>
        <w:rPr>
          <w:rFonts w:ascii="Arial" w:cs="Arial" w:eastAsia="Arial" w:hAnsi="Arial"/>
          <w:sz w:val="21"/>
          <w:szCs w:val="21"/>
          <w:color w:val="auto"/>
        </w:rPr>
      </w:pPr>
      <w:r>
        <w:rPr>
          <w:rFonts w:ascii="Arial" w:cs="Arial" w:eastAsia="Arial" w:hAnsi="Arial"/>
          <w:sz w:val="17"/>
          <w:szCs w:val="17"/>
          <w:color w:val="auto"/>
        </w:rPr>
        <w:t>Our ability to make distributions to holders of any series of preferred units may be limited;</w:t>
      </w:r>
    </w:p>
    <w:p>
      <w:pPr>
        <w:spacing w:after="0" w:line="135" w:lineRule="exact"/>
        <w:rPr>
          <w:rFonts w:ascii="Arial" w:cs="Arial" w:eastAsia="Arial" w:hAnsi="Arial"/>
          <w:sz w:val="21"/>
          <w:szCs w:val="21"/>
          <w:color w:val="auto"/>
        </w:rPr>
      </w:pPr>
    </w:p>
    <w:p>
      <w:pPr>
        <w:ind w:left="307" w:right="300" w:hanging="307"/>
        <w:spacing w:after="0" w:line="237" w:lineRule="auto"/>
        <w:tabs>
          <w:tab w:leader="none" w:pos="302" w:val="left"/>
        </w:tabs>
        <w:numPr>
          <w:ilvl w:val="0"/>
          <w:numId w:val="4"/>
        </w:numPr>
        <w:rPr>
          <w:rFonts w:ascii="Arial" w:cs="Arial" w:eastAsia="Arial" w:hAnsi="Arial"/>
          <w:sz w:val="21"/>
          <w:szCs w:val="21"/>
          <w:color w:val="auto"/>
        </w:rPr>
      </w:pPr>
      <w:r>
        <w:rPr>
          <w:rFonts w:ascii="Arial" w:cs="Arial" w:eastAsia="Arial" w:hAnsi="Arial"/>
          <w:sz w:val="17"/>
          <w:szCs w:val="17"/>
          <w:color w:val="auto"/>
        </w:rPr>
        <w:t>If the amount of distributions on the preferred units is greater than our gross ordinary income, then the amount that a holder of preferred units would receive upon liquidation may be less than the preferred unit liquidation value;</w:t>
      </w:r>
    </w:p>
    <w:p>
      <w:pPr>
        <w:spacing w:after="0" w:line="122" w:lineRule="exact"/>
        <w:rPr>
          <w:rFonts w:ascii="Arial" w:cs="Arial" w:eastAsia="Arial" w:hAnsi="Arial"/>
          <w:sz w:val="21"/>
          <w:szCs w:val="21"/>
          <w:color w:val="auto"/>
        </w:rPr>
      </w:pPr>
    </w:p>
    <w:p>
      <w:pPr>
        <w:ind w:left="307" w:right="220" w:hanging="307"/>
        <w:spacing w:after="0" w:line="237" w:lineRule="auto"/>
        <w:tabs>
          <w:tab w:leader="none" w:pos="302" w:val="left"/>
        </w:tabs>
        <w:numPr>
          <w:ilvl w:val="0"/>
          <w:numId w:val="4"/>
        </w:numPr>
        <w:rPr>
          <w:rFonts w:ascii="Arial" w:cs="Arial" w:eastAsia="Arial" w:hAnsi="Arial"/>
          <w:sz w:val="21"/>
          <w:szCs w:val="21"/>
          <w:color w:val="auto"/>
        </w:rPr>
      </w:pPr>
      <w:r>
        <w:rPr>
          <w:rFonts w:ascii="Arial" w:cs="Arial" w:eastAsia="Arial" w:hAnsi="Arial"/>
          <w:sz w:val="17"/>
          <w:szCs w:val="17"/>
          <w:color w:val="auto"/>
        </w:rPr>
        <w:t>Holders of preferred units who are U.S. taxpayers should anticipate the need to file annually a request for an extension of the due date of their income tax return, and may be required to file amended income tax returns;</w:t>
      </w:r>
    </w:p>
    <w:p>
      <w:pPr>
        <w:spacing w:after="0" w:line="106" w:lineRule="exact"/>
        <w:rPr>
          <w:rFonts w:ascii="Arial" w:cs="Arial" w:eastAsia="Arial" w:hAnsi="Arial"/>
          <w:sz w:val="21"/>
          <w:szCs w:val="21"/>
          <w:color w:val="auto"/>
        </w:rPr>
      </w:pPr>
    </w:p>
    <w:p>
      <w:pPr>
        <w:ind w:left="307" w:hanging="307"/>
        <w:spacing w:after="0"/>
        <w:tabs>
          <w:tab w:leader="none" w:pos="307" w:val="left"/>
        </w:tabs>
        <w:numPr>
          <w:ilvl w:val="0"/>
          <w:numId w:val="4"/>
        </w:numPr>
        <w:rPr>
          <w:rFonts w:ascii="Arial" w:cs="Arial" w:eastAsia="Arial" w:hAnsi="Arial"/>
          <w:sz w:val="21"/>
          <w:szCs w:val="21"/>
          <w:color w:val="auto"/>
        </w:rPr>
      </w:pPr>
      <w:r>
        <w:rPr>
          <w:rFonts w:ascii="Arial" w:cs="Arial" w:eastAsia="Arial" w:hAnsi="Arial"/>
          <w:sz w:val="17"/>
          <w:szCs w:val="17"/>
          <w:color w:val="auto"/>
        </w:rPr>
        <w:t>An investment in preferred units will give rise to UBTI to certain tax-exempt holders;</w:t>
      </w:r>
    </w:p>
    <w:p>
      <w:pPr>
        <w:spacing w:after="0" w:line="106" w:lineRule="exact"/>
        <w:rPr>
          <w:rFonts w:ascii="Arial" w:cs="Arial" w:eastAsia="Arial" w:hAnsi="Arial"/>
          <w:sz w:val="21"/>
          <w:szCs w:val="21"/>
          <w:color w:val="auto"/>
        </w:rPr>
      </w:pPr>
    </w:p>
    <w:p>
      <w:pPr>
        <w:ind w:left="307" w:hanging="307"/>
        <w:spacing w:after="0"/>
        <w:tabs>
          <w:tab w:leader="none" w:pos="307" w:val="left"/>
        </w:tabs>
        <w:numPr>
          <w:ilvl w:val="0"/>
          <w:numId w:val="4"/>
        </w:numPr>
        <w:rPr>
          <w:rFonts w:ascii="Arial" w:cs="Arial" w:eastAsia="Arial" w:hAnsi="Arial"/>
          <w:sz w:val="21"/>
          <w:szCs w:val="21"/>
          <w:color w:val="auto"/>
        </w:rPr>
      </w:pPr>
      <w:r>
        <w:rPr>
          <w:rFonts w:ascii="Arial" w:cs="Arial" w:eastAsia="Arial" w:hAnsi="Arial"/>
          <w:sz w:val="17"/>
          <w:szCs w:val="17"/>
          <w:color w:val="auto"/>
        </w:rPr>
        <w:t>Non-U.S. holders face unique U.S. tax issues from owning preferred units that may result in adverse tax consequences to them;</w:t>
      </w:r>
    </w:p>
    <w:p>
      <w:pPr>
        <w:spacing w:after="0" w:line="122" w:lineRule="exact"/>
        <w:rPr>
          <w:rFonts w:ascii="Arial" w:cs="Arial" w:eastAsia="Arial" w:hAnsi="Arial"/>
          <w:sz w:val="21"/>
          <w:szCs w:val="21"/>
          <w:color w:val="auto"/>
        </w:rPr>
      </w:pPr>
    </w:p>
    <w:p>
      <w:pPr>
        <w:ind w:left="307" w:right="400" w:hanging="307"/>
        <w:spacing w:after="0" w:line="249" w:lineRule="auto"/>
        <w:tabs>
          <w:tab w:leader="none" w:pos="302" w:val="left"/>
        </w:tabs>
        <w:numPr>
          <w:ilvl w:val="0"/>
          <w:numId w:val="4"/>
        </w:numPr>
        <w:rPr>
          <w:rFonts w:ascii="Arial" w:cs="Arial" w:eastAsia="Arial" w:hAnsi="Arial"/>
          <w:sz w:val="21"/>
          <w:szCs w:val="21"/>
          <w:color w:val="auto"/>
        </w:rPr>
      </w:pPr>
      <w:r>
        <w:rPr>
          <w:rFonts w:ascii="Arial" w:cs="Arial" w:eastAsia="Arial" w:hAnsi="Arial"/>
          <w:sz w:val="17"/>
          <w:szCs w:val="17"/>
          <w:color w:val="auto"/>
        </w:rPr>
        <w:t>Holders of preferred units may be subject to state and local taxes and return filing requirements as a result of investing in our preferred units;</w:t>
      </w:r>
    </w:p>
    <w:p>
      <w:pPr>
        <w:spacing w:after="0" w:line="97" w:lineRule="exact"/>
        <w:rPr>
          <w:rFonts w:ascii="Arial" w:cs="Arial" w:eastAsia="Arial" w:hAnsi="Arial"/>
          <w:sz w:val="21"/>
          <w:szCs w:val="21"/>
          <w:color w:val="auto"/>
        </w:rPr>
      </w:pPr>
    </w:p>
    <w:p>
      <w:pPr>
        <w:ind w:left="307" w:hanging="307"/>
        <w:spacing w:after="0"/>
        <w:tabs>
          <w:tab w:leader="none" w:pos="307" w:val="left"/>
        </w:tabs>
        <w:numPr>
          <w:ilvl w:val="0"/>
          <w:numId w:val="4"/>
        </w:numPr>
        <w:rPr>
          <w:rFonts w:ascii="Arial" w:cs="Arial" w:eastAsia="Arial" w:hAnsi="Arial"/>
          <w:sz w:val="21"/>
          <w:szCs w:val="21"/>
          <w:color w:val="auto"/>
        </w:rPr>
      </w:pPr>
      <w:r>
        <w:rPr>
          <w:rFonts w:ascii="Arial" w:cs="Arial" w:eastAsia="Arial" w:hAnsi="Arial"/>
          <w:sz w:val="17"/>
          <w:szCs w:val="17"/>
          <w:color w:val="auto"/>
        </w:rPr>
        <w:t>Amounts distributed in respect of the preferred units could be treated as “guaranteed payments” for U.S. federal income tax purposes; and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273"/>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-208280</wp:posOffset>
            </wp:positionH>
            <wp:positionV relativeFrom="paragraph">
              <wp:posOffset>70485</wp:posOffset>
            </wp:positionV>
            <wp:extent cx="7164070"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0907"/>
          </w:cols>
          <w:pgMar w:left="633" w:top="983" w:right="359" w:bottom="1440" w:gutter="0" w:footer="0" w:header="0"/>
        </w:sectPr>
      </w:pPr>
    </w:p>
    <w:bookmarkStart w:id="5" w:name="page6"/>
    <w:bookmarkEnd w:id="5"/>
    <w:p>
      <w:pPr>
        <w:ind w:left="620" w:right="100" w:hanging="307"/>
        <w:spacing w:after="0" w:line="290" w:lineRule="auto"/>
        <w:tabs>
          <w:tab w:leader="none" w:pos="616" w:val="left"/>
        </w:tabs>
        <w:numPr>
          <w:ilvl w:val="0"/>
          <w:numId w:val="5"/>
        </w:numPr>
        <w:rPr>
          <w:rFonts w:ascii="Arial" w:cs="Arial" w:eastAsia="Arial" w:hAnsi="Arial"/>
          <w:sz w:val="17"/>
          <w:szCs w:val="17"/>
          <w:color w:val="auto"/>
        </w:rPr>
      </w:pPr>
      <w:r>
        <w:rPr>
          <w:rFonts w:ascii="Arial" w:cs="Arial" w:eastAsia="Arial" w:hAnsi="Arial"/>
          <w:sz w:val="17"/>
          <w:szCs w:val="17"/>
          <w:color w:val="auto"/>
        </w:rPr>
        <w:t>Holders of preferred units who do not hold the units through the record date for a distribution may be allocated gross ordinary income even though no distribution is received.</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MARKET AND INDUSTRY DATA</w:t>
      </w:r>
    </w:p>
    <w:p>
      <w:pPr>
        <w:spacing w:after="0" w:line="168" w:lineRule="exact"/>
        <w:rPr>
          <w:sz w:val="20"/>
          <w:szCs w:val="20"/>
          <w:color w:val="auto"/>
        </w:rPr>
      </w:pPr>
    </w:p>
    <w:p>
      <w:pPr>
        <w:ind w:right="80" w:firstLine="503"/>
        <w:spacing w:after="0" w:line="265" w:lineRule="auto"/>
        <w:rPr>
          <w:sz w:val="20"/>
          <w:szCs w:val="20"/>
          <w:color w:val="auto"/>
        </w:rPr>
      </w:pPr>
      <w:r>
        <w:rPr>
          <w:rFonts w:ascii="Arial" w:cs="Arial" w:eastAsia="Arial" w:hAnsi="Arial"/>
          <w:sz w:val="17"/>
          <w:szCs w:val="17"/>
          <w:color w:val="auto"/>
        </w:rPr>
        <w:t>This annual report includes market and industry data and forecasts that are derived from independent reports, publicly available information, various industry publications, other published industry sources and our internal data, estimates and forecasts. Independent reports, industry publications and other published industry sources generally indicate that the information contained therein was obtained from sources believed to be reliable. We have not commissioned, nor are we affiliated with, any of the sources cited herein.</w:t>
      </w:r>
    </w:p>
    <w:p>
      <w:pPr>
        <w:spacing w:after="0" w:line="116" w:lineRule="exact"/>
        <w:rPr>
          <w:sz w:val="20"/>
          <w:szCs w:val="20"/>
          <w:color w:val="auto"/>
        </w:rPr>
      </w:pPr>
    </w:p>
    <w:p>
      <w:pPr>
        <w:ind w:right="520" w:firstLine="503"/>
        <w:spacing w:after="0" w:line="271" w:lineRule="auto"/>
        <w:rPr>
          <w:sz w:val="20"/>
          <w:szCs w:val="20"/>
          <w:color w:val="auto"/>
        </w:rPr>
      </w:pPr>
      <w:r>
        <w:rPr>
          <w:rFonts w:ascii="Arial" w:cs="Arial" w:eastAsia="Arial" w:hAnsi="Arial"/>
          <w:sz w:val="17"/>
          <w:szCs w:val="17"/>
          <w:color w:val="auto"/>
        </w:rPr>
        <w:t>Our internal data, estimates and forecasts are based upon information obtained from investors in Oaktree funds, partners, trade and business organizations, and other contacts in the markets in which Oaktree operates and Oaktree’s management’s understanding of industry conditions.</w:t>
      </w:r>
    </w:p>
    <w:p>
      <w:pPr>
        <w:spacing w:after="0" w:line="111" w:lineRule="exact"/>
        <w:rPr>
          <w:sz w:val="20"/>
          <w:szCs w:val="20"/>
          <w:color w:val="auto"/>
        </w:rPr>
      </w:pPr>
    </w:p>
    <w:p>
      <w:pPr>
        <w:ind w:left="500"/>
        <w:spacing w:after="0"/>
        <w:rPr>
          <w:sz w:val="20"/>
          <w:szCs w:val="20"/>
          <w:color w:val="auto"/>
        </w:rPr>
      </w:pPr>
      <w:r>
        <w:rPr>
          <w:rFonts w:ascii="Arial" w:cs="Arial" w:eastAsia="Arial" w:hAnsi="Arial"/>
          <w:sz w:val="17"/>
          <w:szCs w:val="17"/>
          <w:color w:val="auto"/>
        </w:rPr>
        <w:t>In this annual report, unless the context otherwise requires:</w:t>
      </w:r>
    </w:p>
    <w:p>
      <w:pPr>
        <w:spacing w:after="0" w:line="153" w:lineRule="exact"/>
        <w:rPr>
          <w:sz w:val="20"/>
          <w:szCs w:val="20"/>
          <w:color w:val="auto"/>
        </w:rPr>
      </w:pPr>
    </w:p>
    <w:p>
      <w:pPr>
        <w:ind w:firstLine="619"/>
        <w:spacing w:after="0" w:line="274" w:lineRule="auto"/>
        <w:rPr>
          <w:sz w:val="20"/>
          <w:szCs w:val="20"/>
          <w:color w:val="auto"/>
        </w:rPr>
      </w:pPr>
      <w:r>
        <w:rPr>
          <w:rFonts w:ascii="Arial" w:cs="Arial" w:eastAsia="Arial" w:hAnsi="Arial"/>
          <w:sz w:val="17"/>
          <w:szCs w:val="17"/>
          <w:color w:val="auto"/>
        </w:rPr>
        <w:t>“Oaktree” refers to (i) Brookfield Oaktree Holdings, LLC and, where applicable, its subsidiaries and affiliates prior to October 1, 2019 and (ii) the Oaktree Operating Group and, where applicable, their respective subsidiaries and affiliates after September 30, 2019.</w:t>
      </w:r>
    </w:p>
    <w:p>
      <w:pPr>
        <w:spacing w:after="0" w:line="95" w:lineRule="exact"/>
        <w:rPr>
          <w:sz w:val="20"/>
          <w:szCs w:val="20"/>
          <w:color w:val="auto"/>
        </w:rPr>
      </w:pPr>
    </w:p>
    <w:p>
      <w:pPr>
        <w:ind w:firstLine="619"/>
        <w:spacing w:after="0" w:line="274" w:lineRule="auto"/>
        <w:rPr>
          <w:sz w:val="20"/>
          <w:szCs w:val="20"/>
          <w:color w:val="auto"/>
        </w:rPr>
      </w:pPr>
      <w:r>
        <w:rPr>
          <w:rFonts w:ascii="Arial" w:cs="Arial" w:eastAsia="Arial" w:hAnsi="Arial"/>
          <w:sz w:val="17"/>
          <w:szCs w:val="17"/>
          <w:color w:val="auto"/>
        </w:rPr>
        <w:t>“BOH,” “Company,” “we,” “us,” “our” or “our company” refers to Brookfield Oaktree Holdings, LLC and, where applicable, its subsidiaries and affiliates, including, as the context requires, affiliated Oaktree Operating Group members after September 30, 2019.</w:t>
      </w:r>
    </w:p>
    <w:p>
      <w:pPr>
        <w:spacing w:after="0" w:line="108" w:lineRule="exact"/>
        <w:rPr>
          <w:sz w:val="20"/>
          <w:szCs w:val="20"/>
          <w:color w:val="auto"/>
        </w:rPr>
      </w:pPr>
    </w:p>
    <w:p>
      <w:pPr>
        <w:jc w:val="both"/>
        <w:ind w:right="640" w:firstLine="619"/>
        <w:spacing w:after="0" w:line="290" w:lineRule="auto"/>
        <w:rPr>
          <w:sz w:val="20"/>
          <w:szCs w:val="20"/>
          <w:color w:val="auto"/>
        </w:rPr>
      </w:pPr>
      <w:r>
        <w:rPr>
          <w:rFonts w:ascii="Arial" w:cs="Arial" w:eastAsia="Arial" w:hAnsi="Arial"/>
          <w:sz w:val="17"/>
          <w:szCs w:val="17"/>
          <w:color w:val="auto"/>
        </w:rPr>
        <w:t>“OCM” refers to Oaktree Capital Management, L.P. and, where applicable, its subsidiaries and affiliates. OCM is one of the Oaktree Operating Group entities but not one of our subsidiaries. OCM acts as the U.S. registered investment adviser to most of the Oaktree funds.</w:t>
      </w:r>
    </w:p>
    <w:p>
      <w:pPr>
        <w:spacing w:after="0" w:line="95" w:lineRule="exact"/>
        <w:rPr>
          <w:sz w:val="20"/>
          <w:szCs w:val="20"/>
          <w:color w:val="auto"/>
        </w:rPr>
      </w:pPr>
    </w:p>
    <w:p>
      <w:pPr>
        <w:ind w:right="160" w:firstLine="619"/>
        <w:spacing w:after="0" w:line="290" w:lineRule="auto"/>
        <w:rPr>
          <w:sz w:val="20"/>
          <w:szCs w:val="20"/>
          <w:color w:val="auto"/>
        </w:rPr>
      </w:pPr>
      <w:r>
        <w:rPr>
          <w:rFonts w:ascii="Arial" w:cs="Arial" w:eastAsia="Arial" w:hAnsi="Arial"/>
          <w:sz w:val="17"/>
          <w:szCs w:val="17"/>
          <w:color w:val="auto"/>
        </w:rPr>
        <w:t>“Oaktree Operating Group,” or “Operating Group,” refers collectively to the entities that either (i) act as or control the general partners and investment advisers of the Oaktree funds or (ii) hold interests in other entities or investments generating income for the business of Oaktree.</w:t>
      </w:r>
    </w:p>
    <w:p>
      <w:pPr>
        <w:spacing w:after="0" w:line="95" w:lineRule="exact"/>
        <w:rPr>
          <w:sz w:val="20"/>
          <w:szCs w:val="20"/>
          <w:color w:val="auto"/>
        </w:rPr>
      </w:pPr>
    </w:p>
    <w:p>
      <w:pPr>
        <w:ind w:right="240" w:firstLine="619"/>
        <w:spacing w:after="0" w:line="290" w:lineRule="auto"/>
        <w:rPr>
          <w:sz w:val="20"/>
          <w:szCs w:val="20"/>
          <w:color w:val="auto"/>
        </w:rPr>
      </w:pPr>
      <w:r>
        <w:rPr>
          <w:rFonts w:ascii="Arial" w:cs="Arial" w:eastAsia="Arial" w:hAnsi="Arial"/>
          <w:sz w:val="17"/>
          <w:szCs w:val="17"/>
          <w:color w:val="auto"/>
        </w:rPr>
        <w:t>“OCGH” refers to Oaktree Capital Group Holdings, L.P., a Delaware limited partnership, which holds an interest in the Oaktree Operating Group and all of our Class B units.</w:t>
      </w:r>
    </w:p>
    <w:p>
      <w:pPr>
        <w:spacing w:after="0" w:line="95" w:lineRule="exact"/>
        <w:rPr>
          <w:sz w:val="20"/>
          <w:szCs w:val="20"/>
          <w:color w:val="auto"/>
        </w:rPr>
      </w:pPr>
    </w:p>
    <w:p>
      <w:pPr>
        <w:ind w:right="780" w:firstLine="619"/>
        <w:spacing w:after="0" w:line="290" w:lineRule="auto"/>
        <w:rPr>
          <w:sz w:val="20"/>
          <w:szCs w:val="20"/>
          <w:color w:val="auto"/>
        </w:rPr>
      </w:pPr>
      <w:r>
        <w:rPr>
          <w:rFonts w:ascii="Arial" w:cs="Arial" w:eastAsia="Arial" w:hAnsi="Arial"/>
          <w:sz w:val="17"/>
          <w:szCs w:val="17"/>
          <w:color w:val="auto"/>
        </w:rPr>
        <w:t>“OCGH unitholders” refers collectively to Oaktree’s senior executives, current and former Oaktree employees and their respective transferees who hold interests in the Oaktree Operating Group through OCGH.</w:t>
      </w:r>
    </w:p>
    <w:p>
      <w:pPr>
        <w:spacing w:after="0" w:line="95" w:lineRule="exact"/>
        <w:rPr>
          <w:sz w:val="20"/>
          <w:szCs w:val="20"/>
          <w:color w:val="auto"/>
        </w:rPr>
      </w:pPr>
    </w:p>
    <w:p>
      <w:pPr>
        <w:ind w:left="620"/>
        <w:spacing w:after="0"/>
        <w:rPr>
          <w:sz w:val="20"/>
          <w:szCs w:val="20"/>
          <w:color w:val="auto"/>
        </w:rPr>
      </w:pPr>
      <w:r>
        <w:rPr>
          <w:rFonts w:ascii="Arial" w:cs="Arial" w:eastAsia="Arial" w:hAnsi="Arial"/>
          <w:sz w:val="17"/>
          <w:szCs w:val="17"/>
          <w:color w:val="auto"/>
        </w:rPr>
        <w:t>“OEP” refers to Oaktree Equity Plan, L.P., a Delaware limited partnership, which holds an interest in the Oaktree Operating Group.</w:t>
      </w:r>
    </w:p>
    <w:p>
      <w:pPr>
        <w:spacing w:after="0" w:line="165" w:lineRule="exact"/>
        <w:rPr>
          <w:sz w:val="20"/>
          <w:szCs w:val="20"/>
          <w:color w:val="auto"/>
        </w:rPr>
      </w:pPr>
    </w:p>
    <w:p>
      <w:pPr>
        <w:ind w:left="620"/>
        <w:spacing w:after="0"/>
        <w:rPr>
          <w:sz w:val="20"/>
          <w:szCs w:val="20"/>
          <w:color w:val="auto"/>
        </w:rPr>
      </w:pPr>
      <w:r>
        <w:rPr>
          <w:rFonts w:ascii="Arial" w:cs="Arial" w:eastAsia="Arial" w:hAnsi="Arial"/>
          <w:sz w:val="17"/>
          <w:szCs w:val="17"/>
          <w:color w:val="auto"/>
        </w:rPr>
        <w:t>“OEP II” refers to Oaktree Equity Plan II, L.P., a Delaware limited partnership, which holds an interest in the Oaktree Operating Group.</w:t>
      </w:r>
    </w:p>
    <w:p>
      <w:pPr>
        <w:spacing w:after="0" w:line="165" w:lineRule="exact"/>
        <w:rPr>
          <w:sz w:val="20"/>
          <w:szCs w:val="20"/>
          <w:color w:val="auto"/>
        </w:rPr>
      </w:pPr>
    </w:p>
    <w:p>
      <w:pPr>
        <w:ind w:right="60" w:firstLine="619"/>
        <w:spacing w:after="0" w:line="256" w:lineRule="auto"/>
        <w:rPr>
          <w:sz w:val="20"/>
          <w:szCs w:val="20"/>
          <w:color w:val="auto"/>
        </w:rPr>
      </w:pPr>
      <w:r>
        <w:rPr>
          <w:rFonts w:ascii="Arial" w:cs="Arial" w:eastAsia="Arial" w:hAnsi="Arial"/>
          <w:sz w:val="17"/>
          <w:szCs w:val="17"/>
          <w:color w:val="auto"/>
        </w:rPr>
        <w:t>“assets under management,” or “AUM,” generally refers to the sum of (i) the assets Oaktree manages and equals the NAV (as defined below) of the assets Oaktree manages, (ii) the leverage on which management fees are charged, (iii) the undrawn capital that Oaktree is entitled to call from investors in the funds pursuant to their capital commitments, (iv) investment proceeds held in trust for use in investment activities, (v) Oaktree’s pro rata portion of AUM managed by its equity method investments such as DoubleLine Capital LP and its affiliates (“DoubleLine”) and Duration Capital LP and its affiliates, in which Oaktree holds minority ownership interests, and (vi) 100% of the AUM managed by 17Capital LLP and its affiliates, in which Oaktree acquired a majority ownership interest in 2022. For Oaktree’s collateralized loan obligation vehicles, AUM represents the aggregate par value of collateral assets and principal cash; for Oaktree’s business development companies, gross assets (including assets acquired with leverage), net of cash; for Oaktree’s special purpose acquisition companies (“SPACs”), the proceeds of any initial public offering held in trust for use in a business combination; and for DoubleLine funds, NAV. Oaktree’s AUM amounts include AUM for which Oaktree charges no management fees. Oaktree’s definition of AUM is not based on any definition contained in our operating agreement or the agreements governing the funds that Oaktree manages. Oaktree’s calculation of AUM below may not be directly comparable to the AUM metrics of other investment managers.</w:t>
      </w:r>
    </w:p>
    <w:p>
      <w:pPr>
        <w:spacing w:after="0" w:line="128" w:lineRule="exact"/>
        <w:rPr>
          <w:sz w:val="20"/>
          <w:szCs w:val="20"/>
          <w:color w:val="auto"/>
        </w:rPr>
      </w:pPr>
    </w:p>
    <w:p>
      <w:pPr>
        <w:ind w:left="620"/>
        <w:spacing w:after="0"/>
        <w:rPr>
          <w:sz w:val="20"/>
          <w:szCs w:val="20"/>
          <w:color w:val="auto"/>
        </w:rPr>
      </w:pPr>
      <w:r>
        <w:rPr>
          <w:rFonts w:ascii="Arial" w:cs="Arial" w:eastAsia="Arial" w:hAnsi="Arial"/>
          <w:sz w:val="17"/>
          <w:szCs w:val="17"/>
          <w:color w:val="auto"/>
        </w:rPr>
        <w:t>“Class A units” refer to the common units of BOH designated as Class A units.</w:t>
      </w: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961" w:right="359" w:bottom="1440" w:gutter="0" w:footer="0" w:header="0"/>
        </w:sectPr>
      </w:pPr>
    </w:p>
    <w:bookmarkStart w:id="6" w:name="page7"/>
    <w:bookmarkEnd w:id="6"/>
    <w:p>
      <w:pPr>
        <w:ind w:left="620"/>
        <w:spacing w:after="0"/>
        <w:rPr>
          <w:sz w:val="20"/>
          <w:szCs w:val="20"/>
          <w:color w:val="auto"/>
        </w:rPr>
      </w:pPr>
      <w:r>
        <w:rPr>
          <w:rFonts w:ascii="Arial" w:cs="Arial" w:eastAsia="Arial" w:hAnsi="Arial"/>
          <w:sz w:val="17"/>
          <w:szCs w:val="17"/>
          <w:color w:val="auto"/>
        </w:rPr>
        <w:t>“CLOs” refer to collateralized loan obligation vehicles.</w:t>
      </w:r>
    </w:p>
    <w:p>
      <w:pPr>
        <w:spacing w:after="0" w:line="165" w:lineRule="exact"/>
        <w:rPr>
          <w:sz w:val="20"/>
          <w:szCs w:val="20"/>
          <w:color w:val="auto"/>
        </w:rPr>
      </w:pPr>
    </w:p>
    <w:p>
      <w:pPr>
        <w:ind w:right="120" w:firstLine="619"/>
        <w:spacing w:after="0" w:line="290" w:lineRule="auto"/>
        <w:rPr>
          <w:sz w:val="20"/>
          <w:szCs w:val="20"/>
          <w:color w:val="auto"/>
        </w:rPr>
      </w:pPr>
      <w:r>
        <w:rPr>
          <w:rFonts w:ascii="Arial" w:cs="Arial" w:eastAsia="Arial" w:hAnsi="Arial"/>
          <w:sz w:val="17"/>
          <w:szCs w:val="17"/>
          <w:color w:val="auto"/>
        </w:rPr>
        <w:t>“common units” or “common unitholders” refer to the Class A common units of BOH or Class A common unitholders, respectively, unless otherwise specified.</w:t>
      </w:r>
    </w:p>
    <w:p>
      <w:pPr>
        <w:spacing w:after="0" w:line="95" w:lineRule="exact"/>
        <w:rPr>
          <w:sz w:val="20"/>
          <w:szCs w:val="20"/>
          <w:color w:val="auto"/>
        </w:rPr>
      </w:pPr>
    </w:p>
    <w:p>
      <w:pPr>
        <w:ind w:left="620"/>
        <w:spacing w:after="0"/>
        <w:rPr>
          <w:sz w:val="20"/>
          <w:szCs w:val="20"/>
          <w:color w:val="auto"/>
        </w:rPr>
      </w:pPr>
      <w:r>
        <w:rPr>
          <w:rFonts w:ascii="Arial" w:cs="Arial" w:eastAsia="Arial" w:hAnsi="Arial"/>
          <w:sz w:val="17"/>
          <w:szCs w:val="17"/>
          <w:color w:val="auto"/>
        </w:rPr>
        <w:t>“consolidated funds” refers to the funds that we are required to consolidate as of the applicable reporting date.</w:t>
      </w:r>
    </w:p>
    <w:p>
      <w:pPr>
        <w:spacing w:after="0" w:line="165" w:lineRule="exact"/>
        <w:rPr>
          <w:sz w:val="20"/>
          <w:szCs w:val="20"/>
          <w:color w:val="auto"/>
        </w:rPr>
      </w:pPr>
    </w:p>
    <w:p>
      <w:pPr>
        <w:ind w:left="620"/>
        <w:spacing w:after="0"/>
        <w:rPr>
          <w:sz w:val="20"/>
          <w:szCs w:val="20"/>
          <w:color w:val="auto"/>
        </w:rPr>
      </w:pPr>
      <w:r>
        <w:rPr>
          <w:rFonts w:ascii="Arial" w:cs="Arial" w:eastAsia="Arial" w:hAnsi="Arial"/>
          <w:sz w:val="17"/>
          <w:szCs w:val="17"/>
          <w:color w:val="auto"/>
        </w:rPr>
        <w:t>“funds” refers to investment funds and, where applicable, CLOs and separate accounts that are managed by Oaktree or its subsidiaries.</w:t>
      </w:r>
    </w:p>
    <w:p>
      <w:pPr>
        <w:spacing w:after="0" w:line="165" w:lineRule="exact"/>
        <w:rPr>
          <w:sz w:val="20"/>
          <w:szCs w:val="20"/>
          <w:color w:val="auto"/>
        </w:rPr>
      </w:pPr>
    </w:p>
    <w:p>
      <w:pPr>
        <w:ind w:firstLine="619"/>
        <w:spacing w:after="0" w:line="271" w:lineRule="auto"/>
        <w:rPr>
          <w:sz w:val="20"/>
          <w:szCs w:val="20"/>
          <w:color w:val="auto"/>
        </w:rPr>
      </w:pPr>
      <w:r>
        <w:rPr>
          <w:rFonts w:ascii="Arial" w:cs="Arial" w:eastAsia="Arial" w:hAnsi="Arial"/>
          <w:sz w:val="17"/>
          <w:szCs w:val="17"/>
          <w:color w:val="auto"/>
        </w:rPr>
        <w:t>“net asset value,” or “NAV,” refers to the value of all the assets of a fund (including cash and accrued interest and dividends) less all liabilities of the fund (including accrued expenses and any reserves established by the general partner or investment manager of such fund in their discretion, for contingent liabilities) without reduction for accrued incentives because they are reflected in the partners’ capital of the fund.</w:t>
      </w:r>
    </w:p>
    <w:p>
      <w:pPr>
        <w:spacing w:after="0" w:line="111" w:lineRule="exact"/>
        <w:rPr>
          <w:sz w:val="20"/>
          <w:szCs w:val="20"/>
          <w:color w:val="auto"/>
        </w:rPr>
      </w:pPr>
    </w:p>
    <w:p>
      <w:pPr>
        <w:ind w:right="180" w:firstLine="619"/>
        <w:spacing w:after="0" w:line="290" w:lineRule="auto"/>
        <w:rPr>
          <w:sz w:val="20"/>
          <w:szCs w:val="20"/>
          <w:color w:val="auto"/>
        </w:rPr>
      </w:pPr>
      <w:r>
        <w:rPr>
          <w:rFonts w:ascii="Arial" w:cs="Arial" w:eastAsia="Arial" w:hAnsi="Arial"/>
          <w:sz w:val="17"/>
          <w:szCs w:val="17"/>
          <w:color w:val="auto"/>
        </w:rPr>
        <w:t>“preferred units” or “preferred unitholders” refers to the Series A and Series B preferred units of BOH or Series A and Series B preferred unitholders, respectively, unless otherwise specified.</w:t>
      </w:r>
    </w:p>
    <w:p>
      <w:pPr>
        <w:spacing w:after="0" w:line="200" w:lineRule="exact"/>
        <w:rPr>
          <w:sz w:val="20"/>
          <w:szCs w:val="20"/>
          <w:color w:val="auto"/>
        </w:rPr>
      </w:pPr>
    </w:p>
    <w:p>
      <w:pPr>
        <w:spacing w:after="0" w:line="269" w:lineRule="exact"/>
        <w:rPr>
          <w:sz w:val="20"/>
          <w:szCs w:val="20"/>
          <w:color w:val="auto"/>
        </w:rPr>
      </w:pPr>
    </w:p>
    <w:p>
      <w:pPr>
        <w:jc w:val="center"/>
        <w:ind w:right="-139"/>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00"/>
          </w:cols>
          <w:pgMar w:left="320" w:top="1012" w:right="479" w:bottom="1440" w:gutter="0" w:footer="0" w:header="0"/>
        </w:sectPr>
      </w:pPr>
    </w:p>
    <w:bookmarkStart w:id="7" w:name="page8"/>
    <w:bookmarkEnd w:id="7"/>
    <w:p>
      <w:pPr>
        <w:spacing w:after="0"/>
        <w:rPr>
          <w:sz w:val="20"/>
          <w:szCs w:val="20"/>
          <w:color w:val="auto"/>
        </w:rPr>
      </w:pPr>
      <w:r>
        <w:rPr>
          <w:rFonts w:ascii="Arial" w:cs="Arial" w:eastAsia="Arial" w:hAnsi="Arial"/>
          <w:sz w:val="17"/>
          <w:szCs w:val="17"/>
          <w:b w:val="1"/>
          <w:bCs w:val="1"/>
          <w:color w:val="auto"/>
        </w:rPr>
        <w:t>Part I.</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 Business</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Overview</w:t>
      </w:r>
    </w:p>
    <w:p>
      <w:pPr>
        <w:spacing w:after="0" w:line="103" w:lineRule="exact"/>
        <w:rPr>
          <w:sz w:val="20"/>
          <w:szCs w:val="20"/>
          <w:color w:val="auto"/>
        </w:rPr>
      </w:pPr>
    </w:p>
    <w:p>
      <w:pPr>
        <w:ind w:right="300" w:firstLine="619"/>
        <w:spacing w:after="0" w:line="261" w:lineRule="auto"/>
        <w:rPr>
          <w:sz w:val="20"/>
          <w:szCs w:val="20"/>
          <w:color w:val="auto"/>
        </w:rPr>
      </w:pPr>
      <w:r>
        <w:rPr>
          <w:rFonts w:ascii="Arial" w:cs="Arial" w:eastAsia="Arial" w:hAnsi="Arial"/>
          <w:sz w:val="17"/>
          <w:szCs w:val="17"/>
          <w:color w:val="auto"/>
        </w:rPr>
        <w:t>Brookfield Oaktree Holdings, LLC holds Credit, Real Estate and Equity investments managed by leading alternative asset management firms Oaktree Capital Management, L.P. and Brookfield Asset Management Ltd. The Company both directly invests in funds and other managed</w:t>
      </w:r>
    </w:p>
    <w:p>
      <w:pPr>
        <w:ind w:right="420"/>
        <w:spacing w:after="0" w:line="274" w:lineRule="auto"/>
        <w:rPr>
          <w:sz w:val="20"/>
          <w:szCs w:val="20"/>
          <w:color w:val="auto"/>
        </w:rPr>
      </w:pPr>
      <w:r>
        <w:rPr>
          <w:rFonts w:ascii="Arial" w:cs="Arial" w:eastAsia="Arial" w:hAnsi="Arial"/>
          <w:sz w:val="17"/>
          <w:szCs w:val="17"/>
          <w:color w:val="auto"/>
        </w:rPr>
        <w:t>investment vehicles and has indirect exposure through its approximately 74% economic interest in Oaktree Capital I, L.P. (“Oaktree Capital I”), which holds a majority of Oaktree’s investments in Oaktree funds.</w:t>
      </w:r>
    </w:p>
    <w:p>
      <w:pPr>
        <w:spacing w:after="0" w:line="108" w:lineRule="exact"/>
        <w:rPr>
          <w:sz w:val="20"/>
          <w:szCs w:val="20"/>
          <w:color w:val="auto"/>
        </w:rPr>
      </w:pPr>
    </w:p>
    <w:p>
      <w:pPr>
        <w:ind w:right="340" w:firstLine="619"/>
        <w:spacing w:after="0" w:line="271" w:lineRule="auto"/>
        <w:rPr>
          <w:sz w:val="20"/>
          <w:szCs w:val="20"/>
          <w:color w:val="auto"/>
        </w:rPr>
      </w:pPr>
      <w:r>
        <w:rPr>
          <w:rFonts w:ascii="Arial" w:cs="Arial" w:eastAsia="Arial" w:hAnsi="Arial"/>
          <w:sz w:val="17"/>
          <w:szCs w:val="17"/>
          <w:color w:val="auto"/>
        </w:rPr>
        <w:t>Oaktree is a leader among global investment managers specializing in alternative investments. Oaktree emphasizes an opportunistic, value-oriented and risk-controlled approach to investments in credit, equity, and real estate. Funds managed by Oaktree (the “Oaktree funds”) include commingled funds, separate accounts, collateralized loan obligation vehicles (“CLOs”) and business development companies (“BDCs”).</w:t>
      </w:r>
    </w:p>
    <w:p>
      <w:pPr>
        <w:spacing w:after="0" w:line="111" w:lineRule="exact"/>
        <w:rPr>
          <w:sz w:val="20"/>
          <w:szCs w:val="20"/>
          <w:color w:val="auto"/>
        </w:rPr>
      </w:pPr>
    </w:p>
    <w:p>
      <w:pPr>
        <w:ind w:right="200" w:firstLine="619"/>
        <w:spacing w:after="0" w:line="262" w:lineRule="auto"/>
        <w:rPr>
          <w:sz w:val="20"/>
          <w:szCs w:val="20"/>
          <w:color w:val="auto"/>
        </w:rPr>
      </w:pPr>
      <w:r>
        <w:rPr>
          <w:rFonts w:ascii="Arial" w:cs="Arial" w:eastAsia="Arial" w:hAnsi="Arial"/>
          <w:sz w:val="17"/>
          <w:szCs w:val="17"/>
          <w:color w:val="auto"/>
        </w:rPr>
        <w:t>The Company was formed on April 13, 2007 under the name Oaktree Capital Group, LLC. The Company’s ownership and operational structure through December 31, 2025 are the result of certain mergers and restructurings. The Company’s holdings and operations currently primarily represent (i) limited partner investments in certain of Oaktree’s flagship opportunistic credit funds, (ii) an approximately 74% economic interest in Oaktree Capital I, which holds a majority of Oaktree’s investments in its funds, and (iii) an indirect ownership interest in Brookfield Real Estate Income Trust Inc. (“Brookfield REIT”). The Company is the issuer of the Series A and Series B preferred units listed on the NYSE.</w:t>
      </w:r>
    </w:p>
    <w:p>
      <w:pPr>
        <w:spacing w:after="0" w:line="119" w:lineRule="exact"/>
        <w:rPr>
          <w:sz w:val="20"/>
          <w:szCs w:val="20"/>
          <w:color w:val="auto"/>
        </w:rPr>
      </w:pPr>
    </w:p>
    <w:p>
      <w:pPr>
        <w:ind w:firstLine="619"/>
        <w:spacing w:after="0" w:line="256" w:lineRule="auto"/>
        <w:rPr>
          <w:sz w:val="20"/>
          <w:szCs w:val="20"/>
          <w:color w:val="auto"/>
        </w:rPr>
      </w:pPr>
      <w:r>
        <w:rPr>
          <w:rFonts w:ascii="Arial" w:cs="Arial" w:eastAsia="Arial" w:hAnsi="Arial"/>
          <w:sz w:val="17"/>
          <w:szCs w:val="17"/>
          <w:color w:val="auto"/>
        </w:rPr>
        <w:t>The Company’s ownership and operational structure through December 31, 2025 were the result of (i) certain mergers with affiliates of Brookfield Corporation (“Brookfield”) completed on September 30, 2019 (the “Mergers”) and the subsequent restructuring completed on October 1, 2019 in connection with the Mergers (the “2019 Restructuring”), (ii) the restructuring completed on November 30, 2022 in connection with an internal Oaktree reorganization to facilitate the separation of Brookfield’s capital business and asset management business (the “2022 Restructuring”) and (iii) the restructuring completed on July 1, 2024 in connection with an internal Oaktree reorganization effected to facilitate the change of the general partner of Oaktree Capital I from Brookfield OCM Holdings II, LLC to Oaktree Capital I GP, LLC, a newly formed subsidiary of Oaktree Capital Holdings, LLC (“OCH”) (the “2024 Restructuring”). See Part I, Item I included in the Company’s Annual Report on Form 10-K for the year ended December 31, 2019 filed with the Securities and Exchange Commission (the “SEC”) on March 2, 2020 for more information regarding the Mergers and the 2019 Restructuring. See Item 1.01 of the Company’s Current Report on Form 8-K filed with the SEC on December 6, 2022 and Part I, Item I included in the Company’s Annual Report on Form 10-K for the year ended December 31, 2022 filed with the SEC on March 21, 2023 for more information about the 2022 Restructuring. See Item 8.01 of the Company’s Current Report on Form 8-K filed with the SEC on July 1, 2024 for more information about the 2024 Restructuring.</w:t>
      </w:r>
    </w:p>
    <w:p>
      <w:pPr>
        <w:spacing w:after="0" w:line="128" w:lineRule="exact"/>
        <w:rPr>
          <w:sz w:val="20"/>
          <w:szCs w:val="20"/>
          <w:color w:val="auto"/>
        </w:rPr>
      </w:pPr>
    </w:p>
    <w:p>
      <w:pPr>
        <w:ind w:right="180" w:firstLine="619"/>
        <w:spacing w:after="0" w:line="262" w:lineRule="auto"/>
        <w:rPr>
          <w:sz w:val="20"/>
          <w:szCs w:val="20"/>
          <w:color w:val="auto"/>
        </w:rPr>
      </w:pPr>
      <w:r>
        <w:rPr>
          <w:rFonts w:ascii="Arial" w:cs="Arial" w:eastAsia="Arial" w:hAnsi="Arial"/>
          <w:sz w:val="17"/>
          <w:szCs w:val="17"/>
          <w:color w:val="auto"/>
        </w:rPr>
        <w:t>The results of the Company are largely driven by the performance of certain funds and other investments held directly or indirectly by Oaktree Capital I, which is one of the key operating entities of Oaktree, and managed by Oaktree. The distributions to holders of the Series A and Series B preferred units listed on the NYSE are generally serviced by the distributions from Oaktree Capital I, and payments to the preferred unitholders must be satisfied prior to declaration of any distributions to Class A or Class B unitholders, subject to the terms of the Series A and Series B preferred units and certain limitations and exceptions set forth therein.</w:t>
      </w:r>
    </w:p>
    <w:p>
      <w:pPr>
        <w:spacing w:after="0" w:line="119" w:lineRule="exact"/>
        <w:rPr>
          <w:sz w:val="20"/>
          <w:szCs w:val="20"/>
          <w:color w:val="auto"/>
        </w:rPr>
      </w:pPr>
    </w:p>
    <w:p>
      <w:pPr>
        <w:ind w:right="420" w:firstLine="619"/>
        <w:spacing w:after="0" w:line="290" w:lineRule="auto"/>
        <w:rPr>
          <w:sz w:val="20"/>
          <w:szCs w:val="20"/>
          <w:color w:val="auto"/>
        </w:rPr>
      </w:pPr>
      <w:r>
        <w:rPr>
          <w:rFonts w:ascii="Arial" w:cs="Arial" w:eastAsia="Arial" w:hAnsi="Arial"/>
          <w:sz w:val="17"/>
          <w:szCs w:val="17"/>
          <w:color w:val="auto"/>
        </w:rPr>
        <w:t>OCM provides certain administrative and other services relating to the operations of the Company’s business pursuant to the Services Agreement between the Company and OCM.</w:t>
      </w:r>
    </w:p>
    <w:p>
      <w:pPr>
        <w:spacing w:after="0" w:line="4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Structure and Operation of Our Business</w:t>
      </w:r>
    </w:p>
    <w:p>
      <w:pPr>
        <w:spacing w:after="0" w:line="167" w:lineRule="exact"/>
        <w:rPr>
          <w:sz w:val="20"/>
          <w:szCs w:val="20"/>
          <w:color w:val="auto"/>
        </w:rPr>
      </w:pPr>
    </w:p>
    <w:p>
      <w:pPr>
        <w:ind w:right="60" w:firstLine="619"/>
        <w:spacing w:after="0" w:line="262" w:lineRule="auto"/>
        <w:rPr>
          <w:sz w:val="20"/>
          <w:szCs w:val="20"/>
          <w:color w:val="auto"/>
        </w:rPr>
      </w:pPr>
      <w:r>
        <w:rPr>
          <w:rFonts w:ascii="Arial" w:cs="Arial" w:eastAsia="Arial" w:hAnsi="Arial"/>
          <w:sz w:val="17"/>
          <w:szCs w:val="17"/>
          <w:color w:val="auto"/>
        </w:rPr>
        <w:t>Following the 2022 Restructuring and prior to the 2024 Restructuring, the Company’s operations were conducted through an indirect economic interest in Oaktree Capital I, and the Company’s revenue included the incentive income generated by certain funds that OCM manages for which the Company, via Oaktree Capital I, acted as general partner and the investment income earned from the investments the Company makes in Oaktree funds, third-party funds and other companies. Investment income during such period generally reflected the investment return on a mark-to-market basis and the Company’s equity participation on the amounts that it invested in Oaktree and third-party funds.</w:t>
      </w:r>
    </w:p>
    <w:p>
      <w:pPr>
        <w:spacing w:after="0" w:line="200" w:lineRule="exact"/>
        <w:rPr>
          <w:sz w:val="20"/>
          <w:szCs w:val="20"/>
          <w:color w:val="auto"/>
        </w:rPr>
      </w:pPr>
    </w:p>
    <w:p>
      <w:pPr>
        <w:spacing w:after="0" w:line="29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856" w:right="359" w:bottom="1440" w:gutter="0" w:footer="0" w:header="0"/>
        </w:sectPr>
      </w:pPr>
    </w:p>
    <w:bookmarkStart w:id="8" w:name="page9"/>
    <w:bookmarkEnd w:id="8"/>
    <w:p>
      <w:pPr>
        <w:ind w:firstLine="619"/>
        <w:spacing w:after="0" w:line="265" w:lineRule="auto"/>
        <w:rPr>
          <w:sz w:val="20"/>
          <w:szCs w:val="20"/>
          <w:color w:val="auto"/>
        </w:rPr>
      </w:pPr>
      <w:r>
        <w:rPr>
          <w:rFonts w:ascii="Arial" w:cs="Arial" w:eastAsia="Arial" w:hAnsi="Arial"/>
          <w:sz w:val="17"/>
          <w:szCs w:val="17"/>
          <w:color w:val="auto"/>
        </w:rPr>
        <w:t>As a result of the 2024 Restructuring, the Company no longer consolidates the operations of Oaktree Capital I, but rather accounts for the Company’s approximately 74% interest in Oaktree Capital I under the equity method of accounting. As such, subsequent to the 2024 Restructuring, the Company’s revenue is primarily the investment income earned from (i) limited partner investments in certain of Oaktree’s flagship opportunistic funds, (ii) an equity method investment in Oaktree Capital I, and (iii) an indirect ownership in Brookfield REIT.</w:t>
      </w:r>
    </w:p>
    <w:p>
      <w:pPr>
        <w:spacing w:after="0" w:line="116" w:lineRule="exact"/>
        <w:rPr>
          <w:sz w:val="20"/>
          <w:szCs w:val="20"/>
          <w:color w:val="auto"/>
        </w:rPr>
      </w:pPr>
    </w:p>
    <w:p>
      <w:pPr>
        <w:jc w:val="both"/>
        <w:ind w:right="500" w:firstLine="619"/>
        <w:spacing w:after="0" w:line="271" w:lineRule="auto"/>
        <w:rPr>
          <w:sz w:val="20"/>
          <w:szCs w:val="20"/>
          <w:color w:val="auto"/>
        </w:rPr>
      </w:pPr>
      <w:r>
        <w:rPr>
          <w:rFonts w:ascii="Arial" w:cs="Arial" w:eastAsia="Arial" w:hAnsi="Arial"/>
          <w:sz w:val="17"/>
          <w:szCs w:val="17"/>
          <w:color w:val="auto"/>
        </w:rPr>
        <w:t>OCM, an affiliate of the Company, has since the 2019 Restructuring provided certain administrative and other services relating to the operations of the Company’s business. These services are provided pursuant to a Services Agreement between the Company and OCM (as amended from time to time, the “Services Agreement”).</w:t>
      </w:r>
    </w:p>
    <w:p>
      <w:pPr>
        <w:spacing w:after="0" w:line="176"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Structure of Funds</w:t>
      </w:r>
    </w:p>
    <w:p>
      <w:pPr>
        <w:spacing w:after="0" w:line="11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Closed-end Funds</w:t>
      </w:r>
    </w:p>
    <w:p>
      <w:pPr>
        <w:spacing w:after="0" w:line="112" w:lineRule="exact"/>
        <w:rPr>
          <w:sz w:val="20"/>
          <w:szCs w:val="20"/>
          <w:color w:val="auto"/>
        </w:rPr>
      </w:pPr>
    </w:p>
    <w:p>
      <w:pPr>
        <w:ind w:right="20" w:firstLine="464"/>
        <w:spacing w:after="0" w:line="257" w:lineRule="auto"/>
        <w:rPr>
          <w:sz w:val="20"/>
          <w:szCs w:val="20"/>
          <w:color w:val="auto"/>
        </w:rPr>
      </w:pPr>
      <w:r>
        <w:rPr>
          <w:rFonts w:ascii="Arial" w:cs="Arial" w:eastAsia="Arial" w:hAnsi="Arial"/>
          <w:sz w:val="17"/>
          <w:szCs w:val="17"/>
          <w:color w:val="auto"/>
        </w:rPr>
        <w:t>Oaktree’s closed-end funds are typically structured as limited partnerships that have a 10- or 11-year term and have a specified period during which clients can subscribe for limited partnership interests in the fund. Once a client is admitted as a limited partner, that client is required to contribute capital when called by Oaktree as the general partner, and generally cannot withdraw its investment. These closed-end funds have an investment period that generally ranges from three to five years, during which Oaktree is permitted to call the committed capital of those funds to make investments. As closed-end funds liquidate their investments, Oaktree typically distributes the proceeds to the clients, although during the investment period Oaktree generally has the ability to retain or recall such proceeds to make additional investments. Once a fund has committed to invest approximately 80% of its capital, Oaktree typically raises a new fund in the same strategy, generally ensuring that it always has capital to invest in new opportunities. Oaktree may also provide discretionary management services for clients within its closed-end fund strategies through a separate account or through a limited partnership or limited liability company managed by Oaktree with the client as the sole limited partner or sole non-managing member (a “fund-of-one”).</w:t>
      </w:r>
    </w:p>
    <w:p>
      <w:pPr>
        <w:spacing w:after="0" w:line="73" w:lineRule="exact"/>
        <w:rPr>
          <w:sz w:val="20"/>
          <w:szCs w:val="20"/>
          <w:color w:val="auto"/>
        </w:rPr>
      </w:pPr>
    </w:p>
    <w:p>
      <w:pPr>
        <w:ind w:right="20" w:firstLine="464"/>
        <w:spacing w:after="0" w:line="262" w:lineRule="auto"/>
        <w:rPr>
          <w:sz w:val="20"/>
          <w:szCs w:val="20"/>
          <w:color w:val="auto"/>
        </w:rPr>
      </w:pPr>
      <w:r>
        <w:rPr>
          <w:rFonts w:ascii="Arial" w:cs="Arial" w:eastAsia="Arial" w:hAnsi="Arial"/>
          <w:sz w:val="17"/>
          <w:szCs w:val="17"/>
          <w:color w:val="auto"/>
        </w:rPr>
        <w:t>Oaktree’s closed-end funds also include special purpose acquisition companies managed by Oaktree and CLOs for which it serves as collateral manager. CLOs are structured finance vehicles in which Oaktree makes an investment and for which it is entitled to earn management fees. Investors in CLOs are generally unable to redeem their interests until the CLO liquidates, is called or otherwise terminates. Subsequent to the 2022 Restructuring, the Company no longer consolidates the CLOs as their direct ownership interests are held by Oaktree Capital Management (Cayman), L.P. (“OCM Cayman”).</w:t>
      </w:r>
    </w:p>
    <w:p>
      <w:pPr>
        <w:spacing w:after="0" w:line="7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Open-end Funds</w:t>
      </w:r>
    </w:p>
    <w:p>
      <w:pPr>
        <w:spacing w:after="0" w:line="99" w:lineRule="exact"/>
        <w:rPr>
          <w:sz w:val="20"/>
          <w:szCs w:val="20"/>
          <w:color w:val="auto"/>
        </w:rPr>
      </w:pPr>
    </w:p>
    <w:p>
      <w:pPr>
        <w:ind w:firstLine="464"/>
        <w:spacing w:after="0" w:line="244" w:lineRule="auto"/>
        <w:rPr>
          <w:sz w:val="20"/>
          <w:szCs w:val="20"/>
          <w:color w:val="auto"/>
        </w:rPr>
      </w:pPr>
      <w:r>
        <w:rPr>
          <w:rFonts w:ascii="Arial" w:cs="Arial" w:eastAsia="Arial" w:hAnsi="Arial"/>
          <w:sz w:val="17"/>
          <w:szCs w:val="17"/>
          <w:color w:val="auto"/>
        </w:rPr>
        <w:t>Oaktree’s commingled open-end funds are typically structured as limited partnerships that are designed to admit clients as new limited partners (or accept additional capital from existing limited partners) on an ongoing basis during the fund’s life. Clients in commingled open-end funds typically contribute all of their committed capital upon being admitted to the fund. These funds do not have an investment period and do not distribute proceeds of realized investments to clients, though some open-end funds may distribute current income to clients. Oaktree is permitted to commit the fund’s capital (including realized proceeds) to new investments at any time during the fund’s life. Clients in commingled open-end funds generally have the right to withdraw their capital from the fund on a monthly basis (with prior written notice of up to 90 days).</w:t>
      </w:r>
    </w:p>
    <w:p>
      <w:pPr>
        <w:spacing w:after="0" w:line="71" w:lineRule="exact"/>
        <w:rPr>
          <w:sz w:val="20"/>
          <w:szCs w:val="20"/>
          <w:color w:val="auto"/>
        </w:rPr>
      </w:pPr>
    </w:p>
    <w:p>
      <w:pPr>
        <w:ind w:right="80" w:firstLine="464"/>
        <w:spacing w:after="0" w:line="262" w:lineRule="auto"/>
        <w:rPr>
          <w:sz w:val="20"/>
          <w:szCs w:val="20"/>
          <w:color w:val="auto"/>
        </w:rPr>
      </w:pPr>
      <w:r>
        <w:rPr>
          <w:rFonts w:ascii="Arial" w:cs="Arial" w:eastAsia="Arial" w:hAnsi="Arial"/>
          <w:sz w:val="17"/>
          <w:szCs w:val="17"/>
          <w:color w:val="auto"/>
        </w:rPr>
        <w:t>Oaktree also provides discretionary management services for clients through separate accounts within the open-end fund strategies. Clients establish accounts with Oaktree by depositing funds or securities into accounts maintained by qualified independent custodians and granting Oaktree discretionary authority to invest such funds pursuant to their investment needs and objectives, as stated in an investment management agreement. Separate account clients generally may terminate Oaktree’s services at any time by providing Oaktree with prior notice of 30 days or less.</w:t>
      </w:r>
    </w:p>
    <w:p>
      <w:pPr>
        <w:spacing w:after="0" w:line="200" w:lineRule="exact"/>
        <w:rPr>
          <w:sz w:val="20"/>
          <w:szCs w:val="20"/>
          <w:color w:val="auto"/>
        </w:rPr>
      </w:pPr>
    </w:p>
    <w:p>
      <w:pPr>
        <w:spacing w:after="0" w:line="396"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80"/>
          </w:cols>
          <w:pgMar w:left="320" w:top="1012" w:right="399" w:bottom="1440" w:gutter="0" w:footer="0" w:header="0"/>
        </w:sectPr>
      </w:pPr>
    </w:p>
    <w:bookmarkStart w:id="9" w:name="page10"/>
    <w:bookmarkEnd w:id="9"/>
    <w:p>
      <w:pPr>
        <w:spacing w:after="0"/>
        <w:rPr>
          <w:sz w:val="20"/>
          <w:szCs w:val="20"/>
          <w:color w:val="auto"/>
        </w:rPr>
      </w:pPr>
      <w:r>
        <w:rPr>
          <w:rFonts w:ascii="Arial" w:cs="Arial" w:eastAsia="Arial" w:hAnsi="Arial"/>
          <w:sz w:val="17"/>
          <w:szCs w:val="17"/>
          <w:i w:val="1"/>
          <w:iCs w:val="1"/>
          <w:color w:val="auto"/>
        </w:rPr>
        <w:t>Evergreen Funds</w:t>
      </w:r>
    </w:p>
    <w:p>
      <w:pPr>
        <w:spacing w:after="0" w:line="112" w:lineRule="exact"/>
        <w:rPr>
          <w:sz w:val="20"/>
          <w:szCs w:val="20"/>
          <w:color w:val="auto"/>
        </w:rPr>
      </w:pPr>
    </w:p>
    <w:p>
      <w:pPr>
        <w:ind w:right="60" w:firstLine="464"/>
        <w:spacing w:after="0" w:line="262" w:lineRule="auto"/>
        <w:rPr>
          <w:sz w:val="20"/>
          <w:szCs w:val="20"/>
          <w:color w:val="auto"/>
        </w:rPr>
      </w:pPr>
      <w:r>
        <w:rPr>
          <w:rFonts w:ascii="Arial" w:cs="Arial" w:eastAsia="Arial" w:hAnsi="Arial"/>
          <w:sz w:val="17"/>
          <w:szCs w:val="17"/>
          <w:color w:val="auto"/>
        </w:rPr>
        <w:t>Oaktree’s evergreen funds invest in marketable securities, private debt and equity, and in certain cases on a long or short basis. As with open-end funds, commingled evergreen funds are designed to accept new capital on an ongoing basis and generally do not distribute proceeds of realized investments to clients. Oaktree also provides discretionary management services for clients through separate accounts or funds-of-one within its evergreen fund strategies. Clients in evergreen funds are generally subject to a lock-up, which restricts their ability to withdraw their entire capital for a certain period of time after their initial subscription. Evergreen funds include business development companies (“BDCs”).</w:t>
      </w:r>
    </w:p>
    <w:p>
      <w:pPr>
        <w:spacing w:after="0" w:line="6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Incentive Income</w:t>
      </w:r>
    </w:p>
    <w:p>
      <w:pPr>
        <w:spacing w:after="0" w:line="101" w:lineRule="exact"/>
        <w:rPr>
          <w:sz w:val="20"/>
          <w:szCs w:val="20"/>
          <w:color w:val="auto"/>
        </w:rPr>
      </w:pPr>
    </w:p>
    <w:p>
      <w:pPr>
        <w:ind w:firstLine="464"/>
        <w:spacing w:after="0"/>
        <w:rPr>
          <w:sz w:val="20"/>
          <w:szCs w:val="20"/>
          <w:color w:val="auto"/>
        </w:rPr>
      </w:pPr>
      <w:r>
        <w:rPr>
          <w:rFonts w:ascii="Arial" w:cs="Arial" w:eastAsia="Arial" w:hAnsi="Arial"/>
          <w:sz w:val="17"/>
          <w:szCs w:val="17"/>
          <w:color w:val="auto"/>
        </w:rPr>
        <w:t>Historically, we had the potential to earn incentive income from many of the closed-end funds and certain evergreen funds managed by Oaktree in Oaktree Capital I’s capacity as the general partner of those funds. These closed-end funds generally provided that we received incentive income only after we had returned to Oaktree’s investors all of their contributed capital plus an annual preferred return, typically 8%. Once this occurred, we generally received as incentive income 80% of all distributions otherwise attributable to Oaktree’s investors, and those investors received the remaining 20% until we had received, as incentive income, 20% of all such distributions in excess of the contributed capital from the inception of the fund. Thereafter, all such future distributions attributable to Oaktree’s investors were distributed 80% to those investors and 20% to</w:t>
      </w:r>
    </w:p>
    <w:p>
      <w:pPr>
        <w:spacing w:after="0" w:line="3" w:lineRule="exact"/>
        <w:rPr>
          <w:sz w:val="20"/>
          <w:szCs w:val="20"/>
          <w:color w:val="auto"/>
        </w:rPr>
      </w:pPr>
    </w:p>
    <w:p>
      <w:pPr>
        <w:ind w:right="120"/>
        <w:spacing w:after="0" w:line="229" w:lineRule="auto"/>
        <w:rPr>
          <w:sz w:val="20"/>
          <w:szCs w:val="20"/>
          <w:color w:val="auto"/>
        </w:rPr>
      </w:pPr>
      <w:r>
        <w:rPr>
          <w:rFonts w:ascii="Arial" w:cs="Arial" w:eastAsia="Arial" w:hAnsi="Arial"/>
          <w:sz w:val="17"/>
          <w:szCs w:val="17"/>
          <w:color w:val="auto"/>
        </w:rPr>
        <w:t>us as incentive income. As a result of the 2022 Restructuring, we were generally only entitled to earn one-third of the incentive income attributable to Oaktree Capital I in respect of Oaktree’s closed-end funds established in 2022 or later and in respect of incentive income from Oaktree’s</w:t>
      </w:r>
    </w:p>
    <w:p>
      <w:pPr>
        <w:spacing w:after="0" w:line="1" w:lineRule="exact"/>
        <w:rPr>
          <w:sz w:val="20"/>
          <w:szCs w:val="20"/>
          <w:color w:val="auto"/>
        </w:rPr>
      </w:pPr>
    </w:p>
    <w:p>
      <w:pPr>
        <w:ind w:right="80"/>
        <w:spacing w:after="0" w:line="241" w:lineRule="auto"/>
        <w:rPr>
          <w:sz w:val="20"/>
          <w:szCs w:val="20"/>
          <w:color w:val="auto"/>
        </w:rPr>
      </w:pPr>
      <w:r>
        <w:rPr>
          <w:rFonts w:ascii="Arial" w:cs="Arial" w:eastAsia="Arial" w:hAnsi="Arial"/>
          <w:sz w:val="17"/>
          <w:szCs w:val="17"/>
          <w:color w:val="auto"/>
        </w:rPr>
        <w:t>evergreen funds earned subsequent to January 1, 2023. We generally continued to earn 100% of the incentive income attributable to Oaktree Capital I in respect of Oaktree’s closed-end funds established prior to 2022. Subsequent to the 2024 Restructuring, the Company no longer earns incentive income as a result of the deconsolidation of Oaktree Capital I. Rather the economics resulting from Oaktree Capital I’s right to earn incentive income are reflected in the Company’s results through investment income earned from the Company’s approximately 74% equity method investment in Oaktree Capital I.</w:t>
      </w:r>
    </w:p>
    <w:p>
      <w:pPr>
        <w:spacing w:after="0" w:line="8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Investment Income</w:t>
      </w:r>
    </w:p>
    <w:p>
      <w:pPr>
        <w:spacing w:after="0" w:line="101" w:lineRule="exact"/>
        <w:rPr>
          <w:sz w:val="20"/>
          <w:szCs w:val="20"/>
          <w:color w:val="auto"/>
        </w:rPr>
      </w:pPr>
    </w:p>
    <w:p>
      <w:pPr>
        <w:ind w:right="80" w:firstLine="464"/>
        <w:spacing w:after="0" w:line="246" w:lineRule="auto"/>
        <w:rPr>
          <w:sz w:val="20"/>
          <w:szCs w:val="20"/>
          <w:color w:val="auto"/>
        </w:rPr>
      </w:pPr>
      <w:r>
        <w:rPr>
          <w:rFonts w:ascii="Arial" w:cs="Arial" w:eastAsia="Arial" w:hAnsi="Arial"/>
          <w:sz w:val="17"/>
          <w:szCs w:val="17"/>
          <w:color w:val="auto"/>
        </w:rPr>
        <w:t>We earn revenue from investment income, which represents our pro-rata share of income or loss from our investments. Historically, investment income was generally from Oaktree Capital I’s capacity as general partner in Oaktree funds and as an investor in Oaktree’s CLOs and third-party managed funds and companies. Subsequent to the 2024 Restructuring, we no longer earn investment income from the direct or indirect fund-related holdings of Oaktree Capital I. Rather the economics resulting from Oaktree Capital I’s investments are reflected in the Company’s investment income earned from the Company’s approximately 74% equity method investment in Oaktree Capital I.</w:t>
      </w:r>
    </w:p>
    <w:p>
      <w:pPr>
        <w:spacing w:after="0" w:line="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Investment Approach</w:t>
      </w:r>
    </w:p>
    <w:p>
      <w:pPr>
        <w:spacing w:after="0" w:line="116" w:lineRule="exact"/>
        <w:rPr>
          <w:sz w:val="20"/>
          <w:szCs w:val="20"/>
          <w:color w:val="auto"/>
        </w:rPr>
      </w:pPr>
    </w:p>
    <w:p>
      <w:pPr>
        <w:ind w:right="40" w:firstLine="464"/>
        <w:spacing w:after="0" w:line="262" w:lineRule="auto"/>
        <w:rPr>
          <w:sz w:val="20"/>
          <w:szCs w:val="20"/>
          <w:color w:val="auto"/>
        </w:rPr>
      </w:pPr>
      <w:r>
        <w:rPr>
          <w:rFonts w:ascii="Arial" w:cs="Arial" w:eastAsia="Arial" w:hAnsi="Arial"/>
          <w:sz w:val="17"/>
          <w:szCs w:val="17"/>
          <w:color w:val="auto"/>
        </w:rPr>
        <w:t>Oaktree’s goal is excellence in investing. This means achieving attractive investment returns without commensurate risk, an imbalance which can only be achieved in markets that are not “efficient.” Although Oaktree strives for superior returns, its first priority is that its actions produce consistency, protection of capital and outperformance in bad times. At its core, Oaktree is a contrarian, value-oriented investor focused on buying securities and companies at prices below their intrinsic value and selling or exiting those investments when they become fairly or fully valued. Oaktree believes it can do this best by investing in markets where specialization and superior analysis can offer an investing edge.</w:t>
      </w:r>
    </w:p>
    <w:p>
      <w:pPr>
        <w:spacing w:after="0" w:line="68" w:lineRule="exact"/>
        <w:rPr>
          <w:sz w:val="20"/>
          <w:szCs w:val="20"/>
          <w:color w:val="auto"/>
        </w:rPr>
      </w:pPr>
    </w:p>
    <w:p>
      <w:pPr>
        <w:ind w:left="460"/>
        <w:spacing w:after="0"/>
        <w:rPr>
          <w:sz w:val="20"/>
          <w:szCs w:val="20"/>
          <w:color w:val="auto"/>
        </w:rPr>
      </w:pPr>
      <w:r>
        <w:rPr>
          <w:rFonts w:ascii="Arial" w:cs="Arial" w:eastAsia="Arial" w:hAnsi="Arial"/>
          <w:sz w:val="17"/>
          <w:szCs w:val="17"/>
          <w:color w:val="auto"/>
        </w:rPr>
        <w:t>In Oaktree’s investing activities, it adheres to the following fundamental tenets:</w:t>
      </w:r>
    </w:p>
    <w:p>
      <w:pPr>
        <w:spacing w:after="0" w:line="114" w:lineRule="exact"/>
        <w:rPr>
          <w:sz w:val="20"/>
          <w:szCs w:val="20"/>
          <w:color w:val="auto"/>
        </w:rPr>
      </w:pPr>
    </w:p>
    <w:p>
      <w:pPr>
        <w:ind w:left="740" w:right="100" w:hanging="234"/>
        <w:spacing w:after="0" w:line="262" w:lineRule="auto"/>
        <w:tabs>
          <w:tab w:leader="none" w:pos="736" w:val="left"/>
        </w:tabs>
        <w:numPr>
          <w:ilvl w:val="0"/>
          <w:numId w:val="6"/>
        </w:numPr>
        <w:rPr>
          <w:rFonts w:ascii="Arial" w:cs="Arial" w:eastAsia="Arial" w:hAnsi="Arial"/>
          <w:sz w:val="17"/>
          <w:szCs w:val="17"/>
          <w:color w:val="auto"/>
        </w:rPr>
      </w:pPr>
      <w:r>
        <w:rPr>
          <w:rFonts w:ascii="Arial" w:cs="Arial" w:eastAsia="Arial" w:hAnsi="Arial"/>
          <w:sz w:val="17"/>
          <w:szCs w:val="17"/>
          <w:i w:val="1"/>
          <w:iCs w:val="1"/>
          <w:color w:val="auto"/>
        </w:rPr>
        <w:t>Focus on Risk-Adjusted Returns</w:t>
      </w:r>
      <w:r>
        <w:rPr>
          <w:rFonts w:ascii="Arial" w:cs="Arial" w:eastAsia="Arial" w:hAnsi="Arial"/>
          <w:sz w:val="17"/>
          <w:szCs w:val="17"/>
          <w:color w:val="auto"/>
        </w:rPr>
        <w:t>. Oaktree’s primary goal is not simply to achieve superior investment performance, but to do so with</w:t>
      </w:r>
      <w:r>
        <w:rPr>
          <w:rFonts w:ascii="Arial" w:cs="Arial" w:eastAsia="Arial" w:hAnsi="Arial"/>
          <w:sz w:val="17"/>
          <w:szCs w:val="17"/>
          <w:i w:val="1"/>
          <w:iCs w:val="1"/>
          <w:color w:val="auto"/>
        </w:rPr>
        <w:t xml:space="preserve"> </w:t>
      </w:r>
      <w:r>
        <w:rPr>
          <w:rFonts w:ascii="Arial" w:cs="Arial" w:eastAsia="Arial" w:hAnsi="Arial"/>
          <w:sz w:val="17"/>
          <w:szCs w:val="17"/>
          <w:color w:val="auto"/>
        </w:rPr>
        <w:t>less-than-commensurate risk. Oaktree believes that the best long-term records are built more through the avoidance of losses in bad times than the achievement of superior relative returns in good times. Thus, rather than merely searching for prospective profits, Oaktree places the highest priority on preventing losses. It is Oaktree’s overriding belief that, especially in the opportunistic markets in which it works, “if we avoid the losers, the winners will take care of themselves.”</w:t>
      </w:r>
    </w:p>
    <w:p>
      <w:pPr>
        <w:spacing w:after="0" w:line="67" w:lineRule="exact"/>
        <w:rPr>
          <w:rFonts w:ascii="Arial" w:cs="Arial" w:eastAsia="Arial" w:hAnsi="Arial"/>
          <w:sz w:val="17"/>
          <w:szCs w:val="17"/>
          <w:color w:val="auto"/>
        </w:rPr>
      </w:pPr>
    </w:p>
    <w:p>
      <w:pPr>
        <w:ind w:left="740" w:right="360" w:hanging="234"/>
        <w:spacing w:after="0" w:line="271" w:lineRule="auto"/>
        <w:tabs>
          <w:tab w:leader="none" w:pos="736" w:val="left"/>
        </w:tabs>
        <w:numPr>
          <w:ilvl w:val="0"/>
          <w:numId w:val="6"/>
        </w:numPr>
        <w:rPr>
          <w:rFonts w:ascii="Arial" w:cs="Arial" w:eastAsia="Arial" w:hAnsi="Arial"/>
          <w:sz w:val="17"/>
          <w:szCs w:val="17"/>
          <w:color w:val="auto"/>
        </w:rPr>
      </w:pPr>
      <w:r>
        <w:rPr>
          <w:rFonts w:ascii="Arial" w:cs="Arial" w:eastAsia="Arial" w:hAnsi="Arial"/>
          <w:sz w:val="17"/>
          <w:szCs w:val="17"/>
          <w:i w:val="1"/>
          <w:iCs w:val="1"/>
          <w:color w:val="auto"/>
        </w:rPr>
        <w:t>Emphasis on Consistency</w:t>
      </w:r>
      <w:r>
        <w:rPr>
          <w:rFonts w:ascii="Arial" w:cs="Arial" w:eastAsia="Arial" w:hAnsi="Arial"/>
          <w:sz w:val="17"/>
          <w:szCs w:val="17"/>
          <w:color w:val="auto"/>
        </w:rPr>
        <w:t>. Oaktree believes that a superior record is best built on a high batting average, rather than a mix of brilliant</w:t>
      </w:r>
      <w:r>
        <w:rPr>
          <w:rFonts w:ascii="Arial" w:cs="Arial" w:eastAsia="Arial" w:hAnsi="Arial"/>
          <w:sz w:val="17"/>
          <w:szCs w:val="17"/>
          <w:i w:val="1"/>
          <w:iCs w:val="1"/>
          <w:color w:val="auto"/>
        </w:rPr>
        <w:t xml:space="preserve"> </w:t>
      </w:r>
      <w:r>
        <w:rPr>
          <w:rFonts w:ascii="Arial" w:cs="Arial" w:eastAsia="Arial" w:hAnsi="Arial"/>
          <w:sz w:val="17"/>
          <w:szCs w:val="17"/>
          <w:color w:val="auto"/>
        </w:rPr>
        <w:t>successes and dismal failures. Oscillating between top-quartile results in good years and bottom-quartile results in bad years is not acceptable.</w:t>
      </w:r>
    </w:p>
    <w:p>
      <w:pPr>
        <w:spacing w:after="0" w:line="59" w:lineRule="exact"/>
        <w:rPr>
          <w:rFonts w:ascii="Arial" w:cs="Arial" w:eastAsia="Arial" w:hAnsi="Arial"/>
          <w:sz w:val="17"/>
          <w:szCs w:val="17"/>
          <w:color w:val="auto"/>
        </w:rPr>
      </w:pPr>
    </w:p>
    <w:p>
      <w:pPr>
        <w:ind w:left="740" w:right="380" w:hanging="234"/>
        <w:spacing w:after="0" w:line="271" w:lineRule="auto"/>
        <w:tabs>
          <w:tab w:leader="none" w:pos="736" w:val="left"/>
        </w:tabs>
        <w:numPr>
          <w:ilvl w:val="0"/>
          <w:numId w:val="6"/>
        </w:numPr>
        <w:rPr>
          <w:rFonts w:ascii="Arial" w:cs="Arial" w:eastAsia="Arial" w:hAnsi="Arial"/>
          <w:sz w:val="17"/>
          <w:szCs w:val="17"/>
          <w:color w:val="auto"/>
        </w:rPr>
      </w:pPr>
      <w:r>
        <w:rPr>
          <w:rFonts w:ascii="Arial" w:cs="Arial" w:eastAsia="Arial" w:hAnsi="Arial"/>
          <w:sz w:val="17"/>
          <w:szCs w:val="17"/>
          <w:i w:val="1"/>
          <w:iCs w:val="1"/>
          <w:color w:val="auto"/>
        </w:rPr>
        <w:t>The Importance of Market Inefficiency</w:t>
      </w:r>
      <w:r>
        <w:rPr>
          <w:rFonts w:ascii="Arial" w:cs="Arial" w:eastAsia="Arial" w:hAnsi="Arial"/>
          <w:sz w:val="17"/>
          <w:szCs w:val="17"/>
          <w:color w:val="auto"/>
        </w:rPr>
        <w:t>. Oaktree feels skill and hard work can lead to a “knowledge advantage,” and thus to potentially</w:t>
      </w:r>
      <w:r>
        <w:rPr>
          <w:rFonts w:ascii="Arial" w:cs="Arial" w:eastAsia="Arial" w:hAnsi="Arial"/>
          <w:sz w:val="17"/>
          <w:szCs w:val="17"/>
          <w:i w:val="1"/>
          <w:iCs w:val="1"/>
          <w:color w:val="auto"/>
        </w:rPr>
        <w:t xml:space="preserve"> </w:t>
      </w:r>
      <w:r>
        <w:rPr>
          <w:rFonts w:ascii="Arial" w:cs="Arial" w:eastAsia="Arial" w:hAnsi="Arial"/>
          <w:sz w:val="17"/>
          <w:szCs w:val="17"/>
          <w:color w:val="auto"/>
        </w:rPr>
        <w:t>superior investment results, but not in the most efficient markets where larger numbers of participants have roughly equal access to information. Therefore, Oaktree only invests</w:t>
      </w:r>
    </w:p>
    <w:p>
      <w:pPr>
        <w:spacing w:after="0" w:line="200" w:lineRule="exact"/>
        <w:rPr>
          <w:sz w:val="20"/>
          <w:szCs w:val="20"/>
          <w:color w:val="auto"/>
        </w:rPr>
      </w:pPr>
    </w:p>
    <w:p>
      <w:pPr>
        <w:spacing w:after="0" w:line="388"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963" w:right="379" w:bottom="1440" w:gutter="0" w:footer="0" w:header="0"/>
        </w:sectPr>
      </w:pPr>
    </w:p>
    <w:bookmarkStart w:id="10" w:name="page11"/>
    <w:bookmarkEnd w:id="10"/>
    <w:p>
      <w:pPr>
        <w:ind w:left="740"/>
        <w:spacing w:after="0"/>
        <w:rPr>
          <w:sz w:val="20"/>
          <w:szCs w:val="20"/>
          <w:color w:val="auto"/>
        </w:rPr>
      </w:pPr>
      <w:r>
        <w:rPr>
          <w:rFonts w:ascii="Arial" w:cs="Arial" w:eastAsia="Arial" w:hAnsi="Arial"/>
          <w:sz w:val="17"/>
          <w:szCs w:val="17"/>
          <w:color w:val="auto"/>
        </w:rPr>
        <w:t>in less efficient markets in which dispassionate application of skill and effort should pay off for Oaktree clients.</w:t>
      </w:r>
    </w:p>
    <w:p>
      <w:pPr>
        <w:spacing w:after="0" w:line="114" w:lineRule="exact"/>
        <w:rPr>
          <w:sz w:val="20"/>
          <w:szCs w:val="20"/>
          <w:color w:val="auto"/>
        </w:rPr>
      </w:pPr>
    </w:p>
    <w:p>
      <w:pPr>
        <w:ind w:left="740" w:hanging="234"/>
        <w:spacing w:after="0" w:line="260" w:lineRule="auto"/>
        <w:tabs>
          <w:tab w:leader="none" w:pos="736" w:val="left"/>
        </w:tabs>
        <w:numPr>
          <w:ilvl w:val="0"/>
          <w:numId w:val="7"/>
        </w:numPr>
        <w:rPr>
          <w:rFonts w:ascii="Arial" w:cs="Arial" w:eastAsia="Arial" w:hAnsi="Arial"/>
          <w:sz w:val="17"/>
          <w:szCs w:val="17"/>
          <w:color w:val="auto"/>
        </w:rPr>
      </w:pPr>
      <w:r>
        <w:rPr>
          <w:rFonts w:ascii="Arial" w:cs="Arial" w:eastAsia="Arial" w:hAnsi="Arial"/>
          <w:sz w:val="17"/>
          <w:szCs w:val="17"/>
          <w:i w:val="1"/>
          <w:iCs w:val="1"/>
          <w:color w:val="auto"/>
        </w:rPr>
        <w:t>Focus on Fundamental Analysis</w:t>
      </w:r>
      <w:r>
        <w:rPr>
          <w:rFonts w:ascii="Arial" w:cs="Arial" w:eastAsia="Arial" w:hAnsi="Arial"/>
          <w:sz w:val="17"/>
          <w:szCs w:val="17"/>
          <w:color w:val="auto"/>
        </w:rPr>
        <w:t>. Oaktree believes consistently excellent performance can only be achieved through superior knowledge</w:t>
      </w:r>
      <w:r>
        <w:rPr>
          <w:rFonts w:ascii="Arial" w:cs="Arial" w:eastAsia="Arial" w:hAnsi="Arial"/>
          <w:sz w:val="17"/>
          <w:szCs w:val="17"/>
          <w:i w:val="1"/>
          <w:iCs w:val="1"/>
          <w:color w:val="auto"/>
        </w:rPr>
        <w:t xml:space="preserve"> </w:t>
      </w:r>
      <w:r>
        <w:rPr>
          <w:rFonts w:ascii="Arial" w:cs="Arial" w:eastAsia="Arial" w:hAnsi="Arial"/>
          <w:sz w:val="17"/>
          <w:szCs w:val="17"/>
          <w:color w:val="auto"/>
        </w:rPr>
        <w:t>of companies and their securities, not from macro-forecasting. Therefore, Oaktree employs a bottom-up approach to investing, based on proprietary, company-specific research. Oaktree’s investment professionals have developed a deep and thorough understanding of a wide number of companies and industries, providing Oaktree with a significant institutional knowledge base. Oaktree uses overall portfolio structuring as a defensive tool to help it avoid dangerous concentration, rather than as an aggressive weapon expected to enable it to hold more of the things that do best.</w:t>
      </w:r>
    </w:p>
    <w:p>
      <w:pPr>
        <w:spacing w:after="0" w:line="70" w:lineRule="exact"/>
        <w:rPr>
          <w:rFonts w:ascii="Arial" w:cs="Arial" w:eastAsia="Arial" w:hAnsi="Arial"/>
          <w:sz w:val="17"/>
          <w:szCs w:val="17"/>
          <w:color w:val="auto"/>
        </w:rPr>
      </w:pPr>
    </w:p>
    <w:p>
      <w:pPr>
        <w:ind w:left="740" w:right="20" w:hanging="234"/>
        <w:spacing w:after="0" w:line="271" w:lineRule="auto"/>
        <w:tabs>
          <w:tab w:leader="none" w:pos="736" w:val="left"/>
        </w:tabs>
        <w:numPr>
          <w:ilvl w:val="0"/>
          <w:numId w:val="7"/>
        </w:numPr>
        <w:rPr>
          <w:rFonts w:ascii="Arial" w:cs="Arial" w:eastAsia="Arial" w:hAnsi="Arial"/>
          <w:sz w:val="17"/>
          <w:szCs w:val="17"/>
          <w:color w:val="auto"/>
        </w:rPr>
      </w:pPr>
      <w:r>
        <w:rPr>
          <w:rFonts w:ascii="Arial" w:cs="Arial" w:eastAsia="Arial" w:hAnsi="Arial"/>
          <w:sz w:val="17"/>
          <w:szCs w:val="17"/>
          <w:i w:val="1"/>
          <w:iCs w:val="1"/>
          <w:color w:val="auto"/>
        </w:rPr>
        <w:t>Disavowal of Market Timing</w:t>
      </w:r>
      <w:r>
        <w:rPr>
          <w:rFonts w:ascii="Arial" w:cs="Arial" w:eastAsia="Arial" w:hAnsi="Arial"/>
          <w:sz w:val="17"/>
          <w:szCs w:val="17"/>
          <w:color w:val="auto"/>
        </w:rPr>
        <w:t>. Oaktree does not believe in the predictive ability required to correctly time markets. However, concern about</w:t>
      </w:r>
      <w:r>
        <w:rPr>
          <w:rFonts w:ascii="Arial" w:cs="Arial" w:eastAsia="Arial" w:hAnsi="Arial"/>
          <w:sz w:val="17"/>
          <w:szCs w:val="17"/>
          <w:i w:val="1"/>
          <w:iCs w:val="1"/>
          <w:color w:val="auto"/>
        </w:rPr>
        <w:t xml:space="preserve"> </w:t>
      </w:r>
      <w:r>
        <w:rPr>
          <w:rFonts w:ascii="Arial" w:cs="Arial" w:eastAsia="Arial" w:hAnsi="Arial"/>
          <w:sz w:val="17"/>
          <w:szCs w:val="17"/>
          <w:color w:val="auto"/>
        </w:rPr>
        <w:t>the market climate may cause Oaktree to tilt toward more defensive investments, increase selectivity or act more deliberately. In open-end and evergreen funds Oaktree keeps portfolios fully invested whenever attractively priced assets can be bought.</w:t>
      </w:r>
    </w:p>
    <w:p>
      <w:pPr>
        <w:spacing w:after="0" w:line="59" w:lineRule="exact"/>
        <w:rPr>
          <w:rFonts w:ascii="Arial" w:cs="Arial" w:eastAsia="Arial" w:hAnsi="Arial"/>
          <w:sz w:val="17"/>
          <w:szCs w:val="17"/>
          <w:color w:val="auto"/>
        </w:rPr>
      </w:pPr>
    </w:p>
    <w:p>
      <w:pPr>
        <w:ind w:left="740" w:right="80" w:hanging="234"/>
        <w:spacing w:after="0" w:line="258" w:lineRule="auto"/>
        <w:tabs>
          <w:tab w:leader="none" w:pos="736" w:val="left"/>
        </w:tabs>
        <w:numPr>
          <w:ilvl w:val="0"/>
          <w:numId w:val="7"/>
        </w:numPr>
        <w:rPr>
          <w:rFonts w:ascii="Arial" w:cs="Arial" w:eastAsia="Arial" w:hAnsi="Arial"/>
          <w:sz w:val="17"/>
          <w:szCs w:val="17"/>
          <w:i w:val="1"/>
          <w:iCs w:val="1"/>
          <w:color w:val="auto"/>
        </w:rPr>
      </w:pPr>
      <w:r>
        <w:rPr>
          <w:rFonts w:ascii="Arial" w:cs="Arial" w:eastAsia="Arial" w:hAnsi="Arial"/>
          <w:sz w:val="17"/>
          <w:szCs w:val="17"/>
          <w:i w:val="1"/>
          <w:iCs w:val="1"/>
          <w:color w:val="auto"/>
        </w:rPr>
        <w:t>Specialization</w:t>
      </w:r>
      <w:r>
        <w:rPr>
          <w:rFonts w:ascii="Arial" w:cs="Arial" w:eastAsia="Arial" w:hAnsi="Arial"/>
          <w:sz w:val="17"/>
          <w:szCs w:val="17"/>
          <w:color w:val="auto"/>
        </w:rPr>
        <w:t>. Oaktree offers a broad array of specialized investment strategies. It believes this offers the surest path to the results</w:t>
      </w:r>
      <w:r>
        <w:rPr>
          <w:rFonts w:ascii="Arial" w:cs="Arial" w:eastAsia="Arial" w:hAnsi="Arial"/>
          <w:sz w:val="17"/>
          <w:szCs w:val="17"/>
          <w:i w:val="1"/>
          <w:iCs w:val="1"/>
          <w:color w:val="auto"/>
        </w:rPr>
        <w:t xml:space="preserve"> </w:t>
      </w:r>
      <w:r>
        <w:rPr>
          <w:rFonts w:ascii="Arial" w:cs="Arial" w:eastAsia="Arial" w:hAnsi="Arial"/>
          <w:sz w:val="17"/>
          <w:szCs w:val="17"/>
          <w:color w:val="auto"/>
        </w:rPr>
        <w:t>Oaktree, and its clients, seek. Clients interested in a single investment strategy can limit themselves to the risk exposure of that particular strategy, while clients interested in more than one investment strategy can combine investments in Oaktree funds to achieve their desired mix. Oaktree also provides clients both commingled and customized solutions with one-stop access to the breadth of its credit platform through its Multi-Strategy Credit strategy, which invests in a number of Oaktree liquid and illiquid credit strategies. Oaktree’s focus on specific strategies has allowed it to build investment teams with extensive experience and expertise. At the same time, Oaktree teams access and leverage each other’s expertise, affording Oaktree both the benefits of specialization and the strengths of a larger organization.</w:t>
      </w:r>
    </w:p>
    <w:p>
      <w:pPr>
        <w:spacing w:after="0" w:line="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Asset Classes and Investment Strategies</w:t>
      </w:r>
    </w:p>
    <w:p>
      <w:pPr>
        <w:spacing w:after="0" w:line="116" w:lineRule="exact"/>
        <w:rPr>
          <w:sz w:val="20"/>
          <w:szCs w:val="20"/>
          <w:color w:val="auto"/>
        </w:rPr>
      </w:pPr>
    </w:p>
    <w:p>
      <w:pPr>
        <w:ind w:right="260" w:firstLine="464"/>
        <w:spacing w:after="0" w:line="271" w:lineRule="auto"/>
        <w:rPr>
          <w:sz w:val="20"/>
          <w:szCs w:val="20"/>
          <w:color w:val="auto"/>
        </w:rPr>
      </w:pPr>
      <w:r>
        <w:rPr>
          <w:rFonts w:ascii="Arial" w:cs="Arial" w:eastAsia="Arial" w:hAnsi="Arial"/>
          <w:sz w:val="17"/>
          <w:szCs w:val="17"/>
          <w:color w:val="auto"/>
        </w:rPr>
        <w:t>Oaktree manages investments in a number of strategies across three asset classes: Credit, Equity, and Real Estate. The diversity of Oaktree’s investment strategies allows it to meet a wide range of investor needs suited for different market environments globally and, for certain strategies, targeted regions, while providing Oaktree with a long-term diversified revenue base.</w:t>
      </w:r>
    </w:p>
    <w:p>
      <w:pPr>
        <w:spacing w:after="0" w:line="60" w:lineRule="exact"/>
        <w:rPr>
          <w:sz w:val="20"/>
          <w:szCs w:val="20"/>
          <w:color w:val="auto"/>
        </w:rPr>
      </w:pPr>
    </w:p>
    <w:p>
      <w:pPr>
        <w:ind w:right="40" w:firstLine="464"/>
        <w:spacing w:after="0" w:line="262" w:lineRule="auto"/>
        <w:rPr>
          <w:sz w:val="20"/>
          <w:szCs w:val="20"/>
          <w:color w:val="auto"/>
        </w:rPr>
      </w:pPr>
      <w:r>
        <w:rPr>
          <w:rFonts w:ascii="Arial" w:cs="Arial" w:eastAsia="Arial" w:hAnsi="Arial"/>
          <w:sz w:val="17"/>
          <w:szCs w:val="17"/>
          <w:color w:val="auto"/>
        </w:rPr>
        <w:t>Oaktree adds new products when it identifies a market with potential for attractive returns that it believes can be exploited in a risk-controlled fashion, and where it has access to the investment talent capable of producing the results it seeks. Because of the high priority Oaktree places on assuring that these requirements are met, it prefers that new products represent “step-outs” from its current investment strategies into highly related fields that are managed by people with whom it has had extensive firsthand experience or for whom it can validate qualifications. When adding new products, Oaktree considers it far more important to avoid mistakes than to capture every opportunity.</w:t>
      </w:r>
    </w:p>
    <w:p>
      <w:pPr>
        <w:spacing w:after="0" w:line="68" w:lineRule="exact"/>
        <w:rPr>
          <w:sz w:val="20"/>
          <w:szCs w:val="20"/>
          <w:color w:val="auto"/>
        </w:rPr>
      </w:pPr>
    </w:p>
    <w:p>
      <w:pPr>
        <w:ind w:right="260" w:firstLine="464"/>
        <w:spacing w:after="0" w:line="289" w:lineRule="auto"/>
        <w:rPr>
          <w:sz w:val="20"/>
          <w:szCs w:val="20"/>
          <w:color w:val="auto"/>
        </w:rPr>
      </w:pPr>
      <w:r>
        <w:rPr>
          <w:rFonts w:ascii="Arial" w:cs="Arial" w:eastAsia="Arial" w:hAnsi="Arial"/>
          <w:sz w:val="17"/>
          <w:szCs w:val="17"/>
          <w:color w:val="auto"/>
        </w:rPr>
        <w:t>We make investments in funds that are within all three asset classes although we do not have an interest in all strategy groups within each Oaktree asset class</w:t>
      </w:r>
      <w:r>
        <w:rPr>
          <w:rFonts w:ascii="Times New Roman" w:cs="Times New Roman" w:eastAsia="Times New Roman" w:hAnsi="Times New Roman"/>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961" w:right="339" w:bottom="1440" w:gutter="0" w:footer="0" w:header="0"/>
        </w:sectPr>
      </w:pPr>
    </w:p>
    <w:bookmarkStart w:id="11" w:name="page12"/>
    <w:bookmarkEnd w:id="11"/>
    <w:p>
      <w:pPr>
        <w:spacing w:after="0"/>
        <w:rPr>
          <w:sz w:val="20"/>
          <w:szCs w:val="20"/>
          <w:color w:val="auto"/>
        </w:rPr>
      </w:pPr>
      <w:r>
        <w:rPr>
          <w:rFonts w:ascii="Arial" w:cs="Arial" w:eastAsia="Arial" w:hAnsi="Arial"/>
          <w:sz w:val="17"/>
          <w:szCs w:val="17"/>
          <w:b w:val="1"/>
          <w:bCs w:val="1"/>
          <w:color w:val="auto"/>
        </w:rPr>
        <w:t>Investment Performance</w:t>
      </w:r>
    </w:p>
    <w:p>
      <w:pPr>
        <w:spacing w:after="0" w:line="116" w:lineRule="exact"/>
        <w:rPr>
          <w:sz w:val="20"/>
          <w:szCs w:val="20"/>
          <w:color w:val="auto"/>
        </w:rPr>
      </w:pPr>
    </w:p>
    <w:p>
      <w:pPr>
        <w:ind w:right="20" w:firstLine="464"/>
        <w:spacing w:after="0" w:line="265" w:lineRule="auto"/>
        <w:rPr>
          <w:sz w:val="20"/>
          <w:szCs w:val="20"/>
          <w:color w:val="auto"/>
        </w:rPr>
      </w:pPr>
      <w:r>
        <w:rPr>
          <w:rFonts w:ascii="Arial" w:cs="Arial" w:eastAsia="Arial" w:hAnsi="Arial"/>
          <w:sz w:val="17"/>
          <w:szCs w:val="17"/>
          <w:color w:val="auto"/>
        </w:rPr>
        <w:t>Oaktree’s investment professionals have generated impressive investment performance through multiple market cycles. Oaktree’s long term investment performance track record of positive gross and net IRRs reflects, among many factors, Oaktree’s practice of sizing funds in proportion to Oaktree’s view of the supply of potential attractive investment opportunities. Information regarding Oaktree’s most significant and longest-managed closed-end funds is shown below, as of or for the year ended December 31, 2025.</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24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60" w:type="dxa"/>
            <w:vAlign w:val="bottom"/>
            <w:tcBorders>
              <w:bottom w:val="single" w:sz="8" w:color="auto"/>
            </w:tcBorders>
            <w:gridSpan w:val="5"/>
          </w:tcPr>
          <w:p>
            <w:pPr>
              <w:ind w:left="500"/>
              <w:spacing w:after="0"/>
              <w:rPr>
                <w:sz w:val="20"/>
                <w:szCs w:val="20"/>
                <w:color w:val="auto"/>
              </w:rPr>
            </w:pPr>
            <w:r>
              <w:rPr>
                <w:rFonts w:ascii="Arial" w:cs="Arial" w:eastAsia="Arial" w:hAnsi="Arial"/>
                <w:sz w:val="14"/>
                <w:szCs w:val="14"/>
                <w:b w:val="1"/>
                <w:bCs w:val="1"/>
                <w:color w:val="auto"/>
              </w:rPr>
              <w:t>Since Inception through December 31, 2025</w:t>
            </w:r>
          </w:p>
        </w:tc>
        <w:tc>
          <w:tcPr>
            <w:tcW w:w="0" w:type="dxa"/>
            <w:vAlign w:val="bottom"/>
          </w:tcPr>
          <w:p>
            <w:pPr>
              <w:spacing w:after="0"/>
              <w:rPr>
                <w:sz w:val="1"/>
                <w:szCs w:val="1"/>
                <w:color w:val="auto"/>
              </w:rPr>
            </w:pPr>
          </w:p>
        </w:tc>
      </w:tr>
      <w:tr>
        <w:trPr>
          <w:trHeight w:val="187"/>
        </w:trPr>
        <w:tc>
          <w:tcPr>
            <w:tcW w:w="224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100" w:type="dxa"/>
            <w:vAlign w:val="bottom"/>
            <w:tcBorders>
              <w:bottom w:val="single" w:sz="8" w:color="auto"/>
            </w:tcBorders>
            <w:gridSpan w:val="3"/>
          </w:tcPr>
          <w:p>
            <w:pPr>
              <w:ind w:left="320"/>
              <w:spacing w:after="0" w:line="187" w:lineRule="exact"/>
              <w:rPr>
                <w:sz w:val="20"/>
                <w:szCs w:val="20"/>
                <w:color w:val="auto"/>
              </w:rPr>
            </w:pPr>
            <w:r>
              <w:rPr>
                <w:rFonts w:ascii="Arial" w:cs="Arial" w:eastAsia="Arial" w:hAnsi="Arial"/>
                <w:sz w:val="14"/>
                <w:szCs w:val="14"/>
                <w:b w:val="1"/>
                <w:bCs w:val="1"/>
                <w:color w:val="auto"/>
              </w:rPr>
              <w:t xml:space="preserve">IRR Since Inception </w:t>
            </w:r>
            <w:r>
              <w:rPr>
                <w:rFonts w:ascii="Arial" w:cs="Arial" w:eastAsia="Arial" w:hAnsi="Arial"/>
                <w:sz w:val="17"/>
                <w:szCs w:val="17"/>
                <w:b w:val="1"/>
                <w:bCs w:val="1"/>
                <w:color w:val="auto"/>
                <w:vertAlign w:val="superscript"/>
              </w:rPr>
              <w:t>(1)</w:t>
            </w:r>
          </w:p>
        </w:tc>
        <w:tc>
          <w:tcPr>
            <w:tcW w:w="14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3"/>
        </w:trPr>
        <w:tc>
          <w:tcPr>
            <w:tcW w:w="4420" w:type="dxa"/>
            <w:vAlign w:val="bottom"/>
            <w:gridSpan w:val="2"/>
            <w:vMerge w:val="restart"/>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13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8"/>
              </w:rPr>
              <w:t>Strategy Inception</w:t>
            </w:r>
          </w:p>
        </w:tc>
        <w:tc>
          <w:tcPr>
            <w:tcW w:w="160" w:type="dxa"/>
            <w:vAlign w:val="bottom"/>
          </w:tcPr>
          <w:p>
            <w:pPr>
              <w:spacing w:after="0"/>
              <w:rPr>
                <w:sz w:val="10"/>
                <w:szCs w:val="10"/>
                <w:color w:val="auto"/>
              </w:rPr>
            </w:pPr>
          </w:p>
        </w:tc>
        <w:tc>
          <w:tcPr>
            <w:tcW w:w="1280" w:type="dxa"/>
            <w:vAlign w:val="bottom"/>
          </w:tcPr>
          <w:p>
            <w:pPr>
              <w:jc w:val="right"/>
              <w:ind w:right="204"/>
              <w:spacing w:after="0" w:line="123" w:lineRule="exact"/>
              <w:rPr>
                <w:sz w:val="20"/>
                <w:szCs w:val="20"/>
                <w:color w:val="auto"/>
              </w:rPr>
            </w:pPr>
            <w:r>
              <w:rPr>
                <w:rFonts w:ascii="Arial" w:cs="Arial" w:eastAsia="Arial" w:hAnsi="Arial"/>
                <w:sz w:val="14"/>
                <w:szCs w:val="14"/>
                <w:b w:val="1"/>
                <w:bCs w:val="1"/>
                <w:color w:val="auto"/>
              </w:rPr>
              <w:t>Assets Under</w:t>
            </w:r>
          </w:p>
        </w:tc>
        <w:tc>
          <w:tcPr>
            <w:tcW w:w="140" w:type="dxa"/>
            <w:vAlign w:val="bottom"/>
          </w:tcPr>
          <w:p>
            <w:pPr>
              <w:spacing w:after="0"/>
              <w:rPr>
                <w:sz w:val="10"/>
                <w:szCs w:val="10"/>
                <w:color w:val="auto"/>
              </w:rPr>
            </w:pPr>
          </w:p>
        </w:tc>
        <w:tc>
          <w:tcPr>
            <w:tcW w:w="112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8"/>
              </w:rPr>
              <w:t>Gross</w:t>
            </w:r>
          </w:p>
        </w:tc>
        <w:tc>
          <w:tcPr>
            <w:tcW w:w="1120" w:type="dxa"/>
            <w:vAlign w:val="bottom"/>
            <w:gridSpan w:val="2"/>
            <w:vMerge w:val="restart"/>
          </w:tcPr>
          <w:p>
            <w:pPr>
              <w:ind w:left="380"/>
              <w:spacing w:after="0"/>
              <w:rPr>
                <w:sz w:val="20"/>
                <w:szCs w:val="20"/>
                <w:color w:val="auto"/>
              </w:rPr>
            </w:pPr>
            <w:r>
              <w:rPr>
                <w:rFonts w:ascii="Arial" w:cs="Arial" w:eastAsia="Arial" w:hAnsi="Arial"/>
                <w:sz w:val="14"/>
                <w:szCs w:val="14"/>
                <w:b w:val="1"/>
                <w:bCs w:val="1"/>
                <w:color w:val="auto"/>
              </w:rPr>
              <w:t>Net</w:t>
            </w:r>
          </w:p>
        </w:tc>
        <w:tc>
          <w:tcPr>
            <w:tcW w:w="1620" w:type="dxa"/>
            <w:vAlign w:val="bottom"/>
          </w:tcPr>
          <w:p>
            <w:pPr>
              <w:jc w:val="center"/>
              <w:spacing w:after="0" w:line="123" w:lineRule="exact"/>
              <w:rPr>
                <w:sz w:val="20"/>
                <w:szCs w:val="20"/>
                <w:color w:val="auto"/>
              </w:rPr>
            </w:pPr>
            <w:r>
              <w:rPr>
                <w:rFonts w:ascii="Arial" w:cs="Arial" w:eastAsia="Arial" w:hAnsi="Arial"/>
                <w:sz w:val="14"/>
                <w:szCs w:val="14"/>
                <w:b w:val="1"/>
                <w:bCs w:val="1"/>
                <w:color w:val="auto"/>
                <w:w w:val="97"/>
              </w:rPr>
              <w:t>Gross Multiple of</w:t>
            </w:r>
          </w:p>
        </w:tc>
        <w:tc>
          <w:tcPr>
            <w:tcW w:w="0" w:type="dxa"/>
            <w:vAlign w:val="bottom"/>
          </w:tcPr>
          <w:p>
            <w:pPr>
              <w:spacing w:after="0"/>
              <w:rPr>
                <w:sz w:val="1"/>
                <w:szCs w:val="1"/>
                <w:color w:val="auto"/>
              </w:rPr>
            </w:pPr>
          </w:p>
        </w:tc>
      </w:tr>
      <w:tr>
        <w:trPr>
          <w:trHeight w:val="192"/>
        </w:trPr>
        <w:tc>
          <w:tcPr>
            <w:tcW w:w="4420" w:type="dxa"/>
            <w:vAlign w:val="bottom"/>
            <w:gridSpan w:val="2"/>
            <w:vMerge w:val="continue"/>
          </w:tcPr>
          <w:p>
            <w:pPr>
              <w:spacing w:after="0"/>
              <w:rPr>
                <w:sz w:val="16"/>
                <w:szCs w:val="16"/>
                <w:color w:val="auto"/>
              </w:rPr>
            </w:pPr>
          </w:p>
        </w:tc>
        <w:tc>
          <w:tcPr>
            <w:tcW w:w="13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tcPr>
          <w:p>
            <w:pPr>
              <w:jc w:val="right"/>
              <w:ind w:right="144"/>
              <w:spacing w:after="0" w:line="192" w:lineRule="exact"/>
              <w:rPr>
                <w:sz w:val="20"/>
                <w:szCs w:val="20"/>
                <w:color w:val="auto"/>
              </w:rPr>
            </w:pPr>
            <w:r>
              <w:rPr>
                <w:rFonts w:ascii="Arial" w:cs="Arial" w:eastAsia="Arial" w:hAnsi="Arial"/>
                <w:sz w:val="14"/>
                <w:szCs w:val="14"/>
                <w:b w:val="1"/>
                <w:bCs w:val="1"/>
                <w:color w:val="auto"/>
              </w:rPr>
              <w:t xml:space="preserve">Management </w:t>
            </w:r>
            <w:r>
              <w:rPr>
                <w:rFonts w:ascii="Arial" w:cs="Arial" w:eastAsia="Arial" w:hAnsi="Arial"/>
                <w:sz w:val="17"/>
                <w:szCs w:val="17"/>
                <w:b w:val="1"/>
                <w:bCs w:val="1"/>
                <w:color w:val="auto"/>
                <w:vertAlign w:val="superscript"/>
              </w:rPr>
              <w:t>(2)</w:t>
            </w:r>
          </w:p>
        </w:tc>
        <w:tc>
          <w:tcPr>
            <w:tcW w:w="14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620" w:type="dxa"/>
            <w:vAlign w:val="bottom"/>
          </w:tcPr>
          <w:p>
            <w:pPr>
              <w:jc w:val="center"/>
              <w:spacing w:after="0" w:line="192" w:lineRule="exact"/>
              <w:rPr>
                <w:sz w:val="20"/>
                <w:szCs w:val="20"/>
                <w:color w:val="auto"/>
              </w:rPr>
            </w:pPr>
            <w:r>
              <w:rPr>
                <w:rFonts w:ascii="Arial" w:cs="Arial" w:eastAsia="Arial" w:hAnsi="Arial"/>
                <w:sz w:val="14"/>
                <w:szCs w:val="14"/>
                <w:b w:val="1"/>
                <w:bCs w:val="1"/>
                <w:color w:val="auto"/>
                <w:w w:val="95"/>
              </w:rPr>
              <w:t xml:space="preserve">Drawn Capital </w:t>
            </w:r>
            <w:r>
              <w:rPr>
                <w:rFonts w:ascii="Arial" w:cs="Arial" w:eastAsia="Arial" w:hAnsi="Arial"/>
                <w:sz w:val="17"/>
                <w:szCs w:val="17"/>
                <w:b w:val="1"/>
                <w:bCs w:val="1"/>
                <w:color w:val="auto"/>
                <w:w w:val="95"/>
                <w:vertAlign w:val="superscript"/>
              </w:rPr>
              <w:t>(3)</w:t>
            </w:r>
          </w:p>
        </w:tc>
        <w:tc>
          <w:tcPr>
            <w:tcW w:w="0" w:type="dxa"/>
            <w:vAlign w:val="bottom"/>
          </w:tcPr>
          <w:p>
            <w:pPr>
              <w:spacing w:after="0"/>
              <w:rPr>
                <w:sz w:val="1"/>
                <w:szCs w:val="1"/>
                <w:color w:val="auto"/>
              </w:rPr>
            </w:pPr>
          </w:p>
        </w:tc>
      </w:tr>
      <w:tr>
        <w:trPr>
          <w:trHeight w:val="187"/>
        </w:trPr>
        <w:tc>
          <w:tcPr>
            <w:tcW w:w="4420" w:type="dxa"/>
            <w:vAlign w:val="bottom"/>
            <w:gridSpan w:val="2"/>
          </w:tcPr>
          <w:p>
            <w:pPr>
              <w:ind w:left="20"/>
              <w:spacing w:after="0"/>
              <w:rPr>
                <w:sz w:val="20"/>
                <w:szCs w:val="20"/>
                <w:color w:val="auto"/>
              </w:rPr>
            </w:pPr>
            <w:r>
              <w:rPr>
                <w:rFonts w:ascii="Arial" w:cs="Arial" w:eastAsia="Arial" w:hAnsi="Arial"/>
                <w:sz w:val="15"/>
                <w:szCs w:val="15"/>
                <w:b w:val="1"/>
                <w:bCs w:val="1"/>
                <w:i w:val="1"/>
                <w:iCs w:val="1"/>
                <w:color w:val="auto"/>
              </w:rPr>
              <w:t>Credit:</w:t>
            </w:r>
          </w:p>
        </w:tc>
        <w:tc>
          <w:tcPr>
            <w:tcW w:w="130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6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4420" w:type="dxa"/>
            <w:vAlign w:val="bottom"/>
            <w:gridSpan w:val="2"/>
          </w:tcPr>
          <w:p>
            <w:pPr>
              <w:ind w:left="20"/>
              <w:spacing w:after="0"/>
              <w:rPr>
                <w:sz w:val="20"/>
                <w:szCs w:val="20"/>
                <w:color w:val="auto"/>
              </w:rPr>
            </w:pPr>
            <w:r>
              <w:rPr>
                <w:rFonts w:ascii="Arial" w:cs="Arial" w:eastAsia="Arial" w:hAnsi="Arial"/>
                <w:sz w:val="15"/>
                <w:szCs w:val="15"/>
                <w:color w:val="auto"/>
              </w:rPr>
              <w:t>Opportunistic Credit</w:t>
            </w:r>
          </w:p>
        </w:tc>
        <w:tc>
          <w:tcPr>
            <w:tcW w:w="1300" w:type="dxa"/>
            <w:vAlign w:val="bottom"/>
          </w:tcPr>
          <w:p>
            <w:pPr>
              <w:jc w:val="center"/>
              <w:spacing w:after="0"/>
              <w:rPr>
                <w:sz w:val="20"/>
                <w:szCs w:val="20"/>
                <w:color w:val="auto"/>
              </w:rPr>
            </w:pPr>
            <w:r>
              <w:rPr>
                <w:rFonts w:ascii="Arial" w:cs="Arial" w:eastAsia="Arial" w:hAnsi="Arial"/>
                <w:sz w:val="15"/>
                <w:szCs w:val="15"/>
                <w:color w:val="auto"/>
              </w:rPr>
              <w:t>1988</w:t>
            </w:r>
          </w:p>
        </w:tc>
        <w:tc>
          <w:tcPr>
            <w:tcW w:w="8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280" w:type="dxa"/>
            <w:vAlign w:val="bottom"/>
          </w:tcPr>
          <w:p>
            <w:pPr>
              <w:jc w:val="right"/>
              <w:ind w:right="4"/>
              <w:spacing w:after="0"/>
              <w:rPr>
                <w:sz w:val="20"/>
                <w:szCs w:val="20"/>
                <w:color w:val="auto"/>
              </w:rPr>
            </w:pPr>
            <w:r>
              <w:rPr>
                <w:rFonts w:ascii="Arial" w:cs="Arial" w:eastAsia="Arial" w:hAnsi="Arial"/>
                <w:sz w:val="15"/>
                <w:szCs w:val="15"/>
                <w:color w:val="auto"/>
              </w:rPr>
              <w:t>40,240</w:t>
            </w:r>
          </w:p>
        </w:tc>
        <w:tc>
          <w:tcPr>
            <w:tcW w:w="1120" w:type="dxa"/>
            <w:vAlign w:val="bottom"/>
            <w:gridSpan w:val="2"/>
          </w:tcPr>
          <w:p>
            <w:pPr>
              <w:jc w:val="center"/>
              <w:ind w:left="43"/>
              <w:spacing w:after="0"/>
              <w:rPr>
                <w:sz w:val="20"/>
                <w:szCs w:val="20"/>
                <w:color w:val="auto"/>
              </w:rPr>
            </w:pPr>
            <w:r>
              <w:rPr>
                <w:rFonts w:ascii="Arial" w:cs="Arial" w:eastAsia="Arial" w:hAnsi="Arial"/>
                <w:sz w:val="15"/>
                <w:szCs w:val="15"/>
                <w:color w:val="auto"/>
              </w:rPr>
              <w:t>21.7%</w:t>
            </w:r>
          </w:p>
        </w:tc>
        <w:tc>
          <w:tcPr>
            <w:tcW w:w="140" w:type="dxa"/>
            <w:vAlign w:val="bottom"/>
          </w:tcPr>
          <w:p>
            <w:pPr>
              <w:spacing w:after="0"/>
              <w:rPr>
                <w:sz w:val="17"/>
                <w:szCs w:val="17"/>
                <w:color w:val="auto"/>
              </w:rPr>
            </w:pPr>
          </w:p>
        </w:tc>
        <w:tc>
          <w:tcPr>
            <w:tcW w:w="980" w:type="dxa"/>
            <w:vAlign w:val="bottom"/>
          </w:tcPr>
          <w:p>
            <w:pPr>
              <w:jc w:val="center"/>
              <w:spacing w:after="0"/>
              <w:rPr>
                <w:sz w:val="20"/>
                <w:szCs w:val="20"/>
                <w:color w:val="auto"/>
              </w:rPr>
            </w:pPr>
            <w:r>
              <w:rPr>
                <w:rFonts w:ascii="Arial" w:cs="Arial" w:eastAsia="Arial" w:hAnsi="Arial"/>
                <w:sz w:val="15"/>
                <w:szCs w:val="15"/>
                <w:color w:val="auto"/>
              </w:rPr>
              <w:t>15.6%</w:t>
            </w:r>
          </w:p>
        </w:tc>
        <w:tc>
          <w:tcPr>
            <w:tcW w:w="140" w:type="dxa"/>
            <w:vAlign w:val="bottom"/>
          </w:tcPr>
          <w:p>
            <w:pPr>
              <w:spacing w:after="0"/>
              <w:rPr>
                <w:sz w:val="17"/>
                <w:szCs w:val="17"/>
                <w:color w:val="auto"/>
              </w:rPr>
            </w:pPr>
          </w:p>
        </w:tc>
        <w:tc>
          <w:tcPr>
            <w:tcW w:w="1620" w:type="dxa"/>
            <w:vAlign w:val="bottom"/>
          </w:tcPr>
          <w:p>
            <w:pPr>
              <w:jc w:val="center"/>
              <w:spacing w:after="0"/>
              <w:rPr>
                <w:sz w:val="20"/>
                <w:szCs w:val="20"/>
                <w:color w:val="auto"/>
              </w:rPr>
            </w:pPr>
            <w:r>
              <w:rPr>
                <w:rFonts w:ascii="Arial" w:cs="Arial" w:eastAsia="Arial" w:hAnsi="Arial"/>
                <w:sz w:val="15"/>
                <w:szCs w:val="15"/>
                <w:color w:val="auto"/>
              </w:rPr>
              <w:t>1.8x</w:t>
            </w:r>
          </w:p>
        </w:tc>
        <w:tc>
          <w:tcPr>
            <w:tcW w:w="0" w:type="dxa"/>
            <w:vAlign w:val="bottom"/>
          </w:tcPr>
          <w:p>
            <w:pPr>
              <w:spacing w:after="0"/>
              <w:rPr>
                <w:sz w:val="1"/>
                <w:szCs w:val="1"/>
                <w:color w:val="auto"/>
              </w:rPr>
            </w:pPr>
          </w:p>
        </w:tc>
      </w:tr>
      <w:tr>
        <w:trPr>
          <w:trHeight w:val="206"/>
        </w:trPr>
        <w:tc>
          <w:tcPr>
            <w:tcW w:w="4420" w:type="dxa"/>
            <w:vAlign w:val="bottom"/>
            <w:gridSpan w:val="2"/>
          </w:tcPr>
          <w:p>
            <w:pPr>
              <w:ind w:left="20"/>
              <w:spacing w:after="0"/>
              <w:rPr>
                <w:sz w:val="20"/>
                <w:szCs w:val="20"/>
                <w:color w:val="auto"/>
              </w:rPr>
            </w:pPr>
            <w:r>
              <w:rPr>
                <w:rFonts w:ascii="Arial" w:cs="Arial" w:eastAsia="Arial" w:hAnsi="Arial"/>
                <w:sz w:val="15"/>
                <w:szCs w:val="15"/>
                <w:color w:val="auto"/>
              </w:rPr>
              <w:t>Private Credit</w:t>
            </w:r>
          </w:p>
        </w:tc>
        <w:tc>
          <w:tcPr>
            <w:tcW w:w="1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420" w:type="dxa"/>
            <w:vAlign w:val="bottom"/>
            <w:gridSpan w:val="2"/>
          </w:tcPr>
          <w:p>
            <w:pPr>
              <w:ind w:left="180"/>
              <w:spacing w:after="0" w:line="208" w:lineRule="exact"/>
              <w:rPr>
                <w:sz w:val="20"/>
                <w:szCs w:val="20"/>
                <w:color w:val="auto"/>
              </w:rPr>
            </w:pPr>
            <w:r>
              <w:rPr>
                <w:rFonts w:ascii="Arial" w:cs="Arial" w:eastAsia="Arial" w:hAnsi="Arial"/>
                <w:sz w:val="15"/>
                <w:szCs w:val="15"/>
                <w:i w:val="1"/>
                <w:iCs w:val="1"/>
                <w:color w:val="auto"/>
              </w:rPr>
              <w:t xml:space="preserve">Global Private Debt </w:t>
            </w:r>
            <w:r>
              <w:rPr>
                <w:rFonts w:ascii="Arial" w:cs="Arial" w:eastAsia="Arial" w:hAnsi="Arial"/>
                <w:sz w:val="20"/>
                <w:szCs w:val="20"/>
                <w:i w:val="1"/>
                <w:iCs w:val="1"/>
                <w:color w:val="auto"/>
                <w:vertAlign w:val="superscript"/>
              </w:rPr>
              <w:t>(4)</w:t>
            </w:r>
          </w:p>
        </w:tc>
        <w:tc>
          <w:tcPr>
            <w:tcW w:w="1300" w:type="dxa"/>
            <w:vAlign w:val="bottom"/>
          </w:tcPr>
          <w:p>
            <w:pPr>
              <w:jc w:val="center"/>
              <w:spacing w:after="0"/>
              <w:rPr>
                <w:sz w:val="20"/>
                <w:szCs w:val="20"/>
                <w:color w:val="auto"/>
              </w:rPr>
            </w:pPr>
            <w:r>
              <w:rPr>
                <w:rFonts w:ascii="Arial" w:cs="Arial" w:eastAsia="Arial" w:hAnsi="Arial"/>
                <w:sz w:val="15"/>
                <w:szCs w:val="15"/>
                <w:color w:val="auto"/>
              </w:rPr>
              <w:t>2012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ind w:right="4"/>
              <w:spacing w:after="0"/>
              <w:rPr>
                <w:sz w:val="20"/>
                <w:szCs w:val="20"/>
                <w:color w:val="auto"/>
              </w:rPr>
            </w:pPr>
            <w:r>
              <w:rPr>
                <w:rFonts w:ascii="Arial" w:cs="Arial" w:eastAsia="Arial" w:hAnsi="Arial"/>
                <w:sz w:val="15"/>
                <w:szCs w:val="15"/>
                <w:color w:val="auto"/>
              </w:rPr>
              <w:t>6,640</w:t>
            </w:r>
          </w:p>
        </w:tc>
        <w:tc>
          <w:tcPr>
            <w:tcW w:w="140" w:type="dxa"/>
            <w:vAlign w:val="bottom"/>
          </w:tcPr>
          <w:p>
            <w:pPr>
              <w:spacing w:after="0"/>
              <w:rPr>
                <w:sz w:val="18"/>
                <w:szCs w:val="18"/>
                <w:color w:val="auto"/>
              </w:rPr>
            </w:pPr>
          </w:p>
        </w:tc>
        <w:tc>
          <w:tcPr>
            <w:tcW w:w="1120" w:type="dxa"/>
            <w:vAlign w:val="bottom"/>
            <w:gridSpan w:val="2"/>
          </w:tcPr>
          <w:p>
            <w:pPr>
              <w:jc w:val="center"/>
              <w:ind w:right="140"/>
              <w:spacing w:after="0"/>
              <w:rPr>
                <w:sz w:val="20"/>
                <w:szCs w:val="20"/>
                <w:color w:val="auto"/>
              </w:rPr>
            </w:pPr>
            <w:r>
              <w:rPr>
                <w:rFonts w:ascii="Arial" w:cs="Arial" w:eastAsia="Arial" w:hAnsi="Arial"/>
                <w:sz w:val="15"/>
                <w:szCs w:val="15"/>
                <w:color w:val="auto"/>
              </w:rPr>
              <w:t>nm</w:t>
            </w:r>
          </w:p>
        </w:tc>
        <w:tc>
          <w:tcPr>
            <w:tcW w:w="1120" w:type="dxa"/>
            <w:vAlign w:val="bottom"/>
            <w:gridSpan w:val="2"/>
          </w:tcPr>
          <w:p>
            <w:pPr>
              <w:ind w:left="380"/>
              <w:spacing w:after="0"/>
              <w:rPr>
                <w:sz w:val="20"/>
                <w:szCs w:val="20"/>
                <w:color w:val="auto"/>
              </w:rPr>
            </w:pPr>
            <w:r>
              <w:rPr>
                <w:rFonts w:ascii="Arial" w:cs="Arial" w:eastAsia="Arial" w:hAnsi="Arial"/>
                <w:sz w:val="15"/>
                <w:szCs w:val="15"/>
                <w:color w:val="auto"/>
              </w:rPr>
              <w:t>nm</w:t>
            </w:r>
          </w:p>
        </w:tc>
        <w:tc>
          <w:tcPr>
            <w:tcW w:w="1620" w:type="dxa"/>
            <w:vAlign w:val="bottom"/>
          </w:tcPr>
          <w:p>
            <w:pPr>
              <w:jc w:val="center"/>
              <w:spacing w:after="0"/>
              <w:rPr>
                <w:sz w:val="20"/>
                <w:szCs w:val="20"/>
                <w:color w:val="auto"/>
              </w:rPr>
            </w:pPr>
            <w:r>
              <w:rPr>
                <w:rFonts w:ascii="Arial" w:cs="Arial" w:eastAsia="Arial" w:hAnsi="Arial"/>
                <w:sz w:val="15"/>
                <w:szCs w:val="15"/>
                <w:color w:val="auto"/>
              </w:rPr>
              <w:t>1.2x</w:t>
            </w:r>
          </w:p>
        </w:tc>
        <w:tc>
          <w:tcPr>
            <w:tcW w:w="0" w:type="dxa"/>
            <w:vAlign w:val="bottom"/>
          </w:tcPr>
          <w:p>
            <w:pPr>
              <w:spacing w:after="0"/>
              <w:rPr>
                <w:sz w:val="1"/>
                <w:szCs w:val="1"/>
                <w:color w:val="auto"/>
              </w:rPr>
            </w:pPr>
          </w:p>
        </w:tc>
      </w:tr>
      <w:tr>
        <w:trPr>
          <w:trHeight w:val="204"/>
        </w:trPr>
        <w:tc>
          <w:tcPr>
            <w:tcW w:w="4420" w:type="dxa"/>
            <w:vAlign w:val="bottom"/>
            <w:gridSpan w:val="2"/>
          </w:tcPr>
          <w:p>
            <w:pPr>
              <w:ind w:left="180"/>
              <w:spacing w:after="0"/>
              <w:rPr>
                <w:sz w:val="20"/>
                <w:szCs w:val="20"/>
                <w:color w:val="auto"/>
              </w:rPr>
            </w:pPr>
            <w:r>
              <w:rPr>
                <w:rFonts w:ascii="Arial" w:cs="Arial" w:eastAsia="Arial" w:hAnsi="Arial"/>
                <w:sz w:val="15"/>
                <w:szCs w:val="15"/>
                <w:i w:val="1"/>
                <w:iCs w:val="1"/>
                <w:color w:val="auto"/>
              </w:rPr>
              <w:t>U.S. Private Debt</w:t>
            </w:r>
          </w:p>
        </w:tc>
        <w:tc>
          <w:tcPr>
            <w:tcW w:w="1300" w:type="dxa"/>
            <w:vAlign w:val="bottom"/>
          </w:tcPr>
          <w:p>
            <w:pPr>
              <w:jc w:val="center"/>
              <w:spacing w:after="0"/>
              <w:rPr>
                <w:sz w:val="20"/>
                <w:szCs w:val="20"/>
                <w:color w:val="auto"/>
              </w:rPr>
            </w:pPr>
            <w:r>
              <w:rPr>
                <w:rFonts w:ascii="Arial" w:cs="Arial" w:eastAsia="Arial" w:hAnsi="Arial"/>
                <w:sz w:val="15"/>
                <w:szCs w:val="15"/>
                <w:color w:val="auto"/>
              </w:rPr>
              <w:t>2002</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jc w:val="right"/>
              <w:ind w:right="4"/>
              <w:spacing w:after="0"/>
              <w:rPr>
                <w:sz w:val="20"/>
                <w:szCs w:val="20"/>
                <w:color w:val="auto"/>
              </w:rPr>
            </w:pPr>
            <w:r>
              <w:rPr>
                <w:rFonts w:ascii="Arial" w:cs="Arial" w:eastAsia="Arial" w:hAnsi="Arial"/>
                <w:sz w:val="15"/>
                <w:szCs w:val="15"/>
                <w:color w:val="auto"/>
              </w:rPr>
              <w:t>1,449</w:t>
            </w:r>
          </w:p>
        </w:tc>
        <w:tc>
          <w:tcPr>
            <w:tcW w:w="1120" w:type="dxa"/>
            <w:vAlign w:val="bottom"/>
            <w:gridSpan w:val="2"/>
          </w:tcPr>
          <w:p>
            <w:pPr>
              <w:jc w:val="center"/>
              <w:ind w:left="43"/>
              <w:spacing w:after="0"/>
              <w:rPr>
                <w:sz w:val="20"/>
                <w:szCs w:val="20"/>
                <w:color w:val="auto"/>
              </w:rPr>
            </w:pPr>
            <w:r>
              <w:rPr>
                <w:rFonts w:ascii="Arial" w:cs="Arial" w:eastAsia="Arial" w:hAnsi="Arial"/>
                <w:sz w:val="15"/>
                <w:szCs w:val="15"/>
                <w:color w:val="auto"/>
              </w:rPr>
              <w:t>13.0%</w:t>
            </w:r>
          </w:p>
        </w:tc>
        <w:tc>
          <w:tcPr>
            <w:tcW w:w="140" w:type="dxa"/>
            <w:vAlign w:val="bottom"/>
          </w:tcPr>
          <w:p>
            <w:pPr>
              <w:spacing w:after="0"/>
              <w:rPr>
                <w:sz w:val="17"/>
                <w:szCs w:val="17"/>
                <w:color w:val="auto"/>
              </w:rPr>
            </w:pPr>
          </w:p>
        </w:tc>
        <w:tc>
          <w:tcPr>
            <w:tcW w:w="980" w:type="dxa"/>
            <w:vAlign w:val="bottom"/>
          </w:tcPr>
          <w:p>
            <w:pPr>
              <w:jc w:val="center"/>
              <w:spacing w:after="0"/>
              <w:rPr>
                <w:sz w:val="20"/>
                <w:szCs w:val="20"/>
                <w:color w:val="auto"/>
              </w:rPr>
            </w:pPr>
            <w:r>
              <w:rPr>
                <w:rFonts w:ascii="Arial" w:cs="Arial" w:eastAsia="Arial" w:hAnsi="Arial"/>
                <w:sz w:val="15"/>
                <w:szCs w:val="15"/>
                <w:color w:val="auto"/>
                <w:w w:val="99"/>
              </w:rPr>
              <w:t>8.8%</w:t>
            </w:r>
          </w:p>
        </w:tc>
        <w:tc>
          <w:tcPr>
            <w:tcW w:w="140" w:type="dxa"/>
            <w:vAlign w:val="bottom"/>
          </w:tcPr>
          <w:p>
            <w:pPr>
              <w:spacing w:after="0"/>
              <w:rPr>
                <w:sz w:val="17"/>
                <w:szCs w:val="17"/>
                <w:color w:val="auto"/>
              </w:rPr>
            </w:pPr>
          </w:p>
        </w:tc>
        <w:tc>
          <w:tcPr>
            <w:tcW w:w="1620" w:type="dxa"/>
            <w:vAlign w:val="bottom"/>
          </w:tcPr>
          <w:p>
            <w:pPr>
              <w:jc w:val="center"/>
              <w:spacing w:after="0"/>
              <w:rPr>
                <w:sz w:val="20"/>
                <w:szCs w:val="20"/>
                <w:color w:val="auto"/>
              </w:rPr>
            </w:pPr>
            <w:r>
              <w:rPr>
                <w:rFonts w:ascii="Arial" w:cs="Arial" w:eastAsia="Arial" w:hAnsi="Arial"/>
                <w:sz w:val="15"/>
                <w:szCs w:val="15"/>
                <w:color w:val="auto"/>
              </w:rPr>
              <w:t>1.5x</w:t>
            </w:r>
          </w:p>
        </w:tc>
        <w:tc>
          <w:tcPr>
            <w:tcW w:w="0" w:type="dxa"/>
            <w:vAlign w:val="bottom"/>
          </w:tcPr>
          <w:p>
            <w:pPr>
              <w:spacing w:after="0"/>
              <w:rPr>
                <w:sz w:val="1"/>
                <w:szCs w:val="1"/>
                <w:color w:val="auto"/>
              </w:rPr>
            </w:pPr>
          </w:p>
        </w:tc>
      </w:tr>
      <w:tr>
        <w:trPr>
          <w:trHeight w:val="206"/>
        </w:trPr>
        <w:tc>
          <w:tcPr>
            <w:tcW w:w="4420" w:type="dxa"/>
            <w:vAlign w:val="bottom"/>
            <w:gridSpan w:val="2"/>
          </w:tcPr>
          <w:p>
            <w:pPr>
              <w:ind w:left="180"/>
              <w:spacing w:after="0"/>
              <w:rPr>
                <w:sz w:val="20"/>
                <w:szCs w:val="20"/>
                <w:color w:val="auto"/>
              </w:rPr>
            </w:pPr>
            <w:r>
              <w:rPr>
                <w:rFonts w:ascii="Arial" w:cs="Arial" w:eastAsia="Arial" w:hAnsi="Arial"/>
                <w:sz w:val="15"/>
                <w:szCs w:val="15"/>
                <w:i w:val="1"/>
                <w:iCs w:val="1"/>
                <w:color w:val="auto"/>
              </w:rPr>
              <w:t>European Private Debt</w:t>
            </w:r>
          </w:p>
        </w:tc>
        <w:tc>
          <w:tcPr>
            <w:tcW w:w="1300" w:type="dxa"/>
            <w:vAlign w:val="bottom"/>
          </w:tcPr>
          <w:p>
            <w:pPr>
              <w:jc w:val="center"/>
              <w:spacing w:after="0"/>
              <w:rPr>
                <w:sz w:val="20"/>
                <w:szCs w:val="20"/>
                <w:color w:val="auto"/>
              </w:rPr>
            </w:pPr>
            <w:r>
              <w:rPr>
                <w:rFonts w:ascii="Arial" w:cs="Arial" w:eastAsia="Arial" w:hAnsi="Arial"/>
                <w:sz w:val="15"/>
                <w:szCs w:val="15"/>
                <w:color w:val="auto"/>
              </w:rPr>
              <w:t>2013</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jc w:val="right"/>
              <w:ind w:right="4"/>
              <w:spacing w:after="0"/>
              <w:rPr>
                <w:sz w:val="20"/>
                <w:szCs w:val="20"/>
                <w:color w:val="auto"/>
              </w:rPr>
            </w:pPr>
            <w:r>
              <w:rPr>
                <w:rFonts w:ascii="Arial" w:cs="Arial" w:eastAsia="Arial" w:hAnsi="Arial"/>
                <w:sz w:val="15"/>
                <w:szCs w:val="15"/>
                <w:color w:val="auto"/>
              </w:rPr>
              <w:t>2,117</w:t>
            </w:r>
          </w:p>
        </w:tc>
        <w:tc>
          <w:tcPr>
            <w:tcW w:w="1120" w:type="dxa"/>
            <w:vAlign w:val="bottom"/>
            <w:gridSpan w:val="2"/>
          </w:tcPr>
          <w:p>
            <w:pPr>
              <w:jc w:val="center"/>
              <w:ind w:left="63"/>
              <w:spacing w:after="0"/>
              <w:rPr>
                <w:sz w:val="20"/>
                <w:szCs w:val="20"/>
                <w:color w:val="auto"/>
              </w:rPr>
            </w:pPr>
            <w:r>
              <w:rPr>
                <w:rFonts w:ascii="Arial" w:cs="Arial" w:eastAsia="Arial" w:hAnsi="Arial"/>
                <w:sz w:val="15"/>
                <w:szCs w:val="15"/>
                <w:color w:val="auto"/>
                <w:w w:val="99"/>
              </w:rPr>
              <w:t>9.0%</w:t>
            </w:r>
          </w:p>
        </w:tc>
        <w:tc>
          <w:tcPr>
            <w:tcW w:w="140" w:type="dxa"/>
            <w:vAlign w:val="bottom"/>
          </w:tcPr>
          <w:p>
            <w:pPr>
              <w:spacing w:after="0"/>
              <w:rPr>
                <w:sz w:val="17"/>
                <w:szCs w:val="17"/>
                <w:color w:val="auto"/>
              </w:rPr>
            </w:pPr>
          </w:p>
        </w:tc>
        <w:tc>
          <w:tcPr>
            <w:tcW w:w="980" w:type="dxa"/>
            <w:vAlign w:val="bottom"/>
          </w:tcPr>
          <w:p>
            <w:pPr>
              <w:jc w:val="center"/>
              <w:spacing w:after="0"/>
              <w:rPr>
                <w:sz w:val="20"/>
                <w:szCs w:val="20"/>
                <w:color w:val="auto"/>
              </w:rPr>
            </w:pPr>
            <w:r>
              <w:rPr>
                <w:rFonts w:ascii="Arial" w:cs="Arial" w:eastAsia="Arial" w:hAnsi="Arial"/>
                <w:sz w:val="15"/>
                <w:szCs w:val="15"/>
                <w:color w:val="auto"/>
                <w:w w:val="99"/>
              </w:rPr>
              <w:t>4.8%</w:t>
            </w:r>
          </w:p>
        </w:tc>
        <w:tc>
          <w:tcPr>
            <w:tcW w:w="140" w:type="dxa"/>
            <w:vAlign w:val="bottom"/>
          </w:tcPr>
          <w:p>
            <w:pPr>
              <w:spacing w:after="0"/>
              <w:rPr>
                <w:sz w:val="17"/>
                <w:szCs w:val="17"/>
                <w:color w:val="auto"/>
              </w:rPr>
            </w:pPr>
          </w:p>
        </w:tc>
        <w:tc>
          <w:tcPr>
            <w:tcW w:w="1620" w:type="dxa"/>
            <w:vAlign w:val="bottom"/>
          </w:tcPr>
          <w:p>
            <w:pPr>
              <w:jc w:val="center"/>
              <w:spacing w:after="0"/>
              <w:rPr>
                <w:sz w:val="20"/>
                <w:szCs w:val="20"/>
                <w:color w:val="auto"/>
              </w:rPr>
            </w:pPr>
            <w:r>
              <w:rPr>
                <w:rFonts w:ascii="Arial" w:cs="Arial" w:eastAsia="Arial" w:hAnsi="Arial"/>
                <w:sz w:val="15"/>
                <w:szCs w:val="15"/>
                <w:color w:val="auto"/>
              </w:rPr>
              <w:t>1.2x</w:t>
            </w:r>
          </w:p>
        </w:tc>
        <w:tc>
          <w:tcPr>
            <w:tcW w:w="0" w:type="dxa"/>
            <w:vAlign w:val="bottom"/>
          </w:tcPr>
          <w:p>
            <w:pPr>
              <w:spacing w:after="0"/>
              <w:rPr>
                <w:sz w:val="1"/>
                <w:szCs w:val="1"/>
                <w:color w:val="auto"/>
              </w:rPr>
            </w:pPr>
          </w:p>
        </w:tc>
      </w:tr>
      <w:tr>
        <w:trPr>
          <w:trHeight w:val="206"/>
        </w:trPr>
        <w:tc>
          <w:tcPr>
            <w:tcW w:w="4420" w:type="dxa"/>
            <w:vAlign w:val="bottom"/>
            <w:gridSpan w:val="2"/>
          </w:tcPr>
          <w:p>
            <w:pPr>
              <w:ind w:left="20"/>
              <w:spacing w:after="0"/>
              <w:rPr>
                <w:sz w:val="20"/>
                <w:szCs w:val="20"/>
                <w:color w:val="auto"/>
              </w:rPr>
            </w:pPr>
            <w:r>
              <w:rPr>
                <w:rFonts w:ascii="Arial" w:cs="Arial" w:eastAsia="Arial" w:hAnsi="Arial"/>
                <w:sz w:val="15"/>
                <w:szCs w:val="15"/>
                <w:color w:val="auto"/>
              </w:rPr>
              <w:t>Emerging Markets Debt</w:t>
            </w:r>
          </w:p>
        </w:tc>
        <w:tc>
          <w:tcPr>
            <w:tcW w:w="1300" w:type="dxa"/>
            <w:vAlign w:val="bottom"/>
          </w:tcPr>
          <w:p>
            <w:pPr>
              <w:jc w:val="center"/>
              <w:spacing w:after="0"/>
              <w:rPr>
                <w:sz w:val="20"/>
                <w:szCs w:val="20"/>
                <w:color w:val="auto"/>
              </w:rPr>
            </w:pPr>
            <w:r>
              <w:rPr>
                <w:rFonts w:ascii="Arial" w:cs="Arial" w:eastAsia="Arial" w:hAnsi="Arial"/>
                <w:sz w:val="15"/>
                <w:szCs w:val="15"/>
                <w:color w:val="auto"/>
              </w:rPr>
              <w:t>2012</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jc w:val="right"/>
              <w:ind w:right="4"/>
              <w:spacing w:after="0"/>
              <w:rPr>
                <w:sz w:val="20"/>
                <w:szCs w:val="20"/>
                <w:color w:val="auto"/>
              </w:rPr>
            </w:pPr>
            <w:r>
              <w:rPr>
                <w:rFonts w:ascii="Arial" w:cs="Arial" w:eastAsia="Arial" w:hAnsi="Arial"/>
                <w:sz w:val="15"/>
                <w:szCs w:val="15"/>
                <w:color w:val="auto"/>
              </w:rPr>
              <w:t>185</w:t>
            </w:r>
          </w:p>
        </w:tc>
        <w:tc>
          <w:tcPr>
            <w:tcW w:w="1120" w:type="dxa"/>
            <w:vAlign w:val="bottom"/>
            <w:gridSpan w:val="2"/>
          </w:tcPr>
          <w:p>
            <w:pPr>
              <w:jc w:val="center"/>
              <w:ind w:left="63"/>
              <w:spacing w:after="0"/>
              <w:rPr>
                <w:sz w:val="20"/>
                <w:szCs w:val="20"/>
                <w:color w:val="auto"/>
              </w:rPr>
            </w:pPr>
            <w:r>
              <w:rPr>
                <w:rFonts w:ascii="Arial" w:cs="Arial" w:eastAsia="Arial" w:hAnsi="Arial"/>
                <w:sz w:val="15"/>
                <w:szCs w:val="15"/>
                <w:color w:val="auto"/>
                <w:w w:val="98"/>
              </w:rPr>
              <w:t>11.2%</w:t>
            </w:r>
          </w:p>
        </w:tc>
        <w:tc>
          <w:tcPr>
            <w:tcW w:w="140" w:type="dxa"/>
            <w:vAlign w:val="bottom"/>
          </w:tcPr>
          <w:p>
            <w:pPr>
              <w:spacing w:after="0"/>
              <w:rPr>
                <w:sz w:val="17"/>
                <w:szCs w:val="17"/>
                <w:color w:val="auto"/>
              </w:rPr>
            </w:pPr>
          </w:p>
        </w:tc>
        <w:tc>
          <w:tcPr>
            <w:tcW w:w="980" w:type="dxa"/>
            <w:vAlign w:val="bottom"/>
          </w:tcPr>
          <w:p>
            <w:pPr>
              <w:jc w:val="center"/>
              <w:spacing w:after="0"/>
              <w:rPr>
                <w:sz w:val="20"/>
                <w:szCs w:val="20"/>
                <w:color w:val="auto"/>
              </w:rPr>
            </w:pPr>
            <w:r>
              <w:rPr>
                <w:rFonts w:ascii="Arial" w:cs="Arial" w:eastAsia="Arial" w:hAnsi="Arial"/>
                <w:sz w:val="15"/>
                <w:szCs w:val="15"/>
                <w:color w:val="auto"/>
                <w:w w:val="99"/>
              </w:rPr>
              <w:t>7.9%</w:t>
            </w:r>
          </w:p>
        </w:tc>
        <w:tc>
          <w:tcPr>
            <w:tcW w:w="140" w:type="dxa"/>
            <w:vAlign w:val="bottom"/>
          </w:tcPr>
          <w:p>
            <w:pPr>
              <w:spacing w:after="0"/>
              <w:rPr>
                <w:sz w:val="17"/>
                <w:szCs w:val="17"/>
                <w:color w:val="auto"/>
              </w:rPr>
            </w:pPr>
          </w:p>
        </w:tc>
        <w:tc>
          <w:tcPr>
            <w:tcW w:w="1620" w:type="dxa"/>
            <w:vAlign w:val="bottom"/>
          </w:tcPr>
          <w:p>
            <w:pPr>
              <w:jc w:val="center"/>
              <w:spacing w:after="0"/>
              <w:rPr>
                <w:sz w:val="20"/>
                <w:szCs w:val="20"/>
                <w:color w:val="auto"/>
              </w:rPr>
            </w:pPr>
            <w:r>
              <w:rPr>
                <w:rFonts w:ascii="Arial" w:cs="Arial" w:eastAsia="Arial" w:hAnsi="Arial"/>
                <w:sz w:val="15"/>
                <w:szCs w:val="15"/>
                <w:color w:val="auto"/>
              </w:rPr>
              <w:t>1.4x</w:t>
            </w:r>
          </w:p>
        </w:tc>
        <w:tc>
          <w:tcPr>
            <w:tcW w:w="0" w:type="dxa"/>
            <w:vAlign w:val="bottom"/>
          </w:tcPr>
          <w:p>
            <w:pPr>
              <w:spacing w:after="0"/>
              <w:rPr>
                <w:sz w:val="1"/>
                <w:szCs w:val="1"/>
                <w:color w:val="auto"/>
              </w:rPr>
            </w:pPr>
          </w:p>
        </w:tc>
      </w:tr>
      <w:tr>
        <w:trPr>
          <w:trHeight w:val="363"/>
        </w:trPr>
        <w:tc>
          <w:tcPr>
            <w:tcW w:w="4420" w:type="dxa"/>
            <w:vAlign w:val="bottom"/>
            <w:gridSpan w:val="2"/>
          </w:tcPr>
          <w:p>
            <w:pPr>
              <w:ind w:left="20"/>
              <w:spacing w:after="0"/>
              <w:rPr>
                <w:sz w:val="20"/>
                <w:szCs w:val="20"/>
                <w:color w:val="auto"/>
              </w:rPr>
            </w:pPr>
            <w:r>
              <w:rPr>
                <w:rFonts w:ascii="Arial" w:cs="Arial" w:eastAsia="Arial" w:hAnsi="Arial"/>
                <w:sz w:val="15"/>
                <w:szCs w:val="15"/>
                <w:b w:val="1"/>
                <w:bCs w:val="1"/>
                <w:i w:val="1"/>
                <w:iCs w:val="1"/>
                <w:color w:val="auto"/>
              </w:rPr>
              <w:t>Equity:</w:t>
            </w: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4420" w:type="dxa"/>
            <w:vAlign w:val="bottom"/>
            <w:gridSpan w:val="2"/>
          </w:tcPr>
          <w:p>
            <w:pPr>
              <w:ind w:left="20"/>
              <w:spacing w:after="0"/>
              <w:rPr>
                <w:sz w:val="20"/>
                <w:szCs w:val="20"/>
                <w:color w:val="auto"/>
              </w:rPr>
            </w:pPr>
            <w:r>
              <w:rPr>
                <w:rFonts w:ascii="Arial" w:cs="Arial" w:eastAsia="Arial" w:hAnsi="Arial"/>
                <w:sz w:val="15"/>
                <w:szCs w:val="15"/>
                <w:color w:val="auto"/>
              </w:rPr>
              <w:t>Corporate Private Equity</w:t>
            </w:r>
          </w:p>
        </w:tc>
        <w:tc>
          <w:tcPr>
            <w:tcW w:w="1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420" w:type="dxa"/>
            <w:vAlign w:val="bottom"/>
            <w:gridSpan w:val="2"/>
          </w:tcPr>
          <w:p>
            <w:pPr>
              <w:ind w:left="180"/>
              <w:spacing w:after="0"/>
              <w:rPr>
                <w:sz w:val="20"/>
                <w:szCs w:val="20"/>
                <w:color w:val="auto"/>
              </w:rPr>
            </w:pPr>
            <w:r>
              <w:rPr>
                <w:rFonts w:ascii="Arial" w:cs="Arial" w:eastAsia="Arial" w:hAnsi="Arial"/>
                <w:sz w:val="15"/>
                <w:szCs w:val="15"/>
                <w:i w:val="1"/>
                <w:iCs w:val="1"/>
                <w:color w:val="auto"/>
              </w:rPr>
              <w:t>European Principal</w:t>
            </w:r>
          </w:p>
        </w:tc>
        <w:tc>
          <w:tcPr>
            <w:tcW w:w="1300" w:type="dxa"/>
            <w:vAlign w:val="bottom"/>
          </w:tcPr>
          <w:p>
            <w:pPr>
              <w:jc w:val="center"/>
              <w:spacing w:after="0"/>
              <w:rPr>
                <w:sz w:val="20"/>
                <w:szCs w:val="20"/>
                <w:color w:val="auto"/>
              </w:rPr>
            </w:pPr>
            <w:r>
              <w:rPr>
                <w:rFonts w:ascii="Arial" w:cs="Arial" w:eastAsia="Arial" w:hAnsi="Arial"/>
                <w:sz w:val="15"/>
                <w:szCs w:val="15"/>
                <w:color w:val="auto"/>
              </w:rPr>
              <w:t>1999</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jc w:val="right"/>
              <w:ind w:right="4"/>
              <w:spacing w:after="0"/>
              <w:rPr>
                <w:sz w:val="20"/>
                <w:szCs w:val="20"/>
                <w:color w:val="auto"/>
              </w:rPr>
            </w:pPr>
            <w:r>
              <w:rPr>
                <w:rFonts w:ascii="Arial" w:cs="Arial" w:eastAsia="Arial" w:hAnsi="Arial"/>
                <w:sz w:val="15"/>
                <w:szCs w:val="15"/>
                <w:color w:val="auto"/>
              </w:rPr>
              <w:t>4,510</w:t>
            </w:r>
          </w:p>
        </w:tc>
        <w:tc>
          <w:tcPr>
            <w:tcW w:w="1120" w:type="dxa"/>
            <w:vAlign w:val="bottom"/>
            <w:gridSpan w:val="2"/>
          </w:tcPr>
          <w:p>
            <w:pPr>
              <w:jc w:val="center"/>
              <w:ind w:left="63"/>
              <w:spacing w:after="0"/>
              <w:rPr>
                <w:sz w:val="20"/>
                <w:szCs w:val="20"/>
                <w:color w:val="auto"/>
              </w:rPr>
            </w:pPr>
            <w:r>
              <w:rPr>
                <w:rFonts w:ascii="Arial" w:cs="Arial" w:eastAsia="Arial" w:hAnsi="Arial"/>
                <w:sz w:val="15"/>
                <w:szCs w:val="15"/>
                <w:color w:val="auto"/>
                <w:w w:val="99"/>
              </w:rPr>
              <w:t>9.8%</w:t>
            </w:r>
          </w:p>
        </w:tc>
        <w:tc>
          <w:tcPr>
            <w:tcW w:w="140" w:type="dxa"/>
            <w:vAlign w:val="bottom"/>
          </w:tcPr>
          <w:p>
            <w:pPr>
              <w:spacing w:after="0"/>
              <w:rPr>
                <w:sz w:val="17"/>
                <w:szCs w:val="17"/>
                <w:color w:val="auto"/>
              </w:rPr>
            </w:pPr>
          </w:p>
        </w:tc>
        <w:tc>
          <w:tcPr>
            <w:tcW w:w="980" w:type="dxa"/>
            <w:vAlign w:val="bottom"/>
          </w:tcPr>
          <w:p>
            <w:pPr>
              <w:jc w:val="center"/>
              <w:spacing w:after="0"/>
              <w:rPr>
                <w:sz w:val="20"/>
                <w:szCs w:val="20"/>
                <w:color w:val="auto"/>
              </w:rPr>
            </w:pPr>
            <w:r>
              <w:rPr>
                <w:rFonts w:ascii="Arial" w:cs="Arial" w:eastAsia="Arial" w:hAnsi="Arial"/>
                <w:sz w:val="15"/>
                <w:szCs w:val="15"/>
                <w:color w:val="auto"/>
                <w:w w:val="99"/>
              </w:rPr>
              <w:t>5.7%</w:t>
            </w:r>
          </w:p>
        </w:tc>
        <w:tc>
          <w:tcPr>
            <w:tcW w:w="140" w:type="dxa"/>
            <w:vAlign w:val="bottom"/>
          </w:tcPr>
          <w:p>
            <w:pPr>
              <w:spacing w:after="0"/>
              <w:rPr>
                <w:sz w:val="17"/>
                <w:szCs w:val="17"/>
                <w:color w:val="auto"/>
              </w:rPr>
            </w:pPr>
          </w:p>
        </w:tc>
        <w:tc>
          <w:tcPr>
            <w:tcW w:w="1620" w:type="dxa"/>
            <w:vAlign w:val="bottom"/>
          </w:tcPr>
          <w:p>
            <w:pPr>
              <w:jc w:val="center"/>
              <w:spacing w:after="0"/>
              <w:rPr>
                <w:sz w:val="20"/>
                <w:szCs w:val="20"/>
                <w:color w:val="auto"/>
              </w:rPr>
            </w:pPr>
            <w:r>
              <w:rPr>
                <w:rFonts w:ascii="Arial" w:cs="Arial" w:eastAsia="Arial" w:hAnsi="Arial"/>
                <w:sz w:val="15"/>
                <w:szCs w:val="15"/>
                <w:color w:val="auto"/>
              </w:rPr>
              <w:t>1.6x</w:t>
            </w:r>
          </w:p>
        </w:tc>
        <w:tc>
          <w:tcPr>
            <w:tcW w:w="0" w:type="dxa"/>
            <w:vAlign w:val="bottom"/>
          </w:tcPr>
          <w:p>
            <w:pPr>
              <w:spacing w:after="0"/>
              <w:rPr>
                <w:sz w:val="1"/>
                <w:szCs w:val="1"/>
                <w:color w:val="auto"/>
              </w:rPr>
            </w:pPr>
          </w:p>
        </w:tc>
      </w:tr>
      <w:tr>
        <w:trPr>
          <w:trHeight w:val="206"/>
        </w:trPr>
        <w:tc>
          <w:tcPr>
            <w:tcW w:w="4420" w:type="dxa"/>
            <w:vAlign w:val="bottom"/>
            <w:gridSpan w:val="2"/>
          </w:tcPr>
          <w:p>
            <w:pPr>
              <w:ind w:left="180"/>
              <w:spacing w:after="0"/>
              <w:rPr>
                <w:sz w:val="20"/>
                <w:szCs w:val="20"/>
                <w:color w:val="auto"/>
              </w:rPr>
            </w:pPr>
            <w:r>
              <w:rPr>
                <w:rFonts w:ascii="Arial" w:cs="Arial" w:eastAsia="Arial" w:hAnsi="Arial"/>
                <w:sz w:val="15"/>
                <w:szCs w:val="15"/>
                <w:i w:val="1"/>
                <w:iCs w:val="1"/>
                <w:color w:val="auto"/>
              </w:rPr>
              <w:t>Power Opportunities</w:t>
            </w:r>
          </w:p>
        </w:tc>
        <w:tc>
          <w:tcPr>
            <w:tcW w:w="1300" w:type="dxa"/>
            <w:vAlign w:val="bottom"/>
          </w:tcPr>
          <w:p>
            <w:pPr>
              <w:jc w:val="center"/>
              <w:spacing w:after="0"/>
              <w:rPr>
                <w:sz w:val="20"/>
                <w:szCs w:val="20"/>
                <w:color w:val="auto"/>
              </w:rPr>
            </w:pPr>
            <w:r>
              <w:rPr>
                <w:rFonts w:ascii="Arial" w:cs="Arial" w:eastAsia="Arial" w:hAnsi="Arial"/>
                <w:sz w:val="15"/>
                <w:szCs w:val="15"/>
                <w:color w:val="auto"/>
              </w:rPr>
              <w:t>1995</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jc w:val="right"/>
              <w:ind w:right="4"/>
              <w:spacing w:after="0"/>
              <w:rPr>
                <w:sz w:val="20"/>
                <w:szCs w:val="20"/>
                <w:color w:val="auto"/>
              </w:rPr>
            </w:pPr>
            <w:r>
              <w:rPr>
                <w:rFonts w:ascii="Arial" w:cs="Arial" w:eastAsia="Arial" w:hAnsi="Arial"/>
                <w:sz w:val="15"/>
                <w:szCs w:val="15"/>
                <w:color w:val="auto"/>
              </w:rPr>
              <w:t>7,390</w:t>
            </w:r>
          </w:p>
        </w:tc>
        <w:tc>
          <w:tcPr>
            <w:tcW w:w="1120" w:type="dxa"/>
            <w:vAlign w:val="bottom"/>
            <w:gridSpan w:val="2"/>
          </w:tcPr>
          <w:p>
            <w:pPr>
              <w:jc w:val="center"/>
              <w:ind w:left="43"/>
              <w:spacing w:after="0"/>
              <w:rPr>
                <w:sz w:val="20"/>
                <w:szCs w:val="20"/>
                <w:color w:val="auto"/>
              </w:rPr>
            </w:pPr>
            <w:r>
              <w:rPr>
                <w:rFonts w:ascii="Arial" w:cs="Arial" w:eastAsia="Arial" w:hAnsi="Arial"/>
                <w:sz w:val="15"/>
                <w:szCs w:val="15"/>
                <w:color w:val="auto"/>
              </w:rPr>
              <w:t>35.0%</w:t>
            </w:r>
          </w:p>
        </w:tc>
        <w:tc>
          <w:tcPr>
            <w:tcW w:w="140" w:type="dxa"/>
            <w:vAlign w:val="bottom"/>
          </w:tcPr>
          <w:p>
            <w:pPr>
              <w:spacing w:after="0"/>
              <w:rPr>
                <w:sz w:val="17"/>
                <w:szCs w:val="17"/>
                <w:color w:val="auto"/>
              </w:rPr>
            </w:pPr>
          </w:p>
        </w:tc>
        <w:tc>
          <w:tcPr>
            <w:tcW w:w="980" w:type="dxa"/>
            <w:vAlign w:val="bottom"/>
          </w:tcPr>
          <w:p>
            <w:pPr>
              <w:jc w:val="center"/>
              <w:spacing w:after="0"/>
              <w:rPr>
                <w:sz w:val="20"/>
                <w:szCs w:val="20"/>
                <w:color w:val="auto"/>
              </w:rPr>
            </w:pPr>
            <w:r>
              <w:rPr>
                <w:rFonts w:ascii="Arial" w:cs="Arial" w:eastAsia="Arial" w:hAnsi="Arial"/>
                <w:sz w:val="15"/>
                <w:szCs w:val="15"/>
                <w:color w:val="auto"/>
              </w:rPr>
              <w:t>27.2%</w:t>
            </w:r>
          </w:p>
        </w:tc>
        <w:tc>
          <w:tcPr>
            <w:tcW w:w="140" w:type="dxa"/>
            <w:vAlign w:val="bottom"/>
          </w:tcPr>
          <w:p>
            <w:pPr>
              <w:spacing w:after="0"/>
              <w:rPr>
                <w:sz w:val="17"/>
                <w:szCs w:val="17"/>
                <w:color w:val="auto"/>
              </w:rPr>
            </w:pPr>
          </w:p>
        </w:tc>
        <w:tc>
          <w:tcPr>
            <w:tcW w:w="1620" w:type="dxa"/>
            <w:vAlign w:val="bottom"/>
          </w:tcPr>
          <w:p>
            <w:pPr>
              <w:jc w:val="center"/>
              <w:spacing w:after="0"/>
              <w:rPr>
                <w:sz w:val="20"/>
                <w:szCs w:val="20"/>
                <w:color w:val="auto"/>
              </w:rPr>
            </w:pPr>
            <w:r>
              <w:rPr>
                <w:rFonts w:ascii="Arial" w:cs="Arial" w:eastAsia="Arial" w:hAnsi="Arial"/>
                <w:sz w:val="15"/>
                <w:szCs w:val="15"/>
                <w:color w:val="auto"/>
              </w:rPr>
              <w:t>2.6x</w:t>
            </w:r>
          </w:p>
        </w:tc>
        <w:tc>
          <w:tcPr>
            <w:tcW w:w="0" w:type="dxa"/>
            <w:vAlign w:val="bottom"/>
          </w:tcPr>
          <w:p>
            <w:pPr>
              <w:spacing w:after="0"/>
              <w:rPr>
                <w:sz w:val="1"/>
                <w:szCs w:val="1"/>
                <w:color w:val="auto"/>
              </w:rPr>
            </w:pPr>
          </w:p>
        </w:tc>
      </w:tr>
      <w:tr>
        <w:trPr>
          <w:trHeight w:val="206"/>
        </w:trPr>
        <w:tc>
          <w:tcPr>
            <w:tcW w:w="4420" w:type="dxa"/>
            <w:vAlign w:val="bottom"/>
            <w:gridSpan w:val="2"/>
          </w:tcPr>
          <w:p>
            <w:pPr>
              <w:ind w:left="20"/>
              <w:spacing w:after="0"/>
              <w:rPr>
                <w:sz w:val="20"/>
                <w:szCs w:val="20"/>
                <w:color w:val="auto"/>
              </w:rPr>
            </w:pPr>
            <w:r>
              <w:rPr>
                <w:rFonts w:ascii="Arial" w:cs="Arial" w:eastAsia="Arial" w:hAnsi="Arial"/>
                <w:sz w:val="15"/>
                <w:szCs w:val="15"/>
                <w:color w:val="auto"/>
              </w:rPr>
              <w:t>Special Situations</w:t>
            </w:r>
          </w:p>
        </w:tc>
        <w:tc>
          <w:tcPr>
            <w:tcW w:w="1300" w:type="dxa"/>
            <w:vAlign w:val="bottom"/>
          </w:tcPr>
          <w:p>
            <w:pPr>
              <w:jc w:val="center"/>
              <w:spacing w:after="0"/>
              <w:rPr>
                <w:sz w:val="20"/>
                <w:szCs w:val="20"/>
                <w:color w:val="auto"/>
              </w:rPr>
            </w:pPr>
            <w:r>
              <w:rPr>
                <w:rFonts w:ascii="Arial" w:cs="Arial" w:eastAsia="Arial" w:hAnsi="Arial"/>
                <w:sz w:val="15"/>
                <w:szCs w:val="15"/>
                <w:color w:val="auto"/>
              </w:rPr>
              <w:t>1994</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jc w:val="right"/>
              <w:ind w:right="4"/>
              <w:spacing w:after="0"/>
              <w:rPr>
                <w:sz w:val="20"/>
                <w:szCs w:val="20"/>
                <w:color w:val="auto"/>
              </w:rPr>
            </w:pPr>
            <w:r>
              <w:rPr>
                <w:rFonts w:ascii="Arial" w:cs="Arial" w:eastAsia="Arial" w:hAnsi="Arial"/>
                <w:sz w:val="15"/>
                <w:szCs w:val="15"/>
                <w:color w:val="auto"/>
              </w:rPr>
              <w:t>8,164</w:t>
            </w:r>
          </w:p>
        </w:tc>
        <w:tc>
          <w:tcPr>
            <w:tcW w:w="1120" w:type="dxa"/>
            <w:vAlign w:val="bottom"/>
            <w:gridSpan w:val="2"/>
          </w:tcPr>
          <w:p>
            <w:pPr>
              <w:jc w:val="center"/>
              <w:ind w:left="43"/>
              <w:spacing w:after="0"/>
              <w:rPr>
                <w:sz w:val="20"/>
                <w:szCs w:val="20"/>
                <w:color w:val="auto"/>
              </w:rPr>
            </w:pPr>
            <w:r>
              <w:rPr>
                <w:rFonts w:ascii="Arial" w:cs="Arial" w:eastAsia="Arial" w:hAnsi="Arial"/>
                <w:sz w:val="15"/>
                <w:szCs w:val="15"/>
                <w:color w:val="auto"/>
              </w:rPr>
              <w:t>12.8%</w:t>
            </w:r>
          </w:p>
        </w:tc>
        <w:tc>
          <w:tcPr>
            <w:tcW w:w="140" w:type="dxa"/>
            <w:vAlign w:val="bottom"/>
          </w:tcPr>
          <w:p>
            <w:pPr>
              <w:spacing w:after="0"/>
              <w:rPr>
                <w:sz w:val="17"/>
                <w:szCs w:val="17"/>
                <w:color w:val="auto"/>
              </w:rPr>
            </w:pPr>
          </w:p>
        </w:tc>
        <w:tc>
          <w:tcPr>
            <w:tcW w:w="980" w:type="dxa"/>
            <w:vAlign w:val="bottom"/>
          </w:tcPr>
          <w:p>
            <w:pPr>
              <w:jc w:val="center"/>
              <w:spacing w:after="0"/>
              <w:rPr>
                <w:sz w:val="20"/>
                <w:szCs w:val="20"/>
                <w:color w:val="auto"/>
              </w:rPr>
            </w:pPr>
            <w:r>
              <w:rPr>
                <w:rFonts w:ascii="Arial" w:cs="Arial" w:eastAsia="Arial" w:hAnsi="Arial"/>
                <w:sz w:val="15"/>
                <w:szCs w:val="15"/>
                <w:color w:val="auto"/>
                <w:w w:val="99"/>
              </w:rPr>
              <w:t>8.9%</w:t>
            </w:r>
          </w:p>
        </w:tc>
        <w:tc>
          <w:tcPr>
            <w:tcW w:w="140" w:type="dxa"/>
            <w:vAlign w:val="bottom"/>
          </w:tcPr>
          <w:p>
            <w:pPr>
              <w:spacing w:after="0"/>
              <w:rPr>
                <w:sz w:val="17"/>
                <w:szCs w:val="17"/>
                <w:color w:val="auto"/>
              </w:rPr>
            </w:pPr>
          </w:p>
        </w:tc>
        <w:tc>
          <w:tcPr>
            <w:tcW w:w="1620" w:type="dxa"/>
            <w:vAlign w:val="bottom"/>
          </w:tcPr>
          <w:p>
            <w:pPr>
              <w:jc w:val="center"/>
              <w:spacing w:after="0"/>
              <w:rPr>
                <w:sz w:val="20"/>
                <w:szCs w:val="20"/>
                <w:color w:val="auto"/>
              </w:rPr>
            </w:pPr>
            <w:r>
              <w:rPr>
                <w:rFonts w:ascii="Arial" w:cs="Arial" w:eastAsia="Arial" w:hAnsi="Arial"/>
                <w:sz w:val="15"/>
                <w:szCs w:val="15"/>
                <w:color w:val="auto"/>
              </w:rPr>
              <w:t>2.2x</w:t>
            </w:r>
          </w:p>
        </w:tc>
        <w:tc>
          <w:tcPr>
            <w:tcW w:w="0" w:type="dxa"/>
            <w:vAlign w:val="bottom"/>
          </w:tcPr>
          <w:p>
            <w:pPr>
              <w:spacing w:after="0"/>
              <w:rPr>
                <w:sz w:val="1"/>
                <w:szCs w:val="1"/>
                <w:color w:val="auto"/>
              </w:rPr>
            </w:pPr>
          </w:p>
        </w:tc>
      </w:tr>
      <w:tr>
        <w:trPr>
          <w:trHeight w:val="363"/>
        </w:trPr>
        <w:tc>
          <w:tcPr>
            <w:tcW w:w="4420" w:type="dxa"/>
            <w:vAlign w:val="bottom"/>
            <w:gridSpan w:val="2"/>
          </w:tcPr>
          <w:p>
            <w:pPr>
              <w:ind w:left="20"/>
              <w:spacing w:after="0"/>
              <w:rPr>
                <w:sz w:val="20"/>
                <w:szCs w:val="20"/>
                <w:color w:val="auto"/>
              </w:rPr>
            </w:pPr>
            <w:r>
              <w:rPr>
                <w:rFonts w:ascii="Arial" w:cs="Arial" w:eastAsia="Arial" w:hAnsi="Arial"/>
                <w:sz w:val="15"/>
                <w:szCs w:val="15"/>
                <w:b w:val="1"/>
                <w:bCs w:val="1"/>
                <w:i w:val="1"/>
                <w:iCs w:val="1"/>
                <w:color w:val="auto"/>
              </w:rPr>
              <w:t>Real Estate:</w:t>
            </w: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4420" w:type="dxa"/>
            <w:vAlign w:val="bottom"/>
            <w:gridSpan w:val="2"/>
          </w:tcPr>
          <w:p>
            <w:pPr>
              <w:ind w:left="20"/>
              <w:spacing w:after="0"/>
              <w:rPr>
                <w:sz w:val="20"/>
                <w:szCs w:val="20"/>
                <w:color w:val="auto"/>
              </w:rPr>
            </w:pPr>
            <w:r>
              <w:rPr>
                <w:rFonts w:ascii="Arial" w:cs="Arial" w:eastAsia="Arial" w:hAnsi="Arial"/>
                <w:sz w:val="15"/>
                <w:szCs w:val="15"/>
                <w:color w:val="auto"/>
              </w:rPr>
              <w:t>Real Estate Opportunities</w:t>
            </w:r>
          </w:p>
        </w:tc>
        <w:tc>
          <w:tcPr>
            <w:tcW w:w="1300" w:type="dxa"/>
            <w:vAlign w:val="bottom"/>
          </w:tcPr>
          <w:p>
            <w:pPr>
              <w:jc w:val="center"/>
              <w:spacing w:after="0"/>
              <w:rPr>
                <w:sz w:val="20"/>
                <w:szCs w:val="20"/>
                <w:color w:val="auto"/>
              </w:rPr>
            </w:pPr>
            <w:r>
              <w:rPr>
                <w:rFonts w:ascii="Arial" w:cs="Arial" w:eastAsia="Arial" w:hAnsi="Arial"/>
                <w:sz w:val="15"/>
                <w:szCs w:val="15"/>
                <w:color w:val="auto"/>
              </w:rPr>
              <w:t>1994</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jc w:val="right"/>
              <w:ind w:right="4"/>
              <w:spacing w:after="0"/>
              <w:rPr>
                <w:sz w:val="20"/>
                <w:szCs w:val="20"/>
                <w:color w:val="auto"/>
              </w:rPr>
            </w:pPr>
            <w:r>
              <w:rPr>
                <w:rFonts w:ascii="Arial" w:cs="Arial" w:eastAsia="Arial" w:hAnsi="Arial"/>
                <w:sz w:val="15"/>
                <w:szCs w:val="15"/>
                <w:color w:val="auto"/>
              </w:rPr>
              <w:t>7,214</w:t>
            </w:r>
          </w:p>
        </w:tc>
        <w:tc>
          <w:tcPr>
            <w:tcW w:w="1120" w:type="dxa"/>
            <w:vAlign w:val="bottom"/>
            <w:gridSpan w:val="2"/>
          </w:tcPr>
          <w:p>
            <w:pPr>
              <w:jc w:val="center"/>
              <w:ind w:left="43"/>
              <w:spacing w:after="0"/>
              <w:rPr>
                <w:sz w:val="20"/>
                <w:szCs w:val="20"/>
                <w:color w:val="auto"/>
              </w:rPr>
            </w:pPr>
            <w:r>
              <w:rPr>
                <w:rFonts w:ascii="Arial" w:cs="Arial" w:eastAsia="Arial" w:hAnsi="Arial"/>
                <w:sz w:val="15"/>
                <w:szCs w:val="15"/>
                <w:color w:val="auto"/>
              </w:rPr>
              <w:t>14.4%</w:t>
            </w:r>
          </w:p>
        </w:tc>
        <w:tc>
          <w:tcPr>
            <w:tcW w:w="140" w:type="dxa"/>
            <w:vAlign w:val="bottom"/>
          </w:tcPr>
          <w:p>
            <w:pPr>
              <w:spacing w:after="0"/>
              <w:rPr>
                <w:sz w:val="17"/>
                <w:szCs w:val="17"/>
                <w:color w:val="auto"/>
              </w:rPr>
            </w:pPr>
          </w:p>
        </w:tc>
        <w:tc>
          <w:tcPr>
            <w:tcW w:w="980" w:type="dxa"/>
            <w:vAlign w:val="bottom"/>
          </w:tcPr>
          <w:p>
            <w:pPr>
              <w:jc w:val="center"/>
              <w:spacing w:after="0"/>
              <w:rPr>
                <w:sz w:val="20"/>
                <w:szCs w:val="20"/>
                <w:color w:val="auto"/>
              </w:rPr>
            </w:pPr>
            <w:r>
              <w:rPr>
                <w:rFonts w:ascii="Arial" w:cs="Arial" w:eastAsia="Arial" w:hAnsi="Arial"/>
                <w:sz w:val="15"/>
                <w:szCs w:val="15"/>
                <w:color w:val="auto"/>
              </w:rPr>
              <w:t>10.0%</w:t>
            </w:r>
          </w:p>
        </w:tc>
        <w:tc>
          <w:tcPr>
            <w:tcW w:w="140" w:type="dxa"/>
            <w:vAlign w:val="bottom"/>
          </w:tcPr>
          <w:p>
            <w:pPr>
              <w:spacing w:after="0"/>
              <w:rPr>
                <w:sz w:val="17"/>
                <w:szCs w:val="17"/>
                <w:color w:val="auto"/>
              </w:rPr>
            </w:pPr>
          </w:p>
        </w:tc>
        <w:tc>
          <w:tcPr>
            <w:tcW w:w="1620" w:type="dxa"/>
            <w:vAlign w:val="bottom"/>
          </w:tcPr>
          <w:p>
            <w:pPr>
              <w:jc w:val="center"/>
              <w:spacing w:after="0"/>
              <w:rPr>
                <w:sz w:val="20"/>
                <w:szCs w:val="20"/>
                <w:color w:val="auto"/>
              </w:rPr>
            </w:pPr>
            <w:r>
              <w:rPr>
                <w:rFonts w:ascii="Arial" w:cs="Arial" w:eastAsia="Arial" w:hAnsi="Arial"/>
                <w:sz w:val="15"/>
                <w:szCs w:val="15"/>
                <w:color w:val="auto"/>
              </w:rPr>
              <w:t>1.5x</w:t>
            </w:r>
          </w:p>
        </w:tc>
        <w:tc>
          <w:tcPr>
            <w:tcW w:w="0" w:type="dxa"/>
            <w:vAlign w:val="bottom"/>
          </w:tcPr>
          <w:p>
            <w:pPr>
              <w:spacing w:after="0"/>
              <w:rPr>
                <w:sz w:val="1"/>
                <w:szCs w:val="1"/>
                <w:color w:val="auto"/>
              </w:rPr>
            </w:pPr>
          </w:p>
        </w:tc>
      </w:tr>
      <w:tr>
        <w:trPr>
          <w:trHeight w:val="206"/>
        </w:trPr>
        <w:tc>
          <w:tcPr>
            <w:tcW w:w="4420" w:type="dxa"/>
            <w:vAlign w:val="bottom"/>
            <w:gridSpan w:val="2"/>
          </w:tcPr>
          <w:p>
            <w:pPr>
              <w:ind w:left="20"/>
              <w:spacing w:after="0"/>
              <w:rPr>
                <w:sz w:val="20"/>
                <w:szCs w:val="20"/>
                <w:color w:val="auto"/>
              </w:rPr>
            </w:pPr>
            <w:r>
              <w:rPr>
                <w:rFonts w:ascii="Arial" w:cs="Arial" w:eastAsia="Arial" w:hAnsi="Arial"/>
                <w:sz w:val="15"/>
                <w:szCs w:val="15"/>
                <w:color w:val="auto"/>
              </w:rPr>
              <w:t>Real Estate Debt</w:t>
            </w:r>
          </w:p>
        </w:tc>
        <w:tc>
          <w:tcPr>
            <w:tcW w:w="1300" w:type="dxa"/>
            <w:vAlign w:val="bottom"/>
          </w:tcPr>
          <w:p>
            <w:pPr>
              <w:jc w:val="center"/>
              <w:spacing w:after="0"/>
              <w:rPr>
                <w:sz w:val="20"/>
                <w:szCs w:val="20"/>
                <w:color w:val="auto"/>
              </w:rPr>
            </w:pPr>
            <w:r>
              <w:rPr>
                <w:rFonts w:ascii="Arial" w:cs="Arial" w:eastAsia="Arial" w:hAnsi="Arial"/>
                <w:sz w:val="15"/>
                <w:szCs w:val="15"/>
                <w:color w:val="auto"/>
              </w:rPr>
              <w:t>2010</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jc w:val="right"/>
              <w:ind w:right="4"/>
              <w:spacing w:after="0"/>
              <w:rPr>
                <w:sz w:val="20"/>
                <w:szCs w:val="20"/>
                <w:color w:val="auto"/>
              </w:rPr>
            </w:pPr>
            <w:r>
              <w:rPr>
                <w:rFonts w:ascii="Arial" w:cs="Arial" w:eastAsia="Arial" w:hAnsi="Arial"/>
                <w:sz w:val="15"/>
                <w:szCs w:val="15"/>
                <w:color w:val="auto"/>
              </w:rPr>
              <w:t>3,912</w:t>
            </w:r>
          </w:p>
        </w:tc>
        <w:tc>
          <w:tcPr>
            <w:tcW w:w="1120" w:type="dxa"/>
            <w:vAlign w:val="bottom"/>
            <w:gridSpan w:val="2"/>
          </w:tcPr>
          <w:p>
            <w:pPr>
              <w:jc w:val="center"/>
              <w:ind w:left="63"/>
              <w:spacing w:after="0"/>
              <w:rPr>
                <w:sz w:val="20"/>
                <w:szCs w:val="20"/>
                <w:color w:val="auto"/>
              </w:rPr>
            </w:pPr>
            <w:r>
              <w:rPr>
                <w:rFonts w:ascii="Arial" w:cs="Arial" w:eastAsia="Arial" w:hAnsi="Arial"/>
                <w:sz w:val="15"/>
                <w:szCs w:val="15"/>
                <w:color w:val="auto"/>
                <w:w w:val="99"/>
              </w:rPr>
              <w:t>8.9%</w:t>
            </w:r>
          </w:p>
        </w:tc>
        <w:tc>
          <w:tcPr>
            <w:tcW w:w="140" w:type="dxa"/>
            <w:vAlign w:val="bottom"/>
          </w:tcPr>
          <w:p>
            <w:pPr>
              <w:spacing w:after="0"/>
              <w:rPr>
                <w:sz w:val="17"/>
                <w:szCs w:val="17"/>
                <w:color w:val="auto"/>
              </w:rPr>
            </w:pPr>
          </w:p>
        </w:tc>
        <w:tc>
          <w:tcPr>
            <w:tcW w:w="980" w:type="dxa"/>
            <w:vAlign w:val="bottom"/>
          </w:tcPr>
          <w:p>
            <w:pPr>
              <w:jc w:val="center"/>
              <w:spacing w:after="0"/>
              <w:rPr>
                <w:sz w:val="20"/>
                <w:szCs w:val="20"/>
                <w:color w:val="auto"/>
              </w:rPr>
            </w:pPr>
            <w:r>
              <w:rPr>
                <w:rFonts w:ascii="Arial" w:cs="Arial" w:eastAsia="Arial" w:hAnsi="Arial"/>
                <w:sz w:val="15"/>
                <w:szCs w:val="15"/>
                <w:color w:val="auto"/>
                <w:w w:val="99"/>
              </w:rPr>
              <w:t>4.4%</w:t>
            </w:r>
          </w:p>
        </w:tc>
        <w:tc>
          <w:tcPr>
            <w:tcW w:w="140" w:type="dxa"/>
            <w:vAlign w:val="bottom"/>
          </w:tcPr>
          <w:p>
            <w:pPr>
              <w:spacing w:after="0"/>
              <w:rPr>
                <w:sz w:val="17"/>
                <w:szCs w:val="17"/>
                <w:color w:val="auto"/>
              </w:rPr>
            </w:pPr>
          </w:p>
        </w:tc>
        <w:tc>
          <w:tcPr>
            <w:tcW w:w="1620" w:type="dxa"/>
            <w:vAlign w:val="bottom"/>
          </w:tcPr>
          <w:p>
            <w:pPr>
              <w:jc w:val="center"/>
              <w:spacing w:after="0"/>
              <w:rPr>
                <w:sz w:val="20"/>
                <w:szCs w:val="20"/>
                <w:color w:val="auto"/>
              </w:rPr>
            </w:pPr>
            <w:r>
              <w:rPr>
                <w:rFonts w:ascii="Arial" w:cs="Arial" w:eastAsia="Arial" w:hAnsi="Arial"/>
                <w:sz w:val="15"/>
                <w:szCs w:val="15"/>
                <w:color w:val="auto"/>
              </w:rPr>
              <w:t>1.2x</w:t>
            </w:r>
          </w:p>
        </w:tc>
        <w:tc>
          <w:tcPr>
            <w:tcW w:w="0" w:type="dxa"/>
            <w:vAlign w:val="bottom"/>
          </w:tcPr>
          <w:p>
            <w:pPr>
              <w:spacing w:after="0"/>
              <w:rPr>
                <w:sz w:val="1"/>
                <w:szCs w:val="1"/>
                <w:color w:val="auto"/>
              </w:rPr>
            </w:pPr>
          </w:p>
        </w:tc>
      </w:tr>
      <w:tr>
        <w:trPr>
          <w:trHeight w:val="208"/>
        </w:trPr>
        <w:tc>
          <w:tcPr>
            <w:tcW w:w="4420" w:type="dxa"/>
            <w:vAlign w:val="bottom"/>
            <w:gridSpan w:val="2"/>
            <w:vMerge w:val="restart"/>
          </w:tcPr>
          <w:p>
            <w:pPr>
              <w:ind w:left="20"/>
              <w:spacing w:after="0"/>
              <w:rPr>
                <w:sz w:val="20"/>
                <w:szCs w:val="20"/>
                <w:color w:val="auto"/>
              </w:rPr>
            </w:pPr>
            <w:r>
              <w:rPr>
                <w:rFonts w:ascii="Arial" w:cs="Arial" w:eastAsia="Arial" w:hAnsi="Arial"/>
                <w:sz w:val="15"/>
                <w:szCs w:val="15"/>
                <w:color w:val="auto"/>
              </w:rPr>
              <w:t>Subtotal</w:t>
            </w: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420" w:type="dxa"/>
            <w:vAlign w:val="bottom"/>
            <w:gridSpan w:val="2"/>
            <w:vMerge w:val="continue"/>
          </w:tcPr>
          <w:p>
            <w:pPr>
              <w:spacing w:after="0"/>
              <w:rPr>
                <w:sz w:val="17"/>
                <w:szCs w:val="17"/>
                <w:color w:val="auto"/>
              </w:rPr>
            </w:pPr>
          </w:p>
        </w:tc>
        <w:tc>
          <w:tcPr>
            <w:tcW w:w="1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jc w:val="right"/>
              <w:ind w:right="4"/>
              <w:spacing w:after="0"/>
              <w:rPr>
                <w:sz w:val="20"/>
                <w:szCs w:val="20"/>
                <w:color w:val="auto"/>
              </w:rPr>
            </w:pPr>
            <w:r>
              <w:rPr>
                <w:rFonts w:ascii="Arial" w:cs="Arial" w:eastAsia="Arial" w:hAnsi="Arial"/>
                <w:sz w:val="15"/>
                <w:szCs w:val="15"/>
                <w:color w:val="auto"/>
              </w:rPr>
              <w:t>81,821</w:t>
            </w: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4420" w:type="dxa"/>
            <w:vAlign w:val="bottom"/>
            <w:gridSpan w:val="2"/>
          </w:tcPr>
          <w:p>
            <w:pPr>
              <w:ind w:left="20"/>
              <w:spacing w:after="0" w:line="207" w:lineRule="exact"/>
              <w:rPr>
                <w:sz w:val="20"/>
                <w:szCs w:val="20"/>
                <w:color w:val="auto"/>
              </w:rPr>
            </w:pPr>
            <w:r>
              <w:rPr>
                <w:rFonts w:ascii="Arial" w:cs="Arial" w:eastAsia="Arial" w:hAnsi="Arial"/>
                <w:sz w:val="15"/>
                <w:szCs w:val="15"/>
                <w:color w:val="auto"/>
              </w:rPr>
              <w:t xml:space="preserve">Other </w:t>
            </w:r>
            <w:r>
              <w:rPr>
                <w:rFonts w:ascii="Arial" w:cs="Arial" w:eastAsia="Arial" w:hAnsi="Arial"/>
                <w:sz w:val="20"/>
                <w:szCs w:val="20"/>
                <w:color w:val="auto"/>
                <w:vertAlign w:val="superscript"/>
              </w:rPr>
              <w:t>(5)</w:t>
            </w: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35,771</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4420" w:type="dxa"/>
            <w:vAlign w:val="bottom"/>
            <w:gridSpan w:val="2"/>
          </w:tcPr>
          <w:p>
            <w:pPr>
              <w:ind w:left="20"/>
              <w:spacing w:after="0"/>
              <w:rPr>
                <w:sz w:val="20"/>
                <w:szCs w:val="20"/>
                <w:color w:val="auto"/>
              </w:rPr>
            </w:pPr>
            <w:r>
              <w:rPr>
                <w:rFonts w:ascii="Arial" w:cs="Arial" w:eastAsia="Arial" w:hAnsi="Arial"/>
                <w:sz w:val="15"/>
                <w:szCs w:val="15"/>
                <w:color w:val="auto"/>
              </w:rPr>
              <w:t>Total</w:t>
            </w:r>
          </w:p>
        </w:tc>
        <w:tc>
          <w:tcPr>
            <w:tcW w:w="1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28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117,592</w:t>
            </w: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2240" w:type="dxa"/>
            <w:vAlign w:val="bottom"/>
            <w:tcBorders>
              <w:bottom w:val="single" w:sz="8" w:color="auto"/>
            </w:tcBorders>
          </w:tcPr>
          <w:p>
            <w:pPr>
              <w:spacing w:after="0"/>
              <w:rPr>
                <w:sz w:val="13"/>
                <w:szCs w:val="13"/>
                <w:color w:val="auto"/>
              </w:rPr>
            </w:pPr>
          </w:p>
        </w:tc>
        <w:tc>
          <w:tcPr>
            <w:tcW w:w="21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11" w:lineRule="exact"/>
        <w:rPr>
          <w:sz w:val="20"/>
          <w:szCs w:val="20"/>
          <w:color w:val="auto"/>
        </w:rPr>
      </w:pPr>
    </w:p>
    <w:p>
      <w:pPr>
        <w:ind w:left="240" w:hanging="237"/>
        <w:spacing w:after="0" w:line="254" w:lineRule="auto"/>
        <w:tabs>
          <w:tab w:leader="none" w:pos="188" w:val="left"/>
        </w:tabs>
        <w:numPr>
          <w:ilvl w:val="0"/>
          <w:numId w:val="8"/>
        </w:numPr>
        <w:rPr>
          <w:rFonts w:ascii="Arial" w:cs="Arial" w:eastAsia="Arial" w:hAnsi="Arial"/>
          <w:sz w:val="12"/>
          <w:szCs w:val="12"/>
          <w:color w:val="auto"/>
        </w:rPr>
      </w:pPr>
      <w:r>
        <w:rPr>
          <w:rFonts w:ascii="Arial" w:cs="Arial" w:eastAsia="Arial" w:hAnsi="Arial"/>
          <w:sz w:val="12"/>
          <w:szCs w:val="12"/>
          <w:color w:val="auto"/>
        </w:rPr>
        <w:t>The internal rate of return (“IRR”) is the annualized implied discount rate calculated from a series of cash flows. It is the return that equates the present value of all capital invested in an investment to the present value of all returns of capital, or the discount rate that will provide a net present value of all cash flows equal to zero. Fund-level IRRs are calculated based upon the actual timing of cash contributions/distributions to investors and the residual value of such investor's capital accounts at the end of the applicable period being measured. Gross IRRs reflect returns before allocation of management fees, expenses and any incentive allocation to the fund's general partner. To the extent material, gross returns include certain transaction, advisory, directors or other ancillary fees ("fee income") paid directly to Oaktree in connection with the funds' activities (Oaktree credits all such fee income back to the respective fund(s) so that the funds' investors share pro rata in the fee income's economic benefit). Net IRRs reflect returns to non-affiliated investors after allocation of management fees, expenses and any incentive allocation to the fund's GP. The strategy inception and performance track record includes funds managed at Trust Company of the West by the portfolio managers and other senior investment professionals that joined Oaktree at its inception in 1995.</w:t>
      </w:r>
    </w:p>
    <w:p>
      <w:pPr>
        <w:ind w:left="240" w:right="260" w:hanging="237"/>
        <w:spacing w:after="0" w:line="253" w:lineRule="auto"/>
        <w:tabs>
          <w:tab w:leader="none" w:pos="188" w:val="left"/>
        </w:tabs>
        <w:numPr>
          <w:ilvl w:val="0"/>
          <w:numId w:val="8"/>
        </w:numPr>
        <w:rPr>
          <w:rFonts w:ascii="Arial" w:cs="Arial" w:eastAsia="Arial" w:hAnsi="Arial"/>
          <w:sz w:val="12"/>
          <w:szCs w:val="12"/>
          <w:color w:val="auto"/>
        </w:rPr>
      </w:pPr>
      <w:r>
        <w:rPr>
          <w:rFonts w:ascii="Arial" w:cs="Arial" w:eastAsia="Arial" w:hAnsi="Arial"/>
          <w:sz w:val="12"/>
          <w:szCs w:val="12"/>
          <w:color w:val="auto"/>
        </w:rPr>
        <w:t>Assets Under Management as of December 31, 2025. All figures are based on the conversion of amounts or cash flows from EUR to USD using the foreign exchange spot rate of 1.17 as of December 31, 2025.</w:t>
      </w:r>
    </w:p>
    <w:p>
      <w:pPr>
        <w:ind w:left="180" w:hanging="177"/>
        <w:spacing w:after="0"/>
        <w:tabs>
          <w:tab w:leader="none" w:pos="180" w:val="left"/>
        </w:tabs>
        <w:numPr>
          <w:ilvl w:val="0"/>
          <w:numId w:val="8"/>
        </w:numPr>
        <w:rPr>
          <w:rFonts w:ascii="Arial" w:cs="Arial" w:eastAsia="Arial" w:hAnsi="Arial"/>
          <w:sz w:val="12"/>
          <w:szCs w:val="12"/>
          <w:color w:val="auto"/>
        </w:rPr>
      </w:pPr>
      <w:r>
        <w:rPr>
          <w:rFonts w:ascii="Arial" w:cs="Arial" w:eastAsia="Arial" w:hAnsi="Arial"/>
          <w:sz w:val="12"/>
          <w:szCs w:val="12"/>
          <w:color w:val="auto"/>
        </w:rPr>
        <w:t>Gross multiple of drawn capital is calculated as drawn capital plus gross income and, if applicable, fee income before fees and expenses divided by drawn capital.</w:t>
      </w:r>
    </w:p>
    <w:p>
      <w:pPr>
        <w:spacing w:after="0" w:line="3" w:lineRule="exact"/>
        <w:rPr>
          <w:rFonts w:ascii="Arial" w:cs="Arial" w:eastAsia="Arial" w:hAnsi="Arial"/>
          <w:sz w:val="12"/>
          <w:szCs w:val="12"/>
          <w:color w:val="auto"/>
        </w:rPr>
      </w:pPr>
    </w:p>
    <w:p>
      <w:pPr>
        <w:ind w:left="240" w:right="40" w:hanging="237"/>
        <w:spacing w:after="0" w:line="251" w:lineRule="auto"/>
        <w:tabs>
          <w:tab w:leader="none" w:pos="188" w:val="left"/>
        </w:tabs>
        <w:numPr>
          <w:ilvl w:val="0"/>
          <w:numId w:val="8"/>
        </w:numPr>
        <w:rPr>
          <w:rFonts w:ascii="Arial" w:cs="Arial" w:eastAsia="Arial" w:hAnsi="Arial"/>
          <w:sz w:val="12"/>
          <w:szCs w:val="12"/>
          <w:color w:val="auto"/>
        </w:rPr>
      </w:pPr>
      <w:r>
        <w:rPr>
          <w:rFonts w:ascii="Arial" w:cs="Arial" w:eastAsia="Arial" w:hAnsi="Arial"/>
          <w:sz w:val="12"/>
          <w:szCs w:val="12"/>
          <w:color w:val="auto"/>
        </w:rPr>
        <w:t>This includes Oaktree’s Life Sciences funds and Direct Lending funds. Includes individual accounts across various strategies with different investment mandates. As such, a combined performance measure is not considered meaningful (“nm”).</w:t>
      </w:r>
    </w:p>
    <w:p>
      <w:pPr>
        <w:ind w:left="180" w:hanging="177"/>
        <w:spacing w:after="0"/>
        <w:tabs>
          <w:tab w:leader="none" w:pos="180" w:val="left"/>
        </w:tabs>
        <w:numPr>
          <w:ilvl w:val="0"/>
          <w:numId w:val="8"/>
        </w:numPr>
        <w:rPr>
          <w:rFonts w:ascii="Arial" w:cs="Arial" w:eastAsia="Arial" w:hAnsi="Arial"/>
          <w:sz w:val="12"/>
          <w:szCs w:val="12"/>
          <w:color w:val="auto"/>
        </w:rPr>
      </w:pPr>
      <w:r>
        <w:rPr>
          <w:rFonts w:ascii="Arial" w:cs="Arial" w:eastAsia="Arial" w:hAnsi="Arial"/>
          <w:sz w:val="12"/>
          <w:szCs w:val="12"/>
          <w:color w:val="auto"/>
        </w:rPr>
        <w:t>This includes Oaktree’s closed-end Senior Loan funds, CLOs,17Capital funds and certain separate accounts and co-investments.</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959" w:right="339" w:bottom="1440" w:gutter="0" w:footer="0" w:header="0"/>
        </w:sectPr>
      </w:pPr>
    </w:p>
    <w:bookmarkStart w:id="12" w:name="page13"/>
    <w:bookmarkEnd w:id="12"/>
    <w:p>
      <w:pPr>
        <w:jc w:val="both"/>
        <w:ind w:firstLine="464"/>
        <w:spacing w:after="0" w:line="271" w:lineRule="auto"/>
        <w:rPr>
          <w:sz w:val="20"/>
          <w:szCs w:val="20"/>
          <w:color w:val="auto"/>
        </w:rPr>
      </w:pPr>
      <w:r>
        <w:rPr>
          <w:rFonts w:ascii="Arial" w:cs="Arial" w:eastAsia="Arial" w:hAnsi="Arial"/>
          <w:sz w:val="17"/>
          <w:szCs w:val="17"/>
          <w:color w:val="auto"/>
        </w:rPr>
        <w:t>Performance of Oaktree’s open-end funds is in part measured in relation to applicable benchmark returns. Oaktree’s emphasis on risk control and credit selection has generally led to outperformance in challenging markets and over full market cycles. Information regarding Oaktree’s open-end funds, together with relevant benchmark data, is set forth below as of or for the periods ended December 31, 2025.</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24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200" w:type="dxa"/>
            <w:vAlign w:val="bottom"/>
            <w:tcBorders>
              <w:bottom w:val="single" w:sz="8" w:color="auto"/>
            </w:tcBorders>
            <w:gridSpan w:val="7"/>
          </w:tcPr>
          <w:p>
            <w:pPr>
              <w:jc w:val="center"/>
              <w:spacing w:after="0"/>
              <w:rPr>
                <w:sz w:val="20"/>
                <w:szCs w:val="20"/>
                <w:color w:val="auto"/>
              </w:rPr>
            </w:pPr>
            <w:r>
              <w:rPr>
                <w:rFonts w:ascii="Arial" w:cs="Arial" w:eastAsia="Arial" w:hAnsi="Arial"/>
                <w:sz w:val="14"/>
                <w:szCs w:val="14"/>
                <w:b w:val="1"/>
                <w:bCs w:val="1"/>
                <w:color w:val="auto"/>
                <w:w w:val="97"/>
              </w:rPr>
              <w:t>Since Inception through December 31, 2025</w:t>
            </w:r>
          </w:p>
        </w:tc>
        <w:tc>
          <w:tcPr>
            <w:tcW w:w="0" w:type="dxa"/>
            <w:vAlign w:val="bottom"/>
          </w:tcPr>
          <w:p>
            <w:pPr>
              <w:spacing w:after="0"/>
              <w:rPr>
                <w:sz w:val="1"/>
                <w:szCs w:val="1"/>
                <w:color w:val="auto"/>
              </w:rPr>
            </w:pPr>
          </w:p>
        </w:tc>
      </w:tr>
      <w:tr>
        <w:trPr>
          <w:trHeight w:val="187"/>
        </w:trPr>
        <w:tc>
          <w:tcPr>
            <w:tcW w:w="224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gridSpan w:val="5"/>
          </w:tcPr>
          <w:p>
            <w:pPr>
              <w:jc w:val="center"/>
              <w:ind w:left="24"/>
              <w:spacing w:after="0" w:line="187" w:lineRule="exact"/>
              <w:rPr>
                <w:sz w:val="20"/>
                <w:szCs w:val="20"/>
                <w:color w:val="auto"/>
              </w:rPr>
            </w:pPr>
            <w:r>
              <w:rPr>
                <w:rFonts w:ascii="Arial" w:cs="Arial" w:eastAsia="Arial" w:hAnsi="Arial"/>
                <w:sz w:val="14"/>
                <w:szCs w:val="14"/>
                <w:b w:val="1"/>
                <w:bCs w:val="1"/>
                <w:color w:val="auto"/>
                <w:w w:val="97"/>
              </w:rPr>
              <w:t xml:space="preserve">Annualized Rates of Return </w:t>
            </w:r>
            <w:r>
              <w:rPr>
                <w:rFonts w:ascii="Arial" w:cs="Arial" w:eastAsia="Arial" w:hAnsi="Arial"/>
                <w:sz w:val="17"/>
                <w:szCs w:val="17"/>
                <w:b w:val="1"/>
                <w:bCs w:val="1"/>
                <w:color w:val="auto"/>
                <w:w w:val="97"/>
                <w:vertAlign w:val="superscript"/>
              </w:rPr>
              <w:t>(1)</w:t>
            </w: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3840" w:type="dxa"/>
            <w:vAlign w:val="bottom"/>
            <w:gridSpan w:val="2"/>
            <w:vMerge w:val="restart"/>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14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8"/>
              </w:rPr>
              <w:t>Strategy Inception</w:t>
            </w:r>
          </w:p>
        </w:tc>
        <w:tc>
          <w:tcPr>
            <w:tcW w:w="180" w:type="dxa"/>
            <w:vAlign w:val="bottom"/>
          </w:tcPr>
          <w:p>
            <w:pPr>
              <w:spacing w:after="0"/>
              <w:rPr>
                <w:sz w:val="12"/>
                <w:szCs w:val="12"/>
                <w:color w:val="auto"/>
              </w:rPr>
            </w:pPr>
          </w:p>
        </w:tc>
        <w:tc>
          <w:tcPr>
            <w:tcW w:w="1160" w:type="dxa"/>
            <w:vAlign w:val="bottom"/>
          </w:tcPr>
          <w:p>
            <w:pPr>
              <w:jc w:val="right"/>
              <w:ind w:right="144"/>
              <w:spacing w:after="0" w:line="138" w:lineRule="exact"/>
              <w:rPr>
                <w:sz w:val="20"/>
                <w:szCs w:val="20"/>
                <w:color w:val="auto"/>
              </w:rPr>
            </w:pPr>
            <w:r>
              <w:rPr>
                <w:rFonts w:ascii="Arial" w:cs="Arial" w:eastAsia="Arial" w:hAnsi="Arial"/>
                <w:sz w:val="14"/>
                <w:szCs w:val="14"/>
                <w:b w:val="1"/>
                <w:bCs w:val="1"/>
                <w:color w:val="auto"/>
              </w:rPr>
              <w:t>Assets Under</w:t>
            </w:r>
          </w:p>
        </w:tc>
        <w:tc>
          <w:tcPr>
            <w:tcW w:w="140" w:type="dxa"/>
            <w:vAlign w:val="bottom"/>
          </w:tcPr>
          <w:p>
            <w:pPr>
              <w:spacing w:after="0"/>
              <w:rPr>
                <w:sz w:val="12"/>
                <w:szCs w:val="12"/>
                <w:color w:val="auto"/>
              </w:rPr>
            </w:pPr>
          </w:p>
        </w:tc>
        <w:tc>
          <w:tcPr>
            <w:tcW w:w="980" w:type="dxa"/>
            <w:vAlign w:val="bottom"/>
            <w:vMerge w:val="restart"/>
          </w:tcPr>
          <w:p>
            <w:pPr>
              <w:jc w:val="center"/>
              <w:ind w:left="251"/>
              <w:spacing w:after="0"/>
              <w:rPr>
                <w:sz w:val="20"/>
                <w:szCs w:val="20"/>
                <w:color w:val="auto"/>
              </w:rPr>
            </w:pPr>
            <w:r>
              <w:rPr>
                <w:rFonts w:ascii="Arial" w:cs="Arial" w:eastAsia="Arial" w:hAnsi="Arial"/>
                <w:sz w:val="14"/>
                <w:szCs w:val="14"/>
                <w:b w:val="1"/>
                <w:bCs w:val="1"/>
                <w:color w:val="auto"/>
                <w:w w:val="93"/>
              </w:rPr>
              <w:t>Gross</w:t>
            </w: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80" w:type="dxa"/>
            <w:vAlign w:val="bottom"/>
            <w:gridSpan w:val="3"/>
            <w:vMerge w:val="restart"/>
          </w:tcPr>
          <w:p>
            <w:pPr>
              <w:jc w:val="center"/>
              <w:ind w:right="380"/>
              <w:spacing w:after="0"/>
              <w:rPr>
                <w:sz w:val="20"/>
                <w:szCs w:val="20"/>
                <w:color w:val="auto"/>
              </w:rPr>
            </w:pPr>
            <w:r>
              <w:rPr>
                <w:rFonts w:ascii="Arial" w:cs="Arial" w:eastAsia="Arial" w:hAnsi="Arial"/>
                <w:sz w:val="14"/>
                <w:szCs w:val="14"/>
                <w:b w:val="1"/>
                <w:bCs w:val="1"/>
                <w:color w:val="auto"/>
                <w:w w:val="97"/>
              </w:rPr>
              <w:t>Net</w:t>
            </w:r>
          </w:p>
        </w:tc>
        <w:tc>
          <w:tcPr>
            <w:tcW w:w="1080" w:type="dxa"/>
            <w:vAlign w:val="bottom"/>
          </w:tcPr>
          <w:p>
            <w:pPr>
              <w:jc w:val="center"/>
              <w:ind w:right="145"/>
              <w:spacing w:after="0" w:line="138" w:lineRule="exact"/>
              <w:rPr>
                <w:sz w:val="20"/>
                <w:szCs w:val="20"/>
                <w:color w:val="auto"/>
              </w:rPr>
            </w:pPr>
            <w:r>
              <w:rPr>
                <w:rFonts w:ascii="Arial" w:cs="Arial" w:eastAsia="Arial" w:hAnsi="Arial"/>
                <w:sz w:val="14"/>
                <w:szCs w:val="14"/>
                <w:b w:val="1"/>
                <w:bCs w:val="1"/>
                <w:color w:val="auto"/>
                <w:w w:val="99"/>
              </w:rPr>
              <w:t>Relevant</w:t>
            </w:r>
          </w:p>
        </w:tc>
        <w:tc>
          <w:tcPr>
            <w:tcW w:w="0" w:type="dxa"/>
            <w:vAlign w:val="bottom"/>
          </w:tcPr>
          <w:p>
            <w:pPr>
              <w:spacing w:after="0"/>
              <w:rPr>
                <w:sz w:val="1"/>
                <w:szCs w:val="1"/>
                <w:color w:val="auto"/>
              </w:rPr>
            </w:pPr>
          </w:p>
        </w:tc>
      </w:tr>
      <w:tr>
        <w:trPr>
          <w:trHeight w:val="177"/>
        </w:trPr>
        <w:tc>
          <w:tcPr>
            <w:tcW w:w="3840" w:type="dxa"/>
            <w:vAlign w:val="bottom"/>
            <w:gridSpan w:val="2"/>
            <w:vMerge w:val="continue"/>
          </w:tcPr>
          <w:p>
            <w:pPr>
              <w:spacing w:after="0"/>
              <w:rPr>
                <w:sz w:val="15"/>
                <w:szCs w:val="15"/>
                <w:color w:val="auto"/>
              </w:rPr>
            </w:pPr>
          </w:p>
        </w:tc>
        <w:tc>
          <w:tcPr>
            <w:tcW w:w="144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jc w:val="right"/>
              <w:ind w:right="164"/>
              <w:spacing w:after="0"/>
              <w:rPr>
                <w:sz w:val="20"/>
                <w:szCs w:val="20"/>
                <w:color w:val="auto"/>
              </w:rPr>
            </w:pPr>
            <w:r>
              <w:rPr>
                <w:rFonts w:ascii="Arial" w:cs="Arial" w:eastAsia="Arial" w:hAnsi="Arial"/>
                <w:sz w:val="14"/>
                <w:szCs w:val="14"/>
                <w:b w:val="1"/>
                <w:bCs w:val="1"/>
                <w:color w:val="auto"/>
              </w:rPr>
              <w:t>Management</w:t>
            </w:r>
          </w:p>
        </w:tc>
        <w:tc>
          <w:tcPr>
            <w:tcW w:w="14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80" w:type="dxa"/>
            <w:vAlign w:val="bottom"/>
            <w:gridSpan w:val="3"/>
            <w:vMerge w:val="continue"/>
          </w:tcPr>
          <w:p>
            <w:pPr>
              <w:spacing w:after="0"/>
              <w:rPr>
                <w:sz w:val="15"/>
                <w:szCs w:val="15"/>
                <w:color w:val="auto"/>
              </w:rPr>
            </w:pPr>
          </w:p>
        </w:tc>
        <w:tc>
          <w:tcPr>
            <w:tcW w:w="1080" w:type="dxa"/>
            <w:vAlign w:val="bottom"/>
          </w:tcPr>
          <w:p>
            <w:pPr>
              <w:jc w:val="center"/>
              <w:ind w:right="165"/>
              <w:spacing w:after="0"/>
              <w:rPr>
                <w:sz w:val="20"/>
                <w:szCs w:val="20"/>
                <w:color w:val="auto"/>
              </w:rPr>
            </w:pPr>
            <w:r>
              <w:rPr>
                <w:rFonts w:ascii="Arial" w:cs="Arial" w:eastAsia="Arial" w:hAnsi="Arial"/>
                <w:sz w:val="14"/>
                <w:szCs w:val="14"/>
                <w:b w:val="1"/>
                <w:bCs w:val="1"/>
                <w:color w:val="auto"/>
                <w:w w:val="99"/>
              </w:rPr>
              <w:t>Benchmark</w:t>
            </w:r>
          </w:p>
        </w:tc>
        <w:tc>
          <w:tcPr>
            <w:tcW w:w="0" w:type="dxa"/>
            <w:vAlign w:val="bottom"/>
          </w:tcPr>
          <w:p>
            <w:pPr>
              <w:spacing w:after="0"/>
              <w:rPr>
                <w:sz w:val="1"/>
                <w:szCs w:val="1"/>
                <w:color w:val="auto"/>
              </w:rPr>
            </w:pPr>
          </w:p>
        </w:tc>
      </w:tr>
      <w:tr>
        <w:trPr>
          <w:trHeight w:val="187"/>
        </w:trPr>
        <w:tc>
          <w:tcPr>
            <w:tcW w:w="3840" w:type="dxa"/>
            <w:vAlign w:val="bottom"/>
            <w:gridSpan w:val="2"/>
          </w:tcPr>
          <w:p>
            <w:pPr>
              <w:ind w:left="20"/>
              <w:spacing w:after="0"/>
              <w:rPr>
                <w:sz w:val="20"/>
                <w:szCs w:val="20"/>
                <w:color w:val="auto"/>
              </w:rPr>
            </w:pPr>
            <w:r>
              <w:rPr>
                <w:rFonts w:ascii="Arial" w:cs="Arial" w:eastAsia="Arial" w:hAnsi="Arial"/>
                <w:sz w:val="15"/>
                <w:szCs w:val="15"/>
                <w:b w:val="1"/>
                <w:bCs w:val="1"/>
                <w:i w:val="1"/>
                <w:iCs w:val="1"/>
                <w:color w:val="auto"/>
              </w:rPr>
              <w:t>Credit:</w:t>
            </w:r>
          </w:p>
        </w:tc>
        <w:tc>
          <w:tcPr>
            <w:tcW w:w="130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3840" w:type="dxa"/>
            <w:vAlign w:val="bottom"/>
            <w:gridSpan w:val="2"/>
          </w:tcPr>
          <w:p>
            <w:pPr>
              <w:ind w:left="20"/>
              <w:spacing w:after="0"/>
              <w:rPr>
                <w:sz w:val="20"/>
                <w:szCs w:val="20"/>
                <w:color w:val="auto"/>
              </w:rPr>
            </w:pPr>
            <w:r>
              <w:rPr>
                <w:rFonts w:ascii="Arial" w:cs="Arial" w:eastAsia="Arial" w:hAnsi="Arial"/>
                <w:sz w:val="15"/>
                <w:szCs w:val="15"/>
                <w:b w:val="1"/>
                <w:bCs w:val="1"/>
                <w:i w:val="1"/>
                <w:iCs w:val="1"/>
                <w:color w:val="auto"/>
              </w:rPr>
              <w:t>High Yield Bonds</w:t>
            </w:r>
          </w:p>
        </w:tc>
        <w:tc>
          <w:tcPr>
            <w:tcW w:w="1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3840" w:type="dxa"/>
            <w:vAlign w:val="bottom"/>
            <w:gridSpan w:val="2"/>
          </w:tcPr>
          <w:p>
            <w:pPr>
              <w:ind w:left="20"/>
              <w:spacing w:after="0"/>
              <w:rPr>
                <w:sz w:val="20"/>
                <w:szCs w:val="20"/>
                <w:color w:val="auto"/>
              </w:rPr>
            </w:pPr>
            <w:r>
              <w:rPr>
                <w:rFonts w:ascii="Arial" w:cs="Arial" w:eastAsia="Arial" w:hAnsi="Arial"/>
                <w:sz w:val="15"/>
                <w:szCs w:val="15"/>
                <w:color w:val="auto"/>
              </w:rPr>
              <w:t>U.S. High Yield Bonds</w:t>
            </w:r>
          </w:p>
        </w:tc>
        <w:tc>
          <w:tcPr>
            <w:tcW w:w="1300" w:type="dxa"/>
            <w:vAlign w:val="bottom"/>
          </w:tcPr>
          <w:p>
            <w:pPr>
              <w:jc w:val="center"/>
              <w:spacing w:after="0"/>
              <w:rPr>
                <w:sz w:val="20"/>
                <w:szCs w:val="20"/>
                <w:color w:val="auto"/>
              </w:rPr>
            </w:pPr>
            <w:r>
              <w:rPr>
                <w:rFonts w:ascii="Arial" w:cs="Arial" w:eastAsia="Arial" w:hAnsi="Arial"/>
                <w:sz w:val="15"/>
                <w:szCs w:val="15"/>
                <w:color w:val="auto"/>
              </w:rPr>
              <w:t>1986</w:t>
            </w:r>
          </w:p>
        </w:tc>
        <w:tc>
          <w:tcPr>
            <w:tcW w:w="14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Arial" w:cs="Arial" w:eastAsia="Arial" w:hAnsi="Arial"/>
                <w:sz w:val="15"/>
                <w:szCs w:val="15"/>
                <w:color w:val="auto"/>
              </w:rPr>
              <w:t>$</w:t>
            </w:r>
          </w:p>
        </w:tc>
        <w:tc>
          <w:tcPr>
            <w:tcW w:w="1160" w:type="dxa"/>
            <w:vAlign w:val="bottom"/>
          </w:tcPr>
          <w:p>
            <w:pPr>
              <w:jc w:val="right"/>
              <w:ind w:right="4"/>
              <w:spacing w:after="0"/>
              <w:rPr>
                <w:sz w:val="20"/>
                <w:szCs w:val="20"/>
                <w:color w:val="auto"/>
              </w:rPr>
            </w:pPr>
            <w:r>
              <w:rPr>
                <w:rFonts w:ascii="Arial" w:cs="Arial" w:eastAsia="Arial" w:hAnsi="Arial"/>
                <w:sz w:val="15"/>
                <w:szCs w:val="15"/>
                <w:color w:val="auto"/>
              </w:rPr>
              <w:t>16,252</w:t>
            </w:r>
          </w:p>
        </w:tc>
        <w:tc>
          <w:tcPr>
            <w:tcW w:w="1120" w:type="dxa"/>
            <w:vAlign w:val="bottom"/>
            <w:gridSpan w:val="2"/>
          </w:tcPr>
          <w:p>
            <w:pPr>
              <w:jc w:val="center"/>
              <w:ind w:left="383"/>
              <w:spacing w:after="0"/>
              <w:rPr>
                <w:sz w:val="20"/>
                <w:szCs w:val="20"/>
                <w:color w:val="auto"/>
              </w:rPr>
            </w:pPr>
            <w:r>
              <w:rPr>
                <w:rFonts w:ascii="Arial" w:cs="Arial" w:eastAsia="Arial" w:hAnsi="Arial"/>
                <w:sz w:val="15"/>
                <w:szCs w:val="15"/>
                <w:color w:val="auto"/>
                <w:w w:val="99"/>
              </w:rPr>
              <w:t>8.4%</w:t>
            </w:r>
          </w:p>
        </w:tc>
        <w:tc>
          <w:tcPr>
            <w:tcW w:w="1760" w:type="dxa"/>
            <w:vAlign w:val="bottom"/>
            <w:gridSpan w:val="3"/>
          </w:tcPr>
          <w:p>
            <w:pPr>
              <w:jc w:val="center"/>
              <w:ind w:left="384"/>
              <w:spacing w:after="0"/>
              <w:rPr>
                <w:sz w:val="20"/>
                <w:szCs w:val="20"/>
                <w:color w:val="auto"/>
              </w:rPr>
            </w:pPr>
            <w:r>
              <w:rPr>
                <w:rFonts w:ascii="Arial" w:cs="Arial" w:eastAsia="Arial" w:hAnsi="Arial"/>
                <w:sz w:val="15"/>
                <w:szCs w:val="15"/>
                <w:color w:val="auto"/>
                <w:w w:val="99"/>
              </w:rPr>
              <w:t>7.9%</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jc w:val="center"/>
              <w:ind w:right="165"/>
              <w:spacing w:after="0"/>
              <w:rPr>
                <w:sz w:val="20"/>
                <w:szCs w:val="20"/>
                <w:color w:val="auto"/>
              </w:rPr>
            </w:pPr>
            <w:r>
              <w:rPr>
                <w:rFonts w:ascii="Arial" w:cs="Arial" w:eastAsia="Arial" w:hAnsi="Arial"/>
                <w:sz w:val="15"/>
                <w:szCs w:val="15"/>
                <w:color w:val="auto"/>
              </w:rPr>
              <w:t>7.6%</w:t>
            </w:r>
          </w:p>
        </w:tc>
        <w:tc>
          <w:tcPr>
            <w:tcW w:w="0" w:type="dxa"/>
            <w:vAlign w:val="bottom"/>
          </w:tcPr>
          <w:p>
            <w:pPr>
              <w:spacing w:after="0"/>
              <w:rPr>
                <w:sz w:val="1"/>
                <w:szCs w:val="1"/>
                <w:color w:val="auto"/>
              </w:rPr>
            </w:pPr>
          </w:p>
        </w:tc>
      </w:tr>
      <w:tr>
        <w:trPr>
          <w:trHeight w:val="206"/>
        </w:trPr>
        <w:tc>
          <w:tcPr>
            <w:tcW w:w="3840" w:type="dxa"/>
            <w:vAlign w:val="bottom"/>
            <w:gridSpan w:val="2"/>
          </w:tcPr>
          <w:p>
            <w:pPr>
              <w:ind w:left="20"/>
              <w:spacing w:after="0"/>
              <w:rPr>
                <w:sz w:val="20"/>
                <w:szCs w:val="20"/>
                <w:color w:val="auto"/>
              </w:rPr>
            </w:pPr>
            <w:r>
              <w:rPr>
                <w:rFonts w:ascii="Arial" w:cs="Arial" w:eastAsia="Arial" w:hAnsi="Arial"/>
                <w:sz w:val="15"/>
                <w:szCs w:val="15"/>
                <w:color w:val="auto"/>
              </w:rPr>
              <w:t>Global High Yield Bonds</w:t>
            </w:r>
          </w:p>
        </w:tc>
        <w:tc>
          <w:tcPr>
            <w:tcW w:w="1300" w:type="dxa"/>
            <w:vAlign w:val="bottom"/>
          </w:tcPr>
          <w:p>
            <w:pPr>
              <w:jc w:val="center"/>
              <w:spacing w:after="0"/>
              <w:rPr>
                <w:sz w:val="20"/>
                <w:szCs w:val="20"/>
                <w:color w:val="auto"/>
              </w:rPr>
            </w:pPr>
            <w:r>
              <w:rPr>
                <w:rFonts w:ascii="Arial" w:cs="Arial" w:eastAsia="Arial" w:hAnsi="Arial"/>
                <w:sz w:val="15"/>
                <w:szCs w:val="15"/>
                <w:color w:val="auto"/>
              </w:rPr>
              <w:t>2010</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jc w:val="right"/>
              <w:ind w:right="4"/>
              <w:spacing w:after="0"/>
              <w:rPr>
                <w:sz w:val="20"/>
                <w:szCs w:val="20"/>
                <w:color w:val="auto"/>
              </w:rPr>
            </w:pPr>
            <w:r>
              <w:rPr>
                <w:rFonts w:ascii="Arial" w:cs="Arial" w:eastAsia="Arial" w:hAnsi="Arial"/>
                <w:sz w:val="15"/>
                <w:szCs w:val="15"/>
                <w:color w:val="auto"/>
              </w:rPr>
              <w:t>2,909</w:t>
            </w:r>
          </w:p>
        </w:tc>
        <w:tc>
          <w:tcPr>
            <w:tcW w:w="1120" w:type="dxa"/>
            <w:vAlign w:val="bottom"/>
            <w:gridSpan w:val="2"/>
          </w:tcPr>
          <w:p>
            <w:pPr>
              <w:jc w:val="center"/>
              <w:ind w:left="383"/>
              <w:spacing w:after="0"/>
              <w:rPr>
                <w:sz w:val="20"/>
                <w:szCs w:val="20"/>
                <w:color w:val="auto"/>
              </w:rPr>
            </w:pPr>
            <w:r>
              <w:rPr>
                <w:rFonts w:ascii="Arial" w:cs="Arial" w:eastAsia="Arial" w:hAnsi="Arial"/>
                <w:sz w:val="15"/>
                <w:szCs w:val="15"/>
                <w:color w:val="auto"/>
                <w:w w:val="99"/>
              </w:rPr>
              <w:t>6.4%</w:t>
            </w:r>
          </w:p>
        </w:tc>
        <w:tc>
          <w:tcPr>
            <w:tcW w:w="1760" w:type="dxa"/>
            <w:vAlign w:val="bottom"/>
            <w:gridSpan w:val="3"/>
          </w:tcPr>
          <w:p>
            <w:pPr>
              <w:jc w:val="center"/>
              <w:ind w:left="384"/>
              <w:spacing w:after="0"/>
              <w:rPr>
                <w:sz w:val="20"/>
                <w:szCs w:val="20"/>
                <w:color w:val="auto"/>
              </w:rPr>
            </w:pPr>
            <w:r>
              <w:rPr>
                <w:rFonts w:ascii="Arial" w:cs="Arial" w:eastAsia="Arial" w:hAnsi="Arial"/>
                <w:sz w:val="15"/>
                <w:szCs w:val="15"/>
                <w:color w:val="auto"/>
                <w:w w:val="99"/>
              </w:rPr>
              <w:t>5.9%</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jc w:val="center"/>
              <w:ind w:right="165"/>
              <w:spacing w:after="0"/>
              <w:rPr>
                <w:sz w:val="20"/>
                <w:szCs w:val="20"/>
                <w:color w:val="auto"/>
              </w:rPr>
            </w:pPr>
            <w:r>
              <w:rPr>
                <w:rFonts w:ascii="Arial" w:cs="Arial" w:eastAsia="Arial" w:hAnsi="Arial"/>
                <w:sz w:val="15"/>
                <w:szCs w:val="15"/>
                <w:color w:val="auto"/>
              </w:rPr>
              <w:t>5.9%</w:t>
            </w:r>
          </w:p>
        </w:tc>
        <w:tc>
          <w:tcPr>
            <w:tcW w:w="0" w:type="dxa"/>
            <w:vAlign w:val="bottom"/>
          </w:tcPr>
          <w:p>
            <w:pPr>
              <w:spacing w:after="0"/>
              <w:rPr>
                <w:sz w:val="1"/>
                <w:szCs w:val="1"/>
                <w:color w:val="auto"/>
              </w:rPr>
            </w:pPr>
          </w:p>
        </w:tc>
      </w:tr>
      <w:tr>
        <w:trPr>
          <w:trHeight w:val="363"/>
        </w:trPr>
        <w:tc>
          <w:tcPr>
            <w:tcW w:w="3840" w:type="dxa"/>
            <w:vAlign w:val="bottom"/>
            <w:gridSpan w:val="2"/>
          </w:tcPr>
          <w:p>
            <w:pPr>
              <w:ind w:left="20"/>
              <w:spacing w:after="0"/>
              <w:rPr>
                <w:sz w:val="20"/>
                <w:szCs w:val="20"/>
                <w:color w:val="auto"/>
              </w:rPr>
            </w:pPr>
            <w:r>
              <w:rPr>
                <w:rFonts w:ascii="Arial" w:cs="Arial" w:eastAsia="Arial" w:hAnsi="Arial"/>
                <w:sz w:val="15"/>
                <w:szCs w:val="15"/>
                <w:b w:val="1"/>
                <w:bCs w:val="1"/>
                <w:i w:val="1"/>
                <w:iCs w:val="1"/>
                <w:color w:val="auto"/>
              </w:rPr>
              <w:t>Multi-Asset Credit</w:t>
            </w:r>
          </w:p>
        </w:tc>
        <w:tc>
          <w:tcPr>
            <w:tcW w:w="1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3840" w:type="dxa"/>
            <w:vAlign w:val="bottom"/>
            <w:gridSpan w:val="2"/>
          </w:tcPr>
          <w:p>
            <w:pPr>
              <w:ind w:left="20"/>
              <w:spacing w:after="0" w:line="207" w:lineRule="exact"/>
              <w:rPr>
                <w:sz w:val="20"/>
                <w:szCs w:val="20"/>
                <w:color w:val="auto"/>
              </w:rPr>
            </w:pPr>
            <w:r>
              <w:rPr>
                <w:rFonts w:ascii="Arial" w:cs="Arial" w:eastAsia="Arial" w:hAnsi="Arial"/>
                <w:sz w:val="15"/>
                <w:szCs w:val="15"/>
                <w:color w:val="auto"/>
              </w:rPr>
              <w:t xml:space="preserve">Global Credit </w:t>
            </w:r>
            <w:r>
              <w:rPr>
                <w:rFonts w:ascii="Arial" w:cs="Arial" w:eastAsia="Arial" w:hAnsi="Arial"/>
                <w:sz w:val="20"/>
                <w:szCs w:val="20"/>
                <w:color w:val="auto"/>
                <w:vertAlign w:val="superscript"/>
              </w:rPr>
              <w:t>(2)</w:t>
            </w:r>
          </w:p>
        </w:tc>
        <w:tc>
          <w:tcPr>
            <w:tcW w:w="1300" w:type="dxa"/>
            <w:vAlign w:val="bottom"/>
          </w:tcPr>
          <w:p>
            <w:pPr>
              <w:jc w:val="center"/>
              <w:spacing w:after="0"/>
              <w:rPr>
                <w:sz w:val="20"/>
                <w:szCs w:val="20"/>
                <w:color w:val="auto"/>
              </w:rPr>
            </w:pPr>
            <w:r>
              <w:rPr>
                <w:rFonts w:ascii="Arial" w:cs="Arial" w:eastAsia="Arial" w:hAnsi="Arial"/>
                <w:sz w:val="15"/>
                <w:szCs w:val="15"/>
                <w:color w:val="auto"/>
              </w:rPr>
              <w:t>2017</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jc w:val="right"/>
              <w:ind w:right="4"/>
              <w:spacing w:after="0"/>
              <w:rPr>
                <w:sz w:val="20"/>
                <w:szCs w:val="20"/>
                <w:color w:val="auto"/>
              </w:rPr>
            </w:pPr>
            <w:r>
              <w:rPr>
                <w:rFonts w:ascii="Arial" w:cs="Arial" w:eastAsia="Arial" w:hAnsi="Arial"/>
                <w:sz w:val="15"/>
                <w:szCs w:val="15"/>
                <w:color w:val="auto"/>
              </w:rPr>
              <w:t>18,107</w:t>
            </w:r>
          </w:p>
        </w:tc>
        <w:tc>
          <w:tcPr>
            <w:tcW w:w="1120" w:type="dxa"/>
            <w:vAlign w:val="bottom"/>
            <w:gridSpan w:val="2"/>
          </w:tcPr>
          <w:p>
            <w:pPr>
              <w:jc w:val="center"/>
              <w:ind w:left="383"/>
              <w:spacing w:after="0"/>
              <w:rPr>
                <w:sz w:val="20"/>
                <w:szCs w:val="20"/>
                <w:color w:val="auto"/>
              </w:rPr>
            </w:pPr>
            <w:r>
              <w:rPr>
                <w:rFonts w:ascii="Arial" w:cs="Arial" w:eastAsia="Arial" w:hAnsi="Arial"/>
                <w:sz w:val="15"/>
                <w:szCs w:val="15"/>
                <w:color w:val="auto"/>
                <w:w w:val="99"/>
              </w:rPr>
              <w:t>5.9%</w:t>
            </w:r>
          </w:p>
        </w:tc>
        <w:tc>
          <w:tcPr>
            <w:tcW w:w="1760" w:type="dxa"/>
            <w:vAlign w:val="bottom"/>
            <w:gridSpan w:val="3"/>
          </w:tcPr>
          <w:p>
            <w:pPr>
              <w:jc w:val="center"/>
              <w:ind w:left="384"/>
              <w:spacing w:after="0"/>
              <w:rPr>
                <w:sz w:val="20"/>
                <w:szCs w:val="20"/>
                <w:color w:val="auto"/>
              </w:rPr>
            </w:pPr>
            <w:r>
              <w:rPr>
                <w:rFonts w:ascii="Arial" w:cs="Arial" w:eastAsia="Arial" w:hAnsi="Arial"/>
                <w:sz w:val="15"/>
                <w:szCs w:val="15"/>
                <w:color w:val="auto"/>
                <w:w w:val="99"/>
              </w:rPr>
              <w:t>5.3%</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jc w:val="center"/>
              <w:ind w:right="165"/>
              <w:spacing w:after="0"/>
              <w:rPr>
                <w:sz w:val="20"/>
                <w:szCs w:val="20"/>
                <w:color w:val="auto"/>
              </w:rPr>
            </w:pPr>
            <w:r>
              <w:rPr>
                <w:rFonts w:ascii="Arial" w:cs="Arial" w:eastAsia="Arial" w:hAnsi="Arial"/>
                <w:sz w:val="15"/>
                <w:szCs w:val="15"/>
                <w:color w:val="auto"/>
              </w:rPr>
              <w:t>5.3%</w:t>
            </w:r>
          </w:p>
        </w:tc>
        <w:tc>
          <w:tcPr>
            <w:tcW w:w="0" w:type="dxa"/>
            <w:vAlign w:val="bottom"/>
          </w:tcPr>
          <w:p>
            <w:pPr>
              <w:spacing w:after="0"/>
              <w:rPr>
                <w:sz w:val="1"/>
                <w:szCs w:val="1"/>
                <w:color w:val="auto"/>
              </w:rPr>
            </w:pPr>
          </w:p>
        </w:tc>
      </w:tr>
      <w:tr>
        <w:trPr>
          <w:trHeight w:val="271"/>
        </w:trPr>
        <w:tc>
          <w:tcPr>
            <w:tcW w:w="3840" w:type="dxa"/>
            <w:vAlign w:val="bottom"/>
            <w:gridSpan w:val="2"/>
          </w:tcPr>
          <w:p>
            <w:pPr>
              <w:ind w:left="20"/>
              <w:spacing w:after="0"/>
              <w:rPr>
                <w:sz w:val="20"/>
                <w:szCs w:val="20"/>
                <w:color w:val="auto"/>
              </w:rPr>
            </w:pPr>
            <w:r>
              <w:rPr>
                <w:rFonts w:ascii="Arial" w:cs="Arial" w:eastAsia="Arial" w:hAnsi="Arial"/>
                <w:sz w:val="15"/>
                <w:szCs w:val="15"/>
                <w:color w:val="auto"/>
              </w:rPr>
              <w:t xml:space="preserve">Global Credit Investment Grade </w:t>
            </w:r>
            <w:r>
              <w:rPr>
                <w:rFonts w:ascii="Arial" w:cs="Arial" w:eastAsia="Arial" w:hAnsi="Arial"/>
                <w:sz w:val="20"/>
                <w:szCs w:val="20"/>
                <w:color w:val="auto"/>
                <w:vertAlign w:val="superscript"/>
              </w:rPr>
              <w:t>(3)</w:t>
            </w:r>
          </w:p>
        </w:tc>
        <w:tc>
          <w:tcPr>
            <w:tcW w:w="1300" w:type="dxa"/>
            <w:vAlign w:val="bottom"/>
          </w:tcPr>
          <w:p>
            <w:pPr>
              <w:jc w:val="center"/>
              <w:spacing w:after="0"/>
              <w:rPr>
                <w:sz w:val="20"/>
                <w:szCs w:val="20"/>
                <w:color w:val="auto"/>
              </w:rPr>
            </w:pPr>
            <w:r>
              <w:rPr>
                <w:rFonts w:ascii="Arial" w:cs="Arial" w:eastAsia="Arial" w:hAnsi="Arial"/>
                <w:sz w:val="15"/>
                <w:szCs w:val="15"/>
                <w:color w:val="auto"/>
              </w:rPr>
              <w:t>2020</w:t>
            </w:r>
          </w:p>
        </w:tc>
        <w:tc>
          <w:tcPr>
            <w:tcW w:w="1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60" w:type="dxa"/>
            <w:vAlign w:val="bottom"/>
          </w:tcPr>
          <w:p>
            <w:pPr>
              <w:jc w:val="right"/>
              <w:ind w:right="4"/>
              <w:spacing w:after="0"/>
              <w:rPr>
                <w:sz w:val="20"/>
                <w:szCs w:val="20"/>
                <w:color w:val="auto"/>
              </w:rPr>
            </w:pPr>
            <w:r>
              <w:rPr>
                <w:rFonts w:ascii="Arial" w:cs="Arial" w:eastAsia="Arial" w:hAnsi="Arial"/>
                <w:sz w:val="15"/>
                <w:szCs w:val="15"/>
                <w:color w:val="auto"/>
              </w:rPr>
              <w:t>558</w:t>
            </w:r>
          </w:p>
        </w:tc>
        <w:tc>
          <w:tcPr>
            <w:tcW w:w="1120" w:type="dxa"/>
            <w:vAlign w:val="bottom"/>
            <w:gridSpan w:val="2"/>
          </w:tcPr>
          <w:p>
            <w:pPr>
              <w:jc w:val="center"/>
              <w:ind w:left="383"/>
              <w:spacing w:after="0"/>
              <w:rPr>
                <w:sz w:val="20"/>
                <w:szCs w:val="20"/>
                <w:color w:val="auto"/>
              </w:rPr>
            </w:pPr>
            <w:r>
              <w:rPr>
                <w:rFonts w:ascii="Arial" w:cs="Arial" w:eastAsia="Arial" w:hAnsi="Arial"/>
                <w:sz w:val="15"/>
                <w:szCs w:val="15"/>
                <w:color w:val="auto"/>
                <w:w w:val="99"/>
              </w:rPr>
              <w:t>4.4%</w:t>
            </w:r>
          </w:p>
        </w:tc>
        <w:tc>
          <w:tcPr>
            <w:tcW w:w="1760" w:type="dxa"/>
            <w:vAlign w:val="bottom"/>
            <w:gridSpan w:val="3"/>
          </w:tcPr>
          <w:p>
            <w:pPr>
              <w:jc w:val="center"/>
              <w:ind w:left="384"/>
              <w:spacing w:after="0"/>
              <w:rPr>
                <w:sz w:val="20"/>
                <w:szCs w:val="20"/>
                <w:color w:val="auto"/>
              </w:rPr>
            </w:pPr>
            <w:r>
              <w:rPr>
                <w:rFonts w:ascii="Arial" w:cs="Arial" w:eastAsia="Arial" w:hAnsi="Arial"/>
                <w:sz w:val="15"/>
                <w:szCs w:val="15"/>
                <w:color w:val="auto"/>
                <w:w w:val="99"/>
              </w:rPr>
              <w:t>4.0%</w:t>
            </w:r>
          </w:p>
        </w:tc>
        <w:tc>
          <w:tcPr>
            <w:tcW w:w="1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80" w:type="dxa"/>
            <w:vAlign w:val="bottom"/>
          </w:tcPr>
          <w:p>
            <w:pPr>
              <w:jc w:val="center"/>
              <w:ind w:right="165"/>
              <w:spacing w:after="0"/>
              <w:rPr>
                <w:sz w:val="20"/>
                <w:szCs w:val="20"/>
                <w:color w:val="auto"/>
              </w:rPr>
            </w:pPr>
            <w:r>
              <w:rPr>
                <w:rFonts w:ascii="Arial" w:cs="Arial" w:eastAsia="Arial" w:hAnsi="Arial"/>
                <w:sz w:val="15"/>
                <w:szCs w:val="15"/>
                <w:color w:val="auto"/>
              </w:rPr>
              <w:t>3.2%</w:t>
            </w:r>
          </w:p>
        </w:tc>
        <w:tc>
          <w:tcPr>
            <w:tcW w:w="0" w:type="dxa"/>
            <w:vAlign w:val="bottom"/>
          </w:tcPr>
          <w:p>
            <w:pPr>
              <w:spacing w:after="0"/>
              <w:rPr>
                <w:sz w:val="1"/>
                <w:szCs w:val="1"/>
                <w:color w:val="auto"/>
              </w:rPr>
            </w:pPr>
          </w:p>
        </w:tc>
      </w:tr>
      <w:tr>
        <w:trPr>
          <w:trHeight w:val="296"/>
        </w:trPr>
        <w:tc>
          <w:tcPr>
            <w:tcW w:w="3840" w:type="dxa"/>
            <w:vAlign w:val="bottom"/>
            <w:gridSpan w:val="2"/>
          </w:tcPr>
          <w:p>
            <w:pPr>
              <w:ind w:left="20"/>
              <w:spacing w:after="0"/>
              <w:rPr>
                <w:sz w:val="20"/>
                <w:szCs w:val="20"/>
                <w:color w:val="auto"/>
              </w:rPr>
            </w:pPr>
            <w:r>
              <w:rPr>
                <w:rFonts w:ascii="Arial" w:cs="Arial" w:eastAsia="Arial" w:hAnsi="Arial"/>
                <w:sz w:val="15"/>
                <w:szCs w:val="15"/>
                <w:b w:val="1"/>
                <w:bCs w:val="1"/>
                <w:i w:val="1"/>
                <w:iCs w:val="1"/>
                <w:color w:val="auto"/>
              </w:rPr>
              <w:t>Structured Credit</w:t>
            </w:r>
          </w:p>
        </w:tc>
        <w:tc>
          <w:tcPr>
            <w:tcW w:w="1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3840" w:type="dxa"/>
            <w:vAlign w:val="bottom"/>
            <w:gridSpan w:val="2"/>
          </w:tcPr>
          <w:p>
            <w:pPr>
              <w:ind w:left="20"/>
              <w:spacing w:after="0"/>
              <w:rPr>
                <w:sz w:val="20"/>
                <w:szCs w:val="20"/>
                <w:color w:val="auto"/>
              </w:rPr>
            </w:pPr>
            <w:r>
              <w:rPr>
                <w:rFonts w:ascii="Arial" w:cs="Arial" w:eastAsia="Arial" w:hAnsi="Arial"/>
                <w:sz w:val="15"/>
                <w:szCs w:val="15"/>
                <w:color w:val="auto"/>
              </w:rPr>
              <w:t xml:space="preserve">Structured Credit </w:t>
            </w:r>
            <w:r>
              <w:rPr>
                <w:rFonts w:ascii="Arial" w:cs="Arial" w:eastAsia="Arial" w:hAnsi="Arial"/>
                <w:sz w:val="20"/>
                <w:szCs w:val="20"/>
                <w:color w:val="auto"/>
                <w:vertAlign w:val="superscript"/>
              </w:rPr>
              <w:t>(4)</w:t>
            </w:r>
          </w:p>
        </w:tc>
        <w:tc>
          <w:tcPr>
            <w:tcW w:w="1440" w:type="dxa"/>
            <w:vAlign w:val="bottom"/>
            <w:gridSpan w:val="2"/>
          </w:tcPr>
          <w:p>
            <w:pPr>
              <w:jc w:val="center"/>
              <w:ind w:right="120"/>
              <w:spacing w:after="0"/>
              <w:rPr>
                <w:sz w:val="20"/>
                <w:szCs w:val="20"/>
                <w:color w:val="auto"/>
              </w:rPr>
            </w:pPr>
            <w:r>
              <w:rPr>
                <w:rFonts w:ascii="Arial" w:cs="Arial" w:eastAsia="Arial" w:hAnsi="Arial"/>
                <w:sz w:val="15"/>
                <w:szCs w:val="15"/>
                <w:color w:val="auto"/>
              </w:rPr>
              <w:t>Various</w:t>
            </w:r>
          </w:p>
        </w:tc>
        <w:tc>
          <w:tcPr>
            <w:tcW w:w="180" w:type="dxa"/>
            <w:vAlign w:val="bottom"/>
          </w:tcPr>
          <w:p>
            <w:pPr>
              <w:spacing w:after="0"/>
              <w:rPr>
                <w:sz w:val="23"/>
                <w:szCs w:val="23"/>
                <w:color w:val="auto"/>
              </w:rPr>
            </w:pPr>
          </w:p>
        </w:tc>
        <w:tc>
          <w:tcPr>
            <w:tcW w:w="1160" w:type="dxa"/>
            <w:vAlign w:val="bottom"/>
          </w:tcPr>
          <w:p>
            <w:pPr>
              <w:jc w:val="right"/>
              <w:ind w:right="4"/>
              <w:spacing w:after="0"/>
              <w:rPr>
                <w:sz w:val="20"/>
                <w:szCs w:val="20"/>
                <w:color w:val="auto"/>
              </w:rPr>
            </w:pPr>
            <w:r>
              <w:rPr>
                <w:rFonts w:ascii="Arial" w:cs="Arial" w:eastAsia="Arial" w:hAnsi="Arial"/>
                <w:sz w:val="15"/>
                <w:szCs w:val="15"/>
                <w:color w:val="auto"/>
              </w:rPr>
              <w:t>6,186</w:t>
            </w:r>
          </w:p>
        </w:tc>
        <w:tc>
          <w:tcPr>
            <w:tcW w:w="140" w:type="dxa"/>
            <w:vAlign w:val="bottom"/>
          </w:tcPr>
          <w:p>
            <w:pPr>
              <w:spacing w:after="0"/>
              <w:rPr>
                <w:sz w:val="23"/>
                <w:szCs w:val="23"/>
                <w:color w:val="auto"/>
              </w:rPr>
            </w:pPr>
          </w:p>
        </w:tc>
        <w:tc>
          <w:tcPr>
            <w:tcW w:w="980" w:type="dxa"/>
            <w:vAlign w:val="bottom"/>
          </w:tcPr>
          <w:p>
            <w:pPr>
              <w:jc w:val="center"/>
              <w:ind w:left="251"/>
              <w:spacing w:after="0"/>
              <w:rPr>
                <w:sz w:val="20"/>
                <w:szCs w:val="20"/>
                <w:color w:val="auto"/>
              </w:rPr>
            </w:pPr>
            <w:r>
              <w:rPr>
                <w:rFonts w:ascii="Arial" w:cs="Arial" w:eastAsia="Arial" w:hAnsi="Arial"/>
                <w:sz w:val="14"/>
                <w:szCs w:val="14"/>
                <w:color w:val="auto"/>
                <w:w w:val="92"/>
              </w:rPr>
              <w:t>nm</w:t>
            </w:r>
          </w:p>
        </w:tc>
        <w:tc>
          <w:tcPr>
            <w:tcW w:w="3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680" w:type="dxa"/>
            <w:vAlign w:val="bottom"/>
            <w:gridSpan w:val="3"/>
          </w:tcPr>
          <w:p>
            <w:pPr>
              <w:jc w:val="center"/>
              <w:ind w:right="380"/>
              <w:spacing w:after="0"/>
              <w:rPr>
                <w:sz w:val="20"/>
                <w:szCs w:val="20"/>
                <w:color w:val="auto"/>
              </w:rPr>
            </w:pPr>
            <w:r>
              <w:rPr>
                <w:rFonts w:ascii="Arial" w:cs="Arial" w:eastAsia="Arial" w:hAnsi="Arial"/>
                <w:sz w:val="14"/>
                <w:szCs w:val="14"/>
                <w:color w:val="auto"/>
                <w:w w:val="92"/>
              </w:rPr>
              <w:t>nm</w:t>
            </w:r>
          </w:p>
        </w:tc>
        <w:tc>
          <w:tcPr>
            <w:tcW w:w="1080" w:type="dxa"/>
            <w:vAlign w:val="bottom"/>
          </w:tcPr>
          <w:p>
            <w:pPr>
              <w:jc w:val="center"/>
              <w:ind w:right="165"/>
              <w:spacing w:after="0"/>
              <w:rPr>
                <w:sz w:val="20"/>
                <w:szCs w:val="20"/>
                <w:color w:val="auto"/>
              </w:rPr>
            </w:pPr>
            <w:r>
              <w:rPr>
                <w:rFonts w:ascii="Arial" w:cs="Arial" w:eastAsia="Arial" w:hAnsi="Arial"/>
                <w:sz w:val="14"/>
                <w:szCs w:val="14"/>
                <w:color w:val="auto"/>
              </w:rPr>
              <w:t>nm</w:t>
            </w:r>
          </w:p>
        </w:tc>
        <w:tc>
          <w:tcPr>
            <w:tcW w:w="0" w:type="dxa"/>
            <w:vAlign w:val="bottom"/>
          </w:tcPr>
          <w:p>
            <w:pPr>
              <w:spacing w:after="0"/>
              <w:rPr>
                <w:sz w:val="1"/>
                <w:szCs w:val="1"/>
                <w:color w:val="auto"/>
              </w:rPr>
            </w:pPr>
          </w:p>
        </w:tc>
      </w:tr>
      <w:tr>
        <w:trPr>
          <w:trHeight w:val="296"/>
        </w:trPr>
        <w:tc>
          <w:tcPr>
            <w:tcW w:w="3840" w:type="dxa"/>
            <w:vAlign w:val="bottom"/>
            <w:gridSpan w:val="2"/>
          </w:tcPr>
          <w:p>
            <w:pPr>
              <w:ind w:left="20"/>
              <w:spacing w:after="0"/>
              <w:rPr>
                <w:sz w:val="20"/>
                <w:szCs w:val="20"/>
                <w:color w:val="auto"/>
              </w:rPr>
            </w:pPr>
            <w:r>
              <w:rPr>
                <w:rFonts w:ascii="Arial" w:cs="Arial" w:eastAsia="Arial" w:hAnsi="Arial"/>
                <w:sz w:val="15"/>
                <w:szCs w:val="15"/>
                <w:b w:val="1"/>
                <w:bCs w:val="1"/>
                <w:i w:val="1"/>
                <w:iCs w:val="1"/>
                <w:color w:val="auto"/>
              </w:rPr>
              <w:t>Senior Loans</w:t>
            </w:r>
          </w:p>
        </w:tc>
        <w:tc>
          <w:tcPr>
            <w:tcW w:w="1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3840" w:type="dxa"/>
            <w:vAlign w:val="bottom"/>
            <w:gridSpan w:val="2"/>
          </w:tcPr>
          <w:p>
            <w:pPr>
              <w:ind w:left="20"/>
              <w:spacing w:after="0"/>
              <w:rPr>
                <w:sz w:val="20"/>
                <w:szCs w:val="20"/>
                <w:color w:val="auto"/>
              </w:rPr>
            </w:pPr>
            <w:r>
              <w:rPr>
                <w:rFonts w:ascii="Arial" w:cs="Arial" w:eastAsia="Arial" w:hAnsi="Arial"/>
                <w:sz w:val="15"/>
                <w:szCs w:val="15"/>
                <w:color w:val="auto"/>
              </w:rPr>
              <w:t>European Senior Loans</w:t>
            </w:r>
          </w:p>
        </w:tc>
        <w:tc>
          <w:tcPr>
            <w:tcW w:w="1300" w:type="dxa"/>
            <w:vAlign w:val="bottom"/>
          </w:tcPr>
          <w:p>
            <w:pPr>
              <w:jc w:val="center"/>
              <w:spacing w:after="0"/>
              <w:rPr>
                <w:sz w:val="20"/>
                <w:szCs w:val="20"/>
                <w:color w:val="auto"/>
              </w:rPr>
            </w:pPr>
            <w:r>
              <w:rPr>
                <w:rFonts w:ascii="Arial" w:cs="Arial" w:eastAsia="Arial" w:hAnsi="Arial"/>
                <w:sz w:val="15"/>
                <w:szCs w:val="15"/>
                <w:color w:val="auto"/>
              </w:rPr>
              <w:t>2009</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jc w:val="right"/>
              <w:ind w:right="4"/>
              <w:spacing w:after="0"/>
              <w:rPr>
                <w:sz w:val="20"/>
                <w:szCs w:val="20"/>
                <w:color w:val="auto"/>
              </w:rPr>
            </w:pPr>
            <w:r>
              <w:rPr>
                <w:rFonts w:ascii="Arial" w:cs="Arial" w:eastAsia="Arial" w:hAnsi="Arial"/>
                <w:sz w:val="15"/>
                <w:szCs w:val="15"/>
                <w:color w:val="auto"/>
              </w:rPr>
              <w:t>595</w:t>
            </w:r>
          </w:p>
        </w:tc>
        <w:tc>
          <w:tcPr>
            <w:tcW w:w="1120" w:type="dxa"/>
            <w:vAlign w:val="bottom"/>
            <w:gridSpan w:val="2"/>
          </w:tcPr>
          <w:p>
            <w:pPr>
              <w:jc w:val="center"/>
              <w:ind w:left="383"/>
              <w:spacing w:after="0"/>
              <w:rPr>
                <w:sz w:val="20"/>
                <w:szCs w:val="20"/>
                <w:color w:val="auto"/>
              </w:rPr>
            </w:pPr>
            <w:r>
              <w:rPr>
                <w:rFonts w:ascii="Arial" w:cs="Arial" w:eastAsia="Arial" w:hAnsi="Arial"/>
                <w:sz w:val="15"/>
                <w:szCs w:val="15"/>
                <w:color w:val="auto"/>
                <w:w w:val="99"/>
              </w:rPr>
              <w:t>6.3%</w:t>
            </w:r>
          </w:p>
        </w:tc>
        <w:tc>
          <w:tcPr>
            <w:tcW w:w="1760" w:type="dxa"/>
            <w:vAlign w:val="bottom"/>
            <w:gridSpan w:val="3"/>
          </w:tcPr>
          <w:p>
            <w:pPr>
              <w:jc w:val="center"/>
              <w:ind w:left="384"/>
              <w:spacing w:after="0"/>
              <w:rPr>
                <w:sz w:val="20"/>
                <w:szCs w:val="20"/>
                <w:color w:val="auto"/>
              </w:rPr>
            </w:pPr>
            <w:r>
              <w:rPr>
                <w:rFonts w:ascii="Arial" w:cs="Arial" w:eastAsia="Arial" w:hAnsi="Arial"/>
                <w:sz w:val="15"/>
                <w:szCs w:val="15"/>
                <w:color w:val="auto"/>
                <w:w w:val="99"/>
              </w:rPr>
              <w:t>5.7%</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jc w:val="center"/>
              <w:ind w:right="165"/>
              <w:spacing w:after="0"/>
              <w:rPr>
                <w:sz w:val="20"/>
                <w:szCs w:val="20"/>
                <w:color w:val="auto"/>
              </w:rPr>
            </w:pPr>
            <w:r>
              <w:rPr>
                <w:rFonts w:ascii="Arial" w:cs="Arial" w:eastAsia="Arial" w:hAnsi="Arial"/>
                <w:sz w:val="15"/>
                <w:szCs w:val="15"/>
                <w:color w:val="auto"/>
              </w:rPr>
              <w:t>6.4%</w:t>
            </w:r>
          </w:p>
        </w:tc>
        <w:tc>
          <w:tcPr>
            <w:tcW w:w="0" w:type="dxa"/>
            <w:vAlign w:val="bottom"/>
          </w:tcPr>
          <w:p>
            <w:pPr>
              <w:spacing w:after="0"/>
              <w:rPr>
                <w:sz w:val="1"/>
                <w:szCs w:val="1"/>
                <w:color w:val="auto"/>
              </w:rPr>
            </w:pPr>
          </w:p>
        </w:tc>
      </w:tr>
      <w:tr>
        <w:trPr>
          <w:trHeight w:val="206"/>
        </w:trPr>
        <w:tc>
          <w:tcPr>
            <w:tcW w:w="3840" w:type="dxa"/>
            <w:vAlign w:val="bottom"/>
            <w:gridSpan w:val="2"/>
          </w:tcPr>
          <w:p>
            <w:pPr>
              <w:ind w:left="20"/>
              <w:spacing w:after="0"/>
              <w:rPr>
                <w:sz w:val="20"/>
                <w:szCs w:val="20"/>
                <w:color w:val="auto"/>
              </w:rPr>
            </w:pPr>
            <w:r>
              <w:rPr>
                <w:rFonts w:ascii="Arial" w:cs="Arial" w:eastAsia="Arial" w:hAnsi="Arial"/>
                <w:sz w:val="15"/>
                <w:szCs w:val="15"/>
                <w:color w:val="auto"/>
              </w:rPr>
              <w:t>U.S. Senior Loans</w:t>
            </w:r>
          </w:p>
        </w:tc>
        <w:tc>
          <w:tcPr>
            <w:tcW w:w="1300" w:type="dxa"/>
            <w:vAlign w:val="bottom"/>
          </w:tcPr>
          <w:p>
            <w:pPr>
              <w:jc w:val="center"/>
              <w:spacing w:after="0"/>
              <w:rPr>
                <w:sz w:val="20"/>
                <w:szCs w:val="20"/>
                <w:color w:val="auto"/>
              </w:rPr>
            </w:pPr>
            <w:r>
              <w:rPr>
                <w:rFonts w:ascii="Arial" w:cs="Arial" w:eastAsia="Arial" w:hAnsi="Arial"/>
                <w:sz w:val="15"/>
                <w:szCs w:val="15"/>
                <w:color w:val="auto"/>
              </w:rPr>
              <w:t>2008</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jc w:val="right"/>
              <w:ind w:right="4"/>
              <w:spacing w:after="0"/>
              <w:rPr>
                <w:sz w:val="20"/>
                <w:szCs w:val="20"/>
                <w:color w:val="auto"/>
              </w:rPr>
            </w:pPr>
            <w:r>
              <w:rPr>
                <w:rFonts w:ascii="Arial" w:cs="Arial" w:eastAsia="Arial" w:hAnsi="Arial"/>
                <w:sz w:val="15"/>
                <w:szCs w:val="15"/>
                <w:color w:val="auto"/>
              </w:rPr>
              <w:t>290</w:t>
            </w:r>
          </w:p>
        </w:tc>
        <w:tc>
          <w:tcPr>
            <w:tcW w:w="1120" w:type="dxa"/>
            <w:vAlign w:val="bottom"/>
            <w:gridSpan w:val="2"/>
          </w:tcPr>
          <w:p>
            <w:pPr>
              <w:jc w:val="center"/>
              <w:ind w:left="383"/>
              <w:spacing w:after="0"/>
              <w:rPr>
                <w:sz w:val="20"/>
                <w:szCs w:val="20"/>
                <w:color w:val="auto"/>
              </w:rPr>
            </w:pPr>
            <w:r>
              <w:rPr>
                <w:rFonts w:ascii="Arial" w:cs="Arial" w:eastAsia="Arial" w:hAnsi="Arial"/>
                <w:sz w:val="15"/>
                <w:szCs w:val="15"/>
                <w:color w:val="auto"/>
                <w:w w:val="99"/>
              </w:rPr>
              <w:t>6.0%</w:t>
            </w:r>
          </w:p>
        </w:tc>
        <w:tc>
          <w:tcPr>
            <w:tcW w:w="1760" w:type="dxa"/>
            <w:vAlign w:val="bottom"/>
            <w:gridSpan w:val="3"/>
          </w:tcPr>
          <w:p>
            <w:pPr>
              <w:jc w:val="center"/>
              <w:ind w:left="384"/>
              <w:spacing w:after="0"/>
              <w:rPr>
                <w:sz w:val="20"/>
                <w:szCs w:val="20"/>
                <w:color w:val="auto"/>
              </w:rPr>
            </w:pPr>
            <w:r>
              <w:rPr>
                <w:rFonts w:ascii="Arial" w:cs="Arial" w:eastAsia="Arial" w:hAnsi="Arial"/>
                <w:sz w:val="15"/>
                <w:szCs w:val="15"/>
                <w:color w:val="auto"/>
                <w:w w:val="99"/>
              </w:rPr>
              <w:t>5.5%</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jc w:val="center"/>
              <w:ind w:right="165"/>
              <w:spacing w:after="0"/>
              <w:rPr>
                <w:sz w:val="20"/>
                <w:szCs w:val="20"/>
                <w:color w:val="auto"/>
              </w:rPr>
            </w:pPr>
            <w:r>
              <w:rPr>
                <w:rFonts w:ascii="Arial" w:cs="Arial" w:eastAsia="Arial" w:hAnsi="Arial"/>
                <w:sz w:val="15"/>
                <w:szCs w:val="15"/>
                <w:color w:val="auto"/>
              </w:rPr>
              <w:t>5.3%</w:t>
            </w:r>
          </w:p>
        </w:tc>
        <w:tc>
          <w:tcPr>
            <w:tcW w:w="0" w:type="dxa"/>
            <w:vAlign w:val="bottom"/>
          </w:tcPr>
          <w:p>
            <w:pPr>
              <w:spacing w:after="0"/>
              <w:rPr>
                <w:sz w:val="1"/>
                <w:szCs w:val="1"/>
                <w:color w:val="auto"/>
              </w:rPr>
            </w:pPr>
          </w:p>
        </w:tc>
      </w:tr>
      <w:tr>
        <w:trPr>
          <w:trHeight w:val="415"/>
        </w:trPr>
        <w:tc>
          <w:tcPr>
            <w:tcW w:w="3840" w:type="dxa"/>
            <w:vAlign w:val="bottom"/>
            <w:gridSpan w:val="2"/>
          </w:tcPr>
          <w:p>
            <w:pPr>
              <w:ind w:left="20"/>
              <w:spacing w:after="0"/>
              <w:rPr>
                <w:sz w:val="20"/>
                <w:szCs w:val="20"/>
                <w:color w:val="auto"/>
              </w:rPr>
            </w:pPr>
            <w:r>
              <w:rPr>
                <w:rFonts w:ascii="Arial" w:cs="Arial" w:eastAsia="Arial" w:hAnsi="Arial"/>
                <w:sz w:val="15"/>
                <w:szCs w:val="15"/>
                <w:b w:val="1"/>
                <w:bCs w:val="1"/>
                <w:i w:val="1"/>
                <w:iCs w:val="1"/>
                <w:color w:val="auto"/>
              </w:rPr>
              <w:t>Convertible Securities</w:t>
            </w:r>
          </w:p>
        </w:tc>
        <w:tc>
          <w:tcPr>
            <w:tcW w:w="1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3840" w:type="dxa"/>
            <w:vAlign w:val="bottom"/>
            <w:gridSpan w:val="2"/>
          </w:tcPr>
          <w:p>
            <w:pPr>
              <w:ind w:left="20"/>
              <w:spacing w:after="0"/>
              <w:rPr>
                <w:sz w:val="20"/>
                <w:szCs w:val="20"/>
                <w:color w:val="auto"/>
              </w:rPr>
            </w:pPr>
            <w:r>
              <w:rPr>
                <w:rFonts w:ascii="Arial" w:cs="Arial" w:eastAsia="Arial" w:hAnsi="Arial"/>
                <w:sz w:val="15"/>
                <w:szCs w:val="15"/>
                <w:color w:val="auto"/>
              </w:rPr>
              <w:t>High Income Convertibles</w:t>
            </w:r>
          </w:p>
        </w:tc>
        <w:tc>
          <w:tcPr>
            <w:tcW w:w="1300" w:type="dxa"/>
            <w:vAlign w:val="bottom"/>
          </w:tcPr>
          <w:p>
            <w:pPr>
              <w:jc w:val="center"/>
              <w:spacing w:after="0"/>
              <w:rPr>
                <w:sz w:val="20"/>
                <w:szCs w:val="20"/>
                <w:color w:val="auto"/>
              </w:rPr>
            </w:pPr>
            <w:r>
              <w:rPr>
                <w:rFonts w:ascii="Arial" w:cs="Arial" w:eastAsia="Arial" w:hAnsi="Arial"/>
                <w:sz w:val="15"/>
                <w:szCs w:val="15"/>
                <w:color w:val="auto"/>
              </w:rPr>
              <w:t>1989</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jc w:val="right"/>
              <w:ind w:right="4"/>
              <w:spacing w:after="0"/>
              <w:rPr>
                <w:sz w:val="20"/>
                <w:szCs w:val="20"/>
                <w:color w:val="auto"/>
              </w:rPr>
            </w:pPr>
            <w:r>
              <w:rPr>
                <w:rFonts w:ascii="Arial" w:cs="Arial" w:eastAsia="Arial" w:hAnsi="Arial"/>
                <w:sz w:val="15"/>
                <w:szCs w:val="15"/>
                <w:color w:val="auto"/>
              </w:rPr>
              <w:t>646</w:t>
            </w:r>
          </w:p>
        </w:tc>
        <w:tc>
          <w:tcPr>
            <w:tcW w:w="1120" w:type="dxa"/>
            <w:vAlign w:val="bottom"/>
            <w:gridSpan w:val="2"/>
          </w:tcPr>
          <w:p>
            <w:pPr>
              <w:jc w:val="center"/>
              <w:ind w:left="383"/>
              <w:spacing w:after="0"/>
              <w:rPr>
                <w:sz w:val="20"/>
                <w:szCs w:val="20"/>
                <w:color w:val="auto"/>
              </w:rPr>
            </w:pPr>
            <w:r>
              <w:rPr>
                <w:rFonts w:ascii="Arial" w:cs="Arial" w:eastAsia="Arial" w:hAnsi="Arial"/>
                <w:sz w:val="15"/>
                <w:szCs w:val="15"/>
                <w:color w:val="auto"/>
                <w:w w:val="99"/>
              </w:rPr>
              <w:t>9.6%</w:t>
            </w:r>
          </w:p>
        </w:tc>
        <w:tc>
          <w:tcPr>
            <w:tcW w:w="1760" w:type="dxa"/>
            <w:vAlign w:val="bottom"/>
            <w:gridSpan w:val="3"/>
          </w:tcPr>
          <w:p>
            <w:pPr>
              <w:jc w:val="center"/>
              <w:ind w:left="384"/>
              <w:spacing w:after="0"/>
              <w:rPr>
                <w:sz w:val="20"/>
                <w:szCs w:val="20"/>
                <w:color w:val="auto"/>
              </w:rPr>
            </w:pPr>
            <w:r>
              <w:rPr>
                <w:rFonts w:ascii="Arial" w:cs="Arial" w:eastAsia="Arial" w:hAnsi="Arial"/>
                <w:sz w:val="15"/>
                <w:szCs w:val="15"/>
                <w:color w:val="auto"/>
                <w:w w:val="99"/>
              </w:rPr>
              <w:t>8.9%</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jc w:val="center"/>
              <w:ind w:right="165"/>
              <w:spacing w:after="0"/>
              <w:rPr>
                <w:sz w:val="20"/>
                <w:szCs w:val="20"/>
                <w:color w:val="auto"/>
              </w:rPr>
            </w:pPr>
            <w:r>
              <w:rPr>
                <w:rFonts w:ascii="Arial" w:cs="Arial" w:eastAsia="Arial" w:hAnsi="Arial"/>
                <w:sz w:val="15"/>
                <w:szCs w:val="15"/>
                <w:color w:val="auto"/>
              </w:rPr>
              <w:t>6.7%</w:t>
            </w:r>
          </w:p>
        </w:tc>
        <w:tc>
          <w:tcPr>
            <w:tcW w:w="0" w:type="dxa"/>
            <w:vAlign w:val="bottom"/>
          </w:tcPr>
          <w:p>
            <w:pPr>
              <w:spacing w:after="0"/>
              <w:rPr>
                <w:sz w:val="1"/>
                <w:szCs w:val="1"/>
                <w:color w:val="auto"/>
              </w:rPr>
            </w:pPr>
          </w:p>
        </w:tc>
      </w:tr>
      <w:tr>
        <w:trPr>
          <w:trHeight w:val="206"/>
        </w:trPr>
        <w:tc>
          <w:tcPr>
            <w:tcW w:w="3840" w:type="dxa"/>
            <w:vAlign w:val="bottom"/>
            <w:gridSpan w:val="2"/>
          </w:tcPr>
          <w:p>
            <w:pPr>
              <w:ind w:left="20"/>
              <w:spacing w:after="0"/>
              <w:rPr>
                <w:sz w:val="20"/>
                <w:szCs w:val="20"/>
                <w:color w:val="auto"/>
              </w:rPr>
            </w:pPr>
            <w:r>
              <w:rPr>
                <w:rFonts w:ascii="Arial" w:cs="Arial" w:eastAsia="Arial" w:hAnsi="Arial"/>
                <w:sz w:val="15"/>
                <w:szCs w:val="15"/>
                <w:color w:val="auto"/>
              </w:rPr>
              <w:t>Global ex-U.S. Convertibles</w:t>
            </w:r>
          </w:p>
        </w:tc>
        <w:tc>
          <w:tcPr>
            <w:tcW w:w="1300" w:type="dxa"/>
            <w:vAlign w:val="bottom"/>
          </w:tcPr>
          <w:p>
            <w:pPr>
              <w:jc w:val="center"/>
              <w:spacing w:after="0"/>
              <w:rPr>
                <w:sz w:val="20"/>
                <w:szCs w:val="20"/>
                <w:color w:val="auto"/>
              </w:rPr>
            </w:pPr>
            <w:r>
              <w:rPr>
                <w:rFonts w:ascii="Arial" w:cs="Arial" w:eastAsia="Arial" w:hAnsi="Arial"/>
                <w:sz w:val="15"/>
                <w:szCs w:val="15"/>
                <w:color w:val="auto"/>
              </w:rPr>
              <w:t>1994</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jc w:val="right"/>
              <w:ind w:right="4"/>
              <w:spacing w:after="0"/>
              <w:rPr>
                <w:sz w:val="20"/>
                <w:szCs w:val="20"/>
                <w:color w:val="auto"/>
              </w:rPr>
            </w:pPr>
            <w:r>
              <w:rPr>
                <w:rFonts w:ascii="Arial" w:cs="Arial" w:eastAsia="Arial" w:hAnsi="Arial"/>
                <w:sz w:val="15"/>
                <w:szCs w:val="15"/>
                <w:color w:val="auto"/>
              </w:rPr>
              <w:t>295</w:t>
            </w:r>
          </w:p>
        </w:tc>
        <w:tc>
          <w:tcPr>
            <w:tcW w:w="1120" w:type="dxa"/>
            <w:vAlign w:val="bottom"/>
            <w:gridSpan w:val="2"/>
          </w:tcPr>
          <w:p>
            <w:pPr>
              <w:jc w:val="center"/>
              <w:ind w:left="383"/>
              <w:spacing w:after="0"/>
              <w:rPr>
                <w:sz w:val="20"/>
                <w:szCs w:val="20"/>
                <w:color w:val="auto"/>
              </w:rPr>
            </w:pPr>
            <w:r>
              <w:rPr>
                <w:rFonts w:ascii="Arial" w:cs="Arial" w:eastAsia="Arial" w:hAnsi="Arial"/>
                <w:sz w:val="15"/>
                <w:szCs w:val="15"/>
                <w:color w:val="auto"/>
                <w:w w:val="99"/>
              </w:rPr>
              <w:t>7.8%</w:t>
            </w:r>
          </w:p>
        </w:tc>
        <w:tc>
          <w:tcPr>
            <w:tcW w:w="1760" w:type="dxa"/>
            <w:vAlign w:val="bottom"/>
            <w:gridSpan w:val="3"/>
          </w:tcPr>
          <w:p>
            <w:pPr>
              <w:jc w:val="center"/>
              <w:ind w:left="384"/>
              <w:spacing w:after="0"/>
              <w:rPr>
                <w:sz w:val="20"/>
                <w:szCs w:val="20"/>
                <w:color w:val="auto"/>
              </w:rPr>
            </w:pPr>
            <w:r>
              <w:rPr>
                <w:rFonts w:ascii="Arial" w:cs="Arial" w:eastAsia="Arial" w:hAnsi="Arial"/>
                <w:sz w:val="15"/>
                <w:szCs w:val="15"/>
                <w:color w:val="auto"/>
                <w:w w:val="99"/>
              </w:rPr>
              <w:t>7.3%</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jc w:val="center"/>
              <w:ind w:right="165"/>
              <w:spacing w:after="0"/>
              <w:rPr>
                <w:sz w:val="20"/>
                <w:szCs w:val="20"/>
                <w:color w:val="auto"/>
              </w:rPr>
            </w:pPr>
            <w:r>
              <w:rPr>
                <w:rFonts w:ascii="Arial" w:cs="Arial" w:eastAsia="Arial" w:hAnsi="Arial"/>
                <w:sz w:val="15"/>
                <w:szCs w:val="15"/>
                <w:color w:val="auto"/>
              </w:rPr>
              <w:t>5.5%</w:t>
            </w:r>
          </w:p>
        </w:tc>
        <w:tc>
          <w:tcPr>
            <w:tcW w:w="0" w:type="dxa"/>
            <w:vAlign w:val="bottom"/>
          </w:tcPr>
          <w:p>
            <w:pPr>
              <w:spacing w:after="0"/>
              <w:rPr>
                <w:sz w:val="1"/>
                <w:szCs w:val="1"/>
                <w:color w:val="auto"/>
              </w:rPr>
            </w:pPr>
          </w:p>
        </w:tc>
      </w:tr>
      <w:tr>
        <w:trPr>
          <w:trHeight w:val="415"/>
        </w:trPr>
        <w:tc>
          <w:tcPr>
            <w:tcW w:w="3840" w:type="dxa"/>
            <w:vAlign w:val="bottom"/>
            <w:gridSpan w:val="2"/>
          </w:tcPr>
          <w:p>
            <w:pPr>
              <w:ind w:left="20"/>
              <w:spacing w:after="0"/>
              <w:rPr>
                <w:sz w:val="20"/>
                <w:szCs w:val="20"/>
                <w:color w:val="auto"/>
              </w:rPr>
            </w:pPr>
            <w:r>
              <w:rPr>
                <w:rFonts w:ascii="Arial" w:cs="Arial" w:eastAsia="Arial" w:hAnsi="Arial"/>
                <w:sz w:val="15"/>
                <w:szCs w:val="15"/>
                <w:b w:val="1"/>
                <w:bCs w:val="1"/>
                <w:i w:val="1"/>
                <w:iCs w:val="1"/>
                <w:color w:val="auto"/>
              </w:rPr>
              <w:t>Listed Equities:</w:t>
            </w:r>
          </w:p>
        </w:tc>
        <w:tc>
          <w:tcPr>
            <w:tcW w:w="1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3840" w:type="dxa"/>
            <w:vAlign w:val="bottom"/>
            <w:gridSpan w:val="2"/>
          </w:tcPr>
          <w:p>
            <w:pPr>
              <w:ind w:left="20"/>
              <w:spacing w:after="0"/>
              <w:rPr>
                <w:sz w:val="20"/>
                <w:szCs w:val="20"/>
                <w:color w:val="auto"/>
              </w:rPr>
            </w:pPr>
            <w:r>
              <w:rPr>
                <w:rFonts w:ascii="Arial" w:cs="Arial" w:eastAsia="Arial" w:hAnsi="Arial"/>
                <w:sz w:val="15"/>
                <w:szCs w:val="15"/>
                <w:b w:val="1"/>
                <w:bCs w:val="1"/>
                <w:i w:val="1"/>
                <w:iCs w:val="1"/>
                <w:color w:val="auto"/>
              </w:rPr>
              <w:t>Emerging Markets Equities</w:t>
            </w:r>
          </w:p>
        </w:tc>
        <w:tc>
          <w:tcPr>
            <w:tcW w:w="1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3840" w:type="dxa"/>
            <w:vAlign w:val="bottom"/>
            <w:gridSpan w:val="2"/>
          </w:tcPr>
          <w:p>
            <w:pPr>
              <w:ind w:left="20"/>
              <w:spacing w:after="0"/>
              <w:rPr>
                <w:sz w:val="20"/>
                <w:szCs w:val="20"/>
                <w:color w:val="auto"/>
              </w:rPr>
            </w:pPr>
            <w:r>
              <w:rPr>
                <w:rFonts w:ascii="Arial" w:cs="Arial" w:eastAsia="Arial" w:hAnsi="Arial"/>
                <w:sz w:val="15"/>
                <w:szCs w:val="15"/>
                <w:color w:val="auto"/>
              </w:rPr>
              <w:t>Emerging Markets Equities</w:t>
            </w:r>
          </w:p>
        </w:tc>
        <w:tc>
          <w:tcPr>
            <w:tcW w:w="1300" w:type="dxa"/>
            <w:vAlign w:val="bottom"/>
          </w:tcPr>
          <w:p>
            <w:pPr>
              <w:jc w:val="center"/>
              <w:spacing w:after="0"/>
              <w:rPr>
                <w:sz w:val="20"/>
                <w:szCs w:val="20"/>
                <w:color w:val="auto"/>
              </w:rPr>
            </w:pPr>
            <w:r>
              <w:rPr>
                <w:rFonts w:ascii="Arial" w:cs="Arial" w:eastAsia="Arial" w:hAnsi="Arial"/>
                <w:sz w:val="15"/>
                <w:szCs w:val="15"/>
                <w:color w:val="auto"/>
              </w:rPr>
              <w:t>2011</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jc w:val="right"/>
              <w:ind w:right="4"/>
              <w:spacing w:after="0"/>
              <w:rPr>
                <w:sz w:val="20"/>
                <w:szCs w:val="20"/>
                <w:color w:val="auto"/>
              </w:rPr>
            </w:pPr>
            <w:r>
              <w:rPr>
                <w:rFonts w:ascii="Arial" w:cs="Arial" w:eastAsia="Arial" w:hAnsi="Arial"/>
                <w:sz w:val="15"/>
                <w:szCs w:val="15"/>
                <w:color w:val="auto"/>
              </w:rPr>
              <w:t>7,944</w:t>
            </w:r>
          </w:p>
        </w:tc>
        <w:tc>
          <w:tcPr>
            <w:tcW w:w="1120" w:type="dxa"/>
            <w:vAlign w:val="bottom"/>
            <w:gridSpan w:val="2"/>
          </w:tcPr>
          <w:p>
            <w:pPr>
              <w:jc w:val="center"/>
              <w:ind w:left="383"/>
              <w:spacing w:after="0"/>
              <w:rPr>
                <w:sz w:val="20"/>
                <w:szCs w:val="20"/>
                <w:color w:val="auto"/>
              </w:rPr>
            </w:pPr>
            <w:r>
              <w:rPr>
                <w:rFonts w:ascii="Arial" w:cs="Arial" w:eastAsia="Arial" w:hAnsi="Arial"/>
                <w:sz w:val="15"/>
                <w:szCs w:val="15"/>
                <w:color w:val="auto"/>
                <w:w w:val="99"/>
              </w:rPr>
              <w:t>5.3%</w:t>
            </w:r>
          </w:p>
        </w:tc>
        <w:tc>
          <w:tcPr>
            <w:tcW w:w="1760" w:type="dxa"/>
            <w:vAlign w:val="bottom"/>
            <w:gridSpan w:val="3"/>
          </w:tcPr>
          <w:p>
            <w:pPr>
              <w:jc w:val="center"/>
              <w:ind w:left="384"/>
              <w:spacing w:after="0"/>
              <w:rPr>
                <w:sz w:val="20"/>
                <w:szCs w:val="20"/>
                <w:color w:val="auto"/>
              </w:rPr>
            </w:pPr>
            <w:r>
              <w:rPr>
                <w:rFonts w:ascii="Arial" w:cs="Arial" w:eastAsia="Arial" w:hAnsi="Arial"/>
                <w:sz w:val="15"/>
                <w:szCs w:val="15"/>
                <w:color w:val="auto"/>
                <w:w w:val="99"/>
              </w:rPr>
              <w:t>4.5%</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jc w:val="center"/>
              <w:ind w:right="165"/>
              <w:spacing w:after="0"/>
              <w:rPr>
                <w:sz w:val="20"/>
                <w:szCs w:val="20"/>
                <w:color w:val="auto"/>
              </w:rPr>
            </w:pPr>
            <w:r>
              <w:rPr>
                <w:rFonts w:ascii="Arial" w:cs="Arial" w:eastAsia="Arial" w:hAnsi="Arial"/>
                <w:sz w:val="15"/>
                <w:szCs w:val="15"/>
                <w:color w:val="auto"/>
              </w:rPr>
              <w:t>3.9%</w:t>
            </w:r>
          </w:p>
        </w:tc>
        <w:tc>
          <w:tcPr>
            <w:tcW w:w="0" w:type="dxa"/>
            <w:vAlign w:val="bottom"/>
          </w:tcPr>
          <w:p>
            <w:pPr>
              <w:spacing w:after="0"/>
              <w:rPr>
                <w:sz w:val="1"/>
                <w:szCs w:val="1"/>
                <w:color w:val="auto"/>
              </w:rPr>
            </w:pPr>
          </w:p>
        </w:tc>
      </w:tr>
      <w:tr>
        <w:trPr>
          <w:trHeight w:val="208"/>
        </w:trPr>
        <w:tc>
          <w:tcPr>
            <w:tcW w:w="3840" w:type="dxa"/>
            <w:vAlign w:val="bottom"/>
            <w:gridSpan w:val="2"/>
            <w:vMerge w:val="restart"/>
          </w:tcPr>
          <w:p>
            <w:pPr>
              <w:ind w:left="20"/>
              <w:spacing w:after="0"/>
              <w:rPr>
                <w:sz w:val="20"/>
                <w:szCs w:val="20"/>
                <w:color w:val="auto"/>
              </w:rPr>
            </w:pPr>
            <w:r>
              <w:rPr>
                <w:rFonts w:ascii="Arial" w:cs="Arial" w:eastAsia="Arial" w:hAnsi="Arial"/>
                <w:sz w:val="15"/>
                <w:szCs w:val="15"/>
                <w:color w:val="auto"/>
              </w:rPr>
              <w:t>Subtotal</w:t>
            </w: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840" w:type="dxa"/>
            <w:vAlign w:val="bottom"/>
            <w:gridSpan w:val="2"/>
            <w:vMerge w:val="continue"/>
          </w:tcPr>
          <w:p>
            <w:pPr>
              <w:spacing w:after="0"/>
              <w:rPr>
                <w:sz w:val="17"/>
                <w:szCs w:val="17"/>
                <w:color w:val="auto"/>
              </w:rPr>
            </w:pPr>
          </w:p>
        </w:tc>
        <w:tc>
          <w:tcPr>
            <w:tcW w:w="1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jc w:val="right"/>
              <w:ind w:right="4"/>
              <w:spacing w:after="0"/>
              <w:rPr>
                <w:sz w:val="20"/>
                <w:szCs w:val="20"/>
                <w:color w:val="auto"/>
              </w:rPr>
            </w:pPr>
            <w:r>
              <w:rPr>
                <w:rFonts w:ascii="Arial" w:cs="Arial" w:eastAsia="Arial" w:hAnsi="Arial"/>
                <w:sz w:val="15"/>
                <w:szCs w:val="15"/>
                <w:color w:val="auto"/>
              </w:rPr>
              <w:t>53,782</w:t>
            </w: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3840" w:type="dxa"/>
            <w:vAlign w:val="bottom"/>
            <w:gridSpan w:val="2"/>
          </w:tcPr>
          <w:p>
            <w:pPr>
              <w:ind w:left="20"/>
              <w:spacing w:after="0" w:line="207" w:lineRule="exact"/>
              <w:rPr>
                <w:sz w:val="20"/>
                <w:szCs w:val="20"/>
                <w:color w:val="auto"/>
              </w:rPr>
            </w:pPr>
            <w:r>
              <w:rPr>
                <w:rFonts w:ascii="Arial" w:cs="Arial" w:eastAsia="Arial" w:hAnsi="Arial"/>
                <w:sz w:val="15"/>
                <w:szCs w:val="15"/>
                <w:color w:val="auto"/>
              </w:rPr>
              <w:t>Other</w:t>
            </w:r>
            <w:r>
              <w:rPr>
                <w:rFonts w:ascii="Arial" w:cs="Arial" w:eastAsia="Arial" w:hAnsi="Arial"/>
                <w:sz w:val="20"/>
                <w:szCs w:val="20"/>
                <w:color w:val="auto"/>
                <w:vertAlign w:val="superscript"/>
              </w:rPr>
              <w:t>(5)</w:t>
            </w: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1,350</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3840" w:type="dxa"/>
            <w:vAlign w:val="bottom"/>
            <w:gridSpan w:val="2"/>
          </w:tcPr>
          <w:p>
            <w:pPr>
              <w:ind w:left="20"/>
              <w:spacing w:after="0"/>
              <w:rPr>
                <w:sz w:val="20"/>
                <w:szCs w:val="20"/>
                <w:color w:val="auto"/>
              </w:rPr>
            </w:pPr>
            <w:r>
              <w:rPr>
                <w:rFonts w:ascii="Arial" w:cs="Arial" w:eastAsia="Arial" w:hAnsi="Arial"/>
                <w:sz w:val="15"/>
                <w:szCs w:val="15"/>
                <w:color w:val="auto"/>
              </w:rPr>
              <w:t>Total</w:t>
            </w:r>
          </w:p>
        </w:tc>
        <w:tc>
          <w:tcPr>
            <w:tcW w:w="1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1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55,132</w:t>
            </w: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2240" w:type="dxa"/>
            <w:vAlign w:val="bottom"/>
            <w:tcBorders>
              <w:bottom w:val="single" w:sz="8" w:color="auto"/>
            </w:tcBorders>
          </w:tcPr>
          <w:p>
            <w:pPr>
              <w:spacing w:after="0"/>
              <w:rPr>
                <w:sz w:val="13"/>
                <w:szCs w:val="13"/>
                <w:color w:val="auto"/>
              </w:rPr>
            </w:pPr>
          </w:p>
        </w:tc>
        <w:tc>
          <w:tcPr>
            <w:tcW w:w="16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11" w:lineRule="exact"/>
        <w:rPr>
          <w:sz w:val="20"/>
          <w:szCs w:val="20"/>
          <w:color w:val="auto"/>
        </w:rPr>
      </w:pPr>
    </w:p>
    <w:p>
      <w:pPr>
        <w:ind w:left="240" w:right="360" w:hanging="237"/>
        <w:spacing w:after="0" w:line="261" w:lineRule="auto"/>
        <w:tabs>
          <w:tab w:leader="none" w:pos="188" w:val="left"/>
        </w:tabs>
        <w:numPr>
          <w:ilvl w:val="0"/>
          <w:numId w:val="9"/>
        </w:numPr>
        <w:rPr>
          <w:rFonts w:ascii="Arial" w:cs="Arial" w:eastAsia="Arial" w:hAnsi="Arial"/>
          <w:sz w:val="12"/>
          <w:szCs w:val="12"/>
          <w:color w:val="auto"/>
        </w:rPr>
      </w:pPr>
      <w:r>
        <w:rPr>
          <w:rFonts w:ascii="Arial" w:cs="Arial" w:eastAsia="Arial" w:hAnsi="Arial"/>
          <w:sz w:val="12"/>
          <w:szCs w:val="12"/>
          <w:color w:val="auto"/>
        </w:rPr>
        <w:t>Returns represent time-weighted rates of return, including reinvestment of income, net of commissions and transaction costs. The returns for Relevant Benchmarks are presented on a gross basis. The strategy inception and performance track record includes funds managed at Trust Company of the West by the portfolio managers and others senior investment professionals that joined Oaktree at its inception in 1995.</w:t>
      </w:r>
    </w:p>
    <w:p>
      <w:pPr>
        <w:ind w:left="280" w:hanging="277"/>
        <w:spacing w:after="0"/>
        <w:tabs>
          <w:tab w:leader="none" w:pos="280" w:val="left"/>
        </w:tabs>
        <w:numPr>
          <w:ilvl w:val="0"/>
          <w:numId w:val="9"/>
        </w:numPr>
        <w:rPr>
          <w:rFonts w:ascii="Arial" w:cs="Arial" w:eastAsia="Arial" w:hAnsi="Arial"/>
          <w:sz w:val="12"/>
          <w:szCs w:val="12"/>
          <w:color w:val="auto"/>
        </w:rPr>
      </w:pPr>
      <w:r>
        <w:rPr>
          <w:rFonts w:ascii="Arial" w:cs="Arial" w:eastAsia="Arial" w:hAnsi="Arial"/>
          <w:sz w:val="12"/>
          <w:szCs w:val="12"/>
          <w:color w:val="auto"/>
        </w:rPr>
        <w:t>The performance measures reflect Global Credit Cayman Fund as the representative account for the Global Credit strategy.</w:t>
      </w:r>
    </w:p>
    <w:p>
      <w:pPr>
        <w:spacing w:after="0" w:line="3" w:lineRule="exact"/>
        <w:rPr>
          <w:rFonts w:ascii="Arial" w:cs="Arial" w:eastAsia="Arial" w:hAnsi="Arial"/>
          <w:sz w:val="12"/>
          <w:szCs w:val="12"/>
          <w:color w:val="auto"/>
        </w:rPr>
      </w:pPr>
    </w:p>
    <w:p>
      <w:pPr>
        <w:ind w:left="180" w:hanging="177"/>
        <w:spacing w:after="0" w:line="224" w:lineRule="auto"/>
        <w:tabs>
          <w:tab w:leader="none" w:pos="180" w:val="left"/>
        </w:tabs>
        <w:numPr>
          <w:ilvl w:val="0"/>
          <w:numId w:val="9"/>
        </w:numPr>
        <w:rPr>
          <w:rFonts w:ascii="Arial" w:cs="Arial" w:eastAsia="Arial" w:hAnsi="Arial"/>
          <w:sz w:val="12"/>
          <w:szCs w:val="12"/>
          <w:color w:val="auto"/>
        </w:rPr>
      </w:pPr>
      <w:r>
        <w:rPr>
          <w:rFonts w:ascii="Arial" w:cs="Arial" w:eastAsia="Arial" w:hAnsi="Arial"/>
          <w:sz w:val="12"/>
          <w:szCs w:val="12"/>
          <w:color w:val="auto"/>
        </w:rPr>
        <w:t>The performance measures reflect Global Credit Investment Grade Fund as the representative account for the Global Credit Investment Grade strategy.</w:t>
      </w:r>
    </w:p>
    <w:p>
      <w:pPr>
        <w:ind w:left="280" w:hanging="277"/>
        <w:spacing w:after="0"/>
        <w:tabs>
          <w:tab w:leader="none" w:pos="280" w:val="left"/>
        </w:tabs>
        <w:numPr>
          <w:ilvl w:val="0"/>
          <w:numId w:val="9"/>
        </w:numPr>
        <w:rPr>
          <w:rFonts w:ascii="Arial" w:cs="Arial" w:eastAsia="Arial" w:hAnsi="Arial"/>
          <w:sz w:val="12"/>
          <w:szCs w:val="12"/>
          <w:color w:val="auto"/>
        </w:rPr>
      </w:pPr>
      <w:r>
        <w:rPr>
          <w:rFonts w:ascii="Arial" w:cs="Arial" w:eastAsia="Arial" w:hAnsi="Arial"/>
          <w:sz w:val="12"/>
          <w:szCs w:val="12"/>
          <w:color w:val="auto"/>
        </w:rPr>
        <w:t>Includes individual accounts across various strategies with different investment mandates. As such, a combined performance measure is not considered meaningful (“nm”).</w:t>
      </w:r>
    </w:p>
    <w:p>
      <w:pPr>
        <w:spacing w:after="0" w:line="3" w:lineRule="exact"/>
        <w:rPr>
          <w:rFonts w:ascii="Arial" w:cs="Arial" w:eastAsia="Arial" w:hAnsi="Arial"/>
          <w:sz w:val="12"/>
          <w:szCs w:val="12"/>
          <w:color w:val="auto"/>
        </w:rPr>
      </w:pPr>
    </w:p>
    <w:p>
      <w:pPr>
        <w:ind w:left="280" w:hanging="277"/>
        <w:spacing w:after="0"/>
        <w:tabs>
          <w:tab w:leader="none" w:pos="280" w:val="left"/>
        </w:tabs>
        <w:numPr>
          <w:ilvl w:val="0"/>
          <w:numId w:val="9"/>
        </w:numPr>
        <w:rPr>
          <w:rFonts w:ascii="Arial" w:cs="Arial" w:eastAsia="Arial" w:hAnsi="Arial"/>
          <w:sz w:val="12"/>
          <w:szCs w:val="12"/>
          <w:color w:val="auto"/>
        </w:rPr>
      </w:pPr>
      <w:r>
        <w:rPr>
          <w:rFonts w:ascii="Arial" w:cs="Arial" w:eastAsia="Arial" w:hAnsi="Arial"/>
          <w:sz w:val="12"/>
          <w:szCs w:val="12"/>
          <w:color w:val="auto"/>
        </w:rPr>
        <w:t>Includes certain European High Yield Bonds and U.S. Convertible accounts.</w:t>
      </w:r>
    </w:p>
    <w:p>
      <w:pPr>
        <w:spacing w:after="0" w:line="200" w:lineRule="exact"/>
        <w:rPr>
          <w:sz w:val="20"/>
          <w:szCs w:val="20"/>
          <w:color w:val="auto"/>
        </w:rPr>
      </w:pPr>
    </w:p>
    <w:p>
      <w:pPr>
        <w:spacing w:after="0" w:line="321"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80"/>
          </w:cols>
          <w:pgMar w:left="320" w:top="961" w:right="399" w:bottom="1440" w:gutter="0" w:footer="0" w:header="0"/>
        </w:sectPr>
      </w:pPr>
    </w:p>
    <w:bookmarkStart w:id="13" w:name="page14"/>
    <w:bookmarkEnd w:id="13"/>
    <w:p>
      <w:pPr>
        <w:ind w:left="457"/>
        <w:spacing w:after="0"/>
        <w:rPr>
          <w:sz w:val="20"/>
          <w:szCs w:val="20"/>
          <w:color w:val="auto"/>
        </w:rPr>
      </w:pPr>
      <w:r>
        <w:rPr>
          <w:rFonts w:ascii="Arial" w:cs="Arial" w:eastAsia="Arial" w:hAnsi="Arial"/>
          <w:sz w:val="17"/>
          <w:szCs w:val="17"/>
          <w:color w:val="auto"/>
        </w:rPr>
        <w:t>Information regarding Oaktree’s most significant Evergreen funds is shown below, as of or for the year ended December 31, 2025.</w:t>
      </w:r>
    </w:p>
    <w:p>
      <w:pPr>
        <w:spacing w:after="0" w:line="212" w:lineRule="exact"/>
        <w:rPr>
          <w:sz w:val="20"/>
          <w:szCs w:val="20"/>
          <w:color w:val="auto"/>
        </w:rPr>
      </w:pPr>
    </w:p>
    <w:tbl>
      <w:tblPr>
        <w:tblLayout w:type="fixed"/>
        <w:tblInd w:w="17" w:type="dxa"/>
        <w:tblCellMar>
          <w:top w:w="0" w:type="dxa"/>
          <w:left w:w="0" w:type="dxa"/>
          <w:bottom w:w="0" w:type="dxa"/>
          <w:right w:w="0" w:type="dxa"/>
        </w:tblCellMar>
      </w:tblPr>
      <w:tr>
        <w:trPr>
          <w:trHeight w:val="189"/>
        </w:trPr>
        <w:tc>
          <w:tcPr>
            <w:tcW w:w="46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0" w:type="dxa"/>
            <w:vAlign w:val="bottom"/>
            <w:tcBorders>
              <w:bottom w:val="single" w:sz="8" w:color="auto"/>
            </w:tcBorders>
            <w:gridSpan w:val="3"/>
          </w:tcPr>
          <w:p>
            <w:pPr>
              <w:ind w:left="180"/>
              <w:spacing w:after="0"/>
              <w:rPr>
                <w:sz w:val="20"/>
                <w:szCs w:val="20"/>
                <w:color w:val="auto"/>
              </w:rPr>
            </w:pPr>
            <w:r>
              <w:rPr>
                <w:rFonts w:ascii="Arial" w:cs="Arial" w:eastAsia="Arial" w:hAnsi="Arial"/>
                <w:sz w:val="14"/>
                <w:szCs w:val="14"/>
                <w:b w:val="1"/>
                <w:bCs w:val="1"/>
                <w:color w:val="auto"/>
              </w:rPr>
              <w:t>Since Inception through December 31, 2025</w:t>
            </w:r>
          </w:p>
        </w:tc>
        <w:tc>
          <w:tcPr>
            <w:tcW w:w="0" w:type="dxa"/>
            <w:vAlign w:val="bottom"/>
          </w:tcPr>
          <w:p>
            <w:pPr>
              <w:spacing w:after="0"/>
              <w:rPr>
                <w:sz w:val="1"/>
                <w:szCs w:val="1"/>
                <w:color w:val="auto"/>
              </w:rPr>
            </w:pPr>
          </w:p>
        </w:tc>
      </w:tr>
      <w:tr>
        <w:trPr>
          <w:trHeight w:val="187"/>
        </w:trPr>
        <w:tc>
          <w:tcPr>
            <w:tcW w:w="46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0" w:type="dxa"/>
            <w:vAlign w:val="bottom"/>
            <w:tcBorders>
              <w:bottom w:val="single" w:sz="8" w:color="auto"/>
            </w:tcBorders>
            <w:gridSpan w:val="3"/>
          </w:tcPr>
          <w:p>
            <w:pPr>
              <w:ind w:left="620"/>
              <w:spacing w:after="0" w:line="187" w:lineRule="exact"/>
              <w:rPr>
                <w:sz w:val="20"/>
                <w:szCs w:val="20"/>
                <w:color w:val="auto"/>
              </w:rPr>
            </w:pPr>
            <w:r>
              <w:rPr>
                <w:rFonts w:ascii="Arial" w:cs="Arial" w:eastAsia="Arial" w:hAnsi="Arial"/>
                <w:sz w:val="14"/>
                <w:szCs w:val="14"/>
                <w:b w:val="1"/>
                <w:bCs w:val="1"/>
                <w:color w:val="auto"/>
              </w:rPr>
              <w:t xml:space="preserve">Annualized Rates of Return </w:t>
            </w:r>
            <w:r>
              <w:rPr>
                <w:rFonts w:ascii="Arial" w:cs="Arial" w:eastAsia="Arial" w:hAnsi="Arial"/>
                <w:sz w:val="17"/>
                <w:szCs w:val="17"/>
                <w:b w:val="1"/>
                <w:bCs w:val="1"/>
                <w:color w:val="auto"/>
                <w:vertAlign w:val="superscript"/>
              </w:rPr>
              <w:t>(1)</w:t>
            </w:r>
          </w:p>
        </w:tc>
        <w:tc>
          <w:tcPr>
            <w:tcW w:w="0" w:type="dxa"/>
            <w:vAlign w:val="bottom"/>
          </w:tcPr>
          <w:p>
            <w:pPr>
              <w:spacing w:after="0"/>
              <w:rPr>
                <w:sz w:val="1"/>
                <w:szCs w:val="1"/>
                <w:color w:val="auto"/>
              </w:rPr>
            </w:pPr>
          </w:p>
        </w:tc>
      </w:tr>
      <w:tr>
        <w:trPr>
          <w:trHeight w:val="125"/>
        </w:trPr>
        <w:tc>
          <w:tcPr>
            <w:tcW w:w="468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1440" w:type="dxa"/>
            <w:vAlign w:val="bottom"/>
            <w:vMerge w:val="restart"/>
          </w:tcPr>
          <w:p>
            <w:pPr>
              <w:ind w:left="120"/>
              <w:spacing w:after="0"/>
              <w:rPr>
                <w:sz w:val="20"/>
                <w:szCs w:val="20"/>
                <w:color w:val="auto"/>
              </w:rPr>
            </w:pPr>
            <w:r>
              <w:rPr>
                <w:rFonts w:ascii="Arial" w:cs="Arial" w:eastAsia="Arial" w:hAnsi="Arial"/>
                <w:sz w:val="14"/>
                <w:szCs w:val="14"/>
                <w:b w:val="1"/>
                <w:bCs w:val="1"/>
                <w:color w:val="auto"/>
              </w:rPr>
              <w:t>Strategy Inception</w:t>
            </w:r>
          </w:p>
        </w:tc>
        <w:tc>
          <w:tcPr>
            <w:tcW w:w="200" w:type="dxa"/>
            <w:vAlign w:val="bottom"/>
          </w:tcPr>
          <w:p>
            <w:pPr>
              <w:spacing w:after="0"/>
              <w:rPr>
                <w:sz w:val="10"/>
                <w:szCs w:val="10"/>
                <w:color w:val="auto"/>
              </w:rPr>
            </w:pPr>
          </w:p>
        </w:tc>
        <w:tc>
          <w:tcPr>
            <w:tcW w:w="1240" w:type="dxa"/>
            <w:vAlign w:val="bottom"/>
          </w:tcPr>
          <w:p>
            <w:pPr>
              <w:jc w:val="right"/>
              <w:ind w:right="204"/>
              <w:spacing w:after="0" w:line="125" w:lineRule="exact"/>
              <w:rPr>
                <w:sz w:val="20"/>
                <w:szCs w:val="20"/>
                <w:color w:val="auto"/>
              </w:rPr>
            </w:pPr>
            <w:r>
              <w:rPr>
                <w:rFonts w:ascii="Arial" w:cs="Arial" w:eastAsia="Arial" w:hAnsi="Arial"/>
                <w:sz w:val="14"/>
                <w:szCs w:val="14"/>
                <w:b w:val="1"/>
                <w:bCs w:val="1"/>
                <w:color w:val="auto"/>
              </w:rPr>
              <w:t>Assets Under</w:t>
            </w:r>
          </w:p>
        </w:tc>
        <w:tc>
          <w:tcPr>
            <w:tcW w:w="240" w:type="dxa"/>
            <w:vAlign w:val="bottom"/>
          </w:tcPr>
          <w:p>
            <w:pPr>
              <w:spacing w:after="0"/>
              <w:rPr>
                <w:sz w:val="10"/>
                <w:szCs w:val="10"/>
                <w:color w:val="auto"/>
              </w:rPr>
            </w:pPr>
          </w:p>
        </w:tc>
        <w:tc>
          <w:tcPr>
            <w:tcW w:w="1760" w:type="dxa"/>
            <w:vAlign w:val="bottom"/>
            <w:gridSpan w:val="2"/>
            <w:vMerge w:val="restart"/>
          </w:tcPr>
          <w:p>
            <w:pPr>
              <w:ind w:left="520"/>
              <w:spacing w:after="0"/>
              <w:rPr>
                <w:sz w:val="20"/>
                <w:szCs w:val="20"/>
                <w:color w:val="auto"/>
              </w:rPr>
            </w:pPr>
            <w:r>
              <w:rPr>
                <w:rFonts w:ascii="Arial" w:cs="Arial" w:eastAsia="Arial" w:hAnsi="Arial"/>
                <w:sz w:val="14"/>
                <w:szCs w:val="14"/>
                <w:b w:val="1"/>
                <w:bCs w:val="1"/>
                <w:color w:val="auto"/>
              </w:rPr>
              <w:t>Gross</w:t>
            </w:r>
          </w:p>
        </w:tc>
        <w:tc>
          <w:tcPr>
            <w:tcW w:w="1440" w:type="dxa"/>
            <w:vAlign w:val="bottom"/>
            <w:vMerge w:val="restart"/>
          </w:tcPr>
          <w:p>
            <w:pPr>
              <w:ind w:left="600"/>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77"/>
        </w:trPr>
        <w:tc>
          <w:tcPr>
            <w:tcW w:w="4680" w:type="dxa"/>
            <w:vAlign w:val="bottom"/>
            <w:vMerge w:val="continue"/>
          </w:tcPr>
          <w:p>
            <w:pPr>
              <w:spacing w:after="0"/>
              <w:rPr>
                <w:sz w:val="15"/>
                <w:szCs w:val="15"/>
                <w:color w:val="auto"/>
              </w:rPr>
            </w:pPr>
          </w:p>
        </w:tc>
        <w:tc>
          <w:tcPr>
            <w:tcW w:w="144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jc w:val="right"/>
              <w:ind w:right="224"/>
              <w:spacing w:after="0"/>
              <w:rPr>
                <w:sz w:val="20"/>
                <w:szCs w:val="20"/>
                <w:color w:val="auto"/>
              </w:rPr>
            </w:pPr>
            <w:r>
              <w:rPr>
                <w:rFonts w:ascii="Arial" w:cs="Arial" w:eastAsia="Arial" w:hAnsi="Arial"/>
                <w:sz w:val="14"/>
                <w:szCs w:val="14"/>
                <w:b w:val="1"/>
                <w:bCs w:val="1"/>
                <w:color w:val="auto"/>
              </w:rPr>
              <w:t>Management</w:t>
            </w:r>
          </w:p>
        </w:tc>
        <w:tc>
          <w:tcPr>
            <w:tcW w:w="240" w:type="dxa"/>
            <w:vAlign w:val="bottom"/>
          </w:tcPr>
          <w:p>
            <w:pPr>
              <w:spacing w:after="0"/>
              <w:rPr>
                <w:sz w:val="15"/>
                <w:szCs w:val="15"/>
                <w:color w:val="auto"/>
              </w:rPr>
            </w:pPr>
          </w:p>
        </w:tc>
        <w:tc>
          <w:tcPr>
            <w:tcW w:w="1760" w:type="dxa"/>
            <w:vAlign w:val="bottom"/>
            <w:gridSpan w:val="2"/>
            <w:vMerge w:val="continue"/>
          </w:tcPr>
          <w:p>
            <w:pPr>
              <w:spacing w:after="0"/>
              <w:rPr>
                <w:sz w:val="15"/>
                <w:szCs w:val="15"/>
                <w:color w:val="auto"/>
              </w:rPr>
            </w:pPr>
          </w:p>
        </w:tc>
        <w:tc>
          <w:tcPr>
            <w:tcW w:w="14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4680" w:type="dxa"/>
            <w:vAlign w:val="bottom"/>
          </w:tcPr>
          <w:p>
            <w:pPr>
              <w:spacing w:after="0"/>
              <w:rPr>
                <w:sz w:val="20"/>
                <w:szCs w:val="20"/>
                <w:color w:val="auto"/>
              </w:rPr>
            </w:pPr>
            <w:r>
              <w:rPr>
                <w:rFonts w:ascii="Arial" w:cs="Arial" w:eastAsia="Arial" w:hAnsi="Arial"/>
                <w:sz w:val="15"/>
                <w:szCs w:val="15"/>
                <w:b w:val="1"/>
                <w:bCs w:val="1"/>
                <w:i w:val="1"/>
                <w:iCs w:val="1"/>
                <w:color w:val="auto"/>
              </w:rPr>
              <w:t>Credit:</w:t>
            </w:r>
          </w:p>
        </w:tc>
        <w:tc>
          <w:tcPr>
            <w:tcW w:w="144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420" w:type="dxa"/>
            <w:vAlign w:val="bottom"/>
            <w:tcBorders>
              <w:top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144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4680" w:type="dxa"/>
            <w:vAlign w:val="bottom"/>
          </w:tcPr>
          <w:p>
            <w:pPr>
              <w:spacing w:after="0"/>
              <w:rPr>
                <w:sz w:val="20"/>
                <w:szCs w:val="20"/>
                <w:color w:val="auto"/>
              </w:rPr>
            </w:pPr>
            <w:r>
              <w:rPr>
                <w:rFonts w:ascii="Arial" w:cs="Arial" w:eastAsia="Arial" w:hAnsi="Arial"/>
                <w:sz w:val="15"/>
                <w:szCs w:val="15"/>
                <w:b w:val="1"/>
                <w:bCs w:val="1"/>
                <w:i w:val="1"/>
                <w:iCs w:val="1"/>
                <w:color w:val="auto"/>
              </w:rPr>
              <w:t>Private Credit</w:t>
            </w:r>
          </w:p>
        </w:tc>
        <w:tc>
          <w:tcPr>
            <w:tcW w:w="1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680" w:type="dxa"/>
            <w:vAlign w:val="bottom"/>
          </w:tcPr>
          <w:p>
            <w:pPr>
              <w:spacing w:after="0" w:line="207" w:lineRule="exact"/>
              <w:rPr>
                <w:sz w:val="20"/>
                <w:szCs w:val="20"/>
                <w:color w:val="auto"/>
              </w:rPr>
            </w:pPr>
            <w:r>
              <w:rPr>
                <w:rFonts w:ascii="Arial" w:cs="Arial" w:eastAsia="Arial" w:hAnsi="Arial"/>
                <w:sz w:val="15"/>
                <w:szCs w:val="15"/>
                <w:color w:val="auto"/>
              </w:rPr>
              <w:t xml:space="preserve">Global Private Debt </w:t>
            </w:r>
            <w:r>
              <w:rPr>
                <w:rFonts w:ascii="Arial" w:cs="Arial" w:eastAsia="Arial" w:hAnsi="Arial"/>
                <w:sz w:val="20"/>
                <w:szCs w:val="20"/>
                <w:color w:val="auto"/>
                <w:vertAlign w:val="superscript"/>
              </w:rPr>
              <w:t>(2)</w:t>
            </w:r>
          </w:p>
        </w:tc>
        <w:tc>
          <w:tcPr>
            <w:tcW w:w="1440" w:type="dxa"/>
            <w:vAlign w:val="bottom"/>
          </w:tcPr>
          <w:p>
            <w:pPr>
              <w:jc w:val="center"/>
              <w:spacing w:after="0"/>
              <w:rPr>
                <w:sz w:val="20"/>
                <w:szCs w:val="20"/>
                <w:color w:val="auto"/>
              </w:rPr>
            </w:pPr>
            <w:r>
              <w:rPr>
                <w:rFonts w:ascii="Arial" w:cs="Arial" w:eastAsia="Arial" w:hAnsi="Arial"/>
                <w:sz w:val="14"/>
                <w:szCs w:val="14"/>
                <w:color w:val="auto"/>
                <w:w w:val="96"/>
              </w:rPr>
              <w:t>2012</w:t>
            </w:r>
          </w:p>
        </w:tc>
        <w:tc>
          <w:tcPr>
            <w:tcW w:w="200" w:type="dxa"/>
            <w:vAlign w:val="bottom"/>
          </w:tcPr>
          <w:p>
            <w:pPr>
              <w:jc w:val="right"/>
              <w:ind w:right="23"/>
              <w:spacing w:after="0"/>
              <w:rPr>
                <w:sz w:val="20"/>
                <w:szCs w:val="20"/>
                <w:color w:val="auto"/>
              </w:rPr>
            </w:pPr>
            <w:r>
              <w:rPr>
                <w:rFonts w:ascii="Arial" w:cs="Arial" w:eastAsia="Arial" w:hAnsi="Arial"/>
                <w:sz w:val="15"/>
                <w:szCs w:val="15"/>
                <w:color w:val="auto"/>
                <w:w w:val="95"/>
              </w:rPr>
              <w:t>$</w:t>
            </w:r>
          </w:p>
        </w:tc>
        <w:tc>
          <w:tcPr>
            <w:tcW w:w="1240" w:type="dxa"/>
            <w:vAlign w:val="bottom"/>
          </w:tcPr>
          <w:p>
            <w:pPr>
              <w:jc w:val="right"/>
              <w:spacing w:after="0"/>
              <w:rPr>
                <w:sz w:val="20"/>
                <w:szCs w:val="20"/>
                <w:color w:val="auto"/>
              </w:rPr>
            </w:pPr>
            <w:r>
              <w:rPr>
                <w:rFonts w:ascii="Arial" w:cs="Arial" w:eastAsia="Arial" w:hAnsi="Arial"/>
                <w:sz w:val="15"/>
                <w:szCs w:val="15"/>
                <w:color w:val="auto"/>
              </w:rPr>
              <w:t>9,246</w:t>
            </w:r>
          </w:p>
        </w:tc>
        <w:tc>
          <w:tcPr>
            <w:tcW w:w="1660" w:type="dxa"/>
            <w:vAlign w:val="bottom"/>
            <w:gridSpan w:val="2"/>
          </w:tcPr>
          <w:p>
            <w:pPr>
              <w:jc w:val="center"/>
              <w:ind w:left="163"/>
              <w:spacing w:after="0"/>
              <w:rPr>
                <w:sz w:val="20"/>
                <w:szCs w:val="20"/>
                <w:color w:val="auto"/>
              </w:rPr>
            </w:pPr>
            <w:r>
              <w:rPr>
                <w:rFonts w:ascii="Arial" w:cs="Arial" w:eastAsia="Arial" w:hAnsi="Arial"/>
                <w:sz w:val="15"/>
                <w:szCs w:val="15"/>
                <w:color w:val="auto"/>
                <w:w w:val="99"/>
              </w:rPr>
              <w:t>8.8%</w:t>
            </w:r>
          </w:p>
        </w:tc>
        <w:tc>
          <w:tcPr>
            <w:tcW w:w="340" w:type="dxa"/>
            <w:vAlign w:val="bottom"/>
          </w:tcPr>
          <w:p>
            <w:pPr>
              <w:spacing w:after="0"/>
              <w:rPr>
                <w:sz w:val="17"/>
                <w:szCs w:val="17"/>
                <w:color w:val="auto"/>
              </w:rPr>
            </w:pPr>
          </w:p>
        </w:tc>
        <w:tc>
          <w:tcPr>
            <w:tcW w:w="1440" w:type="dxa"/>
            <w:vAlign w:val="bottom"/>
          </w:tcPr>
          <w:p>
            <w:pPr>
              <w:jc w:val="center"/>
              <w:spacing w:after="0"/>
              <w:rPr>
                <w:sz w:val="20"/>
                <w:szCs w:val="20"/>
                <w:color w:val="auto"/>
              </w:rPr>
            </w:pPr>
            <w:r>
              <w:rPr>
                <w:rFonts w:ascii="Arial" w:cs="Arial" w:eastAsia="Arial" w:hAnsi="Arial"/>
                <w:sz w:val="15"/>
                <w:szCs w:val="15"/>
                <w:color w:val="auto"/>
              </w:rPr>
              <w:t>6.7%</w:t>
            </w:r>
          </w:p>
        </w:tc>
        <w:tc>
          <w:tcPr>
            <w:tcW w:w="0" w:type="dxa"/>
            <w:vAlign w:val="bottom"/>
          </w:tcPr>
          <w:p>
            <w:pPr>
              <w:spacing w:after="0"/>
              <w:rPr>
                <w:sz w:val="1"/>
                <w:szCs w:val="1"/>
                <w:color w:val="auto"/>
              </w:rPr>
            </w:pPr>
          </w:p>
        </w:tc>
      </w:tr>
      <w:tr>
        <w:trPr>
          <w:trHeight w:val="206"/>
        </w:trPr>
        <w:tc>
          <w:tcPr>
            <w:tcW w:w="4680" w:type="dxa"/>
            <w:vAlign w:val="bottom"/>
          </w:tcPr>
          <w:p>
            <w:pPr>
              <w:spacing w:after="0" w:line="207" w:lineRule="exact"/>
              <w:rPr>
                <w:sz w:val="20"/>
                <w:szCs w:val="20"/>
                <w:color w:val="auto"/>
              </w:rPr>
            </w:pPr>
            <w:r>
              <w:rPr>
                <w:rFonts w:ascii="Arial" w:cs="Arial" w:eastAsia="Arial" w:hAnsi="Arial"/>
                <w:sz w:val="15"/>
                <w:szCs w:val="15"/>
                <w:color w:val="auto"/>
              </w:rPr>
              <w:t>Oaktree Strategic Credit Fund</w:t>
            </w:r>
            <w:r>
              <w:rPr>
                <w:rFonts w:ascii="Arial" w:cs="Arial" w:eastAsia="Arial" w:hAnsi="Arial"/>
                <w:sz w:val="20"/>
                <w:szCs w:val="20"/>
                <w:color w:val="auto"/>
                <w:vertAlign w:val="superscript"/>
              </w:rPr>
              <w:t>(3)</w:t>
            </w:r>
          </w:p>
        </w:tc>
        <w:tc>
          <w:tcPr>
            <w:tcW w:w="1440" w:type="dxa"/>
            <w:vAlign w:val="bottom"/>
          </w:tcPr>
          <w:p>
            <w:pPr>
              <w:jc w:val="center"/>
              <w:spacing w:after="0"/>
              <w:rPr>
                <w:sz w:val="20"/>
                <w:szCs w:val="20"/>
                <w:color w:val="auto"/>
              </w:rPr>
            </w:pPr>
            <w:r>
              <w:rPr>
                <w:rFonts w:ascii="Arial" w:cs="Arial" w:eastAsia="Arial" w:hAnsi="Arial"/>
                <w:sz w:val="14"/>
                <w:szCs w:val="14"/>
                <w:color w:val="auto"/>
                <w:w w:val="96"/>
              </w:rPr>
              <w:t>2021</w:t>
            </w:r>
          </w:p>
        </w:tc>
        <w:tc>
          <w:tcPr>
            <w:tcW w:w="2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7,044</w:t>
            </w:r>
          </w:p>
        </w:tc>
        <w:tc>
          <w:tcPr>
            <w:tcW w:w="240" w:type="dxa"/>
            <w:vAlign w:val="bottom"/>
          </w:tcPr>
          <w:p>
            <w:pPr>
              <w:spacing w:after="0"/>
              <w:rPr>
                <w:sz w:val="17"/>
                <w:szCs w:val="17"/>
                <w:color w:val="auto"/>
              </w:rPr>
            </w:pPr>
          </w:p>
        </w:tc>
        <w:tc>
          <w:tcPr>
            <w:tcW w:w="1760" w:type="dxa"/>
            <w:vAlign w:val="bottom"/>
            <w:gridSpan w:val="2"/>
          </w:tcPr>
          <w:p>
            <w:pPr>
              <w:ind w:left="620"/>
              <w:spacing w:after="0"/>
              <w:rPr>
                <w:sz w:val="20"/>
                <w:szCs w:val="20"/>
                <w:color w:val="auto"/>
              </w:rPr>
            </w:pPr>
            <w:r>
              <w:rPr>
                <w:rFonts w:ascii="Arial" w:cs="Arial" w:eastAsia="Arial" w:hAnsi="Arial"/>
                <w:sz w:val="15"/>
                <w:szCs w:val="15"/>
                <w:color w:val="auto"/>
              </w:rPr>
              <w:t>n/a</w:t>
            </w:r>
          </w:p>
        </w:tc>
        <w:tc>
          <w:tcPr>
            <w:tcW w:w="1440" w:type="dxa"/>
            <w:vAlign w:val="bottom"/>
          </w:tcPr>
          <w:p>
            <w:pPr>
              <w:jc w:val="center"/>
              <w:spacing w:after="0"/>
              <w:rPr>
                <w:sz w:val="20"/>
                <w:szCs w:val="20"/>
                <w:color w:val="auto"/>
              </w:rPr>
            </w:pPr>
            <w:r>
              <w:rPr>
                <w:rFonts w:ascii="Arial" w:cs="Arial" w:eastAsia="Arial" w:hAnsi="Arial"/>
                <w:sz w:val="15"/>
                <w:szCs w:val="15"/>
                <w:color w:val="auto"/>
              </w:rPr>
              <w:t>8.5%</w:t>
            </w:r>
          </w:p>
        </w:tc>
        <w:tc>
          <w:tcPr>
            <w:tcW w:w="0" w:type="dxa"/>
            <w:vAlign w:val="bottom"/>
          </w:tcPr>
          <w:p>
            <w:pPr>
              <w:spacing w:after="0"/>
              <w:rPr>
                <w:sz w:val="1"/>
                <w:szCs w:val="1"/>
                <w:color w:val="auto"/>
              </w:rPr>
            </w:pPr>
          </w:p>
        </w:tc>
      </w:tr>
      <w:tr>
        <w:trPr>
          <w:trHeight w:val="271"/>
        </w:trPr>
        <w:tc>
          <w:tcPr>
            <w:tcW w:w="4680" w:type="dxa"/>
            <w:vAlign w:val="bottom"/>
          </w:tcPr>
          <w:p>
            <w:pPr>
              <w:spacing w:after="0"/>
              <w:rPr>
                <w:sz w:val="20"/>
                <w:szCs w:val="20"/>
                <w:color w:val="auto"/>
              </w:rPr>
            </w:pPr>
            <w:r>
              <w:rPr>
                <w:rFonts w:ascii="Arial" w:cs="Arial" w:eastAsia="Arial" w:hAnsi="Arial"/>
                <w:sz w:val="15"/>
                <w:szCs w:val="15"/>
                <w:color w:val="auto"/>
              </w:rPr>
              <w:t>Oaktree Specialty Lending Corporation</w:t>
            </w:r>
            <w:r>
              <w:rPr>
                <w:rFonts w:ascii="Arial" w:cs="Arial" w:eastAsia="Arial" w:hAnsi="Arial"/>
                <w:sz w:val="20"/>
                <w:szCs w:val="20"/>
                <w:color w:val="auto"/>
                <w:vertAlign w:val="superscript"/>
              </w:rPr>
              <w:t>(3)</w:t>
            </w:r>
          </w:p>
        </w:tc>
        <w:tc>
          <w:tcPr>
            <w:tcW w:w="1440" w:type="dxa"/>
            <w:vAlign w:val="bottom"/>
          </w:tcPr>
          <w:p>
            <w:pPr>
              <w:jc w:val="center"/>
              <w:spacing w:after="0"/>
              <w:rPr>
                <w:sz w:val="20"/>
                <w:szCs w:val="20"/>
                <w:color w:val="auto"/>
              </w:rPr>
            </w:pPr>
            <w:r>
              <w:rPr>
                <w:rFonts w:ascii="Arial" w:cs="Arial" w:eastAsia="Arial" w:hAnsi="Arial"/>
                <w:sz w:val="14"/>
                <w:szCs w:val="14"/>
                <w:color w:val="auto"/>
                <w:w w:val="96"/>
              </w:rPr>
              <w:t>2017</w:t>
            </w:r>
          </w:p>
        </w:tc>
        <w:tc>
          <w:tcPr>
            <w:tcW w:w="20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2,911</w:t>
            </w:r>
          </w:p>
        </w:tc>
        <w:tc>
          <w:tcPr>
            <w:tcW w:w="240" w:type="dxa"/>
            <w:vAlign w:val="bottom"/>
          </w:tcPr>
          <w:p>
            <w:pPr>
              <w:spacing w:after="0"/>
              <w:rPr>
                <w:sz w:val="23"/>
                <w:szCs w:val="23"/>
                <w:color w:val="auto"/>
              </w:rPr>
            </w:pPr>
          </w:p>
        </w:tc>
        <w:tc>
          <w:tcPr>
            <w:tcW w:w="1760" w:type="dxa"/>
            <w:vAlign w:val="bottom"/>
            <w:gridSpan w:val="2"/>
          </w:tcPr>
          <w:p>
            <w:pPr>
              <w:ind w:left="620"/>
              <w:spacing w:after="0"/>
              <w:rPr>
                <w:sz w:val="20"/>
                <w:szCs w:val="20"/>
                <w:color w:val="auto"/>
              </w:rPr>
            </w:pPr>
            <w:r>
              <w:rPr>
                <w:rFonts w:ascii="Arial" w:cs="Arial" w:eastAsia="Arial" w:hAnsi="Arial"/>
                <w:sz w:val="15"/>
                <w:szCs w:val="15"/>
                <w:color w:val="auto"/>
              </w:rPr>
              <w:t>n/a</w:t>
            </w:r>
          </w:p>
        </w:tc>
        <w:tc>
          <w:tcPr>
            <w:tcW w:w="1440" w:type="dxa"/>
            <w:vAlign w:val="bottom"/>
          </w:tcPr>
          <w:p>
            <w:pPr>
              <w:jc w:val="center"/>
              <w:spacing w:after="0"/>
              <w:rPr>
                <w:sz w:val="20"/>
                <w:szCs w:val="20"/>
                <w:color w:val="auto"/>
              </w:rPr>
            </w:pPr>
            <w:r>
              <w:rPr>
                <w:rFonts w:ascii="Arial" w:cs="Arial" w:eastAsia="Arial" w:hAnsi="Arial"/>
                <w:sz w:val="15"/>
                <w:szCs w:val="15"/>
                <w:color w:val="auto"/>
              </w:rPr>
              <w:t>8.6%</w:t>
            </w:r>
          </w:p>
        </w:tc>
        <w:tc>
          <w:tcPr>
            <w:tcW w:w="0" w:type="dxa"/>
            <w:vAlign w:val="bottom"/>
          </w:tcPr>
          <w:p>
            <w:pPr>
              <w:spacing w:after="0"/>
              <w:rPr>
                <w:sz w:val="1"/>
                <w:szCs w:val="1"/>
                <w:color w:val="auto"/>
              </w:rPr>
            </w:pPr>
          </w:p>
        </w:tc>
      </w:tr>
      <w:tr>
        <w:trPr>
          <w:trHeight w:val="296"/>
        </w:trPr>
        <w:tc>
          <w:tcPr>
            <w:tcW w:w="4680" w:type="dxa"/>
            <w:vAlign w:val="bottom"/>
          </w:tcPr>
          <w:p>
            <w:pPr>
              <w:spacing w:after="0"/>
              <w:rPr>
                <w:sz w:val="20"/>
                <w:szCs w:val="20"/>
                <w:color w:val="auto"/>
              </w:rPr>
            </w:pPr>
            <w:r>
              <w:rPr>
                <w:rFonts w:ascii="Arial" w:cs="Arial" w:eastAsia="Arial" w:hAnsi="Arial"/>
                <w:sz w:val="15"/>
                <w:szCs w:val="15"/>
                <w:b w:val="1"/>
                <w:bCs w:val="1"/>
                <w:i w:val="1"/>
                <w:iCs w:val="1"/>
                <w:color w:val="auto"/>
              </w:rPr>
              <w:t>Opportunistic Credit</w:t>
            </w:r>
          </w:p>
        </w:tc>
        <w:tc>
          <w:tcPr>
            <w:tcW w:w="1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4680" w:type="dxa"/>
            <w:vAlign w:val="bottom"/>
          </w:tcPr>
          <w:p>
            <w:pPr>
              <w:spacing w:after="0"/>
              <w:rPr>
                <w:sz w:val="20"/>
                <w:szCs w:val="20"/>
                <w:color w:val="auto"/>
              </w:rPr>
            </w:pPr>
            <w:r>
              <w:rPr>
                <w:rFonts w:ascii="Arial" w:cs="Arial" w:eastAsia="Arial" w:hAnsi="Arial"/>
                <w:sz w:val="15"/>
                <w:szCs w:val="15"/>
                <w:color w:val="auto"/>
              </w:rPr>
              <w:t xml:space="preserve">Value Opportunities </w:t>
            </w:r>
            <w:r>
              <w:rPr>
                <w:rFonts w:ascii="Arial" w:cs="Arial" w:eastAsia="Arial" w:hAnsi="Arial"/>
                <w:sz w:val="20"/>
                <w:szCs w:val="20"/>
                <w:color w:val="auto"/>
                <w:vertAlign w:val="superscript"/>
              </w:rPr>
              <w:t>(4)</w:t>
            </w:r>
          </w:p>
        </w:tc>
        <w:tc>
          <w:tcPr>
            <w:tcW w:w="1440" w:type="dxa"/>
            <w:vAlign w:val="bottom"/>
          </w:tcPr>
          <w:p>
            <w:pPr>
              <w:jc w:val="center"/>
              <w:spacing w:after="0"/>
              <w:rPr>
                <w:sz w:val="20"/>
                <w:szCs w:val="20"/>
                <w:color w:val="auto"/>
              </w:rPr>
            </w:pPr>
            <w:r>
              <w:rPr>
                <w:rFonts w:ascii="Arial" w:cs="Arial" w:eastAsia="Arial" w:hAnsi="Arial"/>
                <w:sz w:val="15"/>
                <w:szCs w:val="15"/>
                <w:color w:val="auto"/>
              </w:rPr>
              <w:t>2007</w:t>
            </w:r>
          </w:p>
        </w:tc>
        <w:tc>
          <w:tcPr>
            <w:tcW w:w="20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2,988</w:t>
            </w:r>
          </w:p>
        </w:tc>
        <w:tc>
          <w:tcPr>
            <w:tcW w:w="1660" w:type="dxa"/>
            <w:vAlign w:val="bottom"/>
            <w:gridSpan w:val="2"/>
          </w:tcPr>
          <w:p>
            <w:pPr>
              <w:jc w:val="center"/>
              <w:ind w:left="163"/>
              <w:spacing w:after="0"/>
              <w:rPr>
                <w:sz w:val="20"/>
                <w:szCs w:val="20"/>
                <w:color w:val="auto"/>
              </w:rPr>
            </w:pPr>
            <w:r>
              <w:rPr>
                <w:rFonts w:ascii="Arial" w:cs="Arial" w:eastAsia="Arial" w:hAnsi="Arial"/>
                <w:sz w:val="15"/>
                <w:szCs w:val="15"/>
                <w:color w:val="auto"/>
                <w:w w:val="98"/>
              </w:rPr>
              <w:t>11.3%</w:t>
            </w:r>
          </w:p>
        </w:tc>
        <w:tc>
          <w:tcPr>
            <w:tcW w:w="340" w:type="dxa"/>
            <w:vAlign w:val="bottom"/>
          </w:tcPr>
          <w:p>
            <w:pPr>
              <w:spacing w:after="0"/>
              <w:rPr>
                <w:sz w:val="23"/>
                <w:szCs w:val="23"/>
                <w:color w:val="auto"/>
              </w:rPr>
            </w:pPr>
          </w:p>
        </w:tc>
        <w:tc>
          <w:tcPr>
            <w:tcW w:w="1440" w:type="dxa"/>
            <w:vAlign w:val="bottom"/>
          </w:tcPr>
          <w:p>
            <w:pPr>
              <w:jc w:val="center"/>
              <w:spacing w:after="0"/>
              <w:rPr>
                <w:sz w:val="20"/>
                <w:szCs w:val="20"/>
                <w:color w:val="auto"/>
              </w:rPr>
            </w:pPr>
            <w:r>
              <w:rPr>
                <w:rFonts w:ascii="Arial" w:cs="Arial" w:eastAsia="Arial" w:hAnsi="Arial"/>
                <w:sz w:val="15"/>
                <w:szCs w:val="15"/>
                <w:color w:val="auto"/>
              </w:rPr>
              <w:t>7.4%</w:t>
            </w:r>
          </w:p>
        </w:tc>
        <w:tc>
          <w:tcPr>
            <w:tcW w:w="0" w:type="dxa"/>
            <w:vAlign w:val="bottom"/>
          </w:tcPr>
          <w:p>
            <w:pPr>
              <w:spacing w:after="0"/>
              <w:rPr>
                <w:sz w:val="1"/>
                <w:szCs w:val="1"/>
                <w:color w:val="auto"/>
              </w:rPr>
            </w:pPr>
          </w:p>
        </w:tc>
      </w:tr>
      <w:tr>
        <w:trPr>
          <w:trHeight w:val="348"/>
        </w:trPr>
        <w:tc>
          <w:tcPr>
            <w:tcW w:w="4680" w:type="dxa"/>
            <w:vAlign w:val="bottom"/>
          </w:tcPr>
          <w:p>
            <w:pPr>
              <w:spacing w:after="0"/>
              <w:rPr>
                <w:sz w:val="20"/>
                <w:szCs w:val="20"/>
                <w:color w:val="auto"/>
              </w:rPr>
            </w:pPr>
            <w:r>
              <w:rPr>
                <w:rFonts w:ascii="Arial" w:cs="Arial" w:eastAsia="Arial" w:hAnsi="Arial"/>
                <w:sz w:val="15"/>
                <w:szCs w:val="15"/>
                <w:b w:val="1"/>
                <w:bCs w:val="1"/>
                <w:i w:val="1"/>
                <w:iCs w:val="1"/>
                <w:color w:val="auto"/>
              </w:rPr>
              <w:t>Emerging Markets Debt</w:t>
            </w:r>
          </w:p>
        </w:tc>
        <w:tc>
          <w:tcPr>
            <w:tcW w:w="1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4680" w:type="dxa"/>
            <w:vAlign w:val="bottom"/>
          </w:tcPr>
          <w:p>
            <w:pPr>
              <w:spacing w:after="0"/>
              <w:rPr>
                <w:sz w:val="20"/>
                <w:szCs w:val="20"/>
                <w:color w:val="auto"/>
              </w:rPr>
            </w:pPr>
            <w:r>
              <w:rPr>
                <w:rFonts w:ascii="Arial" w:cs="Arial" w:eastAsia="Arial" w:hAnsi="Arial"/>
                <w:sz w:val="15"/>
                <w:szCs w:val="15"/>
                <w:color w:val="auto"/>
              </w:rPr>
              <w:t xml:space="preserve">Emerging Markets Debt </w:t>
            </w:r>
            <w:r>
              <w:rPr>
                <w:rFonts w:ascii="Arial" w:cs="Arial" w:eastAsia="Arial" w:hAnsi="Arial"/>
                <w:sz w:val="20"/>
                <w:szCs w:val="20"/>
                <w:color w:val="auto"/>
                <w:vertAlign w:val="superscript"/>
              </w:rPr>
              <w:t>(5)</w:t>
            </w:r>
          </w:p>
        </w:tc>
        <w:tc>
          <w:tcPr>
            <w:tcW w:w="1440" w:type="dxa"/>
            <w:vAlign w:val="bottom"/>
          </w:tcPr>
          <w:p>
            <w:pPr>
              <w:jc w:val="center"/>
              <w:spacing w:after="0"/>
              <w:rPr>
                <w:sz w:val="20"/>
                <w:szCs w:val="20"/>
                <w:color w:val="auto"/>
              </w:rPr>
            </w:pPr>
            <w:r>
              <w:rPr>
                <w:rFonts w:ascii="Arial" w:cs="Arial" w:eastAsia="Arial" w:hAnsi="Arial"/>
                <w:sz w:val="15"/>
                <w:szCs w:val="15"/>
                <w:color w:val="auto"/>
              </w:rPr>
              <w:t>2015</w:t>
            </w:r>
          </w:p>
        </w:tc>
        <w:tc>
          <w:tcPr>
            <w:tcW w:w="20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1,282</w:t>
            </w:r>
          </w:p>
        </w:tc>
        <w:tc>
          <w:tcPr>
            <w:tcW w:w="1660" w:type="dxa"/>
            <w:vAlign w:val="bottom"/>
            <w:gridSpan w:val="2"/>
          </w:tcPr>
          <w:p>
            <w:pPr>
              <w:jc w:val="center"/>
              <w:ind w:left="163"/>
              <w:spacing w:after="0"/>
              <w:rPr>
                <w:sz w:val="20"/>
                <w:szCs w:val="20"/>
                <w:color w:val="auto"/>
              </w:rPr>
            </w:pPr>
            <w:r>
              <w:rPr>
                <w:rFonts w:ascii="Arial" w:cs="Arial" w:eastAsia="Arial" w:hAnsi="Arial"/>
                <w:sz w:val="15"/>
                <w:szCs w:val="15"/>
                <w:color w:val="auto"/>
                <w:w w:val="99"/>
              </w:rPr>
              <w:t>8.1%</w:t>
            </w:r>
          </w:p>
        </w:tc>
        <w:tc>
          <w:tcPr>
            <w:tcW w:w="340" w:type="dxa"/>
            <w:vAlign w:val="bottom"/>
          </w:tcPr>
          <w:p>
            <w:pPr>
              <w:spacing w:after="0"/>
              <w:rPr>
                <w:sz w:val="23"/>
                <w:szCs w:val="23"/>
                <w:color w:val="auto"/>
              </w:rPr>
            </w:pPr>
          </w:p>
        </w:tc>
        <w:tc>
          <w:tcPr>
            <w:tcW w:w="1440" w:type="dxa"/>
            <w:vAlign w:val="bottom"/>
          </w:tcPr>
          <w:p>
            <w:pPr>
              <w:jc w:val="center"/>
              <w:spacing w:after="0"/>
              <w:rPr>
                <w:sz w:val="20"/>
                <w:szCs w:val="20"/>
                <w:color w:val="auto"/>
              </w:rPr>
            </w:pPr>
            <w:r>
              <w:rPr>
                <w:rFonts w:ascii="Arial" w:cs="Arial" w:eastAsia="Arial" w:hAnsi="Arial"/>
                <w:sz w:val="15"/>
                <w:szCs w:val="15"/>
                <w:color w:val="auto"/>
              </w:rPr>
              <w:t>5.9%</w:t>
            </w:r>
          </w:p>
        </w:tc>
        <w:tc>
          <w:tcPr>
            <w:tcW w:w="0" w:type="dxa"/>
            <w:vAlign w:val="bottom"/>
          </w:tcPr>
          <w:p>
            <w:pPr>
              <w:spacing w:after="0"/>
              <w:rPr>
                <w:sz w:val="1"/>
                <w:szCs w:val="1"/>
                <w:color w:val="auto"/>
              </w:rPr>
            </w:pPr>
          </w:p>
        </w:tc>
      </w:tr>
      <w:tr>
        <w:trPr>
          <w:trHeight w:val="296"/>
        </w:trPr>
        <w:tc>
          <w:tcPr>
            <w:tcW w:w="4680" w:type="dxa"/>
            <w:vAlign w:val="bottom"/>
          </w:tcPr>
          <w:p>
            <w:pPr>
              <w:spacing w:after="0"/>
              <w:rPr>
                <w:sz w:val="20"/>
                <w:szCs w:val="20"/>
                <w:color w:val="auto"/>
              </w:rPr>
            </w:pPr>
            <w:r>
              <w:rPr>
                <w:rFonts w:ascii="Arial" w:cs="Arial" w:eastAsia="Arial" w:hAnsi="Arial"/>
                <w:sz w:val="15"/>
                <w:szCs w:val="15"/>
                <w:b w:val="1"/>
                <w:bCs w:val="1"/>
                <w:i w:val="1"/>
                <w:iCs w:val="1"/>
                <w:color w:val="auto"/>
              </w:rPr>
              <w:t>Real Estate:</w:t>
            </w:r>
          </w:p>
        </w:tc>
        <w:tc>
          <w:tcPr>
            <w:tcW w:w="1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4680" w:type="dxa"/>
            <w:vAlign w:val="bottom"/>
          </w:tcPr>
          <w:p>
            <w:pPr>
              <w:spacing w:after="0"/>
              <w:rPr>
                <w:sz w:val="20"/>
                <w:szCs w:val="20"/>
                <w:color w:val="auto"/>
              </w:rPr>
            </w:pPr>
            <w:r>
              <w:rPr>
                <w:rFonts w:ascii="Arial" w:cs="Arial" w:eastAsia="Arial" w:hAnsi="Arial"/>
                <w:sz w:val="15"/>
                <w:szCs w:val="15"/>
                <w:color w:val="auto"/>
              </w:rPr>
              <w:t>Real Estate Income</w:t>
            </w:r>
          </w:p>
        </w:tc>
        <w:tc>
          <w:tcPr>
            <w:tcW w:w="1440" w:type="dxa"/>
            <w:vAlign w:val="bottom"/>
          </w:tcPr>
          <w:p>
            <w:pPr>
              <w:jc w:val="center"/>
              <w:spacing w:after="0"/>
              <w:rPr>
                <w:sz w:val="20"/>
                <w:szCs w:val="20"/>
                <w:color w:val="auto"/>
              </w:rPr>
            </w:pPr>
            <w:r>
              <w:rPr>
                <w:rFonts w:ascii="Arial" w:cs="Arial" w:eastAsia="Arial" w:hAnsi="Arial"/>
                <w:sz w:val="15"/>
                <w:szCs w:val="15"/>
                <w:color w:val="auto"/>
              </w:rPr>
              <w:t>2018</w:t>
            </w:r>
          </w:p>
        </w:tc>
        <w:tc>
          <w:tcPr>
            <w:tcW w:w="2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2,094</w:t>
            </w:r>
          </w:p>
        </w:tc>
        <w:tc>
          <w:tcPr>
            <w:tcW w:w="1660" w:type="dxa"/>
            <w:vAlign w:val="bottom"/>
            <w:gridSpan w:val="2"/>
          </w:tcPr>
          <w:p>
            <w:pPr>
              <w:jc w:val="center"/>
              <w:ind w:left="183"/>
              <w:spacing w:after="0"/>
              <w:rPr>
                <w:sz w:val="20"/>
                <w:szCs w:val="20"/>
                <w:color w:val="auto"/>
              </w:rPr>
            </w:pPr>
            <w:r>
              <w:rPr>
                <w:rFonts w:ascii="Arial" w:cs="Arial" w:eastAsia="Arial" w:hAnsi="Arial"/>
                <w:sz w:val="15"/>
                <w:szCs w:val="15"/>
                <w:color w:val="auto"/>
              </w:rPr>
              <w:t>10.3%</w:t>
            </w:r>
          </w:p>
        </w:tc>
        <w:tc>
          <w:tcPr>
            <w:tcW w:w="340" w:type="dxa"/>
            <w:vAlign w:val="bottom"/>
          </w:tcPr>
          <w:p>
            <w:pPr>
              <w:spacing w:after="0"/>
              <w:rPr>
                <w:sz w:val="17"/>
                <w:szCs w:val="17"/>
                <w:color w:val="auto"/>
              </w:rPr>
            </w:pPr>
          </w:p>
        </w:tc>
        <w:tc>
          <w:tcPr>
            <w:tcW w:w="1440" w:type="dxa"/>
            <w:vAlign w:val="bottom"/>
          </w:tcPr>
          <w:p>
            <w:pPr>
              <w:jc w:val="center"/>
              <w:spacing w:after="0"/>
              <w:rPr>
                <w:sz w:val="20"/>
                <w:szCs w:val="20"/>
                <w:color w:val="auto"/>
              </w:rPr>
            </w:pPr>
            <w:r>
              <w:rPr>
                <w:rFonts w:ascii="Arial" w:cs="Arial" w:eastAsia="Arial" w:hAnsi="Arial"/>
                <w:sz w:val="15"/>
                <w:szCs w:val="15"/>
                <w:color w:val="auto"/>
              </w:rPr>
              <w:t>8.2%</w:t>
            </w:r>
          </w:p>
        </w:tc>
        <w:tc>
          <w:tcPr>
            <w:tcW w:w="0" w:type="dxa"/>
            <w:vAlign w:val="bottom"/>
          </w:tcPr>
          <w:p>
            <w:pPr>
              <w:spacing w:after="0"/>
              <w:rPr>
                <w:sz w:val="1"/>
                <w:szCs w:val="1"/>
                <w:color w:val="auto"/>
              </w:rPr>
            </w:pPr>
          </w:p>
        </w:tc>
      </w:tr>
      <w:tr>
        <w:trPr>
          <w:trHeight w:val="273"/>
        </w:trPr>
        <w:tc>
          <w:tcPr>
            <w:tcW w:w="4680" w:type="dxa"/>
            <w:vAlign w:val="bottom"/>
          </w:tcPr>
          <w:p>
            <w:pPr>
              <w:spacing w:after="0"/>
              <w:rPr>
                <w:sz w:val="20"/>
                <w:szCs w:val="20"/>
                <w:color w:val="auto"/>
              </w:rPr>
            </w:pPr>
            <w:r>
              <w:rPr>
                <w:rFonts w:ascii="Arial" w:cs="Arial" w:eastAsia="Arial" w:hAnsi="Arial"/>
                <w:sz w:val="15"/>
                <w:szCs w:val="15"/>
                <w:color w:val="auto"/>
              </w:rPr>
              <w:t xml:space="preserve">Real Estate Debt </w:t>
            </w:r>
            <w:r>
              <w:rPr>
                <w:rFonts w:ascii="Arial" w:cs="Arial" w:eastAsia="Arial" w:hAnsi="Arial"/>
                <w:sz w:val="20"/>
                <w:szCs w:val="20"/>
                <w:color w:val="auto"/>
                <w:vertAlign w:val="superscript"/>
              </w:rPr>
              <w:t>(6)</w:t>
            </w:r>
          </w:p>
        </w:tc>
        <w:tc>
          <w:tcPr>
            <w:tcW w:w="1440" w:type="dxa"/>
            <w:vAlign w:val="bottom"/>
          </w:tcPr>
          <w:p>
            <w:pPr>
              <w:jc w:val="center"/>
              <w:spacing w:after="0"/>
              <w:rPr>
                <w:sz w:val="20"/>
                <w:szCs w:val="20"/>
                <w:color w:val="auto"/>
              </w:rPr>
            </w:pPr>
            <w:r>
              <w:rPr>
                <w:rFonts w:ascii="Arial" w:cs="Arial" w:eastAsia="Arial" w:hAnsi="Arial"/>
                <w:sz w:val="15"/>
                <w:szCs w:val="15"/>
                <w:color w:val="auto"/>
              </w:rPr>
              <w:t>2022</w:t>
            </w:r>
          </w:p>
        </w:tc>
        <w:tc>
          <w:tcPr>
            <w:tcW w:w="20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488</w:t>
            </w:r>
          </w:p>
        </w:tc>
        <w:tc>
          <w:tcPr>
            <w:tcW w:w="1660" w:type="dxa"/>
            <w:vAlign w:val="bottom"/>
            <w:gridSpan w:val="2"/>
          </w:tcPr>
          <w:p>
            <w:pPr>
              <w:jc w:val="center"/>
              <w:ind w:left="183"/>
              <w:spacing w:after="0"/>
              <w:rPr>
                <w:sz w:val="20"/>
                <w:szCs w:val="20"/>
                <w:color w:val="auto"/>
              </w:rPr>
            </w:pPr>
            <w:r>
              <w:rPr>
                <w:rFonts w:ascii="Arial" w:cs="Arial" w:eastAsia="Arial" w:hAnsi="Arial"/>
                <w:sz w:val="15"/>
                <w:szCs w:val="15"/>
                <w:color w:val="auto"/>
              </w:rPr>
              <w:t>13.5%</w:t>
            </w:r>
          </w:p>
        </w:tc>
        <w:tc>
          <w:tcPr>
            <w:tcW w:w="340" w:type="dxa"/>
            <w:vAlign w:val="bottom"/>
          </w:tcPr>
          <w:p>
            <w:pPr>
              <w:spacing w:after="0"/>
              <w:rPr>
                <w:sz w:val="23"/>
                <w:szCs w:val="23"/>
                <w:color w:val="auto"/>
              </w:rPr>
            </w:pPr>
          </w:p>
        </w:tc>
        <w:tc>
          <w:tcPr>
            <w:tcW w:w="1440" w:type="dxa"/>
            <w:vAlign w:val="bottom"/>
          </w:tcPr>
          <w:p>
            <w:pPr>
              <w:jc w:val="center"/>
              <w:spacing w:after="0"/>
              <w:rPr>
                <w:sz w:val="20"/>
                <w:szCs w:val="20"/>
                <w:color w:val="auto"/>
              </w:rPr>
            </w:pPr>
            <w:r>
              <w:rPr>
                <w:rFonts w:ascii="Arial" w:cs="Arial" w:eastAsia="Arial" w:hAnsi="Arial"/>
                <w:sz w:val="15"/>
                <w:szCs w:val="15"/>
                <w:color w:val="auto"/>
              </w:rPr>
              <w:t>11.1%</w:t>
            </w:r>
          </w:p>
        </w:tc>
        <w:tc>
          <w:tcPr>
            <w:tcW w:w="0" w:type="dxa"/>
            <w:vAlign w:val="bottom"/>
          </w:tcPr>
          <w:p>
            <w:pPr>
              <w:spacing w:after="0"/>
              <w:rPr>
                <w:sz w:val="1"/>
                <w:szCs w:val="1"/>
                <w:color w:val="auto"/>
              </w:rPr>
            </w:pPr>
          </w:p>
        </w:tc>
      </w:tr>
      <w:tr>
        <w:trPr>
          <w:trHeight w:val="334"/>
        </w:trPr>
        <w:tc>
          <w:tcPr>
            <w:tcW w:w="4680" w:type="dxa"/>
            <w:vAlign w:val="bottom"/>
            <w:vMerge w:val="restart"/>
          </w:tcPr>
          <w:p>
            <w:pPr>
              <w:spacing w:after="0"/>
              <w:rPr>
                <w:sz w:val="20"/>
                <w:szCs w:val="20"/>
                <w:color w:val="auto"/>
              </w:rPr>
            </w:pPr>
            <w:r>
              <w:rPr>
                <w:rFonts w:ascii="Arial" w:cs="Arial" w:eastAsia="Arial" w:hAnsi="Arial"/>
                <w:sz w:val="15"/>
                <w:szCs w:val="15"/>
                <w:color w:val="auto"/>
              </w:rPr>
              <w:t>Subtotal</w:t>
            </w:r>
          </w:p>
        </w:tc>
        <w:tc>
          <w:tcPr>
            <w:tcW w:w="14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4680" w:type="dxa"/>
            <w:vAlign w:val="bottom"/>
            <w:vMerge w:val="continue"/>
          </w:tcPr>
          <w:p>
            <w:pPr>
              <w:spacing w:after="0"/>
              <w:rPr>
                <w:sz w:val="17"/>
                <w:szCs w:val="17"/>
                <w:color w:val="auto"/>
              </w:rPr>
            </w:pPr>
          </w:p>
        </w:tc>
        <w:tc>
          <w:tcPr>
            <w:tcW w:w="1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26,053</w:t>
            </w:r>
          </w:p>
        </w:tc>
        <w:tc>
          <w:tcPr>
            <w:tcW w:w="2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4680" w:type="dxa"/>
            <w:vAlign w:val="bottom"/>
          </w:tcPr>
          <w:p>
            <w:pPr>
              <w:spacing w:after="0" w:line="207" w:lineRule="exact"/>
              <w:rPr>
                <w:sz w:val="20"/>
                <w:szCs w:val="20"/>
                <w:color w:val="auto"/>
              </w:rPr>
            </w:pPr>
            <w:r>
              <w:rPr>
                <w:rFonts w:ascii="Arial" w:cs="Arial" w:eastAsia="Arial" w:hAnsi="Arial"/>
                <w:sz w:val="15"/>
                <w:szCs w:val="15"/>
                <w:color w:val="auto"/>
              </w:rPr>
              <w:t xml:space="preserve">Other </w:t>
            </w:r>
            <w:r>
              <w:rPr>
                <w:rFonts w:ascii="Arial" w:cs="Arial" w:eastAsia="Arial" w:hAnsi="Arial"/>
                <w:sz w:val="20"/>
                <w:szCs w:val="20"/>
                <w:color w:val="auto"/>
                <w:vertAlign w:val="superscript"/>
              </w:rPr>
              <w:t>(7)</w:t>
            </w:r>
          </w:p>
        </w:tc>
        <w:tc>
          <w:tcPr>
            <w:tcW w:w="14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3,770</w:t>
            </w:r>
          </w:p>
        </w:tc>
        <w:tc>
          <w:tcPr>
            <w:tcW w:w="2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4680" w:type="dxa"/>
            <w:vAlign w:val="bottom"/>
          </w:tcPr>
          <w:p>
            <w:pPr>
              <w:spacing w:after="0" w:line="199" w:lineRule="exact"/>
              <w:rPr>
                <w:sz w:val="20"/>
                <w:szCs w:val="20"/>
                <w:color w:val="auto"/>
              </w:rPr>
            </w:pPr>
            <w:r>
              <w:rPr>
                <w:rFonts w:ascii="Arial" w:cs="Arial" w:eastAsia="Arial" w:hAnsi="Arial"/>
                <w:sz w:val="15"/>
                <w:szCs w:val="15"/>
                <w:color w:val="auto"/>
              </w:rPr>
              <w:t xml:space="preserve">Total </w:t>
            </w:r>
            <w:r>
              <w:rPr>
                <w:rFonts w:ascii="Arial" w:cs="Arial" w:eastAsia="Arial" w:hAnsi="Arial"/>
                <w:sz w:val="20"/>
                <w:szCs w:val="20"/>
                <w:color w:val="auto"/>
                <w:vertAlign w:val="superscript"/>
              </w:rPr>
              <w:t>(8)</w:t>
            </w:r>
          </w:p>
        </w:tc>
        <w:tc>
          <w:tcPr>
            <w:tcW w:w="1440" w:type="dxa"/>
            <w:vAlign w:val="bottom"/>
          </w:tcPr>
          <w:p>
            <w:pPr>
              <w:spacing w:after="0"/>
              <w:rPr>
                <w:sz w:val="17"/>
                <w:szCs w:val="17"/>
                <w:color w:val="auto"/>
              </w:rPr>
            </w:pPr>
          </w:p>
        </w:tc>
        <w:tc>
          <w:tcPr>
            <w:tcW w:w="20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w w:val="95"/>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29,823</w:t>
            </w:r>
          </w:p>
        </w:tc>
        <w:tc>
          <w:tcPr>
            <w:tcW w:w="2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106680</wp:posOffset>
            </wp:positionV>
            <wp:extent cx="142430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424305" cy="8255"/>
                    </a:xfrm>
                    <a:prstGeom prst="rect">
                      <a:avLst/>
                    </a:prstGeom>
                    <a:noFill/>
                  </pic:spPr>
                </pic:pic>
              </a:graphicData>
            </a:graphic>
          </wp:anchor>
        </w:drawing>
      </w:r>
    </w:p>
    <w:p>
      <w:pPr>
        <w:spacing w:after="0" w:line="220" w:lineRule="exact"/>
        <w:rPr>
          <w:sz w:val="20"/>
          <w:szCs w:val="20"/>
          <w:color w:val="auto"/>
        </w:rPr>
      </w:pPr>
    </w:p>
    <w:p>
      <w:pPr>
        <w:ind w:left="177" w:hanging="177"/>
        <w:spacing w:after="0"/>
        <w:tabs>
          <w:tab w:leader="none" w:pos="177" w:val="left"/>
        </w:tabs>
        <w:numPr>
          <w:ilvl w:val="0"/>
          <w:numId w:val="10"/>
        </w:numPr>
        <w:rPr>
          <w:rFonts w:ascii="Arial" w:cs="Arial" w:eastAsia="Arial" w:hAnsi="Arial"/>
          <w:sz w:val="12"/>
          <w:szCs w:val="12"/>
          <w:color w:val="auto"/>
        </w:rPr>
      </w:pPr>
      <w:r>
        <w:rPr>
          <w:rFonts w:ascii="Arial" w:cs="Arial" w:eastAsia="Arial" w:hAnsi="Arial"/>
          <w:sz w:val="12"/>
          <w:szCs w:val="12"/>
          <w:color w:val="auto"/>
        </w:rPr>
        <w:t>Returns represent time-weighted rates of return.</w:t>
      </w:r>
    </w:p>
    <w:p>
      <w:pPr>
        <w:spacing w:after="0" w:line="20" w:lineRule="exact"/>
        <w:rPr>
          <w:rFonts w:ascii="Arial" w:cs="Arial" w:eastAsia="Arial" w:hAnsi="Arial"/>
          <w:sz w:val="12"/>
          <w:szCs w:val="12"/>
          <w:color w:val="auto"/>
        </w:rPr>
      </w:pPr>
    </w:p>
    <w:p>
      <w:pPr>
        <w:ind w:left="237" w:hanging="237"/>
        <w:spacing w:after="0" w:line="251" w:lineRule="auto"/>
        <w:tabs>
          <w:tab w:leader="none" w:pos="185" w:val="left"/>
        </w:tabs>
        <w:numPr>
          <w:ilvl w:val="0"/>
          <w:numId w:val="10"/>
        </w:numPr>
        <w:rPr>
          <w:rFonts w:ascii="Arial" w:cs="Arial" w:eastAsia="Arial" w:hAnsi="Arial"/>
          <w:sz w:val="12"/>
          <w:szCs w:val="12"/>
          <w:color w:val="auto"/>
        </w:rPr>
      </w:pPr>
      <w:r>
        <w:rPr>
          <w:rFonts w:ascii="Arial" w:cs="Arial" w:eastAsia="Arial" w:hAnsi="Arial"/>
          <w:sz w:val="12"/>
          <w:szCs w:val="12"/>
          <w:color w:val="auto"/>
        </w:rPr>
        <w:t>AUM includes institutional evergreen accounts, certain sub-advised assets of Brookfield Reinsurance, a 17Capital fund and a single non-traded BDC. The rates of return reflect the performance of a composite of certain evergreen accounts, which make up $2.2 billion in AUM, and exclude the sub-advised assets of Brookfield Reinsurance, the non-traded BDC, the 17Capital fund and other institutional evergreen accounts.</w:t>
      </w:r>
    </w:p>
    <w:p>
      <w:pPr>
        <w:ind w:left="237" w:right="120" w:hanging="237"/>
        <w:spacing w:after="0" w:line="249" w:lineRule="auto"/>
        <w:tabs>
          <w:tab w:leader="none" w:pos="285" w:val="left"/>
        </w:tabs>
        <w:numPr>
          <w:ilvl w:val="0"/>
          <w:numId w:val="10"/>
        </w:numPr>
        <w:rPr>
          <w:rFonts w:ascii="Arial" w:cs="Arial" w:eastAsia="Arial" w:hAnsi="Arial"/>
          <w:sz w:val="12"/>
          <w:szCs w:val="12"/>
          <w:color w:val="auto"/>
        </w:rPr>
      </w:pPr>
      <w:r>
        <w:rPr>
          <w:rFonts w:ascii="Arial" w:cs="Arial" w:eastAsia="Arial" w:hAnsi="Arial"/>
          <w:sz w:val="12"/>
          <w:szCs w:val="12"/>
          <w:color w:val="auto"/>
        </w:rPr>
        <w:t>The information is presented on a one quarter lag, as of September 30, 2025. The returns presented are calculated as the change in NAV per share during the period, plus distributions per share or capital activity, if any, divided by the beginning NAV per share, assuming a dividend reinvested. For Oaktree Strategic Credit Fund, the returns for Class I shares are presented. The inception of Oaktree Specialty Lending Corporation reflects the year Oaktree acquired the management rights from the former adviser.</w:t>
      </w:r>
    </w:p>
    <w:p>
      <w:pPr>
        <w:ind w:left="237" w:right="400" w:hanging="237"/>
        <w:spacing w:after="0" w:line="253" w:lineRule="auto"/>
        <w:tabs>
          <w:tab w:leader="none" w:pos="285" w:val="left"/>
        </w:tabs>
        <w:numPr>
          <w:ilvl w:val="0"/>
          <w:numId w:val="10"/>
        </w:numPr>
        <w:rPr>
          <w:rFonts w:ascii="Arial" w:cs="Arial" w:eastAsia="Arial" w:hAnsi="Arial"/>
          <w:sz w:val="12"/>
          <w:szCs w:val="12"/>
          <w:color w:val="auto"/>
        </w:rPr>
      </w:pPr>
      <w:r>
        <w:rPr>
          <w:rFonts w:ascii="Arial" w:cs="Arial" w:eastAsia="Arial" w:hAnsi="Arial"/>
          <w:sz w:val="12"/>
          <w:szCs w:val="12"/>
          <w:color w:val="auto"/>
        </w:rPr>
        <w:t>Includes an institutional evergreen account, a separately managed account and fund-of-one accounts. The rates of return reflect the performance of the institutional evergreen account and separately managed account and excludes the fund-of-one accounts.</w:t>
      </w:r>
    </w:p>
    <w:p>
      <w:pPr>
        <w:ind w:left="237" w:right="100" w:hanging="237"/>
        <w:spacing w:after="0" w:line="246" w:lineRule="auto"/>
        <w:tabs>
          <w:tab w:leader="none" w:pos="185" w:val="left"/>
        </w:tabs>
        <w:numPr>
          <w:ilvl w:val="0"/>
          <w:numId w:val="10"/>
        </w:numPr>
        <w:rPr>
          <w:rFonts w:ascii="Arial" w:cs="Arial" w:eastAsia="Arial" w:hAnsi="Arial"/>
          <w:sz w:val="12"/>
          <w:szCs w:val="12"/>
          <w:color w:val="auto"/>
        </w:rPr>
      </w:pPr>
      <w:r>
        <w:rPr>
          <w:rFonts w:ascii="Arial" w:cs="Arial" w:eastAsia="Arial" w:hAnsi="Arial"/>
          <w:sz w:val="12"/>
          <w:szCs w:val="12"/>
          <w:color w:val="auto"/>
        </w:rPr>
        <w:t>AUM includes the Emerging Markets Debt Total Return and Emerging Markets Opportunities strategies. The rates of return reflect the performance of a composite of accounts for the Emerging Markets Debt Total Return strategy, including a single account with a December 2014 inception date.</w:t>
      </w:r>
    </w:p>
    <w:p>
      <w:pPr>
        <w:ind w:left="237" w:right="20" w:hanging="237"/>
        <w:spacing w:after="0" w:line="257" w:lineRule="auto"/>
        <w:tabs>
          <w:tab w:leader="none" w:pos="185" w:val="left"/>
        </w:tabs>
        <w:numPr>
          <w:ilvl w:val="0"/>
          <w:numId w:val="10"/>
        </w:numPr>
        <w:rPr>
          <w:rFonts w:ascii="Arial" w:cs="Arial" w:eastAsia="Arial" w:hAnsi="Arial"/>
          <w:sz w:val="12"/>
          <w:szCs w:val="12"/>
          <w:color w:val="auto"/>
        </w:rPr>
      </w:pPr>
      <w:r>
        <w:rPr>
          <w:rFonts w:ascii="Arial" w:cs="Arial" w:eastAsia="Arial" w:hAnsi="Arial"/>
          <w:sz w:val="12"/>
          <w:szCs w:val="12"/>
          <w:color w:val="auto"/>
        </w:rPr>
        <w:t>AUM includes institutional evergreen accounts, the sub-advised debt assets of the Brookfield REIT and a separately managed account</w:t>
      </w:r>
      <w:r>
        <w:rPr>
          <w:rFonts w:ascii="Times New Roman" w:cs="Times New Roman" w:eastAsia="Times New Roman" w:hAnsi="Times New Roman"/>
          <w:sz w:val="12"/>
          <w:szCs w:val="12"/>
          <w:color w:val="auto"/>
        </w:rPr>
        <w:t>.</w:t>
      </w:r>
      <w:r>
        <w:rPr>
          <w:rFonts w:ascii="Arial" w:cs="Arial" w:eastAsia="Arial" w:hAnsi="Arial"/>
          <w:sz w:val="12"/>
          <w:szCs w:val="12"/>
          <w:color w:val="auto"/>
        </w:rPr>
        <w:t xml:space="preserve"> The rates of return reflect the performance of the institutional evergreen accounts and exclude the sub-advised debt assets of the Brookfield REIT and the separately managed account.</w:t>
      </w:r>
    </w:p>
    <w:p>
      <w:pPr>
        <w:ind w:left="177" w:hanging="177"/>
        <w:spacing w:after="0"/>
        <w:tabs>
          <w:tab w:leader="none" w:pos="177" w:val="left"/>
        </w:tabs>
        <w:numPr>
          <w:ilvl w:val="0"/>
          <w:numId w:val="10"/>
        </w:numPr>
        <w:rPr>
          <w:rFonts w:ascii="Arial" w:cs="Arial" w:eastAsia="Arial" w:hAnsi="Arial"/>
          <w:sz w:val="12"/>
          <w:szCs w:val="12"/>
          <w:color w:val="auto"/>
        </w:rPr>
      </w:pPr>
      <w:r>
        <w:rPr>
          <w:rFonts w:ascii="Arial" w:cs="Arial" w:eastAsia="Arial" w:hAnsi="Arial"/>
          <w:sz w:val="12"/>
          <w:szCs w:val="12"/>
          <w:color w:val="auto"/>
        </w:rPr>
        <w:t>Includes certain European Private Debt, Global Credit, Structured Credit, and Value Equity accounts.</w:t>
      </w:r>
    </w:p>
    <w:p>
      <w:pPr>
        <w:spacing w:after="0" w:line="3" w:lineRule="exact"/>
        <w:rPr>
          <w:rFonts w:ascii="Arial" w:cs="Arial" w:eastAsia="Arial" w:hAnsi="Arial"/>
          <w:sz w:val="12"/>
          <w:szCs w:val="12"/>
          <w:color w:val="auto"/>
        </w:rPr>
      </w:pPr>
    </w:p>
    <w:p>
      <w:pPr>
        <w:ind w:left="177" w:hanging="177"/>
        <w:spacing w:after="0"/>
        <w:tabs>
          <w:tab w:leader="none" w:pos="177" w:val="left"/>
        </w:tabs>
        <w:numPr>
          <w:ilvl w:val="0"/>
          <w:numId w:val="10"/>
        </w:numPr>
        <w:rPr>
          <w:rFonts w:ascii="Arial" w:cs="Arial" w:eastAsia="Arial" w:hAnsi="Arial"/>
          <w:sz w:val="12"/>
          <w:szCs w:val="12"/>
          <w:color w:val="auto"/>
        </w:rPr>
      </w:pPr>
      <w:r>
        <w:rPr>
          <w:rFonts w:ascii="Arial" w:cs="Arial" w:eastAsia="Arial" w:hAnsi="Arial"/>
          <w:sz w:val="12"/>
          <w:szCs w:val="12"/>
          <w:color w:val="auto"/>
        </w:rPr>
        <w:t>Includes information for Oaktree Specialty Lending Corporation and Oaktree Strategic Credit Fund on a one quarter lag, as of September 30,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16"/>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70485</wp:posOffset>
            </wp:positionV>
            <wp:extent cx="7164070"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17"/>
          </w:cols>
          <w:pgMar w:left="323" w:top="1012" w:right="359" w:bottom="1440" w:gutter="0" w:footer="0" w:header="0"/>
        </w:sectPr>
      </w:pPr>
    </w:p>
    <w:bookmarkStart w:id="14" w:name="page15"/>
    <w:bookmarkEnd w:id="14"/>
    <w:p>
      <w:pPr>
        <w:spacing w:after="0"/>
        <w:rPr>
          <w:sz w:val="20"/>
          <w:szCs w:val="20"/>
          <w:color w:val="auto"/>
        </w:rPr>
      </w:pPr>
      <w:r>
        <w:rPr>
          <w:rFonts w:ascii="Arial" w:cs="Arial" w:eastAsia="Arial" w:hAnsi="Arial"/>
          <w:sz w:val="17"/>
          <w:szCs w:val="17"/>
          <w:b w:val="1"/>
          <w:bCs w:val="1"/>
          <w:color w:val="auto"/>
        </w:rPr>
        <w:t>Assets Under Management</w:t>
      </w:r>
    </w:p>
    <w:p>
      <w:pPr>
        <w:spacing w:after="0" w:line="232" w:lineRule="exact"/>
        <w:rPr>
          <w:sz w:val="20"/>
          <w:szCs w:val="20"/>
          <w:color w:val="auto"/>
        </w:rPr>
      </w:pPr>
    </w:p>
    <w:p>
      <w:pPr>
        <w:ind w:right="40" w:firstLine="464"/>
        <w:spacing w:after="0"/>
        <w:rPr>
          <w:sz w:val="20"/>
          <w:szCs w:val="20"/>
          <w:color w:val="auto"/>
        </w:rPr>
      </w:pPr>
      <w:r>
        <w:rPr>
          <w:rFonts w:ascii="Arial" w:cs="Arial" w:eastAsia="Arial" w:hAnsi="Arial"/>
          <w:sz w:val="17"/>
          <w:szCs w:val="17"/>
          <w:color w:val="auto"/>
        </w:rPr>
        <w:t>Oaktree’s assets under management increased $21.0 billion, or 10.4%, to $222.8 billion as of December 31, 2025 from $201.8 billion as of December 31, 2024, primarily driven by $14.3 billion of capital commitments to closed-end funds, $14.1 billion of market value appreciation and foreign currency translation, and $7.7 billion of net inflows into open-end and evergreen funds, partially offset by $14.0 billion of distributions from closed-end funds and $2.0 billion due to change in uncalled capital commitments for funds entering liquidation. The $14.3 billion of capital commitments to closed-end funds over the last twelve months included $3.1 billion for CLOs, $2.8 billion for 17Capital Preferred Fund 6, $2.0 billion for 17Capital Credit Fund 2, $1.2 billion for Special Situations Fund IV, $1.0 billion for Asset-backed Finance Fund, $1.0 billion for Power</w:t>
      </w:r>
    </w:p>
    <w:p>
      <w:pPr>
        <w:spacing w:after="0" w:line="3" w:lineRule="exact"/>
        <w:rPr>
          <w:sz w:val="20"/>
          <w:szCs w:val="20"/>
          <w:color w:val="auto"/>
        </w:rPr>
      </w:pPr>
    </w:p>
    <w:p>
      <w:pPr>
        <w:ind w:right="440"/>
        <w:spacing w:after="0" w:line="239" w:lineRule="auto"/>
        <w:rPr>
          <w:sz w:val="20"/>
          <w:szCs w:val="20"/>
          <w:color w:val="auto"/>
        </w:rPr>
      </w:pPr>
      <w:r>
        <w:rPr>
          <w:rFonts w:ascii="Arial" w:cs="Arial" w:eastAsia="Arial" w:hAnsi="Arial"/>
          <w:sz w:val="17"/>
          <w:szCs w:val="17"/>
          <w:color w:val="auto"/>
        </w:rPr>
        <w:t>Opportunities Fund VII, $0.5 billion for Real Estate Debt Fund IV, $0.4 billion for Real Estate Opportunities Fund IX and $0.2 billion for Oaktree Lending Partners.</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180" w:type="dxa"/>
            <w:vAlign w:val="bottom"/>
          </w:tcPr>
          <w:p>
            <w:pPr>
              <w:spacing w:after="0"/>
              <w:rPr>
                <w:sz w:val="17"/>
                <w:szCs w:val="17"/>
                <w:color w:val="auto"/>
              </w:rPr>
            </w:pPr>
          </w:p>
        </w:tc>
        <w:tc>
          <w:tcPr>
            <w:tcW w:w="5560" w:type="dxa"/>
            <w:vAlign w:val="bottom"/>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5"/>
                <w:szCs w:val="15"/>
                <w:color w:val="auto"/>
              </w:rPr>
              <w:t>As of December 31,</w:t>
            </w:r>
          </w:p>
        </w:tc>
        <w:tc>
          <w:tcPr>
            <w:tcW w:w="1020" w:type="dxa"/>
            <w:vAlign w:val="bottom"/>
            <w:tcBorders>
              <w:bottom w:val="single" w:sz="8" w:color="auto"/>
            </w:tcBorders>
          </w:tcPr>
          <w:p>
            <w:pPr>
              <w:spacing w:after="0"/>
              <w:rPr>
                <w:sz w:val="17"/>
                <w:szCs w:val="17"/>
                <w:color w:val="auto"/>
              </w:rPr>
            </w:pPr>
          </w:p>
        </w:tc>
      </w:tr>
      <w:tr>
        <w:trPr>
          <w:trHeight w:val="199"/>
        </w:trPr>
        <w:tc>
          <w:tcPr>
            <w:tcW w:w="2180" w:type="dxa"/>
            <w:vAlign w:val="bottom"/>
          </w:tcPr>
          <w:p>
            <w:pPr>
              <w:spacing w:after="0"/>
              <w:rPr>
                <w:sz w:val="17"/>
                <w:szCs w:val="17"/>
                <w:color w:val="auto"/>
              </w:rPr>
            </w:pPr>
          </w:p>
        </w:tc>
        <w:tc>
          <w:tcPr>
            <w:tcW w:w="5560" w:type="dxa"/>
            <w:vAlign w:val="bottom"/>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2025</w:t>
            </w:r>
          </w:p>
        </w:tc>
        <w:tc>
          <w:tcPr>
            <w:tcW w:w="64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563"/>
              <w:spacing w:after="0"/>
              <w:rPr>
                <w:sz w:val="20"/>
                <w:szCs w:val="20"/>
                <w:color w:val="auto"/>
              </w:rPr>
            </w:pPr>
            <w:r>
              <w:rPr>
                <w:rFonts w:ascii="Arial" w:cs="Arial" w:eastAsia="Arial" w:hAnsi="Arial"/>
                <w:sz w:val="15"/>
                <w:szCs w:val="15"/>
                <w:color w:val="auto"/>
              </w:rPr>
              <w:t>2024</w:t>
            </w:r>
          </w:p>
        </w:tc>
      </w:tr>
      <w:tr>
        <w:trPr>
          <w:trHeight w:val="198"/>
        </w:trPr>
        <w:tc>
          <w:tcPr>
            <w:tcW w:w="2180" w:type="dxa"/>
            <w:vAlign w:val="bottom"/>
          </w:tcPr>
          <w:p>
            <w:pPr>
              <w:spacing w:after="0"/>
              <w:rPr>
                <w:sz w:val="17"/>
                <w:szCs w:val="17"/>
                <w:color w:val="auto"/>
              </w:rPr>
            </w:pPr>
          </w:p>
        </w:tc>
        <w:tc>
          <w:tcPr>
            <w:tcW w:w="55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80" w:type="dxa"/>
            <w:vAlign w:val="bottom"/>
            <w:gridSpan w:val="3"/>
          </w:tcPr>
          <w:p>
            <w:pPr>
              <w:jc w:val="right"/>
              <w:ind w:right="263"/>
              <w:spacing w:after="0"/>
              <w:rPr>
                <w:sz w:val="20"/>
                <w:szCs w:val="20"/>
                <w:color w:val="auto"/>
              </w:rPr>
            </w:pPr>
            <w:r>
              <w:rPr>
                <w:rFonts w:ascii="Arial" w:cs="Arial" w:eastAsia="Arial" w:hAnsi="Arial"/>
                <w:sz w:val="15"/>
                <w:szCs w:val="15"/>
                <w:color w:val="auto"/>
              </w:rPr>
              <w:t>(in millions)</w:t>
            </w:r>
          </w:p>
        </w:tc>
        <w:tc>
          <w:tcPr>
            <w:tcW w:w="1020" w:type="dxa"/>
            <w:vAlign w:val="bottom"/>
          </w:tcPr>
          <w:p>
            <w:pPr>
              <w:spacing w:after="0"/>
              <w:rPr>
                <w:sz w:val="17"/>
                <w:szCs w:val="17"/>
                <w:color w:val="auto"/>
              </w:rPr>
            </w:pPr>
          </w:p>
        </w:tc>
      </w:tr>
      <w:tr>
        <w:trPr>
          <w:trHeight w:val="209"/>
        </w:trPr>
        <w:tc>
          <w:tcPr>
            <w:tcW w:w="7740" w:type="dxa"/>
            <w:vAlign w:val="bottom"/>
            <w:gridSpan w:val="2"/>
          </w:tcPr>
          <w:p>
            <w:pPr>
              <w:ind w:left="20"/>
              <w:spacing w:after="0"/>
              <w:rPr>
                <w:sz w:val="20"/>
                <w:szCs w:val="20"/>
                <w:color w:val="auto"/>
              </w:rPr>
            </w:pPr>
            <w:r>
              <w:rPr>
                <w:rFonts w:ascii="Arial" w:cs="Arial" w:eastAsia="Arial" w:hAnsi="Arial"/>
                <w:sz w:val="15"/>
                <w:szCs w:val="15"/>
                <w:b w:val="1"/>
                <w:bCs w:val="1"/>
                <w:color w:val="auto"/>
              </w:rPr>
              <w:t>Assets Under Management:</w:t>
            </w:r>
          </w:p>
        </w:tc>
        <w:tc>
          <w:tcPr>
            <w:tcW w:w="10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04"/>
        </w:trPr>
        <w:tc>
          <w:tcPr>
            <w:tcW w:w="7740" w:type="dxa"/>
            <w:vAlign w:val="bottom"/>
            <w:gridSpan w:val="2"/>
          </w:tcPr>
          <w:p>
            <w:pPr>
              <w:ind w:left="20"/>
              <w:spacing w:after="0"/>
              <w:rPr>
                <w:sz w:val="20"/>
                <w:szCs w:val="20"/>
                <w:color w:val="auto"/>
              </w:rPr>
            </w:pPr>
            <w:r>
              <w:rPr>
                <w:rFonts w:ascii="Arial" w:cs="Arial" w:eastAsia="Arial" w:hAnsi="Arial"/>
                <w:sz w:val="15"/>
                <w:szCs w:val="15"/>
                <w:color w:val="auto"/>
              </w:rPr>
              <w:t>Closed-end funds</w:t>
            </w:r>
          </w:p>
        </w:tc>
        <w:tc>
          <w:tcPr>
            <w:tcW w:w="1000" w:type="dxa"/>
            <w:vAlign w:val="bottom"/>
          </w:tcPr>
          <w:p>
            <w:pPr>
              <w:jc w:val="right"/>
              <w:ind w:right="823"/>
              <w:spacing w:after="0"/>
              <w:rPr>
                <w:sz w:val="20"/>
                <w:szCs w:val="20"/>
                <w:color w:val="auto"/>
              </w:rPr>
            </w:pPr>
            <w:r>
              <w:rPr>
                <w:rFonts w:ascii="Arial" w:cs="Arial" w:eastAsia="Arial" w:hAnsi="Arial"/>
                <w:sz w:val="15"/>
                <w:szCs w:val="15"/>
                <w:color w:val="auto"/>
                <w:w w:val="95"/>
              </w:rPr>
              <w:t>$</w:t>
            </w:r>
          </w:p>
        </w:tc>
        <w:tc>
          <w:tcPr>
            <w:tcW w:w="640" w:type="dxa"/>
            <w:vAlign w:val="bottom"/>
          </w:tcPr>
          <w:p>
            <w:pPr>
              <w:jc w:val="right"/>
              <w:spacing w:after="0"/>
              <w:rPr>
                <w:sz w:val="20"/>
                <w:szCs w:val="20"/>
                <w:color w:val="auto"/>
              </w:rPr>
            </w:pPr>
            <w:r>
              <w:rPr>
                <w:rFonts w:ascii="Arial" w:cs="Arial" w:eastAsia="Arial" w:hAnsi="Arial"/>
                <w:sz w:val="15"/>
                <w:szCs w:val="15"/>
                <w:color w:val="auto"/>
              </w:rPr>
              <w:t>117,592</w:t>
            </w:r>
          </w:p>
        </w:tc>
        <w:tc>
          <w:tcPr>
            <w:tcW w:w="220" w:type="dxa"/>
            <w:vAlign w:val="bottom"/>
          </w:tcPr>
          <w:p>
            <w:pPr>
              <w:spacing w:after="0"/>
              <w:rPr>
                <w:sz w:val="17"/>
                <w:szCs w:val="17"/>
                <w:color w:val="auto"/>
              </w:rPr>
            </w:pPr>
          </w:p>
        </w:tc>
        <w:tc>
          <w:tcPr>
            <w:tcW w:w="620" w:type="dxa"/>
            <w:vAlign w:val="bottom"/>
          </w:tcPr>
          <w:p>
            <w:pPr>
              <w:jc w:val="right"/>
              <w:ind w:right="443"/>
              <w:spacing w:after="0"/>
              <w:rPr>
                <w:sz w:val="20"/>
                <w:szCs w:val="20"/>
                <w:color w:val="auto"/>
              </w:rPr>
            </w:pPr>
            <w:r>
              <w:rPr>
                <w:rFonts w:ascii="Arial" w:cs="Arial" w:eastAsia="Arial" w:hAnsi="Arial"/>
                <w:sz w:val="15"/>
                <w:szCs w:val="15"/>
                <w:color w:val="auto"/>
                <w:w w:val="95"/>
              </w:rPr>
              <w:t>$</w:t>
            </w:r>
          </w:p>
        </w:tc>
        <w:tc>
          <w:tcPr>
            <w:tcW w:w="1020" w:type="dxa"/>
            <w:vAlign w:val="bottom"/>
          </w:tcPr>
          <w:p>
            <w:pPr>
              <w:jc w:val="right"/>
              <w:spacing w:after="0"/>
              <w:rPr>
                <w:sz w:val="20"/>
                <w:szCs w:val="20"/>
                <w:color w:val="auto"/>
              </w:rPr>
            </w:pPr>
            <w:r>
              <w:rPr>
                <w:rFonts w:ascii="Arial" w:cs="Arial" w:eastAsia="Arial" w:hAnsi="Arial"/>
                <w:sz w:val="15"/>
                <w:szCs w:val="15"/>
                <w:color w:val="auto"/>
              </w:rPr>
              <w:t>113,157</w:t>
            </w:r>
          </w:p>
        </w:tc>
      </w:tr>
      <w:tr>
        <w:trPr>
          <w:trHeight w:val="206"/>
        </w:trPr>
        <w:tc>
          <w:tcPr>
            <w:tcW w:w="7740" w:type="dxa"/>
            <w:vAlign w:val="bottom"/>
            <w:gridSpan w:val="2"/>
          </w:tcPr>
          <w:p>
            <w:pPr>
              <w:ind w:left="20"/>
              <w:spacing w:after="0"/>
              <w:rPr>
                <w:sz w:val="20"/>
                <w:szCs w:val="20"/>
                <w:color w:val="auto"/>
              </w:rPr>
            </w:pPr>
            <w:r>
              <w:rPr>
                <w:rFonts w:ascii="Arial" w:cs="Arial" w:eastAsia="Arial" w:hAnsi="Arial"/>
                <w:sz w:val="15"/>
                <w:szCs w:val="15"/>
                <w:color w:val="auto"/>
              </w:rPr>
              <w:t>Open-end funds</w:t>
            </w:r>
          </w:p>
        </w:tc>
        <w:tc>
          <w:tcPr>
            <w:tcW w:w="10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55,132</w:t>
            </w: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46,074</w:t>
            </w:r>
          </w:p>
        </w:tc>
      </w:tr>
      <w:tr>
        <w:trPr>
          <w:trHeight w:val="206"/>
        </w:trPr>
        <w:tc>
          <w:tcPr>
            <w:tcW w:w="7740" w:type="dxa"/>
            <w:vAlign w:val="bottom"/>
            <w:gridSpan w:val="2"/>
          </w:tcPr>
          <w:p>
            <w:pPr>
              <w:ind w:left="20"/>
              <w:spacing w:after="0"/>
              <w:rPr>
                <w:sz w:val="20"/>
                <w:szCs w:val="20"/>
                <w:color w:val="auto"/>
              </w:rPr>
            </w:pPr>
            <w:r>
              <w:rPr>
                <w:rFonts w:ascii="Arial" w:cs="Arial" w:eastAsia="Arial" w:hAnsi="Arial"/>
                <w:sz w:val="15"/>
                <w:szCs w:val="15"/>
                <w:color w:val="auto"/>
              </w:rPr>
              <w:t>Evergreen funds</w:t>
            </w:r>
          </w:p>
        </w:tc>
        <w:tc>
          <w:tcPr>
            <w:tcW w:w="10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29,823</w:t>
            </w: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23,190</w:t>
            </w:r>
          </w:p>
        </w:tc>
      </w:tr>
      <w:tr>
        <w:trPr>
          <w:trHeight w:val="208"/>
        </w:trPr>
        <w:tc>
          <w:tcPr>
            <w:tcW w:w="7740" w:type="dxa"/>
            <w:vAlign w:val="bottom"/>
            <w:gridSpan w:val="2"/>
          </w:tcPr>
          <w:p>
            <w:pPr>
              <w:ind w:left="20"/>
              <w:spacing w:after="0" w:line="207" w:lineRule="exact"/>
              <w:rPr>
                <w:sz w:val="20"/>
                <w:szCs w:val="20"/>
                <w:color w:val="auto"/>
              </w:rPr>
            </w:pPr>
            <w:r>
              <w:rPr>
                <w:rFonts w:ascii="Arial" w:cs="Arial" w:eastAsia="Arial" w:hAnsi="Arial"/>
                <w:sz w:val="15"/>
                <w:szCs w:val="15"/>
                <w:color w:val="auto"/>
              </w:rPr>
              <w:t xml:space="preserve">DoubleLine and other minority corporate investment </w:t>
            </w:r>
            <w:r>
              <w:rPr>
                <w:rFonts w:ascii="Arial" w:cs="Arial" w:eastAsia="Arial" w:hAnsi="Arial"/>
                <w:sz w:val="20"/>
                <w:szCs w:val="20"/>
                <w:color w:val="auto"/>
                <w:vertAlign w:val="superscript"/>
              </w:rPr>
              <w:t>(1)</w:t>
            </w:r>
          </w:p>
        </w:tc>
        <w:tc>
          <w:tcPr>
            <w:tcW w:w="10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20,255</w:t>
            </w:r>
          </w:p>
        </w:tc>
        <w:tc>
          <w:tcPr>
            <w:tcW w:w="220" w:type="dxa"/>
            <w:vAlign w:val="bottom"/>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19,382</w:t>
            </w:r>
          </w:p>
        </w:tc>
      </w:tr>
      <w:tr>
        <w:trPr>
          <w:trHeight w:val="199"/>
        </w:trPr>
        <w:tc>
          <w:tcPr>
            <w:tcW w:w="7740" w:type="dxa"/>
            <w:vAlign w:val="bottom"/>
            <w:gridSpan w:val="2"/>
          </w:tcPr>
          <w:p>
            <w:pPr>
              <w:ind w:left="320"/>
              <w:spacing w:after="0"/>
              <w:rPr>
                <w:sz w:val="20"/>
                <w:szCs w:val="20"/>
                <w:color w:val="auto"/>
              </w:rPr>
            </w:pPr>
            <w:r>
              <w:rPr>
                <w:rFonts w:ascii="Arial" w:cs="Arial" w:eastAsia="Arial" w:hAnsi="Arial"/>
                <w:sz w:val="15"/>
                <w:szCs w:val="15"/>
                <w:color w:val="auto"/>
              </w:rPr>
              <w:t>Total</w:t>
            </w:r>
          </w:p>
        </w:tc>
        <w:tc>
          <w:tcPr>
            <w:tcW w:w="1000" w:type="dxa"/>
            <w:vAlign w:val="bottom"/>
            <w:tcBorders>
              <w:bottom w:val="single" w:sz="8" w:color="auto"/>
            </w:tcBorders>
          </w:tcPr>
          <w:p>
            <w:pPr>
              <w:jc w:val="right"/>
              <w:ind w:right="823"/>
              <w:spacing w:after="0"/>
              <w:rPr>
                <w:sz w:val="20"/>
                <w:szCs w:val="20"/>
                <w:color w:val="auto"/>
              </w:rPr>
            </w:pPr>
            <w:r>
              <w:rPr>
                <w:rFonts w:ascii="Arial" w:cs="Arial" w:eastAsia="Arial" w:hAnsi="Arial"/>
                <w:sz w:val="15"/>
                <w:szCs w:val="15"/>
                <w:color w:val="auto"/>
                <w:w w:val="95"/>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222,802</w:t>
            </w:r>
          </w:p>
        </w:tc>
        <w:tc>
          <w:tcPr>
            <w:tcW w:w="220" w:type="dxa"/>
            <w:vAlign w:val="bottom"/>
          </w:tcPr>
          <w:p>
            <w:pPr>
              <w:spacing w:after="0"/>
              <w:rPr>
                <w:sz w:val="17"/>
                <w:szCs w:val="17"/>
                <w:color w:val="auto"/>
              </w:rPr>
            </w:pPr>
          </w:p>
        </w:tc>
        <w:tc>
          <w:tcPr>
            <w:tcW w:w="620" w:type="dxa"/>
            <w:vAlign w:val="bottom"/>
            <w:tcBorders>
              <w:bottom w:val="single" w:sz="8" w:color="auto"/>
            </w:tcBorders>
          </w:tcPr>
          <w:p>
            <w:pPr>
              <w:jc w:val="right"/>
              <w:ind w:right="443"/>
              <w:spacing w:after="0"/>
              <w:rPr>
                <w:sz w:val="20"/>
                <w:szCs w:val="20"/>
                <w:color w:val="auto"/>
              </w:rPr>
            </w:pPr>
            <w:r>
              <w:rPr>
                <w:rFonts w:ascii="Arial" w:cs="Arial" w:eastAsia="Arial" w:hAnsi="Arial"/>
                <w:sz w:val="15"/>
                <w:szCs w:val="15"/>
                <w:color w:val="auto"/>
                <w:w w:val="95"/>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201,803</w:t>
            </w:r>
          </w:p>
        </w:tc>
      </w:tr>
      <w:tr>
        <w:trPr>
          <w:trHeight w:val="20"/>
        </w:trPr>
        <w:tc>
          <w:tcPr>
            <w:tcW w:w="218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159"/>
        </w:trPr>
        <w:tc>
          <w:tcPr>
            <w:tcW w:w="2180" w:type="dxa"/>
            <w:vAlign w:val="bottom"/>
            <w:tcBorders>
              <w:bottom w:val="single" w:sz="8" w:color="auto"/>
            </w:tcBorders>
          </w:tcPr>
          <w:p>
            <w:pPr>
              <w:spacing w:after="0"/>
              <w:rPr>
                <w:sz w:val="13"/>
                <w:szCs w:val="13"/>
                <w:color w:val="auto"/>
              </w:rPr>
            </w:pPr>
          </w:p>
        </w:tc>
        <w:tc>
          <w:tcPr>
            <w:tcW w:w="55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20" w:type="dxa"/>
            <w:vAlign w:val="bottom"/>
          </w:tcPr>
          <w:p>
            <w:pPr>
              <w:spacing w:after="0"/>
              <w:rPr>
                <w:sz w:val="13"/>
                <w:szCs w:val="13"/>
                <w:color w:val="auto"/>
              </w:rPr>
            </w:pPr>
          </w:p>
        </w:tc>
      </w:tr>
    </w:tbl>
    <w:p>
      <w:pPr>
        <w:spacing w:after="0" w:line="73" w:lineRule="exact"/>
        <w:rPr>
          <w:sz w:val="20"/>
          <w:szCs w:val="20"/>
          <w:color w:val="auto"/>
        </w:rPr>
      </w:pPr>
    </w:p>
    <w:p>
      <w:pPr>
        <w:ind w:left="280" w:hanging="277"/>
        <w:spacing w:after="0"/>
        <w:tabs>
          <w:tab w:leader="none" w:pos="280" w:val="left"/>
        </w:tabs>
        <w:numPr>
          <w:ilvl w:val="0"/>
          <w:numId w:val="11"/>
        </w:numPr>
        <w:rPr>
          <w:rFonts w:ascii="Arial" w:cs="Arial" w:eastAsia="Arial" w:hAnsi="Arial"/>
          <w:sz w:val="12"/>
          <w:szCs w:val="12"/>
          <w:color w:val="auto"/>
        </w:rPr>
      </w:pPr>
      <w:r>
        <w:rPr>
          <w:rFonts w:ascii="Arial" w:cs="Arial" w:eastAsia="Arial" w:hAnsi="Arial"/>
          <w:sz w:val="12"/>
          <w:szCs w:val="12"/>
          <w:color w:val="auto"/>
        </w:rPr>
        <w:t>Reflects Oaktree’s pro rata portion of DoubleLine’s (based on 20% ownership) and Duration Capital’s (based on 25% ownership) total AUM.</w:t>
      </w:r>
    </w:p>
    <w:p>
      <w:pPr>
        <w:spacing w:after="0" w:line="15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table details the change in Oaktree’s AUM during the years ended December 31, 2025 and 2024.</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300" w:type="dxa"/>
            <w:vAlign w:val="bottom"/>
          </w:tcPr>
          <w:p>
            <w:pPr>
              <w:spacing w:after="0"/>
              <w:rPr>
                <w:sz w:val="17"/>
                <w:szCs w:val="17"/>
                <w:color w:val="auto"/>
              </w:rPr>
            </w:pPr>
          </w:p>
        </w:tc>
        <w:tc>
          <w:tcPr>
            <w:tcW w:w="3100" w:type="dxa"/>
            <w:vAlign w:val="bottom"/>
            <w:tcBorders>
              <w:bottom w:val="single" w:sz="8" w:color="auto"/>
            </w:tcBorders>
            <w:gridSpan w:val="4"/>
          </w:tcPr>
          <w:p>
            <w:pPr>
              <w:jc w:val="right"/>
              <w:ind w:right="243"/>
              <w:spacing w:after="0"/>
              <w:rPr>
                <w:sz w:val="20"/>
                <w:szCs w:val="20"/>
                <w:color w:val="auto"/>
              </w:rPr>
            </w:pPr>
            <w:r>
              <w:rPr>
                <w:rFonts w:ascii="Arial" w:cs="Arial" w:eastAsia="Arial" w:hAnsi="Arial"/>
                <w:sz w:val="15"/>
                <w:szCs w:val="15"/>
                <w:color w:val="auto"/>
              </w:rPr>
              <w:t>Year ended December 31,</w:t>
            </w:r>
          </w:p>
        </w:tc>
        <w:tc>
          <w:tcPr>
            <w:tcW w:w="660" w:type="dxa"/>
            <w:vAlign w:val="bottom"/>
            <w:tcBorders>
              <w:bottom w:val="single" w:sz="8" w:color="auto"/>
            </w:tcBorders>
          </w:tcPr>
          <w:p>
            <w:pPr>
              <w:spacing w:after="0"/>
              <w:rPr>
                <w:sz w:val="17"/>
                <w:szCs w:val="17"/>
                <w:color w:val="auto"/>
              </w:rPr>
            </w:pPr>
          </w:p>
        </w:tc>
      </w:tr>
      <w:tr>
        <w:trPr>
          <w:trHeight w:val="199"/>
        </w:trPr>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300" w:type="dxa"/>
            <w:vAlign w:val="bottom"/>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2025</w:t>
            </w:r>
          </w:p>
        </w:tc>
        <w:tc>
          <w:tcPr>
            <w:tcW w:w="68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2024</w:t>
            </w:r>
          </w:p>
        </w:tc>
        <w:tc>
          <w:tcPr>
            <w:tcW w:w="660" w:type="dxa"/>
            <w:vAlign w:val="bottom"/>
            <w:tcBorders>
              <w:bottom w:val="single" w:sz="8" w:color="auto"/>
            </w:tcBorders>
          </w:tcPr>
          <w:p>
            <w:pPr>
              <w:spacing w:after="0"/>
              <w:rPr>
                <w:sz w:val="17"/>
                <w:szCs w:val="17"/>
                <w:color w:val="auto"/>
              </w:rPr>
            </w:pPr>
          </w:p>
        </w:tc>
      </w:tr>
      <w:tr>
        <w:trPr>
          <w:trHeight w:val="198"/>
        </w:trPr>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3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980" w:type="dxa"/>
            <w:vAlign w:val="bottom"/>
            <w:gridSpan w:val="3"/>
          </w:tcPr>
          <w:p>
            <w:pPr>
              <w:jc w:val="right"/>
              <w:ind w:right="743"/>
              <w:spacing w:after="0"/>
              <w:rPr>
                <w:sz w:val="20"/>
                <w:szCs w:val="20"/>
                <w:color w:val="auto"/>
              </w:rPr>
            </w:pPr>
            <w:r>
              <w:rPr>
                <w:rFonts w:ascii="Arial" w:cs="Arial" w:eastAsia="Arial" w:hAnsi="Arial"/>
                <w:sz w:val="15"/>
                <w:szCs w:val="15"/>
                <w:color w:val="auto"/>
              </w:rPr>
              <w:t>(in millions)</w:t>
            </w:r>
          </w:p>
        </w:tc>
        <w:tc>
          <w:tcPr>
            <w:tcW w:w="660" w:type="dxa"/>
            <w:vAlign w:val="bottom"/>
          </w:tcPr>
          <w:p>
            <w:pPr>
              <w:spacing w:after="0"/>
              <w:rPr>
                <w:sz w:val="17"/>
                <w:szCs w:val="17"/>
                <w:color w:val="auto"/>
              </w:rPr>
            </w:pPr>
          </w:p>
        </w:tc>
      </w:tr>
      <w:tr>
        <w:trPr>
          <w:trHeight w:val="260"/>
        </w:trPr>
        <w:tc>
          <w:tcPr>
            <w:tcW w:w="20" w:type="dxa"/>
            <w:vAlign w:val="bottom"/>
          </w:tcPr>
          <w:p>
            <w:pPr>
              <w:spacing w:after="0"/>
              <w:rPr>
                <w:sz w:val="22"/>
                <w:szCs w:val="22"/>
                <w:color w:val="auto"/>
              </w:rPr>
            </w:pPr>
          </w:p>
        </w:tc>
        <w:tc>
          <w:tcPr>
            <w:tcW w:w="7460" w:type="dxa"/>
            <w:vAlign w:val="bottom"/>
            <w:gridSpan w:val="6"/>
          </w:tcPr>
          <w:p>
            <w:pPr>
              <w:spacing w:after="0"/>
              <w:rPr>
                <w:sz w:val="20"/>
                <w:szCs w:val="20"/>
                <w:color w:val="auto"/>
              </w:rPr>
            </w:pPr>
            <w:r>
              <w:rPr>
                <w:rFonts w:ascii="Arial" w:cs="Arial" w:eastAsia="Arial" w:hAnsi="Arial"/>
                <w:sz w:val="15"/>
                <w:szCs w:val="15"/>
                <w:b w:val="1"/>
                <w:bCs w:val="1"/>
                <w:color w:val="auto"/>
              </w:rPr>
              <w:t>Beginning balance</w:t>
            </w:r>
          </w:p>
        </w:tc>
        <w:tc>
          <w:tcPr>
            <w:tcW w:w="1120" w:type="dxa"/>
            <w:vAlign w:val="bottom"/>
          </w:tcPr>
          <w:p>
            <w:pPr>
              <w:jc w:val="right"/>
              <w:ind w:right="943"/>
              <w:spacing w:after="0"/>
              <w:rPr>
                <w:sz w:val="20"/>
                <w:szCs w:val="20"/>
                <w:color w:val="auto"/>
              </w:rPr>
            </w:pPr>
            <w:r>
              <w:rPr>
                <w:rFonts w:ascii="Arial" w:cs="Arial" w:eastAsia="Arial" w:hAnsi="Arial"/>
                <w:sz w:val="15"/>
                <w:szCs w:val="15"/>
                <w:b w:val="1"/>
                <w:bCs w:val="1"/>
                <w:color w:val="auto"/>
                <w:w w:val="95"/>
              </w:rPr>
              <w:t>$</w:t>
            </w:r>
          </w:p>
        </w:tc>
        <w:tc>
          <w:tcPr>
            <w:tcW w:w="680" w:type="dxa"/>
            <w:vAlign w:val="bottom"/>
          </w:tcPr>
          <w:p>
            <w:pPr>
              <w:jc w:val="right"/>
              <w:ind w:right="3"/>
              <w:spacing w:after="0"/>
              <w:rPr>
                <w:sz w:val="20"/>
                <w:szCs w:val="20"/>
                <w:color w:val="auto"/>
              </w:rPr>
            </w:pPr>
            <w:r>
              <w:rPr>
                <w:rFonts w:ascii="Arial" w:cs="Arial" w:eastAsia="Arial" w:hAnsi="Arial"/>
                <w:sz w:val="15"/>
                <w:szCs w:val="15"/>
                <w:b w:val="1"/>
                <w:bCs w:val="1"/>
                <w:color w:val="auto"/>
              </w:rPr>
              <w:t>201,803</w:t>
            </w:r>
          </w:p>
        </w:tc>
        <w:tc>
          <w:tcPr>
            <w:tcW w:w="200" w:type="dxa"/>
            <w:vAlign w:val="bottom"/>
          </w:tcPr>
          <w:p>
            <w:pPr>
              <w:spacing w:after="0"/>
              <w:rPr>
                <w:sz w:val="22"/>
                <w:szCs w:val="22"/>
                <w:color w:val="auto"/>
              </w:rPr>
            </w:pPr>
          </w:p>
        </w:tc>
        <w:tc>
          <w:tcPr>
            <w:tcW w:w="1100" w:type="dxa"/>
            <w:vAlign w:val="bottom"/>
          </w:tcPr>
          <w:p>
            <w:pPr>
              <w:jc w:val="right"/>
              <w:ind w:right="923"/>
              <w:spacing w:after="0"/>
              <w:rPr>
                <w:sz w:val="20"/>
                <w:szCs w:val="20"/>
                <w:color w:val="auto"/>
              </w:rPr>
            </w:pPr>
            <w:r>
              <w:rPr>
                <w:rFonts w:ascii="Arial" w:cs="Arial" w:eastAsia="Arial" w:hAnsi="Arial"/>
                <w:sz w:val="15"/>
                <w:szCs w:val="15"/>
                <w:b w:val="1"/>
                <w:bCs w:val="1"/>
                <w:color w:val="auto"/>
                <w:w w:val="95"/>
              </w:rPr>
              <w:t>$</w:t>
            </w:r>
          </w:p>
        </w:tc>
        <w:tc>
          <w:tcPr>
            <w:tcW w:w="660" w:type="dxa"/>
            <w:vAlign w:val="bottom"/>
          </w:tcPr>
          <w:p>
            <w:pPr>
              <w:jc w:val="right"/>
              <w:spacing w:after="0"/>
              <w:rPr>
                <w:sz w:val="20"/>
                <w:szCs w:val="20"/>
                <w:color w:val="auto"/>
              </w:rPr>
            </w:pPr>
            <w:r>
              <w:rPr>
                <w:rFonts w:ascii="Arial" w:cs="Arial" w:eastAsia="Arial" w:hAnsi="Arial"/>
                <w:sz w:val="15"/>
                <w:szCs w:val="15"/>
                <w:b w:val="1"/>
                <w:bCs w:val="1"/>
                <w:color w:val="auto"/>
              </w:rPr>
              <w:t>189,171</w:t>
            </w:r>
          </w:p>
        </w:tc>
      </w:tr>
      <w:tr>
        <w:trPr>
          <w:trHeight w:val="167"/>
        </w:trPr>
        <w:tc>
          <w:tcPr>
            <w:tcW w:w="20" w:type="dxa"/>
            <w:vAlign w:val="bottom"/>
          </w:tcPr>
          <w:p>
            <w:pPr>
              <w:spacing w:after="0"/>
              <w:rPr>
                <w:sz w:val="14"/>
                <w:szCs w:val="14"/>
                <w:color w:val="auto"/>
              </w:rPr>
            </w:pPr>
          </w:p>
        </w:tc>
        <w:tc>
          <w:tcPr>
            <w:tcW w:w="1360" w:type="dxa"/>
            <w:vAlign w:val="bottom"/>
            <w:tcBorders>
              <w:bottom w:val="single" w:sz="8" w:color="auto"/>
            </w:tcBorders>
            <w:gridSpan w:val="4"/>
          </w:tcPr>
          <w:p>
            <w:pPr>
              <w:spacing w:after="0" w:line="167" w:lineRule="exact"/>
              <w:rPr>
                <w:sz w:val="20"/>
                <w:szCs w:val="20"/>
                <w:color w:val="auto"/>
              </w:rPr>
            </w:pPr>
            <w:r>
              <w:rPr>
                <w:rFonts w:ascii="Arial" w:cs="Arial" w:eastAsia="Arial" w:hAnsi="Arial"/>
                <w:sz w:val="15"/>
                <w:szCs w:val="15"/>
                <w:b w:val="1"/>
                <w:bCs w:val="1"/>
                <w:i w:val="1"/>
                <w:iCs w:val="1"/>
                <w:color w:val="auto"/>
              </w:rPr>
              <w:t>Closed-end funds:</w:t>
            </w:r>
          </w:p>
        </w:tc>
        <w:tc>
          <w:tcPr>
            <w:tcW w:w="6100" w:type="dxa"/>
            <w:vAlign w:val="bottom"/>
            <w:gridSpan w:val="2"/>
          </w:tcPr>
          <w:p>
            <w:pPr>
              <w:spacing w:after="0"/>
              <w:rPr>
                <w:sz w:val="14"/>
                <w:szCs w:val="14"/>
                <w:color w:val="auto"/>
              </w:rPr>
            </w:pPr>
          </w:p>
        </w:tc>
        <w:tc>
          <w:tcPr>
            <w:tcW w:w="1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226"/>
        </w:trPr>
        <w:tc>
          <w:tcPr>
            <w:tcW w:w="20" w:type="dxa"/>
            <w:vAlign w:val="bottom"/>
          </w:tcPr>
          <w:p>
            <w:pPr>
              <w:spacing w:after="0"/>
              <w:rPr>
                <w:sz w:val="19"/>
                <w:szCs w:val="19"/>
                <w:color w:val="auto"/>
              </w:rPr>
            </w:pPr>
          </w:p>
        </w:tc>
        <w:tc>
          <w:tcPr>
            <w:tcW w:w="7460" w:type="dxa"/>
            <w:vAlign w:val="bottom"/>
            <w:gridSpan w:val="6"/>
          </w:tcPr>
          <w:p>
            <w:pPr>
              <w:spacing w:after="0" w:line="226" w:lineRule="exact"/>
              <w:rPr>
                <w:sz w:val="20"/>
                <w:szCs w:val="20"/>
                <w:color w:val="auto"/>
              </w:rPr>
            </w:pPr>
            <w:r>
              <w:rPr>
                <w:rFonts w:ascii="Arial" w:cs="Arial" w:eastAsia="Arial" w:hAnsi="Arial"/>
                <w:sz w:val="15"/>
                <w:szCs w:val="15"/>
                <w:color w:val="auto"/>
              </w:rPr>
              <w:t xml:space="preserve">Capital commitments/other </w:t>
            </w:r>
            <w:r>
              <w:rPr>
                <w:rFonts w:ascii="Arial" w:cs="Arial" w:eastAsia="Arial" w:hAnsi="Arial"/>
                <w:sz w:val="20"/>
                <w:szCs w:val="20"/>
                <w:color w:val="auto"/>
                <w:vertAlign w:val="superscript"/>
              </w:rPr>
              <w:t>(2)</w:t>
            </w:r>
          </w:p>
        </w:tc>
        <w:tc>
          <w:tcPr>
            <w:tcW w:w="1120" w:type="dxa"/>
            <w:vAlign w:val="bottom"/>
          </w:tcPr>
          <w:p>
            <w:pPr>
              <w:spacing w:after="0"/>
              <w:rPr>
                <w:sz w:val="19"/>
                <w:szCs w:val="19"/>
                <w:color w:val="auto"/>
              </w:rPr>
            </w:pPr>
          </w:p>
        </w:tc>
        <w:tc>
          <w:tcPr>
            <w:tcW w:w="680" w:type="dxa"/>
            <w:vAlign w:val="bottom"/>
          </w:tcPr>
          <w:p>
            <w:pPr>
              <w:jc w:val="right"/>
              <w:ind w:right="3"/>
              <w:spacing w:after="0"/>
              <w:rPr>
                <w:sz w:val="20"/>
                <w:szCs w:val="20"/>
                <w:color w:val="auto"/>
              </w:rPr>
            </w:pPr>
            <w:r>
              <w:rPr>
                <w:rFonts w:ascii="Arial" w:cs="Arial" w:eastAsia="Arial" w:hAnsi="Arial"/>
                <w:sz w:val="15"/>
                <w:szCs w:val="15"/>
                <w:color w:val="auto"/>
              </w:rPr>
              <w:t>14,324</w:t>
            </w: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15,508</w:t>
            </w:r>
          </w:p>
        </w:tc>
      </w:tr>
      <w:tr>
        <w:trPr>
          <w:trHeight w:val="204"/>
        </w:trPr>
        <w:tc>
          <w:tcPr>
            <w:tcW w:w="20" w:type="dxa"/>
            <w:vAlign w:val="bottom"/>
          </w:tcPr>
          <w:p>
            <w:pPr>
              <w:spacing w:after="0"/>
              <w:rPr>
                <w:sz w:val="17"/>
                <w:szCs w:val="17"/>
                <w:color w:val="auto"/>
              </w:rPr>
            </w:pPr>
          </w:p>
        </w:tc>
        <w:tc>
          <w:tcPr>
            <w:tcW w:w="7460" w:type="dxa"/>
            <w:vAlign w:val="bottom"/>
            <w:gridSpan w:val="6"/>
          </w:tcPr>
          <w:p>
            <w:pPr>
              <w:spacing w:after="0"/>
              <w:rPr>
                <w:sz w:val="20"/>
                <w:szCs w:val="20"/>
                <w:color w:val="auto"/>
              </w:rPr>
            </w:pPr>
            <w:r>
              <w:rPr>
                <w:rFonts w:ascii="Arial" w:cs="Arial" w:eastAsia="Arial" w:hAnsi="Arial"/>
                <w:sz w:val="15"/>
                <w:szCs w:val="15"/>
                <w:color w:val="auto"/>
              </w:rPr>
              <w:t>Acquisitions and divestitures</w:t>
            </w:r>
          </w:p>
        </w:tc>
        <w:tc>
          <w:tcPr>
            <w:tcW w:w="1120" w:type="dxa"/>
            <w:vAlign w:val="bottom"/>
          </w:tcPr>
          <w:p>
            <w:pPr>
              <w:spacing w:after="0"/>
              <w:rPr>
                <w:sz w:val="17"/>
                <w:szCs w:val="17"/>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1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(2,053)</w:t>
            </w:r>
          </w:p>
        </w:tc>
      </w:tr>
      <w:tr>
        <w:trPr>
          <w:trHeight w:val="209"/>
        </w:trPr>
        <w:tc>
          <w:tcPr>
            <w:tcW w:w="20" w:type="dxa"/>
            <w:vAlign w:val="bottom"/>
          </w:tcPr>
          <w:p>
            <w:pPr>
              <w:spacing w:after="0"/>
              <w:rPr>
                <w:sz w:val="18"/>
                <w:szCs w:val="18"/>
                <w:color w:val="auto"/>
              </w:rPr>
            </w:pPr>
          </w:p>
        </w:tc>
        <w:tc>
          <w:tcPr>
            <w:tcW w:w="7460" w:type="dxa"/>
            <w:vAlign w:val="bottom"/>
            <w:gridSpan w:val="6"/>
          </w:tcPr>
          <w:p>
            <w:pPr>
              <w:spacing w:after="0" w:line="208" w:lineRule="exact"/>
              <w:rPr>
                <w:sz w:val="20"/>
                <w:szCs w:val="20"/>
                <w:color w:val="auto"/>
              </w:rPr>
            </w:pPr>
            <w:r>
              <w:rPr>
                <w:rFonts w:ascii="Arial" w:cs="Arial" w:eastAsia="Arial" w:hAnsi="Arial"/>
                <w:sz w:val="15"/>
                <w:szCs w:val="15"/>
                <w:color w:val="auto"/>
              </w:rPr>
              <w:t xml:space="preserve">Distributions for a realization event/other </w:t>
            </w:r>
            <w:r>
              <w:rPr>
                <w:rFonts w:ascii="Arial" w:cs="Arial" w:eastAsia="Arial" w:hAnsi="Arial"/>
                <w:sz w:val="20"/>
                <w:szCs w:val="20"/>
                <w:color w:val="auto"/>
                <w:vertAlign w:val="superscript"/>
              </w:rPr>
              <w:t>(3)</w:t>
            </w:r>
          </w:p>
        </w:tc>
        <w:tc>
          <w:tcPr>
            <w:tcW w:w="1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(13,978)</w:t>
            </w: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(13,052)</w:t>
            </w:r>
          </w:p>
        </w:tc>
      </w:tr>
      <w:tr>
        <w:trPr>
          <w:trHeight w:val="206"/>
        </w:trPr>
        <w:tc>
          <w:tcPr>
            <w:tcW w:w="20" w:type="dxa"/>
            <w:vAlign w:val="bottom"/>
          </w:tcPr>
          <w:p>
            <w:pPr>
              <w:spacing w:after="0"/>
              <w:rPr>
                <w:sz w:val="17"/>
                <w:szCs w:val="17"/>
                <w:color w:val="auto"/>
              </w:rPr>
            </w:pPr>
          </w:p>
        </w:tc>
        <w:tc>
          <w:tcPr>
            <w:tcW w:w="7460" w:type="dxa"/>
            <w:vAlign w:val="bottom"/>
            <w:gridSpan w:val="6"/>
          </w:tcPr>
          <w:p>
            <w:pPr>
              <w:spacing w:after="0" w:line="207" w:lineRule="exact"/>
              <w:rPr>
                <w:sz w:val="20"/>
                <w:szCs w:val="20"/>
                <w:color w:val="auto"/>
              </w:rPr>
            </w:pPr>
            <w:r>
              <w:rPr>
                <w:rFonts w:ascii="Arial" w:cs="Arial" w:eastAsia="Arial" w:hAnsi="Arial"/>
                <w:sz w:val="15"/>
                <w:szCs w:val="15"/>
                <w:color w:val="auto"/>
              </w:rPr>
              <w:t xml:space="preserve">Change in uncalled capital commitments for funds entering or in liquidation </w:t>
            </w:r>
            <w:r>
              <w:rPr>
                <w:rFonts w:ascii="Arial" w:cs="Arial" w:eastAsia="Arial" w:hAnsi="Arial"/>
                <w:sz w:val="20"/>
                <w:szCs w:val="20"/>
                <w:color w:val="auto"/>
                <w:vertAlign w:val="superscript"/>
              </w:rPr>
              <w:t>(4)</w:t>
            </w:r>
          </w:p>
        </w:tc>
        <w:tc>
          <w:tcPr>
            <w:tcW w:w="11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(1,973)</w:t>
            </w: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(2,215)</w:t>
            </w:r>
          </w:p>
        </w:tc>
      </w:tr>
      <w:tr>
        <w:trPr>
          <w:trHeight w:val="206"/>
        </w:trPr>
        <w:tc>
          <w:tcPr>
            <w:tcW w:w="20" w:type="dxa"/>
            <w:vAlign w:val="bottom"/>
          </w:tcPr>
          <w:p>
            <w:pPr>
              <w:spacing w:after="0"/>
              <w:rPr>
                <w:sz w:val="17"/>
                <w:szCs w:val="17"/>
                <w:color w:val="auto"/>
              </w:rPr>
            </w:pPr>
          </w:p>
        </w:tc>
        <w:tc>
          <w:tcPr>
            <w:tcW w:w="7460" w:type="dxa"/>
            <w:vAlign w:val="bottom"/>
            <w:gridSpan w:val="6"/>
          </w:tcPr>
          <w:p>
            <w:pPr>
              <w:spacing w:after="0" w:line="207" w:lineRule="exact"/>
              <w:rPr>
                <w:sz w:val="20"/>
                <w:szCs w:val="20"/>
                <w:color w:val="auto"/>
              </w:rPr>
            </w:pPr>
            <w:r>
              <w:rPr>
                <w:rFonts w:ascii="Arial" w:cs="Arial" w:eastAsia="Arial" w:hAnsi="Arial"/>
                <w:sz w:val="15"/>
                <w:szCs w:val="15"/>
                <w:color w:val="auto"/>
              </w:rPr>
              <w:t xml:space="preserve">Change in market value, foreign-currency translation, and transfers, net </w:t>
            </w:r>
            <w:r>
              <w:rPr>
                <w:rFonts w:ascii="Arial" w:cs="Arial" w:eastAsia="Arial" w:hAnsi="Arial"/>
                <w:sz w:val="20"/>
                <w:szCs w:val="20"/>
                <w:color w:val="auto"/>
                <w:vertAlign w:val="superscript"/>
              </w:rPr>
              <w:t>(5)</w:t>
            </w:r>
          </w:p>
        </w:tc>
        <w:tc>
          <w:tcPr>
            <w:tcW w:w="1120" w:type="dxa"/>
            <w:vAlign w:val="bottom"/>
          </w:tcPr>
          <w:p>
            <w:pPr>
              <w:spacing w:after="0"/>
              <w:rPr>
                <w:sz w:val="17"/>
                <w:szCs w:val="17"/>
                <w:color w:val="auto"/>
              </w:rPr>
            </w:pPr>
          </w:p>
        </w:tc>
        <w:tc>
          <w:tcPr>
            <w:tcW w:w="680" w:type="dxa"/>
            <w:vAlign w:val="bottom"/>
          </w:tcPr>
          <w:p>
            <w:pPr>
              <w:jc w:val="right"/>
              <w:ind w:right="3"/>
              <w:spacing w:after="0"/>
              <w:rPr>
                <w:sz w:val="20"/>
                <w:szCs w:val="20"/>
                <w:color w:val="auto"/>
              </w:rPr>
            </w:pPr>
            <w:r>
              <w:rPr>
                <w:rFonts w:ascii="Arial" w:cs="Arial" w:eastAsia="Arial" w:hAnsi="Arial"/>
                <w:sz w:val="15"/>
                <w:szCs w:val="15"/>
                <w:color w:val="auto"/>
              </w:rPr>
              <w:t>6,062</w:t>
            </w: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4,829</w:t>
            </w:r>
          </w:p>
        </w:tc>
      </w:tr>
      <w:tr>
        <w:trPr>
          <w:trHeight w:val="167"/>
        </w:trPr>
        <w:tc>
          <w:tcPr>
            <w:tcW w:w="20" w:type="dxa"/>
            <w:vAlign w:val="bottom"/>
          </w:tcPr>
          <w:p>
            <w:pPr>
              <w:spacing w:after="0"/>
              <w:rPr>
                <w:sz w:val="14"/>
                <w:szCs w:val="14"/>
                <w:color w:val="auto"/>
              </w:rPr>
            </w:pPr>
          </w:p>
        </w:tc>
        <w:tc>
          <w:tcPr>
            <w:tcW w:w="1240" w:type="dxa"/>
            <w:vAlign w:val="bottom"/>
            <w:tcBorders>
              <w:bottom w:val="single" w:sz="8" w:color="auto"/>
            </w:tcBorders>
            <w:gridSpan w:val="2"/>
          </w:tcPr>
          <w:p>
            <w:pPr>
              <w:spacing w:after="0" w:line="167" w:lineRule="exact"/>
              <w:rPr>
                <w:sz w:val="20"/>
                <w:szCs w:val="20"/>
                <w:color w:val="auto"/>
              </w:rPr>
            </w:pPr>
            <w:r>
              <w:rPr>
                <w:rFonts w:ascii="Arial" w:cs="Arial" w:eastAsia="Arial" w:hAnsi="Arial"/>
                <w:sz w:val="15"/>
                <w:szCs w:val="15"/>
                <w:b w:val="1"/>
                <w:bCs w:val="1"/>
                <w:i w:val="1"/>
                <w:iCs w:val="1"/>
                <w:color w:val="auto"/>
              </w:rPr>
              <w:t>Open-end funds:</w:t>
            </w:r>
          </w:p>
        </w:tc>
        <w:tc>
          <w:tcPr>
            <w:tcW w:w="6220" w:type="dxa"/>
            <w:vAlign w:val="bottom"/>
            <w:gridSpan w:val="4"/>
          </w:tcPr>
          <w:p>
            <w:pPr>
              <w:spacing w:after="0"/>
              <w:rPr>
                <w:sz w:val="14"/>
                <w:szCs w:val="14"/>
                <w:color w:val="auto"/>
              </w:rPr>
            </w:pPr>
          </w:p>
        </w:tc>
        <w:tc>
          <w:tcPr>
            <w:tcW w:w="1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223"/>
        </w:trPr>
        <w:tc>
          <w:tcPr>
            <w:tcW w:w="20" w:type="dxa"/>
            <w:vAlign w:val="bottom"/>
          </w:tcPr>
          <w:p>
            <w:pPr>
              <w:spacing w:after="0"/>
              <w:rPr>
                <w:sz w:val="19"/>
                <w:szCs w:val="19"/>
                <w:color w:val="auto"/>
              </w:rPr>
            </w:pPr>
          </w:p>
        </w:tc>
        <w:tc>
          <w:tcPr>
            <w:tcW w:w="7460" w:type="dxa"/>
            <w:vAlign w:val="bottom"/>
            <w:gridSpan w:val="6"/>
          </w:tcPr>
          <w:p>
            <w:pPr>
              <w:spacing w:after="0"/>
              <w:rPr>
                <w:sz w:val="20"/>
                <w:szCs w:val="20"/>
                <w:color w:val="auto"/>
              </w:rPr>
            </w:pPr>
            <w:r>
              <w:rPr>
                <w:rFonts w:ascii="Arial" w:cs="Arial" w:eastAsia="Arial" w:hAnsi="Arial"/>
                <w:sz w:val="15"/>
                <w:szCs w:val="15"/>
                <w:color w:val="auto"/>
              </w:rPr>
              <w:t>Contributions</w:t>
            </w:r>
          </w:p>
        </w:tc>
        <w:tc>
          <w:tcPr>
            <w:tcW w:w="1120" w:type="dxa"/>
            <w:vAlign w:val="bottom"/>
          </w:tcPr>
          <w:p>
            <w:pPr>
              <w:spacing w:after="0"/>
              <w:rPr>
                <w:sz w:val="19"/>
                <w:szCs w:val="19"/>
                <w:color w:val="auto"/>
              </w:rPr>
            </w:pPr>
          </w:p>
        </w:tc>
        <w:tc>
          <w:tcPr>
            <w:tcW w:w="680" w:type="dxa"/>
            <w:vAlign w:val="bottom"/>
          </w:tcPr>
          <w:p>
            <w:pPr>
              <w:jc w:val="right"/>
              <w:ind w:right="3"/>
              <w:spacing w:after="0"/>
              <w:rPr>
                <w:sz w:val="20"/>
                <w:szCs w:val="20"/>
                <w:color w:val="auto"/>
              </w:rPr>
            </w:pPr>
            <w:r>
              <w:rPr>
                <w:rFonts w:ascii="Arial" w:cs="Arial" w:eastAsia="Arial" w:hAnsi="Arial"/>
                <w:sz w:val="15"/>
                <w:szCs w:val="15"/>
                <w:color w:val="auto"/>
              </w:rPr>
              <w:t>11,473</w:t>
            </w: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14,419</w:t>
            </w:r>
          </w:p>
        </w:tc>
      </w:tr>
      <w:tr>
        <w:trPr>
          <w:trHeight w:val="206"/>
        </w:trPr>
        <w:tc>
          <w:tcPr>
            <w:tcW w:w="20" w:type="dxa"/>
            <w:vAlign w:val="bottom"/>
          </w:tcPr>
          <w:p>
            <w:pPr>
              <w:spacing w:after="0"/>
              <w:rPr>
                <w:sz w:val="17"/>
                <w:szCs w:val="17"/>
                <w:color w:val="auto"/>
              </w:rPr>
            </w:pPr>
          </w:p>
        </w:tc>
        <w:tc>
          <w:tcPr>
            <w:tcW w:w="7460" w:type="dxa"/>
            <w:vAlign w:val="bottom"/>
            <w:gridSpan w:val="6"/>
          </w:tcPr>
          <w:p>
            <w:pPr>
              <w:spacing w:after="0"/>
              <w:rPr>
                <w:sz w:val="20"/>
                <w:szCs w:val="20"/>
                <w:color w:val="auto"/>
              </w:rPr>
            </w:pPr>
            <w:r>
              <w:rPr>
                <w:rFonts w:ascii="Arial" w:cs="Arial" w:eastAsia="Arial" w:hAnsi="Arial"/>
                <w:sz w:val="15"/>
                <w:szCs w:val="15"/>
                <w:color w:val="auto"/>
              </w:rPr>
              <w:t>Redemptions</w:t>
            </w:r>
          </w:p>
        </w:tc>
        <w:tc>
          <w:tcPr>
            <w:tcW w:w="11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(9,191)</w:t>
            </w: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(10,316)</w:t>
            </w:r>
          </w:p>
        </w:tc>
      </w:tr>
      <w:tr>
        <w:trPr>
          <w:trHeight w:val="209"/>
        </w:trPr>
        <w:tc>
          <w:tcPr>
            <w:tcW w:w="20" w:type="dxa"/>
            <w:vAlign w:val="bottom"/>
          </w:tcPr>
          <w:p>
            <w:pPr>
              <w:spacing w:after="0"/>
              <w:rPr>
                <w:sz w:val="18"/>
                <w:szCs w:val="18"/>
                <w:color w:val="auto"/>
              </w:rPr>
            </w:pPr>
          </w:p>
        </w:tc>
        <w:tc>
          <w:tcPr>
            <w:tcW w:w="7460" w:type="dxa"/>
            <w:vAlign w:val="bottom"/>
            <w:gridSpan w:val="6"/>
          </w:tcPr>
          <w:p>
            <w:pPr>
              <w:spacing w:after="0" w:line="208" w:lineRule="exact"/>
              <w:rPr>
                <w:sz w:val="20"/>
                <w:szCs w:val="20"/>
                <w:color w:val="auto"/>
              </w:rPr>
            </w:pPr>
            <w:r>
              <w:rPr>
                <w:rFonts w:ascii="Arial" w:cs="Arial" w:eastAsia="Arial" w:hAnsi="Arial"/>
                <w:sz w:val="15"/>
                <w:szCs w:val="15"/>
                <w:color w:val="auto"/>
              </w:rPr>
              <w:t xml:space="preserve">Change in market value, and foreign-currency translation, and transfers, net </w:t>
            </w:r>
            <w:r>
              <w:rPr>
                <w:rFonts w:ascii="Arial" w:cs="Arial" w:eastAsia="Arial" w:hAnsi="Arial"/>
                <w:sz w:val="20"/>
                <w:szCs w:val="20"/>
                <w:color w:val="auto"/>
                <w:vertAlign w:val="superscript"/>
              </w:rPr>
              <w:t>(5)</w:t>
            </w:r>
          </w:p>
        </w:tc>
        <w:tc>
          <w:tcPr>
            <w:tcW w:w="1120" w:type="dxa"/>
            <w:vAlign w:val="bottom"/>
          </w:tcPr>
          <w:p>
            <w:pPr>
              <w:spacing w:after="0"/>
              <w:rPr>
                <w:sz w:val="18"/>
                <w:szCs w:val="18"/>
                <w:color w:val="auto"/>
              </w:rPr>
            </w:pPr>
          </w:p>
        </w:tc>
        <w:tc>
          <w:tcPr>
            <w:tcW w:w="680" w:type="dxa"/>
            <w:vAlign w:val="bottom"/>
          </w:tcPr>
          <w:p>
            <w:pPr>
              <w:jc w:val="right"/>
              <w:ind w:right="3"/>
              <w:spacing w:after="0"/>
              <w:rPr>
                <w:sz w:val="20"/>
                <w:szCs w:val="20"/>
                <w:color w:val="auto"/>
              </w:rPr>
            </w:pPr>
            <w:r>
              <w:rPr>
                <w:rFonts w:ascii="Arial" w:cs="Arial" w:eastAsia="Arial" w:hAnsi="Arial"/>
                <w:sz w:val="15"/>
                <w:szCs w:val="15"/>
                <w:color w:val="auto"/>
              </w:rPr>
              <w:t>6,775</w:t>
            </w: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2,481</w:t>
            </w:r>
          </w:p>
        </w:tc>
      </w:tr>
      <w:tr>
        <w:trPr>
          <w:trHeight w:val="167"/>
        </w:trPr>
        <w:tc>
          <w:tcPr>
            <w:tcW w:w="20" w:type="dxa"/>
            <w:vAlign w:val="bottom"/>
          </w:tcPr>
          <w:p>
            <w:pPr>
              <w:spacing w:after="0"/>
              <w:rPr>
                <w:sz w:val="14"/>
                <w:szCs w:val="14"/>
                <w:color w:val="auto"/>
              </w:rPr>
            </w:pPr>
          </w:p>
        </w:tc>
        <w:tc>
          <w:tcPr>
            <w:tcW w:w="1280" w:type="dxa"/>
            <w:vAlign w:val="bottom"/>
            <w:tcBorders>
              <w:bottom w:val="single" w:sz="8" w:color="auto"/>
            </w:tcBorders>
            <w:gridSpan w:val="3"/>
          </w:tcPr>
          <w:p>
            <w:pPr>
              <w:spacing w:after="0" w:line="167" w:lineRule="exact"/>
              <w:rPr>
                <w:sz w:val="20"/>
                <w:szCs w:val="20"/>
                <w:color w:val="auto"/>
              </w:rPr>
            </w:pPr>
            <w:r>
              <w:rPr>
                <w:rFonts w:ascii="Arial" w:cs="Arial" w:eastAsia="Arial" w:hAnsi="Arial"/>
                <w:sz w:val="15"/>
                <w:szCs w:val="15"/>
                <w:b w:val="1"/>
                <w:bCs w:val="1"/>
                <w:i w:val="1"/>
                <w:iCs w:val="1"/>
                <w:color w:val="auto"/>
              </w:rPr>
              <w:t>Evergreen funds:</w:t>
            </w:r>
          </w:p>
        </w:tc>
        <w:tc>
          <w:tcPr>
            <w:tcW w:w="6180" w:type="dxa"/>
            <w:vAlign w:val="bottom"/>
            <w:gridSpan w:val="3"/>
          </w:tcPr>
          <w:p>
            <w:pPr>
              <w:spacing w:after="0"/>
              <w:rPr>
                <w:sz w:val="14"/>
                <w:szCs w:val="14"/>
                <w:color w:val="auto"/>
              </w:rPr>
            </w:pPr>
          </w:p>
        </w:tc>
        <w:tc>
          <w:tcPr>
            <w:tcW w:w="1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226"/>
        </w:trPr>
        <w:tc>
          <w:tcPr>
            <w:tcW w:w="20" w:type="dxa"/>
            <w:vAlign w:val="bottom"/>
          </w:tcPr>
          <w:p>
            <w:pPr>
              <w:spacing w:after="0"/>
              <w:rPr>
                <w:sz w:val="19"/>
                <w:szCs w:val="19"/>
                <w:color w:val="auto"/>
              </w:rPr>
            </w:pPr>
          </w:p>
        </w:tc>
        <w:tc>
          <w:tcPr>
            <w:tcW w:w="7460" w:type="dxa"/>
            <w:vAlign w:val="bottom"/>
            <w:gridSpan w:val="6"/>
          </w:tcPr>
          <w:p>
            <w:pPr>
              <w:spacing w:after="0" w:line="226" w:lineRule="exact"/>
              <w:rPr>
                <w:sz w:val="20"/>
                <w:szCs w:val="20"/>
                <w:color w:val="auto"/>
              </w:rPr>
            </w:pPr>
            <w:r>
              <w:rPr>
                <w:rFonts w:ascii="Arial" w:cs="Arial" w:eastAsia="Arial" w:hAnsi="Arial"/>
                <w:sz w:val="15"/>
                <w:szCs w:val="15"/>
                <w:color w:val="auto"/>
              </w:rPr>
              <w:t xml:space="preserve">Contributions or new capital commitments </w:t>
            </w:r>
            <w:r>
              <w:rPr>
                <w:rFonts w:ascii="Arial" w:cs="Arial" w:eastAsia="Arial" w:hAnsi="Arial"/>
                <w:sz w:val="20"/>
                <w:szCs w:val="20"/>
                <w:color w:val="auto"/>
                <w:vertAlign w:val="superscript"/>
              </w:rPr>
              <w:t>(6)</w:t>
            </w:r>
          </w:p>
        </w:tc>
        <w:tc>
          <w:tcPr>
            <w:tcW w:w="1120" w:type="dxa"/>
            <w:vAlign w:val="bottom"/>
          </w:tcPr>
          <w:p>
            <w:pPr>
              <w:spacing w:after="0"/>
              <w:rPr>
                <w:sz w:val="19"/>
                <w:szCs w:val="19"/>
                <w:color w:val="auto"/>
              </w:rPr>
            </w:pPr>
          </w:p>
        </w:tc>
        <w:tc>
          <w:tcPr>
            <w:tcW w:w="680" w:type="dxa"/>
            <w:vAlign w:val="bottom"/>
          </w:tcPr>
          <w:p>
            <w:pPr>
              <w:jc w:val="right"/>
              <w:ind w:right="3"/>
              <w:spacing w:after="0"/>
              <w:rPr>
                <w:sz w:val="20"/>
                <w:szCs w:val="20"/>
                <w:color w:val="auto"/>
              </w:rPr>
            </w:pPr>
            <w:r>
              <w:rPr>
                <w:rFonts w:ascii="Arial" w:cs="Arial" w:eastAsia="Arial" w:hAnsi="Arial"/>
                <w:sz w:val="15"/>
                <w:szCs w:val="15"/>
                <w:color w:val="auto"/>
              </w:rPr>
              <w:t>8,921</w:t>
            </w: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5,344</w:t>
            </w:r>
          </w:p>
        </w:tc>
      </w:tr>
      <w:tr>
        <w:trPr>
          <w:trHeight w:val="206"/>
        </w:trPr>
        <w:tc>
          <w:tcPr>
            <w:tcW w:w="20" w:type="dxa"/>
            <w:vAlign w:val="bottom"/>
          </w:tcPr>
          <w:p>
            <w:pPr>
              <w:spacing w:after="0"/>
              <w:rPr>
                <w:sz w:val="17"/>
                <w:szCs w:val="17"/>
                <w:color w:val="auto"/>
              </w:rPr>
            </w:pPr>
          </w:p>
        </w:tc>
        <w:tc>
          <w:tcPr>
            <w:tcW w:w="7460" w:type="dxa"/>
            <w:vAlign w:val="bottom"/>
            <w:gridSpan w:val="6"/>
          </w:tcPr>
          <w:p>
            <w:pPr>
              <w:spacing w:after="0" w:line="207" w:lineRule="exact"/>
              <w:rPr>
                <w:sz w:val="20"/>
                <w:szCs w:val="20"/>
                <w:color w:val="auto"/>
              </w:rPr>
            </w:pPr>
            <w:r>
              <w:rPr>
                <w:rFonts w:ascii="Arial" w:cs="Arial" w:eastAsia="Arial" w:hAnsi="Arial"/>
                <w:sz w:val="15"/>
                <w:szCs w:val="15"/>
                <w:color w:val="auto"/>
              </w:rPr>
              <w:t xml:space="preserve">Redemptions or distributions </w:t>
            </w:r>
            <w:r>
              <w:rPr>
                <w:rFonts w:ascii="Arial" w:cs="Arial" w:eastAsia="Arial" w:hAnsi="Arial"/>
                <w:sz w:val="20"/>
                <w:szCs w:val="20"/>
                <w:color w:val="auto"/>
                <w:vertAlign w:val="superscript"/>
              </w:rPr>
              <w:t>(7)</w:t>
            </w:r>
          </w:p>
        </w:tc>
        <w:tc>
          <w:tcPr>
            <w:tcW w:w="11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(3,477)</w:t>
            </w: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(3,003)</w:t>
            </w:r>
          </w:p>
        </w:tc>
      </w:tr>
      <w:tr>
        <w:trPr>
          <w:trHeight w:val="206"/>
        </w:trPr>
        <w:tc>
          <w:tcPr>
            <w:tcW w:w="20" w:type="dxa"/>
            <w:vAlign w:val="bottom"/>
          </w:tcPr>
          <w:p>
            <w:pPr>
              <w:spacing w:after="0"/>
              <w:rPr>
                <w:sz w:val="17"/>
                <w:szCs w:val="17"/>
                <w:color w:val="auto"/>
              </w:rPr>
            </w:pPr>
          </w:p>
        </w:tc>
        <w:tc>
          <w:tcPr>
            <w:tcW w:w="7460" w:type="dxa"/>
            <w:vAlign w:val="bottom"/>
            <w:gridSpan w:val="6"/>
          </w:tcPr>
          <w:p>
            <w:pPr>
              <w:spacing w:after="0" w:line="207" w:lineRule="exact"/>
              <w:rPr>
                <w:sz w:val="20"/>
                <w:szCs w:val="20"/>
                <w:color w:val="auto"/>
              </w:rPr>
            </w:pPr>
            <w:r>
              <w:rPr>
                <w:rFonts w:ascii="Arial" w:cs="Arial" w:eastAsia="Arial" w:hAnsi="Arial"/>
                <w:sz w:val="15"/>
                <w:szCs w:val="15"/>
                <w:color w:val="auto"/>
              </w:rPr>
              <w:t xml:space="preserve">Change in uncalled capital commitments for funds entering or in liquidation </w:t>
            </w:r>
            <w:r>
              <w:rPr>
                <w:rFonts w:ascii="Arial" w:cs="Arial" w:eastAsia="Arial" w:hAnsi="Arial"/>
                <w:sz w:val="20"/>
                <w:szCs w:val="20"/>
                <w:color w:val="auto"/>
                <w:vertAlign w:val="superscript"/>
              </w:rPr>
              <w:t>(4)</w:t>
            </w:r>
          </w:p>
        </w:tc>
        <w:tc>
          <w:tcPr>
            <w:tcW w:w="11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(3)</w:t>
            </w: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(1)</w:t>
            </w:r>
          </w:p>
        </w:tc>
      </w:tr>
      <w:tr>
        <w:trPr>
          <w:trHeight w:val="204"/>
        </w:trPr>
        <w:tc>
          <w:tcPr>
            <w:tcW w:w="20" w:type="dxa"/>
            <w:vAlign w:val="bottom"/>
          </w:tcPr>
          <w:p>
            <w:pPr>
              <w:spacing w:after="0"/>
              <w:rPr>
                <w:sz w:val="17"/>
                <w:szCs w:val="17"/>
                <w:color w:val="auto"/>
              </w:rPr>
            </w:pPr>
          </w:p>
        </w:tc>
        <w:tc>
          <w:tcPr>
            <w:tcW w:w="7460" w:type="dxa"/>
            <w:vAlign w:val="bottom"/>
            <w:gridSpan w:val="6"/>
          </w:tcPr>
          <w:p>
            <w:pPr>
              <w:spacing w:after="0"/>
              <w:rPr>
                <w:sz w:val="20"/>
                <w:szCs w:val="20"/>
                <w:color w:val="auto"/>
              </w:rPr>
            </w:pPr>
            <w:r>
              <w:rPr>
                <w:rFonts w:ascii="Arial" w:cs="Arial" w:eastAsia="Arial" w:hAnsi="Arial"/>
                <w:sz w:val="15"/>
                <w:szCs w:val="15"/>
                <w:color w:val="auto"/>
              </w:rPr>
              <w:t>Divestitures</w:t>
            </w:r>
          </w:p>
        </w:tc>
        <w:tc>
          <w:tcPr>
            <w:tcW w:w="1120" w:type="dxa"/>
            <w:vAlign w:val="bottom"/>
          </w:tcPr>
          <w:p>
            <w:pPr>
              <w:spacing w:after="0"/>
              <w:rPr>
                <w:sz w:val="17"/>
                <w:szCs w:val="17"/>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1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(1,264)</w:t>
            </w:r>
          </w:p>
        </w:tc>
      </w:tr>
      <w:tr>
        <w:trPr>
          <w:trHeight w:val="209"/>
        </w:trPr>
        <w:tc>
          <w:tcPr>
            <w:tcW w:w="20" w:type="dxa"/>
            <w:vAlign w:val="bottom"/>
          </w:tcPr>
          <w:p>
            <w:pPr>
              <w:spacing w:after="0"/>
              <w:rPr>
                <w:sz w:val="18"/>
                <w:szCs w:val="18"/>
                <w:color w:val="auto"/>
              </w:rPr>
            </w:pPr>
          </w:p>
        </w:tc>
        <w:tc>
          <w:tcPr>
            <w:tcW w:w="7460" w:type="dxa"/>
            <w:vAlign w:val="bottom"/>
            <w:gridSpan w:val="6"/>
          </w:tcPr>
          <w:p>
            <w:pPr>
              <w:spacing w:after="0" w:line="208" w:lineRule="exact"/>
              <w:rPr>
                <w:sz w:val="20"/>
                <w:szCs w:val="20"/>
                <w:color w:val="auto"/>
              </w:rPr>
            </w:pPr>
            <w:r>
              <w:rPr>
                <w:rFonts w:ascii="Arial" w:cs="Arial" w:eastAsia="Arial" w:hAnsi="Arial"/>
                <w:sz w:val="15"/>
                <w:szCs w:val="15"/>
                <w:color w:val="auto"/>
              </w:rPr>
              <w:t xml:space="preserve">Change in market value, and foreign-currency translation, and transfers, net </w:t>
            </w:r>
            <w:r>
              <w:rPr>
                <w:rFonts w:ascii="Arial" w:cs="Arial" w:eastAsia="Arial" w:hAnsi="Arial"/>
                <w:sz w:val="20"/>
                <w:szCs w:val="20"/>
                <w:color w:val="auto"/>
                <w:vertAlign w:val="superscript"/>
              </w:rPr>
              <w:t>(5)</w:t>
            </w:r>
          </w:p>
        </w:tc>
        <w:tc>
          <w:tcPr>
            <w:tcW w:w="1120" w:type="dxa"/>
            <w:vAlign w:val="bottom"/>
          </w:tcPr>
          <w:p>
            <w:pPr>
              <w:spacing w:after="0"/>
              <w:rPr>
                <w:sz w:val="18"/>
                <w:szCs w:val="18"/>
                <w:color w:val="auto"/>
              </w:rPr>
            </w:pPr>
          </w:p>
        </w:tc>
        <w:tc>
          <w:tcPr>
            <w:tcW w:w="680" w:type="dxa"/>
            <w:vAlign w:val="bottom"/>
          </w:tcPr>
          <w:p>
            <w:pPr>
              <w:jc w:val="right"/>
              <w:ind w:right="3"/>
              <w:spacing w:after="0"/>
              <w:rPr>
                <w:sz w:val="20"/>
                <w:szCs w:val="20"/>
                <w:color w:val="auto"/>
              </w:rPr>
            </w:pPr>
            <w:r>
              <w:rPr>
                <w:rFonts w:ascii="Arial" w:cs="Arial" w:eastAsia="Arial" w:hAnsi="Arial"/>
                <w:sz w:val="15"/>
                <w:szCs w:val="15"/>
                <w:color w:val="auto"/>
              </w:rPr>
              <w:t>1,233</w:t>
            </w: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1,526</w:t>
            </w:r>
          </w:p>
        </w:tc>
      </w:tr>
      <w:tr>
        <w:trPr>
          <w:trHeight w:val="204"/>
        </w:trPr>
        <w:tc>
          <w:tcPr>
            <w:tcW w:w="20" w:type="dxa"/>
            <w:vAlign w:val="bottom"/>
          </w:tcPr>
          <w:p>
            <w:pPr>
              <w:spacing w:after="0"/>
              <w:rPr>
                <w:sz w:val="17"/>
                <w:szCs w:val="17"/>
                <w:color w:val="auto"/>
              </w:rPr>
            </w:pPr>
          </w:p>
        </w:tc>
        <w:tc>
          <w:tcPr>
            <w:tcW w:w="7460" w:type="dxa"/>
            <w:vAlign w:val="bottom"/>
            <w:gridSpan w:val="6"/>
          </w:tcPr>
          <w:p>
            <w:pPr>
              <w:spacing w:after="0"/>
              <w:rPr>
                <w:sz w:val="20"/>
                <w:szCs w:val="20"/>
                <w:color w:val="auto"/>
              </w:rPr>
            </w:pPr>
            <w:r>
              <w:rPr>
                <w:rFonts w:ascii="Arial" w:cs="Arial" w:eastAsia="Arial" w:hAnsi="Arial"/>
                <w:sz w:val="15"/>
                <w:szCs w:val="15"/>
                <w:color w:val="auto"/>
              </w:rPr>
              <w:t>Change in applicable leverage</w:t>
            </w:r>
          </w:p>
        </w:tc>
        <w:tc>
          <w:tcPr>
            <w:tcW w:w="11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(40)</w:t>
            </w: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(50)</w:t>
            </w:r>
          </w:p>
        </w:tc>
      </w:tr>
      <w:tr>
        <w:trPr>
          <w:trHeight w:val="169"/>
        </w:trPr>
        <w:tc>
          <w:tcPr>
            <w:tcW w:w="20" w:type="dxa"/>
            <w:vAlign w:val="bottom"/>
          </w:tcPr>
          <w:p>
            <w:pPr>
              <w:spacing w:after="0"/>
              <w:rPr>
                <w:sz w:val="14"/>
                <w:szCs w:val="14"/>
                <w:color w:val="auto"/>
              </w:rPr>
            </w:pPr>
          </w:p>
        </w:tc>
        <w:tc>
          <w:tcPr>
            <w:tcW w:w="900" w:type="dxa"/>
            <w:vAlign w:val="bottom"/>
            <w:tcBorders>
              <w:bottom w:val="single" w:sz="8" w:color="auto"/>
            </w:tcBorders>
          </w:tcPr>
          <w:p>
            <w:pPr>
              <w:spacing w:after="0" w:line="169" w:lineRule="exact"/>
              <w:rPr>
                <w:sz w:val="20"/>
                <w:szCs w:val="20"/>
                <w:color w:val="auto"/>
              </w:rPr>
            </w:pPr>
            <w:r>
              <w:rPr>
                <w:rFonts w:ascii="Arial" w:cs="Arial" w:eastAsia="Arial" w:hAnsi="Arial"/>
                <w:sz w:val="15"/>
                <w:szCs w:val="15"/>
                <w:b w:val="1"/>
                <w:bCs w:val="1"/>
                <w:i w:val="1"/>
                <w:iCs w:val="1"/>
                <w:color w:val="auto"/>
              </w:rPr>
              <w:t>DoubleLine:</w:t>
            </w:r>
          </w:p>
        </w:tc>
        <w:tc>
          <w:tcPr>
            <w:tcW w:w="6560" w:type="dxa"/>
            <w:vAlign w:val="bottom"/>
            <w:gridSpan w:val="5"/>
          </w:tcPr>
          <w:p>
            <w:pPr>
              <w:spacing w:after="0"/>
              <w:rPr>
                <w:sz w:val="14"/>
                <w:szCs w:val="14"/>
                <w:color w:val="auto"/>
              </w:rPr>
            </w:pPr>
          </w:p>
        </w:tc>
        <w:tc>
          <w:tcPr>
            <w:tcW w:w="1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224"/>
        </w:trPr>
        <w:tc>
          <w:tcPr>
            <w:tcW w:w="20" w:type="dxa"/>
            <w:vAlign w:val="bottom"/>
          </w:tcPr>
          <w:p>
            <w:pPr>
              <w:spacing w:after="0"/>
              <w:rPr>
                <w:sz w:val="19"/>
                <w:szCs w:val="19"/>
                <w:color w:val="auto"/>
              </w:rPr>
            </w:pPr>
          </w:p>
        </w:tc>
        <w:tc>
          <w:tcPr>
            <w:tcW w:w="7460" w:type="dxa"/>
            <w:vAlign w:val="bottom"/>
            <w:gridSpan w:val="6"/>
          </w:tcPr>
          <w:p>
            <w:pPr>
              <w:spacing w:after="0"/>
              <w:rPr>
                <w:sz w:val="20"/>
                <w:szCs w:val="20"/>
                <w:color w:val="auto"/>
              </w:rPr>
            </w:pPr>
            <w:r>
              <w:rPr>
                <w:rFonts w:ascii="Arial" w:cs="Arial" w:eastAsia="Arial" w:hAnsi="Arial"/>
                <w:sz w:val="15"/>
                <w:szCs w:val="15"/>
                <w:color w:val="auto"/>
              </w:rPr>
              <w:t>Net change in DoubleLine</w:t>
            </w:r>
          </w:p>
        </w:tc>
        <w:tc>
          <w:tcPr>
            <w:tcW w:w="1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873</w:t>
            </w:r>
          </w:p>
        </w:tc>
        <w:tc>
          <w:tcPr>
            <w:tcW w:w="200" w:type="dxa"/>
            <w:vAlign w:val="bottom"/>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479</w:t>
            </w:r>
          </w:p>
        </w:tc>
      </w:tr>
      <w:tr>
        <w:trPr>
          <w:trHeight w:val="200"/>
        </w:trPr>
        <w:tc>
          <w:tcPr>
            <w:tcW w:w="20" w:type="dxa"/>
            <w:vAlign w:val="bottom"/>
          </w:tcPr>
          <w:p>
            <w:pPr>
              <w:spacing w:after="0"/>
              <w:rPr>
                <w:sz w:val="17"/>
                <w:szCs w:val="17"/>
                <w:color w:val="auto"/>
              </w:rPr>
            </w:pPr>
          </w:p>
        </w:tc>
        <w:tc>
          <w:tcPr>
            <w:tcW w:w="7460" w:type="dxa"/>
            <w:vAlign w:val="bottom"/>
            <w:gridSpan w:val="6"/>
          </w:tcPr>
          <w:p>
            <w:pPr>
              <w:spacing w:after="0"/>
              <w:rPr>
                <w:sz w:val="20"/>
                <w:szCs w:val="20"/>
                <w:color w:val="auto"/>
              </w:rPr>
            </w:pPr>
            <w:r>
              <w:rPr>
                <w:rFonts w:ascii="Arial" w:cs="Arial" w:eastAsia="Arial" w:hAnsi="Arial"/>
                <w:sz w:val="15"/>
                <w:szCs w:val="15"/>
                <w:b w:val="1"/>
                <w:bCs w:val="1"/>
                <w:color w:val="auto"/>
              </w:rPr>
              <w:t>Ending balance</w:t>
            </w:r>
          </w:p>
        </w:tc>
        <w:tc>
          <w:tcPr>
            <w:tcW w:w="1120" w:type="dxa"/>
            <w:vAlign w:val="bottom"/>
            <w:tcBorders>
              <w:bottom w:val="single" w:sz="8" w:color="auto"/>
            </w:tcBorders>
          </w:tcPr>
          <w:p>
            <w:pPr>
              <w:jc w:val="right"/>
              <w:ind w:right="943"/>
              <w:spacing w:after="0"/>
              <w:rPr>
                <w:sz w:val="20"/>
                <w:szCs w:val="20"/>
                <w:color w:val="auto"/>
              </w:rPr>
            </w:pPr>
            <w:r>
              <w:rPr>
                <w:rFonts w:ascii="Arial" w:cs="Arial" w:eastAsia="Arial" w:hAnsi="Arial"/>
                <w:sz w:val="15"/>
                <w:szCs w:val="15"/>
                <w:b w:val="1"/>
                <w:bCs w:val="1"/>
                <w:color w:val="auto"/>
                <w:w w:val="95"/>
              </w:rPr>
              <w:t>$</w:t>
            </w:r>
          </w:p>
        </w:tc>
        <w:tc>
          <w:tcPr>
            <w:tcW w:w="68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b w:val="1"/>
                <w:bCs w:val="1"/>
                <w:color w:val="auto"/>
              </w:rPr>
              <w:t>222,802</w:t>
            </w:r>
          </w:p>
        </w:tc>
        <w:tc>
          <w:tcPr>
            <w:tcW w:w="200" w:type="dxa"/>
            <w:vAlign w:val="bottom"/>
          </w:tcPr>
          <w:p>
            <w:pPr>
              <w:spacing w:after="0"/>
              <w:rPr>
                <w:sz w:val="17"/>
                <w:szCs w:val="17"/>
                <w:color w:val="auto"/>
              </w:rPr>
            </w:pPr>
          </w:p>
        </w:tc>
        <w:tc>
          <w:tcPr>
            <w:tcW w:w="1100" w:type="dxa"/>
            <w:vAlign w:val="bottom"/>
            <w:tcBorders>
              <w:bottom w:val="single" w:sz="8" w:color="auto"/>
            </w:tcBorders>
          </w:tcPr>
          <w:p>
            <w:pPr>
              <w:jc w:val="right"/>
              <w:ind w:right="923"/>
              <w:spacing w:after="0"/>
              <w:rPr>
                <w:sz w:val="20"/>
                <w:szCs w:val="20"/>
                <w:color w:val="auto"/>
              </w:rPr>
            </w:pPr>
            <w:r>
              <w:rPr>
                <w:rFonts w:ascii="Arial" w:cs="Arial" w:eastAsia="Arial" w:hAnsi="Arial"/>
                <w:sz w:val="15"/>
                <w:szCs w:val="15"/>
                <w:b w:val="1"/>
                <w:bCs w:val="1"/>
                <w:color w:val="auto"/>
                <w:w w:val="95"/>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201,803</w:t>
            </w:r>
          </w:p>
        </w:tc>
      </w:tr>
      <w:tr>
        <w:trPr>
          <w:trHeight w:val="20"/>
        </w:trPr>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r>
        <w:trPr>
          <w:trHeight w:val="133"/>
        </w:trPr>
        <w:tc>
          <w:tcPr>
            <w:tcW w:w="2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53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60" w:type="dxa"/>
            <w:vAlign w:val="bottom"/>
          </w:tcPr>
          <w:p>
            <w:pPr>
              <w:spacing w:after="0"/>
              <w:rPr>
                <w:sz w:val="11"/>
                <w:szCs w:val="11"/>
                <w:color w:val="auto"/>
              </w:rPr>
            </w:pPr>
          </w:p>
        </w:tc>
      </w:tr>
    </w:tbl>
    <w:p>
      <w:pPr>
        <w:spacing w:after="0" w:line="111" w:lineRule="exact"/>
        <w:rPr>
          <w:sz w:val="20"/>
          <w:szCs w:val="20"/>
          <w:color w:val="auto"/>
        </w:rPr>
      </w:pPr>
    </w:p>
    <w:p>
      <w:pPr>
        <w:ind w:left="180" w:hanging="177"/>
        <w:spacing w:after="0"/>
        <w:tabs>
          <w:tab w:leader="none" w:pos="180" w:val="left"/>
        </w:tabs>
        <w:numPr>
          <w:ilvl w:val="0"/>
          <w:numId w:val="12"/>
        </w:numPr>
        <w:rPr>
          <w:rFonts w:ascii="Arial" w:cs="Arial" w:eastAsia="Arial" w:hAnsi="Arial"/>
          <w:sz w:val="12"/>
          <w:szCs w:val="12"/>
          <w:color w:val="auto"/>
        </w:rPr>
      </w:pPr>
      <w:r>
        <w:rPr>
          <w:rFonts w:ascii="Arial" w:cs="Arial" w:eastAsia="Arial" w:hAnsi="Arial"/>
          <w:sz w:val="12"/>
          <w:szCs w:val="12"/>
          <w:color w:val="auto"/>
        </w:rPr>
        <w:t>Reflects our pro rata portion of DoubleLine’s (based on 20% ownership) and of Duration Capital’s (based on 25% ownership) total AUM.</w:t>
      </w:r>
    </w:p>
    <w:p>
      <w:pPr>
        <w:spacing w:after="0" w:line="55" w:lineRule="exact"/>
        <w:rPr>
          <w:rFonts w:ascii="Arial" w:cs="Arial" w:eastAsia="Arial" w:hAnsi="Arial"/>
          <w:sz w:val="12"/>
          <w:szCs w:val="12"/>
          <w:color w:val="auto"/>
        </w:rPr>
      </w:pPr>
    </w:p>
    <w:p>
      <w:pPr>
        <w:ind w:left="180" w:hanging="177"/>
        <w:spacing w:after="0"/>
        <w:tabs>
          <w:tab w:leader="none" w:pos="180" w:val="left"/>
        </w:tabs>
        <w:numPr>
          <w:ilvl w:val="0"/>
          <w:numId w:val="12"/>
        </w:numPr>
        <w:rPr>
          <w:rFonts w:ascii="Arial" w:cs="Arial" w:eastAsia="Arial" w:hAnsi="Arial"/>
          <w:sz w:val="12"/>
          <w:szCs w:val="12"/>
          <w:color w:val="auto"/>
        </w:rPr>
      </w:pPr>
      <w:r>
        <w:rPr>
          <w:rFonts w:ascii="Arial" w:cs="Arial" w:eastAsia="Arial" w:hAnsi="Arial"/>
          <w:sz w:val="12"/>
          <w:szCs w:val="12"/>
          <w:color w:val="auto"/>
        </w:rPr>
        <w:t>These amounts include capital commitments, as well as the aggregate par value of collateral assets and principal cash related to new CLO formations.</w:t>
      </w:r>
    </w:p>
    <w:p>
      <w:pPr>
        <w:spacing w:after="0" w:line="68" w:lineRule="exact"/>
        <w:rPr>
          <w:rFonts w:ascii="Arial" w:cs="Arial" w:eastAsia="Arial" w:hAnsi="Arial"/>
          <w:sz w:val="12"/>
          <w:szCs w:val="12"/>
          <w:color w:val="auto"/>
        </w:rPr>
      </w:pPr>
    </w:p>
    <w:p>
      <w:pPr>
        <w:ind w:left="240" w:right="440" w:hanging="237"/>
        <w:spacing w:after="0" w:line="282" w:lineRule="auto"/>
        <w:tabs>
          <w:tab w:leader="none" w:pos="286" w:val="left"/>
        </w:tabs>
        <w:numPr>
          <w:ilvl w:val="0"/>
          <w:numId w:val="12"/>
        </w:numPr>
        <w:rPr>
          <w:rFonts w:ascii="Arial" w:cs="Arial" w:eastAsia="Arial" w:hAnsi="Arial"/>
          <w:sz w:val="12"/>
          <w:szCs w:val="12"/>
          <w:color w:val="auto"/>
        </w:rPr>
      </w:pPr>
      <w:r>
        <w:rPr>
          <w:rFonts w:ascii="Arial" w:cs="Arial" w:eastAsia="Arial" w:hAnsi="Arial"/>
          <w:sz w:val="12"/>
          <w:szCs w:val="12"/>
          <w:color w:val="auto"/>
        </w:rPr>
        <w:t>These amounts include distributions for a realization event, tax-related distributions, reductions in the par value of collateral assets and principal cash resulting from the repayment of debt as return of principal by CLOs, and recallable distributions at the end of the investment period.</w:t>
      </w:r>
    </w:p>
    <w:p>
      <w:pPr>
        <w:spacing w:after="0" w:line="10" w:lineRule="exact"/>
        <w:rPr>
          <w:rFonts w:ascii="Arial" w:cs="Arial" w:eastAsia="Arial" w:hAnsi="Arial"/>
          <w:sz w:val="12"/>
          <w:szCs w:val="12"/>
          <w:color w:val="auto"/>
        </w:rPr>
      </w:pPr>
    </w:p>
    <w:p>
      <w:pPr>
        <w:ind w:left="240" w:right="240" w:hanging="237"/>
        <w:spacing w:after="0" w:line="282" w:lineRule="auto"/>
        <w:tabs>
          <w:tab w:leader="none" w:pos="188" w:val="left"/>
        </w:tabs>
        <w:numPr>
          <w:ilvl w:val="0"/>
          <w:numId w:val="12"/>
        </w:numPr>
        <w:rPr>
          <w:rFonts w:ascii="Arial" w:cs="Arial" w:eastAsia="Arial" w:hAnsi="Arial"/>
          <w:sz w:val="12"/>
          <w:szCs w:val="12"/>
          <w:color w:val="auto"/>
        </w:rPr>
      </w:pPr>
      <w:r>
        <w:rPr>
          <w:rFonts w:ascii="Arial" w:cs="Arial" w:eastAsia="Arial" w:hAnsi="Arial"/>
          <w:sz w:val="12"/>
          <w:szCs w:val="12"/>
          <w:color w:val="auto"/>
        </w:rPr>
        <w:t>The change in uncalled capital commitments generally reflects declines attributable to funds entering their liquidation periods, as well as capital contributions to funds in their liquidation periods for deferred purchase obligations or other reasons.</w:t>
      </w: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6" w:right="339" w:bottom="1440" w:gutter="0" w:footer="0" w:header="0"/>
        </w:sectPr>
      </w:pPr>
    </w:p>
    <w:bookmarkStart w:id="15" w:name="page16"/>
    <w:bookmarkEnd w:id="15"/>
    <w:p>
      <w:pPr>
        <w:ind w:left="237" w:hanging="237"/>
        <w:spacing w:after="0" w:line="282" w:lineRule="auto"/>
        <w:tabs>
          <w:tab w:leader="none" w:pos="185" w:val="left"/>
        </w:tabs>
        <w:numPr>
          <w:ilvl w:val="0"/>
          <w:numId w:val="13"/>
        </w:numPr>
        <w:rPr>
          <w:rFonts w:ascii="Arial" w:cs="Arial" w:eastAsia="Arial" w:hAnsi="Arial"/>
          <w:sz w:val="12"/>
          <w:szCs w:val="12"/>
          <w:color w:val="auto"/>
        </w:rPr>
      </w:pPr>
      <w:r>
        <w:rPr>
          <w:rFonts w:ascii="Arial" w:cs="Arial" w:eastAsia="Arial" w:hAnsi="Arial"/>
          <w:sz w:val="12"/>
          <w:szCs w:val="12"/>
          <w:color w:val="auto"/>
        </w:rPr>
        <w:t>The change in market value reflects the change in NAV of Oaktree’s funds, less management fees and other fund expenses, as well as changes in the aggregate par value of collateral assets and principal cash held by CLOs and other levered funds.</w:t>
      </w:r>
    </w:p>
    <w:p>
      <w:pPr>
        <w:spacing w:after="0" w:line="10" w:lineRule="exact"/>
        <w:rPr>
          <w:rFonts w:ascii="Arial" w:cs="Arial" w:eastAsia="Arial" w:hAnsi="Arial"/>
          <w:sz w:val="12"/>
          <w:szCs w:val="12"/>
          <w:color w:val="auto"/>
        </w:rPr>
      </w:pPr>
    </w:p>
    <w:p>
      <w:pPr>
        <w:ind w:left="177" w:hanging="177"/>
        <w:spacing w:after="0"/>
        <w:tabs>
          <w:tab w:leader="none" w:pos="177" w:val="left"/>
        </w:tabs>
        <w:numPr>
          <w:ilvl w:val="0"/>
          <w:numId w:val="13"/>
        </w:numPr>
        <w:rPr>
          <w:rFonts w:ascii="Arial" w:cs="Arial" w:eastAsia="Arial" w:hAnsi="Arial"/>
          <w:sz w:val="12"/>
          <w:szCs w:val="12"/>
          <w:color w:val="auto"/>
        </w:rPr>
      </w:pPr>
      <w:r>
        <w:rPr>
          <w:rFonts w:ascii="Arial" w:cs="Arial" w:eastAsia="Arial" w:hAnsi="Arial"/>
          <w:sz w:val="12"/>
          <w:szCs w:val="12"/>
          <w:color w:val="auto"/>
        </w:rPr>
        <w:t>These amounts include contributions and capital commitments, and for Oaktree’s publicly-traded BDCs, issuances of equity or debt capital.</w:t>
      </w:r>
    </w:p>
    <w:p>
      <w:pPr>
        <w:spacing w:after="0" w:line="68" w:lineRule="exact"/>
        <w:rPr>
          <w:rFonts w:ascii="Arial" w:cs="Arial" w:eastAsia="Arial" w:hAnsi="Arial"/>
          <w:sz w:val="12"/>
          <w:szCs w:val="12"/>
          <w:color w:val="auto"/>
        </w:rPr>
      </w:pPr>
    </w:p>
    <w:p>
      <w:pPr>
        <w:ind w:left="177" w:hanging="177"/>
        <w:spacing w:after="0"/>
        <w:tabs>
          <w:tab w:leader="none" w:pos="177" w:val="left"/>
        </w:tabs>
        <w:numPr>
          <w:ilvl w:val="0"/>
          <w:numId w:val="13"/>
        </w:numPr>
        <w:rPr>
          <w:rFonts w:ascii="Arial" w:cs="Arial" w:eastAsia="Arial" w:hAnsi="Arial"/>
          <w:sz w:val="12"/>
          <w:szCs w:val="12"/>
          <w:color w:val="auto"/>
        </w:rPr>
      </w:pPr>
      <w:r>
        <w:rPr>
          <w:rFonts w:ascii="Arial" w:cs="Arial" w:eastAsia="Arial" w:hAnsi="Arial"/>
          <w:sz w:val="12"/>
          <w:szCs w:val="12"/>
          <w:color w:val="auto"/>
        </w:rPr>
        <w:t>These amounts include redemptions and distributions, and for Oaktree’s publicly-traded BDCs, dividends, repurchases of equity capital or repayment of debt.</w:t>
      </w:r>
    </w:p>
    <w:p>
      <w:pPr>
        <w:spacing w:after="0" w:line="200" w:lineRule="exact"/>
        <w:rPr>
          <w:sz w:val="20"/>
          <w:szCs w:val="20"/>
          <w:color w:val="auto"/>
        </w:rPr>
      </w:pPr>
    </w:p>
    <w:p>
      <w:pPr>
        <w:spacing w:after="0" w:line="333" w:lineRule="exact"/>
        <w:rPr>
          <w:sz w:val="20"/>
          <w:szCs w:val="20"/>
          <w:color w:val="auto"/>
        </w:rPr>
      </w:pPr>
    </w:p>
    <w:p>
      <w:pPr>
        <w:jc w:val="center"/>
        <w:ind w:right="-236"/>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70485</wp:posOffset>
            </wp:positionV>
            <wp:extent cx="7164070"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017"/>
          </w:cols>
          <w:pgMar w:left="323" w:top="908" w:right="559" w:bottom="1440" w:gutter="0" w:footer="0" w:header="0"/>
        </w:sectPr>
      </w:pPr>
    </w:p>
    <w:bookmarkStart w:id="16" w:name="page17"/>
    <w:bookmarkEnd w:id="16"/>
    <w:p>
      <w:pPr>
        <w:spacing w:after="0"/>
        <w:rPr>
          <w:sz w:val="20"/>
          <w:szCs w:val="20"/>
          <w:color w:val="auto"/>
        </w:rPr>
      </w:pPr>
      <w:r>
        <w:rPr>
          <w:rFonts w:ascii="Arial" w:cs="Arial" w:eastAsia="Arial" w:hAnsi="Arial"/>
          <w:sz w:val="17"/>
          <w:szCs w:val="17"/>
          <w:b w:val="1"/>
          <w:bCs w:val="1"/>
          <w:color w:val="auto"/>
        </w:rPr>
        <w:t>Marketing and Client Relations</w:t>
      </w:r>
    </w:p>
    <w:p>
      <w:pPr>
        <w:spacing w:after="0" w:line="116" w:lineRule="exact"/>
        <w:rPr>
          <w:sz w:val="20"/>
          <w:szCs w:val="20"/>
          <w:color w:val="auto"/>
        </w:rPr>
      </w:pPr>
    </w:p>
    <w:p>
      <w:pPr>
        <w:ind w:right="140" w:firstLine="464"/>
        <w:spacing w:after="0" w:line="271" w:lineRule="auto"/>
        <w:rPr>
          <w:sz w:val="20"/>
          <w:szCs w:val="20"/>
          <w:color w:val="auto"/>
        </w:rPr>
      </w:pPr>
      <w:r>
        <w:rPr>
          <w:rFonts w:ascii="Arial" w:cs="Arial" w:eastAsia="Arial" w:hAnsi="Arial"/>
          <w:sz w:val="17"/>
          <w:szCs w:val="17"/>
          <w:color w:val="auto"/>
        </w:rPr>
        <w:t>Client relationships are fundamental to Oaktree’s business and by extension, to our business. Oaktree believes its success is a byproduct of the success of Oaktree fund investors and thus always strive to achieve superior returns with risk under control, to charge fair and transparent management fees, and to conduct itself with the highest levels of professionalism and integrity.</w:t>
      </w:r>
    </w:p>
    <w:p>
      <w:pPr>
        <w:spacing w:after="0" w:line="60" w:lineRule="exact"/>
        <w:rPr>
          <w:sz w:val="20"/>
          <w:szCs w:val="20"/>
          <w:color w:val="auto"/>
        </w:rPr>
      </w:pPr>
    </w:p>
    <w:p>
      <w:pPr>
        <w:jc w:val="both"/>
        <w:ind w:right="180" w:firstLine="464"/>
        <w:spacing w:after="0" w:line="271" w:lineRule="auto"/>
        <w:rPr>
          <w:sz w:val="20"/>
          <w:szCs w:val="20"/>
          <w:color w:val="auto"/>
        </w:rPr>
      </w:pPr>
      <w:r>
        <w:rPr>
          <w:rFonts w:ascii="Arial" w:cs="Arial" w:eastAsia="Arial" w:hAnsi="Arial"/>
          <w:sz w:val="17"/>
          <w:szCs w:val="17"/>
          <w:color w:val="auto"/>
        </w:rPr>
        <w:t>Oaktree has developed a loyal following among many of the world’s most significant institutional investors, and believes that their loyalty, as well as the loyalty of Oaktree’s other investors, results from Oaktree’s superior investment record, its reputation for integrity, and the fairness and transparency of its fee structures.</w:t>
      </w:r>
    </w:p>
    <w:p>
      <w:pPr>
        <w:spacing w:after="0" w:line="47" w:lineRule="exact"/>
        <w:rPr>
          <w:sz w:val="20"/>
          <w:szCs w:val="20"/>
          <w:color w:val="auto"/>
        </w:rPr>
      </w:pPr>
    </w:p>
    <w:p>
      <w:pPr>
        <w:jc w:val="both"/>
        <w:ind w:firstLine="464"/>
        <w:spacing w:after="0" w:line="255" w:lineRule="auto"/>
        <w:rPr>
          <w:sz w:val="20"/>
          <w:szCs w:val="20"/>
          <w:color w:val="auto"/>
        </w:rPr>
      </w:pPr>
      <w:r>
        <w:rPr>
          <w:rFonts w:ascii="Arial" w:cs="Arial" w:eastAsia="Arial" w:hAnsi="Arial"/>
          <w:sz w:val="17"/>
          <w:szCs w:val="17"/>
          <w:color w:val="auto"/>
        </w:rPr>
        <w:t>We benefit from Oaktree’s extensive in-house global Business Development group, which is dedicated to relationship management, sales and client service in the Americas, Asia/Pacific, Europe and the Middle East. This relationship management, sales and client service team is augmented by product specialists and dedicated support staff across the areas of due diligence services, product management and marketing programming.</w:t>
      </w:r>
    </w:p>
    <w:p>
      <w:pPr>
        <w:spacing w:after="0" w:line="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Human Capital</w:t>
      </w:r>
    </w:p>
    <w:p>
      <w:pPr>
        <w:spacing w:after="0" w:line="116" w:lineRule="exact"/>
        <w:rPr>
          <w:sz w:val="20"/>
          <w:szCs w:val="20"/>
          <w:color w:val="auto"/>
        </w:rPr>
      </w:pPr>
    </w:p>
    <w:p>
      <w:pPr>
        <w:ind w:right="100" w:firstLine="464"/>
        <w:spacing w:after="0" w:line="265" w:lineRule="auto"/>
        <w:rPr>
          <w:sz w:val="20"/>
          <w:szCs w:val="20"/>
          <w:color w:val="auto"/>
        </w:rPr>
      </w:pPr>
      <w:r>
        <w:rPr>
          <w:rFonts w:ascii="Arial" w:cs="Arial" w:eastAsia="Arial" w:hAnsi="Arial"/>
          <w:sz w:val="17"/>
          <w:szCs w:val="17"/>
          <w:color w:val="auto"/>
        </w:rPr>
        <w:t>Oaktree is a values-driven firm that seeks to demonstrate integrity in all that it does. Oaktree strives to maintain a work environment that fosters integrity, professionalism, excellence, candor and collegiality among its employees. Because Oaktree’s people are its most important asset, Oaktree is committed to cultivating an environment that is inclusive and honors diversity of thought. Providing training and career development opportunities and emphasizing strong support for Oaktree’s local communities through philanthropic initiatives are essential to Oaktree’s culture.</w:t>
      </w:r>
    </w:p>
    <w:p>
      <w:pPr>
        <w:spacing w:after="0" w:line="65" w:lineRule="exact"/>
        <w:rPr>
          <w:sz w:val="20"/>
          <w:szCs w:val="20"/>
          <w:color w:val="auto"/>
        </w:rPr>
      </w:pPr>
    </w:p>
    <w:p>
      <w:pPr>
        <w:ind w:right="540" w:firstLine="464"/>
        <w:spacing w:after="0" w:line="290" w:lineRule="auto"/>
        <w:rPr>
          <w:sz w:val="20"/>
          <w:szCs w:val="20"/>
          <w:color w:val="auto"/>
        </w:rPr>
      </w:pPr>
      <w:r>
        <w:rPr>
          <w:rFonts w:ascii="Arial" w:cs="Arial" w:eastAsia="Arial" w:hAnsi="Arial"/>
          <w:sz w:val="17"/>
          <w:szCs w:val="17"/>
          <w:color w:val="auto"/>
        </w:rPr>
        <w:t>Oaktree considers its labor relations to be good. As of December 31, 2025, we had no employees. OCM had 968 employees and OCM Cayman had 547 employees.</w:t>
      </w:r>
    </w:p>
    <w:p>
      <w:pPr>
        <w:spacing w:after="0" w:line="4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Competition</w:t>
      </w:r>
    </w:p>
    <w:p>
      <w:pPr>
        <w:spacing w:after="0" w:line="103" w:lineRule="exact"/>
        <w:rPr>
          <w:sz w:val="20"/>
          <w:szCs w:val="20"/>
          <w:color w:val="auto"/>
        </w:rPr>
      </w:pPr>
    </w:p>
    <w:p>
      <w:pPr>
        <w:ind w:right="280" w:firstLine="464"/>
        <w:spacing w:after="0" w:line="243" w:lineRule="auto"/>
        <w:rPr>
          <w:sz w:val="20"/>
          <w:szCs w:val="20"/>
          <w:color w:val="auto"/>
        </w:rPr>
      </w:pPr>
      <w:r>
        <w:rPr>
          <w:rFonts w:ascii="Arial" w:cs="Arial" w:eastAsia="Arial" w:hAnsi="Arial"/>
          <w:sz w:val="17"/>
          <w:szCs w:val="17"/>
          <w:color w:val="auto"/>
        </w:rPr>
        <w:t>Oaktree and, by extension, we compete with many other firms in every aspect of Oaktree’s and our businesses, including raising funds, seeking investments and hiring and retaining professionals. Many of Oaktree’s competitors are substantially larger than Oaktree and have considerably greater financial, technical and marketing resources. Certain of these competitors periodically raise significant amounts of capital in</w:t>
      </w:r>
    </w:p>
    <w:p>
      <w:pPr>
        <w:spacing w:after="0" w:line="2" w:lineRule="exact"/>
        <w:rPr>
          <w:sz w:val="20"/>
          <w:szCs w:val="20"/>
          <w:color w:val="auto"/>
        </w:rPr>
      </w:pPr>
    </w:p>
    <w:p>
      <w:pPr>
        <w:ind w:right="80"/>
        <w:spacing w:after="0" w:line="229" w:lineRule="auto"/>
        <w:rPr>
          <w:sz w:val="20"/>
          <w:szCs w:val="20"/>
          <w:color w:val="auto"/>
        </w:rPr>
      </w:pPr>
      <w:r>
        <w:rPr>
          <w:rFonts w:ascii="Arial" w:cs="Arial" w:eastAsia="Arial" w:hAnsi="Arial"/>
          <w:sz w:val="17"/>
          <w:szCs w:val="17"/>
          <w:color w:val="auto"/>
        </w:rPr>
        <w:t>investment strategies that are similar to Oaktree’s investment strategies. Some of these competitors also may have a lower cost of capital and access to funding sources that are not available to Oaktree, which may create further competitive disadvantages for Oaktree, and, by extension, us</w:t>
      </w:r>
    </w:p>
    <w:p>
      <w:pPr>
        <w:spacing w:after="0" w:line="1" w:lineRule="exact"/>
        <w:rPr>
          <w:sz w:val="20"/>
          <w:szCs w:val="20"/>
          <w:color w:val="auto"/>
        </w:rPr>
      </w:pPr>
    </w:p>
    <w:p>
      <w:pPr>
        <w:ind w:right="20"/>
        <w:spacing w:after="0" w:line="241" w:lineRule="auto"/>
        <w:rPr>
          <w:sz w:val="20"/>
          <w:szCs w:val="20"/>
          <w:color w:val="auto"/>
        </w:rPr>
      </w:pPr>
      <w:r>
        <w:rPr>
          <w:rFonts w:ascii="Arial" w:cs="Arial" w:eastAsia="Arial" w:hAnsi="Arial"/>
          <w:sz w:val="17"/>
          <w:szCs w:val="17"/>
          <w:color w:val="auto"/>
        </w:rPr>
        <w:t>with respect to investment opportunities. In addition, some of these competitors may have higher risk tolerances or make different risk assessments than Oaktree does, allowing them to consider a wider variety of investments and establish broader networks of business relationships. In short, Oaktree and we operate in a highly competitive business and many of Oaktree’s and our competitors may be better positioned than Oaktree and we are to take advantage of opportunities in the marketplace. For additional information regarding the competitive risks that Oaktree and we face, please see “Risk Factors—Risks Relating to Our Business—The investment management business is intensely competitive.”</w:t>
      </w:r>
    </w:p>
    <w:p>
      <w:pPr>
        <w:spacing w:after="0" w:line="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Organizational Structure</w:t>
      </w:r>
    </w:p>
    <w:p>
      <w:pPr>
        <w:spacing w:after="0" w:line="116" w:lineRule="exact"/>
        <w:rPr>
          <w:sz w:val="20"/>
          <w:szCs w:val="20"/>
          <w:color w:val="auto"/>
        </w:rPr>
      </w:pPr>
    </w:p>
    <w:p>
      <w:pPr>
        <w:ind w:right="40" w:firstLine="464"/>
        <w:spacing w:after="0" w:line="255" w:lineRule="auto"/>
        <w:rPr>
          <w:sz w:val="20"/>
          <w:szCs w:val="20"/>
          <w:color w:val="auto"/>
        </w:rPr>
      </w:pPr>
      <w:r>
        <w:rPr>
          <w:rFonts w:ascii="Arial" w:cs="Arial" w:eastAsia="Arial" w:hAnsi="Arial"/>
          <w:sz w:val="17"/>
          <w:szCs w:val="17"/>
          <w:color w:val="auto"/>
        </w:rPr>
        <w:t>Brookfield Oaktree Holdings, LLC is a Delaware limited liability company that was formed on April 13, 2007 under the name Oaktree Capital Group, LLC. The Company’s issued and outstanding member interests are divided into certain classes and series of units. The Company’s outstanding units are held by (i) an affiliate of Brookfield as the sole holder of the Company’s Class A common units, (ii) preferred unitholders as the holders of Series A and Series B preferred units listed on the New York Stock Exchange (“NYSE”), which represent only the right to receive certain distributions from the Company and such other rights as are specified in the relevant preferred unit designations, and (iii) OCGH as the sole holder of the Company’s Class B common units, which units do not represent an economic interest in the Company. OCGH is owned by the OCGH unitholders. Subject to the operating agreement of the Company, to the extent the approval of any matter requires the vote of the Company’s unitholders, the Class A units are entitled to one vote per unit and the Class B units are entitled to ten votes per unit, voting together as a single class.</w:t>
      </w:r>
    </w:p>
    <w:p>
      <w:pPr>
        <w:spacing w:after="0" w:line="3" w:lineRule="exact"/>
        <w:rPr>
          <w:sz w:val="20"/>
          <w:szCs w:val="20"/>
          <w:color w:val="auto"/>
        </w:rPr>
      </w:pPr>
    </w:p>
    <w:p>
      <w:pPr>
        <w:ind w:right="20" w:firstLine="464"/>
        <w:spacing w:after="0" w:line="256" w:lineRule="auto"/>
        <w:rPr>
          <w:sz w:val="20"/>
          <w:szCs w:val="20"/>
          <w:color w:val="auto"/>
        </w:rPr>
      </w:pPr>
      <w:r>
        <w:rPr>
          <w:rFonts w:ascii="Arial" w:cs="Arial" w:eastAsia="Arial" w:hAnsi="Arial"/>
          <w:sz w:val="17"/>
          <w:szCs w:val="17"/>
          <w:color w:val="auto"/>
        </w:rPr>
        <w:t>As explained above, Oaktree’s operations are conducted through a group of operating entities collectively referred to as the “Oaktree Operating Group.” Subsequent to the 2024 Restructuring, we have an indirect economic interest in only one of the six Oaktree Operating Group members through the Company’s approximately 74% equity method investment in Oaktree Capital I. Please see “Business—Structure and Operation of our Business” above for more details, including regarding the 2024 Restructuring. OCGH has a direct economic interest in all of the Oaktree Operating Group members. The interests in the Oaktree Operating Group are referred to as the “Oaktree Operating Group units.” An Oaktree Operating Group unit is not a separate legal interest but represents one limited partnership interest in each of the Oaktree Operating Group entities.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62" w:right="339" w:bottom="1440" w:gutter="0" w:footer="0" w:header="0"/>
        </w:sectPr>
      </w:pPr>
    </w:p>
    <w:bookmarkStart w:id="17" w:name="page18"/>
    <w:bookmarkEnd w:id="17"/>
    <w:p>
      <w:pPr>
        <w:ind w:left="460"/>
        <w:spacing w:after="0"/>
        <w:rPr>
          <w:sz w:val="20"/>
          <w:szCs w:val="20"/>
          <w:color w:val="auto"/>
        </w:rPr>
      </w:pPr>
      <w:r>
        <w:rPr>
          <w:rFonts w:ascii="Arial" w:cs="Arial" w:eastAsia="Arial" w:hAnsi="Arial"/>
          <w:sz w:val="17"/>
          <w:szCs w:val="17"/>
          <w:color w:val="auto"/>
        </w:rPr>
        <w:t>The diagram below depicts our organizational structure in simplified form as of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115570</wp:posOffset>
            </wp:positionV>
            <wp:extent cx="5304790" cy="465772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304790" cy="46577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9"/>
          <w:szCs w:val="9"/>
          <w:color w:val="auto"/>
        </w:rPr>
        <w:t>____________________</w:t>
      </w:r>
    </w:p>
    <w:p>
      <w:pPr>
        <w:ind w:left="620" w:hanging="307"/>
        <w:spacing w:after="0" w:line="248" w:lineRule="auto"/>
        <w:tabs>
          <w:tab w:leader="none" w:pos="607" w:val="left"/>
        </w:tabs>
        <w:numPr>
          <w:ilvl w:val="0"/>
          <w:numId w:val="14"/>
        </w:numPr>
        <w:rPr>
          <w:rFonts w:ascii="Arial" w:cs="Arial" w:eastAsia="Arial" w:hAnsi="Arial"/>
          <w:sz w:val="13"/>
          <w:szCs w:val="13"/>
          <w:color w:val="auto"/>
        </w:rPr>
      </w:pPr>
      <w:r>
        <w:rPr>
          <w:rFonts w:ascii="Arial" w:cs="Arial" w:eastAsia="Arial" w:hAnsi="Arial"/>
          <w:sz w:val="13"/>
          <w:szCs w:val="13"/>
          <w:color w:val="auto"/>
        </w:rPr>
        <w:t>Holds 100% of the Class B units, which represent 78% of the total combined voting power of our outstanding Class A and Class B units. The Class B units have no economic interest in us. The general partner of Oaktree Capital Group Holdings, L.P. is Oaktree Capital Group Holdings GP, LLC, which is controlled by our senior executives.</w:t>
      </w:r>
    </w:p>
    <w:p>
      <w:pPr>
        <w:ind w:left="620" w:right="100" w:hanging="307"/>
        <w:spacing w:after="0" w:line="230" w:lineRule="auto"/>
        <w:tabs>
          <w:tab w:leader="none" w:pos="607" w:val="left"/>
        </w:tabs>
        <w:numPr>
          <w:ilvl w:val="0"/>
          <w:numId w:val="14"/>
        </w:numPr>
        <w:rPr>
          <w:rFonts w:ascii="Arial" w:cs="Arial" w:eastAsia="Arial" w:hAnsi="Arial"/>
          <w:sz w:val="14"/>
          <w:szCs w:val="14"/>
          <w:color w:val="auto"/>
        </w:rPr>
      </w:pPr>
      <w:r>
        <w:rPr>
          <w:rFonts w:ascii="Arial" w:cs="Arial" w:eastAsia="Arial" w:hAnsi="Arial"/>
          <w:sz w:val="14"/>
          <w:szCs w:val="14"/>
          <w:color w:val="auto"/>
        </w:rPr>
        <w:t>Brookfield Oaktree Holdings, LLC is the public registrant and the issuer of the Series A and Series B preferred units listed on the NYSE. It also indirectly holds the preferred mirror units issued by Oaktree Capital I, L.P.</w:t>
      </w:r>
    </w:p>
    <w:p>
      <w:pPr>
        <w:ind w:left="620" w:hanging="307"/>
        <w:spacing w:after="0" w:line="248" w:lineRule="auto"/>
        <w:tabs>
          <w:tab w:leader="none" w:pos="607" w:val="left"/>
        </w:tabs>
        <w:numPr>
          <w:ilvl w:val="0"/>
          <w:numId w:val="14"/>
        </w:numPr>
        <w:rPr>
          <w:rFonts w:ascii="Arial" w:cs="Arial" w:eastAsia="Arial" w:hAnsi="Arial"/>
          <w:sz w:val="13"/>
          <w:szCs w:val="13"/>
          <w:color w:val="auto"/>
        </w:rPr>
      </w:pPr>
      <w:r>
        <w:rPr>
          <w:rFonts w:ascii="Arial" w:cs="Arial" w:eastAsia="Arial" w:hAnsi="Arial"/>
          <w:sz w:val="13"/>
          <w:szCs w:val="13"/>
          <w:color w:val="auto"/>
        </w:rPr>
        <w:t>Three additional entities, which are not subsidiaries of ours and are not reflected in this diagram, own interests in Brookfield OCM Holdings II, LLC which entitle them to receive (i) two-thirds of carried interest distributions from new funds organized in or after 2022 and incentive income from evergreen funds in 2022 and subsequent years and</w:t>
      </w:r>
    </w:p>
    <w:p>
      <w:pPr>
        <w:ind w:left="820" w:hanging="198"/>
        <w:spacing w:after="0" w:line="230" w:lineRule="auto"/>
        <w:tabs>
          <w:tab w:leader="none" w:pos="820" w:val="left"/>
        </w:tabs>
        <w:numPr>
          <w:ilvl w:val="1"/>
          <w:numId w:val="14"/>
        </w:numPr>
        <w:rPr>
          <w:rFonts w:ascii="Arial" w:cs="Arial" w:eastAsia="Arial" w:hAnsi="Arial"/>
          <w:sz w:val="14"/>
          <w:szCs w:val="14"/>
          <w:color w:val="auto"/>
        </w:rPr>
      </w:pPr>
      <w:r>
        <w:rPr>
          <w:rFonts w:ascii="Arial" w:cs="Arial" w:eastAsia="Arial" w:hAnsi="Arial"/>
          <w:sz w:val="14"/>
          <w:szCs w:val="14"/>
          <w:color w:val="auto"/>
        </w:rPr>
        <w:t>income from designated investments and investments having certain tax characteristics.</w:t>
      </w:r>
    </w:p>
    <w:p>
      <w:pPr>
        <w:ind w:left="620" w:right="80" w:hanging="307"/>
        <w:spacing w:after="0" w:line="224" w:lineRule="auto"/>
        <w:tabs>
          <w:tab w:leader="none" w:pos="607" w:val="left"/>
        </w:tabs>
        <w:numPr>
          <w:ilvl w:val="0"/>
          <w:numId w:val="14"/>
        </w:numPr>
        <w:rPr>
          <w:rFonts w:ascii="Arial" w:cs="Arial" w:eastAsia="Arial" w:hAnsi="Arial"/>
          <w:sz w:val="14"/>
          <w:szCs w:val="14"/>
          <w:color w:val="auto"/>
        </w:rPr>
      </w:pPr>
      <w:r>
        <w:rPr>
          <w:rFonts w:ascii="Arial" w:cs="Arial" w:eastAsia="Arial" w:hAnsi="Arial"/>
          <w:sz w:val="14"/>
          <w:szCs w:val="14"/>
          <w:color w:val="auto"/>
        </w:rPr>
        <w:t>The percent economic interest in Oaktree Capital I, L.P. represents the aggregate number of Oaktree Capital I, L.P. units (other than mirror preferred units) held, directly or indirectly, as a percentage of the total number of Oaktree Capital I, L.P. units (other than mirror preferred units and Class P common units) outstanding. As of December 31, 2025, there were 160,391,299 Oaktree Capital I, L.P. units outstanding.</w:t>
      </w:r>
    </w:p>
    <w:p>
      <w:pPr>
        <w:ind w:left="600" w:hanging="287"/>
        <w:spacing w:after="0"/>
        <w:tabs>
          <w:tab w:leader="none" w:pos="600" w:val="left"/>
        </w:tabs>
        <w:numPr>
          <w:ilvl w:val="0"/>
          <w:numId w:val="14"/>
        </w:numPr>
        <w:rPr>
          <w:rFonts w:ascii="Arial" w:cs="Arial" w:eastAsia="Arial" w:hAnsi="Arial"/>
          <w:sz w:val="14"/>
          <w:szCs w:val="14"/>
          <w:color w:val="auto"/>
        </w:rPr>
      </w:pPr>
      <w:r>
        <w:rPr>
          <w:rFonts w:ascii="Arial" w:cs="Arial" w:eastAsia="Arial" w:hAnsi="Arial"/>
          <w:sz w:val="14"/>
          <w:szCs w:val="14"/>
          <w:color w:val="auto"/>
        </w:rPr>
        <w:t>Two additional entities, which are not subsidiaries of ours and are not reflected in this diagram, own a less than 1% interest in Oaktree Capital I, L.P.</w:t>
      </w:r>
    </w:p>
    <w:p>
      <w:pPr>
        <w:spacing w:after="0" w:line="200" w:lineRule="exact"/>
        <w:rPr>
          <w:sz w:val="20"/>
          <w:szCs w:val="20"/>
          <w:color w:val="auto"/>
        </w:rPr>
      </w:pPr>
    </w:p>
    <w:p>
      <w:pPr>
        <w:spacing w:after="0" w:line="314"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20"/>
          </w:cols>
          <w:pgMar w:left="320" w:top="999" w:right="459" w:bottom="1440" w:gutter="0" w:footer="0" w:header="0"/>
        </w:sectPr>
      </w:pPr>
    </w:p>
    <w:bookmarkStart w:id="18" w:name="page19"/>
    <w:bookmarkEnd w:id="18"/>
    <w:p>
      <w:pPr>
        <w:spacing w:after="0"/>
        <w:rPr>
          <w:sz w:val="20"/>
          <w:szCs w:val="20"/>
          <w:color w:val="auto"/>
        </w:rPr>
      </w:pPr>
      <w:r>
        <w:rPr>
          <w:rFonts w:ascii="Arial" w:cs="Arial" w:eastAsia="Arial" w:hAnsi="Arial"/>
          <w:sz w:val="17"/>
          <w:szCs w:val="17"/>
          <w:b w:val="1"/>
          <w:bCs w:val="1"/>
          <w:color w:val="auto"/>
        </w:rPr>
        <w:t>Regulatory Matters and Compliance</w:t>
      </w:r>
    </w:p>
    <w:p>
      <w:pPr>
        <w:spacing w:after="0" w:line="168" w:lineRule="exact"/>
        <w:rPr>
          <w:sz w:val="20"/>
          <w:szCs w:val="20"/>
          <w:color w:val="auto"/>
        </w:rPr>
      </w:pPr>
    </w:p>
    <w:p>
      <w:pPr>
        <w:ind w:firstLine="464"/>
        <w:spacing w:after="0" w:line="258" w:lineRule="auto"/>
        <w:rPr>
          <w:sz w:val="20"/>
          <w:szCs w:val="20"/>
          <w:color w:val="auto"/>
        </w:rPr>
      </w:pPr>
      <w:r>
        <w:rPr>
          <w:rFonts w:ascii="Arial" w:cs="Arial" w:eastAsia="Arial" w:hAnsi="Arial"/>
          <w:sz w:val="17"/>
          <w:szCs w:val="17"/>
          <w:color w:val="auto"/>
        </w:rPr>
        <w:t>Oaktree’s business, as well as the financial services industry in general, is subject to extensive regulation in the United States and elsewhere. Oaktree’s affiliated entities, Oaktree Capital Management (UK) LLP, Oaktree Capital Management (Europe) LLP and Oaktree Capital Management (International) Limited, are authorized and regulated by the U.K. Financial Conduct Authority (</w:t>
      </w:r>
      <w:r>
        <w:rPr>
          <w:rFonts w:ascii="Times New Roman" w:cs="Times New Roman" w:eastAsia="Times New Roman" w:hAnsi="Times New Roman"/>
          <w:sz w:val="17"/>
          <w:szCs w:val="17"/>
          <w:color w:val="auto"/>
        </w:rPr>
        <w:t>“</w:t>
      </w:r>
      <w:r>
        <w:rPr>
          <w:rFonts w:ascii="Arial" w:cs="Arial" w:eastAsia="Arial" w:hAnsi="Arial"/>
          <w:sz w:val="17"/>
          <w:szCs w:val="17"/>
          <w:color w:val="auto"/>
        </w:rPr>
        <w:t>FCA</w:t>
      </w:r>
      <w:r>
        <w:rPr>
          <w:rFonts w:ascii="Times New Roman" w:cs="Times New Roman" w:eastAsia="Times New Roman" w:hAnsi="Times New Roman"/>
          <w:sz w:val="17"/>
          <w:szCs w:val="17"/>
          <w:color w:val="auto"/>
        </w:rPr>
        <w:t>”</w:t>
      </w:r>
      <w:r>
        <w:rPr>
          <w:rFonts w:ascii="Arial" w:cs="Arial" w:eastAsia="Arial" w:hAnsi="Arial"/>
          <w:sz w:val="17"/>
          <w:szCs w:val="17"/>
          <w:color w:val="auto"/>
        </w:rPr>
        <w:t>) as an investment manager in the United Kingdom. The U.K. Financial Services and Markets Act 2000 (</w:t>
      </w:r>
      <w:r>
        <w:rPr>
          <w:rFonts w:ascii="Times New Roman" w:cs="Times New Roman" w:eastAsia="Times New Roman" w:hAnsi="Times New Roman"/>
          <w:sz w:val="17"/>
          <w:szCs w:val="17"/>
          <w:color w:val="auto"/>
        </w:rPr>
        <w:t>“</w:t>
      </w:r>
      <w:r>
        <w:rPr>
          <w:rFonts w:ascii="Arial" w:cs="Arial" w:eastAsia="Arial" w:hAnsi="Arial"/>
          <w:sz w:val="17"/>
          <w:szCs w:val="17"/>
          <w:color w:val="auto"/>
        </w:rPr>
        <w:t>FSMA</w:t>
      </w:r>
      <w:r>
        <w:rPr>
          <w:rFonts w:ascii="Times New Roman" w:cs="Times New Roman" w:eastAsia="Times New Roman" w:hAnsi="Times New Roman"/>
          <w:sz w:val="17"/>
          <w:szCs w:val="17"/>
          <w:color w:val="auto"/>
        </w:rPr>
        <w:t>”</w:t>
      </w:r>
      <w:r>
        <w:rPr>
          <w:rFonts w:ascii="Arial" w:cs="Arial" w:eastAsia="Arial" w:hAnsi="Arial"/>
          <w:sz w:val="17"/>
          <w:szCs w:val="17"/>
          <w:color w:val="auto"/>
        </w:rPr>
        <w:t>) and rules promulgated thereunder govern all aspects of the U.K. investment business, including sales, research and trading practices, the provision of investment advice, the use and safekeeping of client funds and securities, regulatory capital, recordkeeping, margin practices and procedures, the approval standards for individuals, anti-money laundering, periodic reporting, and settlement procedures. Similarly, we have a number of other affiliated entities outside the United States that are regulated by the applicable regulators in their respective jurisdictions.</w:t>
      </w:r>
    </w:p>
    <w:p>
      <w:pPr>
        <w:spacing w:after="0" w:line="122" w:lineRule="exact"/>
        <w:rPr>
          <w:sz w:val="20"/>
          <w:szCs w:val="20"/>
          <w:color w:val="auto"/>
        </w:rPr>
      </w:pPr>
    </w:p>
    <w:p>
      <w:pPr>
        <w:ind w:right="120" w:firstLine="464"/>
        <w:spacing w:after="0" w:line="256" w:lineRule="auto"/>
        <w:rPr>
          <w:sz w:val="20"/>
          <w:szCs w:val="20"/>
          <w:color w:val="auto"/>
        </w:rPr>
      </w:pPr>
      <w:r>
        <w:rPr>
          <w:rFonts w:ascii="Arial" w:cs="Arial" w:eastAsia="Arial" w:hAnsi="Arial"/>
          <w:sz w:val="17"/>
          <w:szCs w:val="17"/>
          <w:color w:val="auto"/>
        </w:rPr>
        <w:t>Our affiliated entity OCM, which provides certain services to us, is registered as an investment adviser with the SEC. Registered investment advisers are subject to the requirements and regulations of the U.S. Investment Advisers Act of 1940, as amended (the “Advisers Act”). These requirements relate to, among other things, fiduciary duties to clients, maintaining an effective compliance program, solicitation agreements, conflicts of interest, recordkeeping and reporting, disclosure, limitations on agency cross and principal transactions between an adviser and advisory clients and general anti-fraud prohibitions. In addition, OCM is registered as a commodity pool operator and a commodity trading adviser with the U.S. Commodity Futures Trading Commission (“CFTC”). Registered commodity pool operators and commodity trading advisers are each subject to the requirements and regulations of the U.S. Commodity Exchange Act, as amended (the “Commodity Exchange Act”). These requirements relate to, among other things, maintaining an effective compliance program, recordkeeping and reporting, disclosure, business conduct, and general anti-fraud prohibitions. In addition, as a registered commodity pool operator and a commodity trading adviser with the CFTC, OCM is also required to be a member of the National Futures Association (the “NFA”), a self-regulatory organization for the U.S. derivatives industry. The NFA also promulgates and enforces rules governing the conduct of, and examines the activities of, its member firms.</w:t>
      </w:r>
    </w:p>
    <w:p>
      <w:pPr>
        <w:spacing w:after="0" w:line="130" w:lineRule="exact"/>
        <w:rPr>
          <w:sz w:val="20"/>
          <w:szCs w:val="20"/>
          <w:color w:val="auto"/>
        </w:rPr>
      </w:pPr>
    </w:p>
    <w:p>
      <w:pPr>
        <w:ind w:right="60" w:firstLine="464"/>
        <w:spacing w:after="0" w:line="256" w:lineRule="auto"/>
        <w:rPr>
          <w:sz w:val="20"/>
          <w:szCs w:val="20"/>
          <w:color w:val="auto"/>
        </w:rPr>
      </w:pPr>
      <w:r>
        <w:rPr>
          <w:rFonts w:ascii="Arial" w:cs="Arial" w:eastAsia="Arial" w:hAnsi="Arial"/>
          <w:sz w:val="17"/>
          <w:szCs w:val="17"/>
          <w:color w:val="auto"/>
        </w:rPr>
        <w:t>One of OCM’s indirect subsidiaries, OCM Investments, LLC, is registered as a broker-dealer with the SEC and in all 50 states, the District of Columbia and Puerto Rico, and is a member of the U.S. Financial Industry Regulatory Authority (“FINRA”). As a broker-dealer, this entity is subject to regulation and oversight by the SEC and state securities regulators. In addition, FINRA, a self-regulatory organization that is subject to oversight by the SEC, promulgates and enforces rules governing the conduct of, and examines the activities of, its member firms. Due to the limited authority granted to OCM Investments, LLC in its capacity as a broker-dealer, it is not required to comply with certain regulations covering trade practices among broker-dealers and the use and safekeeping of customers’ funds and securities. As a registered broker-dealer and member of a self-regulatory organization, OCM Investments, LLC, however, is subject to the SEC’s uniform net capital rule. Rule 15c3-1 of the Exchange Act specifies the minimum level of net capital a broker-dealer must maintain and also requires that a significant part of a broker-dealer’s assets be kept in relatively liquid form. The SEC and FINRA impose rules that require notification when net capital falls below certain predefined criteria, limit the ratio of subordinated debt to equity in the regulatory capital composition of a broker-dealer and constrain the ability of a broker-dealer to expand its business under certain circumstances. Additionally, the SEC’s uniform net capital rule imposes certain requirements that may have the effect of prohibiting a broker-dealer from distributing or withdrawing capital and requiring prior notice to the SEC for certain withdrawals of capital.</w:t>
      </w:r>
    </w:p>
    <w:p>
      <w:pPr>
        <w:spacing w:after="0" w:line="128" w:lineRule="exact"/>
        <w:rPr>
          <w:sz w:val="20"/>
          <w:szCs w:val="20"/>
          <w:color w:val="auto"/>
        </w:rPr>
      </w:pPr>
    </w:p>
    <w:p>
      <w:pPr>
        <w:ind w:right="20" w:firstLine="464"/>
        <w:spacing w:after="0" w:line="257" w:lineRule="auto"/>
        <w:rPr>
          <w:sz w:val="20"/>
          <w:szCs w:val="20"/>
          <w:color w:val="auto"/>
        </w:rPr>
      </w:pPr>
      <w:r>
        <w:rPr>
          <w:rFonts w:ascii="Arial" w:cs="Arial" w:eastAsia="Arial" w:hAnsi="Arial"/>
          <w:sz w:val="17"/>
          <w:szCs w:val="17"/>
          <w:color w:val="auto"/>
        </w:rPr>
        <w:t>Certain of Oaktree’s activities are subject to compliance with laws and regulations of U.S. federal, state and municipal governments, non-U.S. governments, their respective agencies and/or various self-regulatory organizations or exchanges relating to, among other things, antitrust laws, anti-money laundering laws, anti-bribery laws relating to foreign officials, and privacy laws with respect to client information, and some of Oaktree’s funds invest in businesses that operate in highly regulated industries. Any failure to comply with these rules and regulations could expose Oaktree to liability and/or reputational damage, which could adversely affect us. Oaktree’s business has operated for many years within a legal framework that requires Oaktree being able to monitor and comply with a broad range of legal and regulatory developments that affect Oaktree’s activities. However, additional legislation, changes in rules or changes in the interpretation or enforcement of existing laws and rules, either in the United States or elsewhere, may directly affect Oaktree’s and our mode of operation and profitability. Please see “Risk Factors—Risks Relating to Our Business—Regulatory changes in the United States, regulatory compliance failures and the effects of negative publicity surrounding the financial industry in general could adversely affect our reputation, business and operations.”</w:t>
      </w: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088" w:right="359" w:bottom="1440" w:gutter="0" w:footer="0" w:header="0"/>
        </w:sectPr>
      </w:pPr>
    </w:p>
    <w:bookmarkStart w:id="19" w:name="page20"/>
    <w:bookmarkEnd w:id="19"/>
    <w:p>
      <w:pPr>
        <w:spacing w:after="0"/>
        <w:rPr>
          <w:sz w:val="20"/>
          <w:szCs w:val="20"/>
          <w:color w:val="auto"/>
        </w:rPr>
      </w:pPr>
      <w:r>
        <w:rPr>
          <w:rFonts w:ascii="Arial" w:cs="Arial" w:eastAsia="Arial" w:hAnsi="Arial"/>
          <w:sz w:val="17"/>
          <w:szCs w:val="17"/>
          <w:b w:val="1"/>
          <w:bCs w:val="1"/>
          <w:color w:val="auto"/>
        </w:rPr>
        <w:t>Financial and Other Information</w:t>
      </w:r>
    </w:p>
    <w:p>
      <w:pPr>
        <w:spacing w:after="0" w:line="168" w:lineRule="exact"/>
        <w:rPr>
          <w:sz w:val="20"/>
          <w:szCs w:val="20"/>
          <w:color w:val="auto"/>
        </w:rPr>
      </w:pPr>
    </w:p>
    <w:p>
      <w:pPr>
        <w:ind w:right="340" w:firstLine="464"/>
        <w:spacing w:after="0" w:line="290" w:lineRule="auto"/>
        <w:rPr>
          <w:sz w:val="20"/>
          <w:szCs w:val="20"/>
          <w:color w:val="auto"/>
        </w:rPr>
      </w:pPr>
      <w:r>
        <w:rPr>
          <w:rFonts w:ascii="Arial" w:cs="Arial" w:eastAsia="Arial" w:hAnsi="Arial"/>
          <w:sz w:val="17"/>
          <w:szCs w:val="17"/>
          <w:color w:val="auto"/>
        </w:rPr>
        <w:t>Financial and other information for the years ended December 31, 2025, 2024 and 2023 are discussed in “Management’s Discussion and Analysis of Financial Condition and Results of Operations—Operating Metrics” included elsewhere in this annual report.</w:t>
      </w:r>
    </w:p>
    <w:p>
      <w:pPr>
        <w:spacing w:after="0" w:line="9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Available Information</w:t>
      </w:r>
    </w:p>
    <w:p>
      <w:pPr>
        <w:spacing w:after="0" w:line="168" w:lineRule="exact"/>
        <w:rPr>
          <w:sz w:val="20"/>
          <w:szCs w:val="20"/>
          <w:color w:val="auto"/>
        </w:rPr>
      </w:pPr>
    </w:p>
    <w:p>
      <w:pPr>
        <w:ind w:right="80" w:firstLine="464"/>
        <w:spacing w:after="0" w:line="260" w:lineRule="auto"/>
        <w:rPr>
          <w:sz w:val="20"/>
          <w:szCs w:val="20"/>
          <w:color w:val="auto"/>
        </w:rPr>
      </w:pPr>
      <w:r>
        <w:rPr>
          <w:rFonts w:ascii="Arial" w:cs="Arial" w:eastAsia="Arial" w:hAnsi="Arial"/>
          <w:sz w:val="17"/>
          <w:szCs w:val="17"/>
          <w:color w:val="auto"/>
        </w:rPr>
        <w:t>Oaktree’s website address is www.oaktreecapital.com (the “Oaktree website”). Information on this website is not a part of this annual report and is not incorporated by reference herein. BOH makes available free of charge on this website or provides a link on this website to our Annual Report on Form 10-K, Quarterly Reports on Form 10-Q and Current Reports on Form 8-K and any amendments to those reports filed or furnished pursuant to Section 13(a) or 15(d) of the Exchange Act, as soon as reasonably practicable after those reports are electronically filed with, or furnished to, the SEC. To access these filings, go to the “Unitholders—Investor Relations” section of the Oaktree website and then click on “SEC Filings.” In addition, these reports and the other documents we file with the SEC are available at a website maintained by the SEC at www.sec.gov.</w:t>
      </w:r>
    </w:p>
    <w:p>
      <w:pPr>
        <w:spacing w:after="0" w:line="122" w:lineRule="exact"/>
        <w:rPr>
          <w:sz w:val="20"/>
          <w:szCs w:val="20"/>
          <w:color w:val="auto"/>
        </w:rPr>
      </w:pPr>
    </w:p>
    <w:p>
      <w:pPr>
        <w:ind w:firstLine="464"/>
        <w:spacing w:after="0" w:line="262" w:lineRule="auto"/>
        <w:rPr>
          <w:sz w:val="20"/>
          <w:szCs w:val="20"/>
          <w:color w:val="auto"/>
        </w:rPr>
      </w:pPr>
      <w:r>
        <w:rPr>
          <w:rFonts w:ascii="Arial" w:cs="Arial" w:eastAsia="Arial" w:hAnsi="Arial"/>
          <w:sz w:val="17"/>
          <w:szCs w:val="17"/>
          <w:color w:val="auto"/>
        </w:rPr>
        <w:t>Investors and others should note that BOH uses www.brookfieldoaktreeholdings.com (the “BOH website”) to announce material information to investors and the marketplace. While not all of the information that we post on the BOH website is of a material nature, some information could be deemed to be material. Accordingly, we encourage investors, the media, and others interested in BOH to review the information that is shared on the BOH website. Information contained on, or available through, the BOH website is not a part of this annual report and is not incorporated by reference into this document.</w:t>
      </w:r>
    </w:p>
    <w:p>
      <w:pPr>
        <w:spacing w:after="0" w:line="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1A. Risk Factors</w:t>
      </w:r>
    </w:p>
    <w:p>
      <w:pPr>
        <w:spacing w:after="0" w:line="118" w:lineRule="exact"/>
        <w:rPr>
          <w:sz w:val="20"/>
          <w:szCs w:val="20"/>
          <w:color w:val="auto"/>
        </w:rPr>
      </w:pPr>
    </w:p>
    <w:p>
      <w:pPr>
        <w:ind w:right="220" w:firstLine="464"/>
        <w:spacing w:after="0" w:line="261" w:lineRule="auto"/>
        <w:rPr>
          <w:sz w:val="20"/>
          <w:szCs w:val="20"/>
          <w:color w:val="auto"/>
        </w:rPr>
      </w:pPr>
      <w:r>
        <w:rPr>
          <w:rFonts w:ascii="Arial" w:cs="Arial" w:eastAsia="Arial" w:hAnsi="Arial"/>
          <w:sz w:val="17"/>
          <w:szCs w:val="17"/>
          <w:i w:val="1"/>
          <w:iCs w:val="1"/>
          <w:color w:val="auto"/>
        </w:rPr>
        <w:t>We are subject to a number of material risks inherent in our business. You should carefully consider the risks and uncertainties described below and other information included in this annual report. If any of the events described below occur, our business and financial results could be seriously harmed. The trading price of our preferred units could decline as a result of any of these risks, and you could lose all or part of your investment. References to past events are provided by way of example only and are not intended to be a complete listing or representation as to whether or not such factors have occurred in the past or their likelihood of occurring in the future.</w:t>
      </w:r>
    </w:p>
    <w:p>
      <w:pPr>
        <w:spacing w:after="0" w:line="5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Relating to Our Business</w:t>
      </w:r>
    </w:p>
    <w:p>
      <w:pPr>
        <w:spacing w:after="0" w:line="116" w:lineRule="exact"/>
        <w:rPr>
          <w:sz w:val="20"/>
          <w:szCs w:val="20"/>
          <w:color w:val="auto"/>
        </w:rPr>
      </w:pPr>
    </w:p>
    <w:p>
      <w:pPr>
        <w:ind w:right="160"/>
        <w:spacing w:after="0" w:line="269" w:lineRule="auto"/>
        <w:rPr>
          <w:sz w:val="20"/>
          <w:szCs w:val="20"/>
          <w:color w:val="auto"/>
        </w:rPr>
      </w:pPr>
      <w:r>
        <w:rPr>
          <w:rFonts w:ascii="Arial" w:cs="Arial" w:eastAsia="Arial" w:hAnsi="Arial"/>
          <w:sz w:val="17"/>
          <w:szCs w:val="17"/>
          <w:b w:val="1"/>
          <w:bCs w:val="1"/>
          <w:i w:val="1"/>
          <w:iCs w:val="1"/>
          <w:color w:val="auto"/>
        </w:rPr>
        <w:t>Given Oaktree’s focus on achieving superior investment performance with less-than-commensurate risk, and the priority afforded to its clients’ interests, Oaktree may reduce AUM, restrain its growth, reduce fees or otherwise alter the terms under which Oaktree or we do business when Oaktree or we deem it appropriate—even in circumstances where others might deem such actions unnecessary. This approach could adversely affect our results of operations.</w:t>
      </w:r>
    </w:p>
    <w:p>
      <w:pPr>
        <w:spacing w:after="0" w:line="52" w:lineRule="exact"/>
        <w:rPr>
          <w:sz w:val="20"/>
          <w:szCs w:val="20"/>
          <w:color w:val="auto"/>
        </w:rPr>
      </w:pPr>
    </w:p>
    <w:p>
      <w:pPr>
        <w:ind w:right="140" w:firstLine="464"/>
        <w:spacing w:after="0" w:line="265" w:lineRule="auto"/>
        <w:rPr>
          <w:sz w:val="20"/>
          <w:szCs w:val="20"/>
          <w:color w:val="auto"/>
        </w:rPr>
      </w:pPr>
      <w:r>
        <w:rPr>
          <w:rFonts w:ascii="Arial" w:cs="Arial" w:eastAsia="Arial" w:hAnsi="Arial"/>
          <w:sz w:val="17"/>
          <w:szCs w:val="17"/>
          <w:color w:val="auto"/>
        </w:rPr>
        <w:t>One of the means by which Oaktree seeks to achieve superior investment performance is by limiting the AUM in its strategies to an amount that it believes can be invested appropriately in accordance with Oaktree’s investment philosophy and current or anticipated economic and market conditions. In the past Oaktree has taken, and may continue to take, affirmative steps to limit the growth of AUM, including the AUM of the funds that produce revenues for Oaktree. These steps include:</w:t>
      </w:r>
    </w:p>
    <w:p>
      <w:pPr>
        <w:spacing w:after="0" w:line="65" w:lineRule="exact"/>
        <w:rPr>
          <w:sz w:val="20"/>
          <w:szCs w:val="20"/>
          <w:color w:val="auto"/>
        </w:rPr>
      </w:pPr>
    </w:p>
    <w:p>
      <w:pPr>
        <w:ind w:left="620" w:right="20" w:hanging="307"/>
        <w:spacing w:after="0" w:line="290" w:lineRule="auto"/>
        <w:tabs>
          <w:tab w:leader="none" w:pos="616" w:val="left"/>
        </w:tabs>
        <w:numPr>
          <w:ilvl w:val="0"/>
          <w:numId w:val="15"/>
        </w:numPr>
        <w:rPr>
          <w:rFonts w:ascii="Arial" w:cs="Arial" w:eastAsia="Arial" w:hAnsi="Arial"/>
          <w:sz w:val="17"/>
          <w:szCs w:val="17"/>
          <w:color w:val="auto"/>
        </w:rPr>
      </w:pPr>
      <w:r>
        <w:rPr>
          <w:rFonts w:ascii="Arial" w:cs="Arial" w:eastAsia="Arial" w:hAnsi="Arial"/>
          <w:sz w:val="17"/>
          <w:szCs w:val="17"/>
          <w:color w:val="auto"/>
        </w:rPr>
        <w:t>from time to time, Oaktree has suspended marketing certain open-end funds, sometimes for long periods, and has declined to participate in searches aggregating billions of dollars;</w:t>
      </w:r>
    </w:p>
    <w:p>
      <w:pPr>
        <w:spacing w:after="0" w:line="43" w:lineRule="exact"/>
        <w:rPr>
          <w:rFonts w:ascii="Arial" w:cs="Arial" w:eastAsia="Arial" w:hAnsi="Arial"/>
          <w:sz w:val="17"/>
          <w:szCs w:val="17"/>
          <w:color w:val="auto"/>
        </w:rPr>
      </w:pPr>
    </w:p>
    <w:p>
      <w:pPr>
        <w:ind w:left="620" w:right="120" w:hanging="307"/>
        <w:spacing w:after="0" w:line="290" w:lineRule="auto"/>
        <w:tabs>
          <w:tab w:leader="none" w:pos="616" w:val="left"/>
        </w:tabs>
        <w:numPr>
          <w:ilvl w:val="0"/>
          <w:numId w:val="15"/>
        </w:numPr>
        <w:rPr>
          <w:rFonts w:ascii="Arial" w:cs="Arial" w:eastAsia="Arial" w:hAnsi="Arial"/>
          <w:sz w:val="17"/>
          <w:szCs w:val="17"/>
          <w:color w:val="auto"/>
        </w:rPr>
      </w:pPr>
      <w:r>
        <w:rPr>
          <w:rFonts w:ascii="Arial" w:cs="Arial" w:eastAsia="Arial" w:hAnsi="Arial"/>
          <w:sz w:val="17"/>
          <w:szCs w:val="17"/>
          <w:color w:val="auto"/>
        </w:rPr>
        <w:t>from time to time, Oaktree has returned capital from certain closed-end funds prior to the end of such funds’ respective investment periods or declined to call all of the capital committed to certain closed-end funds during those funds’ respective investment periods;</w:t>
      </w:r>
    </w:p>
    <w:p>
      <w:pPr>
        <w:spacing w:after="0" w:line="43" w:lineRule="exact"/>
        <w:rPr>
          <w:rFonts w:ascii="Arial" w:cs="Arial" w:eastAsia="Arial" w:hAnsi="Arial"/>
          <w:sz w:val="17"/>
          <w:szCs w:val="17"/>
          <w:color w:val="auto"/>
        </w:rPr>
      </w:pPr>
    </w:p>
    <w:p>
      <w:pPr>
        <w:ind w:left="620" w:right="400" w:hanging="307"/>
        <w:spacing w:after="0" w:line="290" w:lineRule="auto"/>
        <w:tabs>
          <w:tab w:leader="none" w:pos="616" w:val="left"/>
        </w:tabs>
        <w:numPr>
          <w:ilvl w:val="0"/>
          <w:numId w:val="15"/>
        </w:numPr>
        <w:rPr>
          <w:rFonts w:ascii="Arial" w:cs="Arial" w:eastAsia="Arial" w:hAnsi="Arial"/>
          <w:sz w:val="17"/>
          <w:szCs w:val="17"/>
          <w:color w:val="auto"/>
        </w:rPr>
      </w:pPr>
      <w:r>
        <w:rPr>
          <w:rFonts w:ascii="Arial" w:cs="Arial" w:eastAsia="Arial" w:hAnsi="Arial"/>
          <w:sz w:val="17"/>
          <w:szCs w:val="17"/>
          <w:color w:val="auto"/>
        </w:rPr>
        <w:t>Oaktree intentionally sized certain closed-ended funds to be smaller than their predecessors even though additional capital could have been raised; and</w:t>
      </w:r>
    </w:p>
    <w:p>
      <w:pPr>
        <w:spacing w:after="0" w:line="43" w:lineRule="exact"/>
        <w:rPr>
          <w:rFonts w:ascii="Arial" w:cs="Arial" w:eastAsia="Arial" w:hAnsi="Arial"/>
          <w:sz w:val="17"/>
          <w:szCs w:val="17"/>
          <w:color w:val="auto"/>
        </w:rPr>
      </w:pPr>
    </w:p>
    <w:p>
      <w:pPr>
        <w:ind w:left="620" w:hanging="307"/>
        <w:spacing w:after="0"/>
        <w:tabs>
          <w:tab w:leader="none" w:pos="6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since Oaktree’s founding it has turned away substantial amounts of capital offered to Oaktree for management.</w:t>
      </w:r>
    </w:p>
    <w:p>
      <w:pPr>
        <w:spacing w:after="0" w:line="114" w:lineRule="exact"/>
        <w:rPr>
          <w:sz w:val="20"/>
          <w:szCs w:val="20"/>
          <w:color w:val="auto"/>
        </w:rPr>
      </w:pPr>
    </w:p>
    <w:p>
      <w:pPr>
        <w:ind w:right="180" w:firstLine="464"/>
        <w:spacing w:after="0" w:line="271" w:lineRule="auto"/>
        <w:rPr>
          <w:sz w:val="20"/>
          <w:szCs w:val="20"/>
          <w:color w:val="auto"/>
        </w:rPr>
      </w:pPr>
      <w:r>
        <w:rPr>
          <w:rFonts w:ascii="Arial" w:cs="Arial" w:eastAsia="Arial" w:hAnsi="Arial"/>
          <w:sz w:val="17"/>
          <w:szCs w:val="17"/>
          <w:color w:val="auto"/>
        </w:rPr>
        <w:t>From time to time, Oaktree has, and may continue to, afford certain investors in Oaktree’s funds or separate account clients more favorable economic terms than other investors in the same fund or separate account clients within the same or similar investment strategy, including with respect to management fees and performance-based</w:t>
      </w: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010" w:right="359" w:bottom="1440" w:gutter="0" w:footer="0" w:header="0"/>
        </w:sectPr>
      </w:pPr>
    </w:p>
    <w:bookmarkStart w:id="20" w:name="page21"/>
    <w:bookmarkEnd w:id="20"/>
    <w:p>
      <w:pPr>
        <w:ind w:right="480"/>
        <w:spacing w:after="0" w:line="290" w:lineRule="auto"/>
        <w:rPr>
          <w:sz w:val="20"/>
          <w:szCs w:val="20"/>
          <w:color w:val="auto"/>
        </w:rPr>
      </w:pPr>
      <w:r>
        <w:rPr>
          <w:rFonts w:ascii="Arial" w:cs="Arial" w:eastAsia="Arial" w:hAnsi="Arial"/>
          <w:sz w:val="17"/>
          <w:szCs w:val="17"/>
          <w:color w:val="auto"/>
        </w:rPr>
        <w:t>fees. The availability of such terms is generally based on the aggregate size of commitments of such investor or client to one or more funds or accounts managed by Oaktree.</w:t>
      </w:r>
    </w:p>
    <w:p>
      <w:pPr>
        <w:spacing w:after="0" w:line="30" w:lineRule="exact"/>
        <w:rPr>
          <w:sz w:val="20"/>
          <w:szCs w:val="20"/>
          <w:color w:val="auto"/>
        </w:rPr>
      </w:pPr>
    </w:p>
    <w:p>
      <w:pPr>
        <w:ind w:right="20" w:firstLine="464"/>
        <w:spacing w:after="0" w:line="246" w:lineRule="auto"/>
        <w:rPr>
          <w:sz w:val="20"/>
          <w:szCs w:val="20"/>
          <w:color w:val="auto"/>
        </w:rPr>
      </w:pPr>
      <w:r>
        <w:rPr>
          <w:rFonts w:ascii="Arial" w:cs="Arial" w:eastAsia="Arial" w:hAnsi="Arial"/>
          <w:sz w:val="17"/>
          <w:szCs w:val="17"/>
          <w:color w:val="auto"/>
        </w:rPr>
        <w:t>Oaktree’s practice of putting clients’ interests first and forsaking short-term advantage by, for example, reducing assets under management or management fee or carried interest rates may reduce the profits Oaktree could otherwise realize in the short term and adversely affect our business and financial condition. Our unitholders should understand that in instances in which Oaktree’s clients’ interests diverge from the short-term interests of our unitholders, Oaktree intends to act in the interests of its clients. However, it is Oaktree’s fundamental belief that prioritizing its clients’ interests will maximize the long-term value of its business, which, in turn, will benefit our unitholders.</w:t>
      </w:r>
    </w:p>
    <w:p>
      <w:pPr>
        <w:spacing w:after="0" w:line="81" w:lineRule="exact"/>
        <w:rPr>
          <w:sz w:val="20"/>
          <w:szCs w:val="20"/>
          <w:color w:val="auto"/>
        </w:rPr>
      </w:pPr>
    </w:p>
    <w:p>
      <w:pPr>
        <w:jc w:val="both"/>
        <w:ind w:right="260"/>
        <w:spacing w:after="0" w:line="277" w:lineRule="auto"/>
        <w:rPr>
          <w:sz w:val="20"/>
          <w:szCs w:val="20"/>
          <w:color w:val="auto"/>
        </w:rPr>
      </w:pPr>
      <w:r>
        <w:rPr>
          <w:rFonts w:ascii="Arial" w:cs="Arial" w:eastAsia="Arial" w:hAnsi="Arial"/>
          <w:sz w:val="17"/>
          <w:szCs w:val="17"/>
          <w:b w:val="1"/>
          <w:bCs w:val="1"/>
          <w:i w:val="1"/>
          <w:iCs w:val="1"/>
          <w:color w:val="auto"/>
        </w:rPr>
        <w:t>Our business is materially affected by conditions in the global financial markets and economies, and any disruption or deterioration in these conditions could materially reduce our revenues, earnings and cash flow and adversely affect our overall performance, ability to raise or deploy capital, financial prospects and condition and liquidity position.</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Our business and the businesses in which Oaktree’s funds invest are materially affected by conditions in the global financial markets and</w:t>
      </w:r>
    </w:p>
    <w:p>
      <w:pPr>
        <w:spacing w:after="0" w:line="14" w:lineRule="exact"/>
        <w:rPr>
          <w:sz w:val="20"/>
          <w:szCs w:val="20"/>
          <w:color w:val="auto"/>
        </w:rPr>
      </w:pPr>
    </w:p>
    <w:p>
      <w:pPr>
        <w:ind w:right="160"/>
        <w:spacing w:after="0" w:line="229" w:lineRule="auto"/>
        <w:rPr>
          <w:sz w:val="20"/>
          <w:szCs w:val="20"/>
          <w:color w:val="auto"/>
        </w:rPr>
      </w:pPr>
      <w:r>
        <w:rPr>
          <w:rFonts w:ascii="Arial" w:cs="Arial" w:eastAsia="Arial" w:hAnsi="Arial"/>
          <w:sz w:val="17"/>
          <w:szCs w:val="17"/>
          <w:color w:val="auto"/>
        </w:rPr>
        <w:t>economic conditions throughout the world that are outside our control, such as interest rates, the availability and cost of credit, inflation rates, general economic uncertainty, political uncertainty, changes in laws (including laws relating to taxation), trade barriers, commodity prices, currency</w:t>
      </w:r>
    </w:p>
    <w:p>
      <w:pPr>
        <w:spacing w:after="0" w:line="1" w:lineRule="exact"/>
        <w:rPr>
          <w:sz w:val="20"/>
          <w:szCs w:val="20"/>
          <w:color w:val="auto"/>
        </w:rPr>
      </w:pPr>
    </w:p>
    <w:p>
      <w:pPr>
        <w:ind w:right="20"/>
        <w:spacing w:after="0" w:line="239" w:lineRule="auto"/>
        <w:rPr>
          <w:sz w:val="20"/>
          <w:szCs w:val="20"/>
          <w:color w:val="auto"/>
        </w:rPr>
      </w:pPr>
      <w:r>
        <w:rPr>
          <w:rFonts w:ascii="Arial" w:cs="Arial" w:eastAsia="Arial" w:hAnsi="Arial"/>
          <w:sz w:val="17"/>
          <w:szCs w:val="17"/>
          <w:color w:val="auto"/>
        </w:rPr>
        <w:t>exchange rates and controls, volatility in financial markets, the impacts of public health issues, such as pandemics and epidemics, and national and international political circumstances (including economic and political events in or affecting the world’s major economies, such as the ongoing war between Russia and Ukraine, conflicts in the Middle East and controversies regarding Greenland). These and other uncertain conditions in the global financial markets and economy have resulted in, and may continue to result in, adverse consequences for many of Oaktree’s funds, including restricting such funds’ investment activities and impeding such funds’ ability to effectively achieve their investment objectives. Sanctions imposed by the U.S. and other countries in connection with hostilities between Russia and Ukraine and the tensions between China and Taiwan have caused additional financial market volatility and affected the global economy. In addition, concerns over future increases in inflation, economic recession, as well as interest rate volatility and fluctuations in oil and gas prices resulting from global production and demand levels, as well as geopolitical tension, have exacerbated market volatility.</w:t>
      </w:r>
    </w:p>
    <w:p>
      <w:pPr>
        <w:spacing w:after="0" w:line="205" w:lineRule="exact"/>
        <w:rPr>
          <w:sz w:val="20"/>
          <w:szCs w:val="20"/>
          <w:color w:val="auto"/>
        </w:rPr>
      </w:pPr>
    </w:p>
    <w:p>
      <w:pPr>
        <w:ind w:right="80" w:firstLine="464"/>
        <w:spacing w:after="0" w:line="247" w:lineRule="auto"/>
        <w:rPr>
          <w:sz w:val="20"/>
          <w:szCs w:val="20"/>
          <w:color w:val="auto"/>
        </w:rPr>
      </w:pPr>
      <w:r>
        <w:rPr>
          <w:rFonts w:ascii="Arial" w:cs="Arial" w:eastAsia="Arial" w:hAnsi="Arial"/>
          <w:sz w:val="17"/>
          <w:szCs w:val="17"/>
          <w:color w:val="auto"/>
        </w:rPr>
        <w:t>Market uncertainty and volatility have also been magnified as a result of ongoing uncertainties regarding actual and potential shifts in U.S. and foreign trade, economic and other policies, including with respect to treaties and tariffs. Starting in 2025, the U.S. has enacted and proposed to</w:t>
      </w:r>
    </w:p>
    <w:p>
      <w:pPr>
        <w:spacing w:after="0" w:line="229" w:lineRule="auto"/>
        <w:rPr>
          <w:sz w:val="20"/>
          <w:szCs w:val="20"/>
          <w:color w:val="auto"/>
        </w:rPr>
      </w:pPr>
      <w:r>
        <w:rPr>
          <w:rFonts w:ascii="Arial" w:cs="Arial" w:eastAsia="Arial" w:hAnsi="Arial"/>
          <w:sz w:val="17"/>
          <w:szCs w:val="17"/>
          <w:color w:val="auto"/>
        </w:rPr>
        <w:t>enact significant new tariffs or other trade barriers. In that connection, certain countries subject to such trade barriers have imposed or expressed an intent to impose similar measures in return. Additionally, President Trump has directed various federal agencies to further evaluate key aspects of</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U.S. trade policy and there has been ongoing discussion and commentary regarding potential significant changes to U.S. trade policies, treaties and tariffs. There continues to exist significant uncertainty about the future relationship between the U.S. and other countries with respect to such trade policies, treaties and tariffs. These developments, or the perception that any of them could occur, may have a material adverse effect on global economic conditions and the stability of global financial markets, and may significantly reduce global trade and, in particular, trade between the impacted nations and the U.S. There can be no assurance that future economic conditions in the U.S. or elsewhere around the world will be favorable to our business.</w:t>
      </w:r>
    </w:p>
    <w:p>
      <w:pPr>
        <w:spacing w:after="0" w:line="126" w:lineRule="exact"/>
        <w:rPr>
          <w:sz w:val="20"/>
          <w:szCs w:val="20"/>
          <w:color w:val="auto"/>
        </w:rPr>
      </w:pPr>
    </w:p>
    <w:p>
      <w:pPr>
        <w:ind w:right="20" w:firstLine="464"/>
        <w:spacing w:after="0" w:line="249" w:lineRule="auto"/>
        <w:rPr>
          <w:sz w:val="20"/>
          <w:szCs w:val="20"/>
          <w:color w:val="auto"/>
        </w:rPr>
      </w:pPr>
      <w:r>
        <w:rPr>
          <w:rFonts w:ascii="Arial" w:cs="Arial" w:eastAsia="Arial" w:hAnsi="Arial"/>
          <w:sz w:val="17"/>
          <w:szCs w:val="17"/>
          <w:color w:val="auto"/>
        </w:rPr>
        <w:t>The economic environment in the past has resulted in, and may in the future result in, decreases in the market value of certain publicly-traded securities held by some of Oaktree’s funds. Illiquidity in certain portions of the financial markets could adversely affect the pace of realization of Oaktree’s funds’ investments or otherwise restrict the ability of Oaktree’s funds to realize value from their investments, thereby adversely affecting our ability to generate investment income. There can be no assurance that conditions in the global financial markets will not deteriorate and/or</w:t>
      </w:r>
    </w:p>
    <w:p>
      <w:pPr>
        <w:spacing w:after="0" w:line="1" w:lineRule="exact"/>
        <w:rPr>
          <w:sz w:val="20"/>
          <w:szCs w:val="20"/>
          <w:color w:val="auto"/>
        </w:rPr>
      </w:pPr>
    </w:p>
    <w:p>
      <w:pPr>
        <w:ind w:right="40"/>
        <w:spacing w:after="0" w:line="274" w:lineRule="auto"/>
        <w:rPr>
          <w:sz w:val="20"/>
          <w:szCs w:val="20"/>
          <w:color w:val="auto"/>
        </w:rPr>
      </w:pPr>
      <w:r>
        <w:rPr>
          <w:rFonts w:ascii="Arial" w:cs="Arial" w:eastAsia="Arial" w:hAnsi="Arial"/>
          <w:sz w:val="17"/>
          <w:szCs w:val="17"/>
          <w:color w:val="auto"/>
        </w:rPr>
        <w:t>adversely affect our investments and overall performance. These market and economic conditions are not in our control and are often difficult, if not impossible, to predict, manage, mitigate, hedge or foresee.</w:t>
      </w:r>
    </w:p>
    <w:p>
      <w:pPr>
        <w:spacing w:after="0" w:line="160" w:lineRule="exact"/>
        <w:rPr>
          <w:sz w:val="20"/>
          <w:szCs w:val="20"/>
          <w:color w:val="auto"/>
        </w:rPr>
      </w:pPr>
    </w:p>
    <w:p>
      <w:pPr>
        <w:ind w:right="120" w:firstLine="464"/>
        <w:spacing w:after="0" w:line="246" w:lineRule="auto"/>
        <w:rPr>
          <w:sz w:val="20"/>
          <w:szCs w:val="20"/>
          <w:color w:val="auto"/>
        </w:rPr>
      </w:pPr>
      <w:r>
        <w:rPr>
          <w:rFonts w:ascii="Arial" w:cs="Arial" w:eastAsia="Arial" w:hAnsi="Arial"/>
          <w:sz w:val="17"/>
          <w:szCs w:val="17"/>
          <w:color w:val="auto"/>
        </w:rPr>
        <w:t>Our profitability may also be adversely affected by our fixed costs, such as service fees paid to OCM under the Services Agreement, and the possibility that we or Oaktree would be unable to scale back other costs and otherwise redeploy resources within a time frame sufficient to match changes in market and economic conditions to take advantage of the opportunities that may be presented by these changes. As a result, we or Oaktree may not be able to adjust resources to take advantage of new investment opportunities that may be created as a result of specific dislocations in the market.</w:t>
      </w:r>
    </w:p>
    <w:p>
      <w:pPr>
        <w:spacing w:after="0" w:line="81" w:lineRule="exact"/>
        <w:rPr>
          <w:sz w:val="20"/>
          <w:szCs w:val="20"/>
          <w:color w:val="auto"/>
        </w:rPr>
      </w:pPr>
    </w:p>
    <w:p>
      <w:pPr>
        <w:ind w:right="80"/>
        <w:spacing w:after="0" w:line="302" w:lineRule="auto"/>
        <w:rPr>
          <w:sz w:val="20"/>
          <w:szCs w:val="20"/>
          <w:color w:val="auto"/>
        </w:rPr>
      </w:pPr>
      <w:r>
        <w:rPr>
          <w:rFonts w:ascii="Arial" w:cs="Arial" w:eastAsia="Arial" w:hAnsi="Arial"/>
          <w:sz w:val="17"/>
          <w:szCs w:val="17"/>
          <w:b w:val="1"/>
          <w:bCs w:val="1"/>
          <w:i w:val="1"/>
          <w:iCs w:val="1"/>
          <w:color w:val="auto"/>
        </w:rPr>
        <w:t>Inflation has adversely affected and may continue to adversely affect Oaktree’s business, results of operations and financial condition of Oaktree’s funds and their portfolio companies.</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961" w:right="339" w:bottom="1440" w:gutter="0" w:footer="0" w:header="0"/>
        </w:sectPr>
      </w:pPr>
    </w:p>
    <w:bookmarkStart w:id="21" w:name="page22"/>
    <w:bookmarkEnd w:id="21"/>
    <w:p>
      <w:pPr>
        <w:ind w:right="20" w:firstLine="464"/>
        <w:spacing w:after="0" w:line="243" w:lineRule="auto"/>
        <w:rPr>
          <w:sz w:val="20"/>
          <w:szCs w:val="20"/>
          <w:color w:val="auto"/>
        </w:rPr>
      </w:pPr>
      <w:r>
        <w:rPr>
          <w:rFonts w:ascii="Arial" w:cs="Arial" w:eastAsia="Arial" w:hAnsi="Arial"/>
          <w:sz w:val="17"/>
          <w:szCs w:val="17"/>
          <w:color w:val="auto"/>
        </w:rPr>
        <w:t>Certain of Oaktree’s funds and their portfolio companies are in industries that have been impacted by inflation. Inflationary pressures in recent years have increased the costs of labor, energy and raw materials and have adversely affected consumer spending, economic growth and Oaktree’s funds’ portfolio companies’ operations, and profit margins may be pressured if inflation re-accelerates, particularly for companies that lack pricing power. If such portfolio companies are unable to pass any increases in their costs of operations along to their customers, it could adversely affect their operating results. In addition, any projected future decreases in the operating results of Oaktree’s funds’ portfolio companies due to inflation could adversely impact the fair value of those investments. Any decreases in the fair value of Oaktree’s fund investments could result in future realized or unrealized losses.</w:t>
      </w:r>
    </w:p>
    <w:p>
      <w:pPr>
        <w:spacing w:after="0" w:line="58" w:lineRule="exact"/>
        <w:rPr>
          <w:sz w:val="20"/>
          <w:szCs w:val="20"/>
          <w:color w:val="auto"/>
        </w:rPr>
      </w:pPr>
    </w:p>
    <w:p>
      <w:pPr>
        <w:ind w:right="220"/>
        <w:spacing w:after="0" w:line="262" w:lineRule="auto"/>
        <w:rPr>
          <w:sz w:val="20"/>
          <w:szCs w:val="20"/>
          <w:color w:val="auto"/>
        </w:rPr>
      </w:pPr>
      <w:r>
        <w:rPr>
          <w:rFonts w:ascii="Arial" w:cs="Arial" w:eastAsia="Arial" w:hAnsi="Arial"/>
          <w:sz w:val="17"/>
          <w:szCs w:val="17"/>
          <w:b w:val="1"/>
          <w:bCs w:val="1"/>
          <w:i w:val="1"/>
          <w:iCs w:val="1"/>
          <w:color w:val="auto"/>
        </w:rPr>
        <w:t>Our business depends in large part on Oaktree’s ability to raise capital from investors. If Oaktree were unable to raise such capital, Oaktree would be unable to collect incentive fees or deploy such capital into investments, which would materially reduce our revenues and cash flow and adversely affect our financial condition.</w:t>
      </w:r>
    </w:p>
    <w:p>
      <w:pPr>
        <w:spacing w:after="0" w:line="43" w:lineRule="exact"/>
        <w:rPr>
          <w:sz w:val="20"/>
          <w:szCs w:val="20"/>
          <w:color w:val="auto"/>
        </w:rPr>
      </w:pPr>
    </w:p>
    <w:p>
      <w:pPr>
        <w:ind w:right="20" w:firstLine="464"/>
        <w:spacing w:after="0" w:line="239" w:lineRule="auto"/>
        <w:rPr>
          <w:sz w:val="20"/>
          <w:szCs w:val="20"/>
          <w:color w:val="auto"/>
        </w:rPr>
      </w:pPr>
      <w:r>
        <w:rPr>
          <w:rFonts w:ascii="Arial" w:cs="Arial" w:eastAsia="Arial" w:hAnsi="Arial"/>
          <w:sz w:val="17"/>
          <w:szCs w:val="17"/>
          <w:color w:val="auto"/>
        </w:rPr>
        <w:t>Oaktree’s ability to raise capital from investors depends on a number of factors, including many that are outside its control. These include the general economic environment and the number of other investment funds being raised at the same time by Oaktree’s competitors that are focused on the same or similar investment strategies as Oaktree’s funds. Additionally, investors may reduce (or even eliminate) their investment allocations to alternative investments, including closed-ended private funds and hedge funds. During periods of high interest rates, investors may favor investments that are generally viewed as producing a risk-free return, such as treasury bonds, over investments in Oaktree’s funds. Poor performance of Oaktree’s funds could also make it more difficult for Oaktree to raise new capital. Investors in Oaktree’s funds may decline to invest in future funds Oaktree raises, and investors in open-end and evergreen funds may withdraw their investments in the funds (on specified withdrawal dates) as a result of poor performance. Oaktree’s investors and potential investors continually assess Oaktree’s funds’ performance, both on a standalone basis and relative to market benchmarks and Oaktree’s competitors, and Oaktree’s ability to raise capital for existing and future funds</w:t>
      </w:r>
    </w:p>
    <w:p>
      <w:pPr>
        <w:spacing w:after="0" w:line="4" w:lineRule="exact"/>
        <w:rPr>
          <w:sz w:val="20"/>
          <w:szCs w:val="20"/>
          <w:color w:val="auto"/>
        </w:rPr>
      </w:pPr>
    </w:p>
    <w:p>
      <w:pPr>
        <w:ind w:right="220"/>
        <w:spacing w:after="0" w:line="239" w:lineRule="auto"/>
        <w:rPr>
          <w:sz w:val="20"/>
          <w:szCs w:val="20"/>
          <w:color w:val="auto"/>
        </w:rPr>
      </w:pPr>
      <w:r>
        <w:rPr>
          <w:rFonts w:ascii="Arial" w:cs="Arial" w:eastAsia="Arial" w:hAnsi="Arial"/>
          <w:sz w:val="17"/>
          <w:szCs w:val="17"/>
          <w:color w:val="auto"/>
        </w:rPr>
        <w:t>and avoid excessive redemptions depends on Oaktree’s funds’ relative and absolute performance. To the extent economic and market conditions deteriorate, Oaktree may be unable to raise sufficient amounts of capital to support the investment activities of future funds.</w:t>
      </w:r>
    </w:p>
    <w:p>
      <w:pPr>
        <w:spacing w:after="0" w:line="201" w:lineRule="exact"/>
        <w:rPr>
          <w:sz w:val="20"/>
          <w:szCs w:val="20"/>
          <w:color w:val="auto"/>
        </w:rPr>
      </w:pPr>
    </w:p>
    <w:p>
      <w:pPr>
        <w:ind w:right="40" w:firstLine="464"/>
        <w:spacing w:after="0" w:line="242" w:lineRule="auto"/>
        <w:rPr>
          <w:sz w:val="20"/>
          <w:szCs w:val="20"/>
          <w:color w:val="auto"/>
        </w:rPr>
      </w:pPr>
      <w:r>
        <w:rPr>
          <w:rFonts w:ascii="Arial" w:cs="Arial" w:eastAsia="Arial" w:hAnsi="Arial"/>
          <w:sz w:val="17"/>
          <w:szCs w:val="17"/>
          <w:color w:val="auto"/>
        </w:rPr>
        <w:t>In addition, certain institutional investors, including sovereign wealth funds and public pension funds, have demonstrated an increased preference for alternatives to the traditional investment fund structure, such as managed accounts, funds-of-one and co-investment vehicles. There can be no assurance that such alternatives will be as profitable for Oaktree as the traditional investment fund structure, or as to the impact such a trend could have on the cost of our operations or profitability. Moreover, certain institutional investors are demonstrating a preference to make direct investments in alternative assets without the assistance of private asset managers like Oaktree. Such institutional investors may become Oaktree’s competitors and could cease to be Oaktree clients. As some existing investors cease or significantly curtail making commitments to alternative investment funds, Oaktree may need to identify and attract new investors in order to maintain or increase the size of Oaktree’s investment funds. There are no assurances that Oaktree can find or secure capital commitments from new investors. If economic conditions were to deteriorate or if Oaktree is unable to find new investors, Oaktree might raise less than its desired amount for a given fund.</w:t>
      </w:r>
    </w:p>
    <w:p>
      <w:pPr>
        <w:spacing w:after="0" w:line="199" w:lineRule="exact"/>
        <w:rPr>
          <w:sz w:val="20"/>
          <w:szCs w:val="20"/>
          <w:color w:val="auto"/>
        </w:rPr>
      </w:pPr>
    </w:p>
    <w:p>
      <w:pPr>
        <w:ind w:right="220" w:firstLine="464"/>
        <w:spacing w:after="0" w:line="274" w:lineRule="auto"/>
        <w:rPr>
          <w:sz w:val="20"/>
          <w:szCs w:val="20"/>
          <w:color w:val="auto"/>
        </w:rPr>
      </w:pPr>
      <w:r>
        <w:rPr>
          <w:rFonts w:ascii="Arial" w:cs="Arial" w:eastAsia="Arial" w:hAnsi="Arial"/>
          <w:sz w:val="17"/>
          <w:szCs w:val="17"/>
          <w:color w:val="auto"/>
        </w:rPr>
        <w:t>If Oaktree were unable to successfully raise capital, it could materially reduce our revenue, earnings and cash flow and adversely affect our financial prospects and condition.</w:t>
      </w:r>
    </w:p>
    <w:p>
      <w:pPr>
        <w:spacing w:after="0" w:line="185"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b w:val="1"/>
          <w:bCs w:val="1"/>
          <w:i w:val="1"/>
          <w:iCs w:val="1"/>
          <w:color w:val="auto"/>
        </w:rPr>
        <w:t>We depend on OCM as the primary investment adviser to Oaktree’s funds to support Oaktree’s funds’ investment activities and a Services Agreement with OCM to support Oaktree’s operations; if the terms of the services provided by OCM were significantly altered or if the arrangements to provide such services were terminated, our ability to achieve our investment objective or operate as a public reporting company could be significantly harmed.</w:t>
      </w:r>
    </w:p>
    <w:p>
      <w:pPr>
        <w:spacing w:after="0" w:line="168" w:lineRule="exact"/>
        <w:rPr>
          <w:sz w:val="20"/>
          <w:szCs w:val="20"/>
          <w:color w:val="auto"/>
        </w:rPr>
      </w:pPr>
    </w:p>
    <w:p>
      <w:pPr>
        <w:ind w:firstLine="464"/>
        <w:spacing w:after="0" w:line="239" w:lineRule="auto"/>
        <w:rPr>
          <w:sz w:val="20"/>
          <w:szCs w:val="20"/>
          <w:color w:val="auto"/>
        </w:rPr>
      </w:pPr>
      <w:r>
        <w:rPr>
          <w:rFonts w:ascii="Arial" w:cs="Arial" w:eastAsia="Arial" w:hAnsi="Arial"/>
          <w:sz w:val="17"/>
          <w:szCs w:val="17"/>
          <w:color w:val="auto"/>
        </w:rPr>
        <w:t>Oaktree’s funds depend on the diligence, skill, judgment, reputation and business contacts of key personnel of OCM provided to them through investment management agreements with OCM and we depend on key personnel of OCM under the Services Agreement between OCM and us.</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Our future success will depend upon OCM’s ability to retain these key personnel and to recruit additional qualified personnel. These key personnel possess substantial experience and expertise in investing, are responsible for locating and executing Oaktree’s funds’ investments, have significant relationships with the institutions that are the source of many of Oaktree’s funds’ investment opportunities and in certain cases have strong relationships with Oaktree’s investors. Therefore, if these key personnel join competitors or form competing companies, it could result in the loss of significant investment opportunities and certain existing investors. OCM is not obligated to dedicate any specific personnel exclusively to its funds or to us, nor is OCM or its personnel obligated to dedicate any specific portion of their time to the management of our business. Consequently, we may not receive the level of support and assistance that we otherwise might receive if</w:t>
      </w: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45" w:right="339" w:bottom="1440" w:gutter="0" w:footer="0" w:header="0"/>
        </w:sectPr>
      </w:pPr>
    </w:p>
    <w:bookmarkStart w:id="22" w:name="page23"/>
    <w:bookmarkEnd w:id="22"/>
    <w:p>
      <w:pPr>
        <w:ind w:right="40"/>
        <w:spacing w:after="0"/>
        <w:rPr>
          <w:sz w:val="20"/>
          <w:szCs w:val="20"/>
          <w:color w:val="auto"/>
        </w:rPr>
      </w:pPr>
      <w:r>
        <w:rPr>
          <w:rFonts w:ascii="Arial" w:cs="Arial" w:eastAsia="Arial" w:hAnsi="Arial"/>
          <w:sz w:val="17"/>
          <w:szCs w:val="17"/>
          <w:color w:val="auto"/>
        </w:rPr>
        <w:t>OCM personnel were employed directly by us and we have no ability to determine the level of support that OCM provides to the Oaktree funds in which we directly and indirectly invest. We are also subject to conflicts of interest arising out of our relationship with OCM, Brookfield and their respective affiliates. For example, Mr. Howard Marks, our Co-Chairman and one of our board members, is also the Co-Chairman of OCM and a board member of Brookfield. As mentioned above (under “Business—Overview”), Brookfield and its affiliates acquired a majority interest in Oaktree upon the completion of the Mergers. Accordingly, Mr. Marks owes duties to OCM and Brookfield, which duties may from time-to-time conflict with the interests of us and our preferred unitholders. Additionally, if our Services Agreement with OCM was significantly altered or terminated, it could</w:t>
      </w:r>
    </w:p>
    <w:p>
      <w:pPr>
        <w:spacing w:after="0" w:line="3" w:lineRule="exact"/>
        <w:rPr>
          <w:sz w:val="20"/>
          <w:szCs w:val="20"/>
          <w:color w:val="auto"/>
        </w:rPr>
      </w:pPr>
    </w:p>
    <w:p>
      <w:pPr>
        <w:ind w:right="240"/>
        <w:spacing w:after="0" w:line="229" w:lineRule="auto"/>
        <w:rPr>
          <w:sz w:val="20"/>
          <w:szCs w:val="20"/>
          <w:color w:val="auto"/>
        </w:rPr>
      </w:pPr>
      <w:r>
        <w:rPr>
          <w:rFonts w:ascii="Arial" w:cs="Arial" w:eastAsia="Arial" w:hAnsi="Arial"/>
          <w:sz w:val="17"/>
          <w:szCs w:val="17"/>
          <w:color w:val="auto"/>
        </w:rPr>
        <w:t>result in the loss of significant key personnel of OCM that we depend on to operate as a public reporting company and could have a material adverse effect on our financial condition and results of operation. Also, the services of our Chief Executive Officer, Mr. Nicholas H. Goodman, are</w:t>
      </w:r>
    </w:p>
    <w:p>
      <w:pPr>
        <w:spacing w:after="0" w:line="1" w:lineRule="exact"/>
        <w:rPr>
          <w:sz w:val="20"/>
          <w:szCs w:val="20"/>
          <w:color w:val="auto"/>
        </w:rPr>
      </w:pPr>
    </w:p>
    <w:p>
      <w:pPr>
        <w:ind w:right="140"/>
        <w:spacing w:after="0" w:line="254" w:lineRule="auto"/>
        <w:rPr>
          <w:sz w:val="20"/>
          <w:szCs w:val="20"/>
          <w:color w:val="auto"/>
        </w:rPr>
      </w:pPr>
      <w:r>
        <w:rPr>
          <w:rFonts w:ascii="Arial" w:cs="Arial" w:eastAsia="Arial" w:hAnsi="Arial"/>
          <w:sz w:val="17"/>
          <w:szCs w:val="17"/>
          <w:color w:val="auto"/>
        </w:rPr>
        <w:t>made available by Brookfield. If Brookfield ceased to do so, we would have to identify another person to serve as our chief executive officer, which could be disruptive and/or have a material adverse effect on our financial condition and results of operation.</w:t>
      </w:r>
    </w:p>
    <w:p>
      <w:pPr>
        <w:spacing w:after="0" w:line="189" w:lineRule="exact"/>
        <w:rPr>
          <w:sz w:val="20"/>
          <w:szCs w:val="20"/>
          <w:color w:val="auto"/>
        </w:rPr>
      </w:pPr>
    </w:p>
    <w:p>
      <w:pPr>
        <w:ind w:firstLine="464"/>
        <w:spacing w:after="0" w:line="244" w:lineRule="auto"/>
        <w:rPr>
          <w:sz w:val="20"/>
          <w:szCs w:val="20"/>
          <w:color w:val="auto"/>
        </w:rPr>
      </w:pPr>
      <w:r>
        <w:rPr>
          <w:rFonts w:ascii="Arial" w:cs="Arial" w:eastAsia="Arial" w:hAnsi="Arial"/>
          <w:sz w:val="17"/>
          <w:szCs w:val="17"/>
          <w:color w:val="auto"/>
        </w:rPr>
        <w:t>As the appointed investment adviser to Oaktree’s funds, OCM provides Oaktree’s funds services to evaluate, negotiate, structure, execute, monitor and service the funds’ investments. Key personnel of OCM have departed in the past and current key personnel could depart at any time. The termination of the Services Agreement or the departure of key personnel or of a significant number of the investment professionals or partners of OCM could have a material adverse effect on our ability to maintain our operations or Oaktree’s ability to achieve its funds’ investment objectives. OCM may need to hire, train, supervise and manage new professionals to service our business and may not be able to find qualified professionals in a timely manner or at all.</w:t>
      </w:r>
    </w:p>
    <w:p>
      <w:pPr>
        <w:spacing w:after="0" w:line="135" w:lineRule="exact"/>
        <w:rPr>
          <w:sz w:val="20"/>
          <w:szCs w:val="20"/>
          <w:color w:val="auto"/>
        </w:rPr>
      </w:pPr>
    </w:p>
    <w:p>
      <w:pPr>
        <w:ind w:right="260"/>
        <w:spacing w:after="0" w:line="302" w:lineRule="auto"/>
        <w:rPr>
          <w:sz w:val="20"/>
          <w:szCs w:val="20"/>
          <w:color w:val="auto"/>
        </w:rPr>
      </w:pPr>
      <w:r>
        <w:rPr>
          <w:rFonts w:ascii="Arial" w:cs="Arial" w:eastAsia="Arial" w:hAnsi="Arial"/>
          <w:sz w:val="17"/>
          <w:szCs w:val="17"/>
          <w:b w:val="1"/>
          <w:bCs w:val="1"/>
          <w:i w:val="1"/>
          <w:iCs w:val="1"/>
          <w:color w:val="auto"/>
        </w:rPr>
        <w:t>Our revenues are volatile due to the nature and structure of our business, and if we experience a substantial decline in our investment income, we may not be able to pay distributions on our preferred units.</w:t>
      </w:r>
    </w:p>
    <w:p>
      <w:pPr>
        <w:spacing w:after="0" w:line="11" w:lineRule="exact"/>
        <w:rPr>
          <w:sz w:val="20"/>
          <w:szCs w:val="20"/>
          <w:color w:val="auto"/>
        </w:rPr>
      </w:pPr>
    </w:p>
    <w:p>
      <w:pPr>
        <w:ind w:right="200" w:firstLine="619"/>
        <w:spacing w:after="0" w:line="243" w:lineRule="auto"/>
        <w:rPr>
          <w:sz w:val="20"/>
          <w:szCs w:val="20"/>
          <w:color w:val="auto"/>
        </w:rPr>
      </w:pPr>
      <w:r>
        <w:rPr>
          <w:rFonts w:ascii="Arial" w:cs="Arial" w:eastAsia="Arial" w:hAnsi="Arial"/>
          <w:sz w:val="17"/>
          <w:szCs w:val="17"/>
          <w:color w:val="auto"/>
        </w:rPr>
        <w:t>Our revenues and cash flow are more volatile and limited following the 2019 Restructuring, the 2022 Restructuring and the 2024 Restructuring. As a result of the 2024 Restructuring, the Company no longer consolidates the operations of Oaktree Capital I, but rather accounts for the Company’s approximately 74% interest in Oaktree Capital I under the equity method of accounting. As such, subsequent to the 2024</w:t>
      </w:r>
    </w:p>
    <w:p>
      <w:pPr>
        <w:spacing w:after="0" w:line="2" w:lineRule="exact"/>
        <w:rPr>
          <w:sz w:val="20"/>
          <w:szCs w:val="20"/>
          <w:color w:val="auto"/>
        </w:rPr>
      </w:pPr>
    </w:p>
    <w:p>
      <w:pPr>
        <w:ind w:right="20"/>
        <w:spacing w:after="0" w:line="229" w:lineRule="auto"/>
        <w:rPr>
          <w:sz w:val="20"/>
          <w:szCs w:val="20"/>
          <w:color w:val="auto"/>
        </w:rPr>
      </w:pPr>
      <w:r>
        <w:rPr>
          <w:rFonts w:ascii="Arial" w:cs="Arial" w:eastAsia="Arial" w:hAnsi="Arial"/>
          <w:sz w:val="17"/>
          <w:szCs w:val="17"/>
          <w:color w:val="auto"/>
        </w:rPr>
        <w:t>Restructuring, the Company’s revenue is primarily the investment income earned from (i) limited partner investments in certain of Oaktree’s flagship opportunistic funds, (ii) an equity method investment in Oaktree Capital I, and (iii) an indirect ownership in Brookfield REIT. If we were to experience</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a significant reduction in investment income, we may not be able to pay future distributions on our preferred units.</w:t>
      </w:r>
    </w:p>
    <w:p>
      <w:pPr>
        <w:spacing w:after="0" w:line="98" w:lineRule="exact"/>
        <w:rPr>
          <w:sz w:val="20"/>
          <w:szCs w:val="20"/>
          <w:color w:val="auto"/>
        </w:rPr>
      </w:pPr>
    </w:p>
    <w:p>
      <w:pPr>
        <w:ind w:right="600"/>
        <w:spacing w:after="0" w:line="302" w:lineRule="auto"/>
        <w:rPr>
          <w:sz w:val="20"/>
          <w:szCs w:val="20"/>
          <w:color w:val="auto"/>
        </w:rPr>
      </w:pPr>
      <w:r>
        <w:rPr>
          <w:rFonts w:ascii="Arial" w:cs="Arial" w:eastAsia="Arial" w:hAnsi="Arial"/>
          <w:sz w:val="17"/>
          <w:szCs w:val="17"/>
          <w:b w:val="1"/>
          <w:bCs w:val="1"/>
          <w:i w:val="1"/>
          <w:iCs w:val="1"/>
          <w:color w:val="auto"/>
        </w:rPr>
        <w:t>Oaktree’s failure to deal appropriately with conflicts of interest or inter-fund governance matters could damage our reputation and adversely affect our business.</w:t>
      </w:r>
    </w:p>
    <w:p>
      <w:pPr>
        <w:spacing w:after="0" w:line="11" w:lineRule="exact"/>
        <w:rPr>
          <w:sz w:val="20"/>
          <w:szCs w:val="20"/>
          <w:color w:val="auto"/>
        </w:rPr>
      </w:pPr>
    </w:p>
    <w:p>
      <w:pPr>
        <w:ind w:firstLine="464"/>
        <w:spacing w:after="0" w:line="246" w:lineRule="auto"/>
        <w:rPr>
          <w:sz w:val="20"/>
          <w:szCs w:val="20"/>
          <w:color w:val="auto"/>
        </w:rPr>
      </w:pPr>
      <w:r>
        <w:rPr>
          <w:rFonts w:ascii="Arial" w:cs="Arial" w:eastAsia="Arial" w:hAnsi="Arial"/>
          <w:sz w:val="17"/>
          <w:szCs w:val="17"/>
          <w:color w:val="auto"/>
        </w:rPr>
        <w:t>As Oaktree has expanded the number and scope of its strategies and distribution channels, including Oaktree’s advising registered mutual funds and business development companies, Oaktree increasingly confronts potential conflicts of interest that it needs to manage and resolve. In our view, conflicts of interest may describe two types of potential situations: (i) where the interests of the funds Oaktree manages (or the investors in such funds) may conflict with one another; and (ii) where Oaktree’s interests, as manager or adviser, may conflict with the interests of Oaktree’s funds or clients.</w:t>
      </w:r>
    </w:p>
    <w:p>
      <w:pPr>
        <w:spacing w:after="0" w:line="197" w:lineRule="exact"/>
        <w:rPr>
          <w:sz w:val="20"/>
          <w:szCs w:val="20"/>
          <w:color w:val="auto"/>
        </w:rPr>
      </w:pPr>
    </w:p>
    <w:p>
      <w:pPr>
        <w:ind w:right="40" w:firstLine="464"/>
        <w:spacing w:after="0" w:line="241" w:lineRule="auto"/>
        <w:rPr>
          <w:sz w:val="20"/>
          <w:szCs w:val="20"/>
          <w:color w:val="auto"/>
        </w:rPr>
      </w:pPr>
      <w:r>
        <w:rPr>
          <w:rFonts w:ascii="Arial" w:cs="Arial" w:eastAsia="Arial" w:hAnsi="Arial"/>
          <w:sz w:val="17"/>
          <w:szCs w:val="17"/>
          <w:color w:val="auto"/>
        </w:rPr>
        <w:t>Examples of potential inter-fund conflicts include: (i) the allocation of investment opportunities in situations where the investment focus of one or more of Oaktree’s funds overlaps (including certain instances in which funds registered under the Investment Company Act may be precluded from participating in certain opportunities as a result of regulatory restrictions applicable to companies with multiple types of funds with overlapping investment focuses); (ii) opportunities to co-invest directly alongside a fund that are offered to certain fund investors rather than to other Oaktree funds or other fund investors; (iii) investments by different funds at different levels of the capital structure of the same issuer; (iv) receipt of material,</w:t>
      </w:r>
    </w:p>
    <w:p>
      <w:pPr>
        <w:spacing w:after="0" w:line="1" w:lineRule="exact"/>
        <w:rPr>
          <w:sz w:val="20"/>
          <w:szCs w:val="20"/>
          <w:color w:val="auto"/>
        </w:rPr>
      </w:pPr>
    </w:p>
    <w:p>
      <w:pPr>
        <w:ind w:right="360"/>
        <w:spacing w:after="0" w:line="229" w:lineRule="auto"/>
        <w:rPr>
          <w:sz w:val="20"/>
          <w:szCs w:val="20"/>
          <w:color w:val="auto"/>
        </w:rPr>
      </w:pPr>
      <w:r>
        <w:rPr>
          <w:rFonts w:ascii="Arial" w:cs="Arial" w:eastAsia="Arial" w:hAnsi="Arial"/>
          <w:sz w:val="17"/>
          <w:szCs w:val="17"/>
          <w:color w:val="auto"/>
        </w:rPr>
        <w:t>non-public information regarding an issuer by one strategy where another strategy does not wish to be restricted in trading the securities of that issuer; and (v) investments by a fund into a portfolio company held or controlled by another fund. Over time Oaktree has developed general</w:t>
      </w:r>
    </w:p>
    <w:p>
      <w:pPr>
        <w:spacing w:after="0" w:line="1" w:lineRule="exact"/>
        <w:rPr>
          <w:sz w:val="20"/>
          <w:szCs w:val="20"/>
          <w:color w:val="auto"/>
        </w:rPr>
      </w:pPr>
    </w:p>
    <w:p>
      <w:pPr>
        <w:ind w:right="160"/>
        <w:spacing w:after="0" w:line="243" w:lineRule="auto"/>
        <w:rPr>
          <w:sz w:val="20"/>
          <w:szCs w:val="20"/>
          <w:color w:val="auto"/>
        </w:rPr>
      </w:pPr>
      <w:r>
        <w:rPr>
          <w:rFonts w:ascii="Arial" w:cs="Arial" w:eastAsia="Arial" w:hAnsi="Arial"/>
          <w:sz w:val="17"/>
          <w:szCs w:val="17"/>
          <w:color w:val="auto"/>
        </w:rPr>
        <w:t>guidelines or a course of conduct to manage these potential inter-fund governance matters, including establishing an inter-fund governance work group and standing committee composed of senior officers from Oaktree’s non-investment groups, including Oaktree’s legal and compliance departments. Oaktree seeks to resolve such governance issues in good faith and with a view to the best interests of all of its clients, but there can be no assurance that Oaktree will make the correct judgment or that its judgment will not be questioned or challenged.</w:t>
      </w:r>
    </w:p>
    <w:p>
      <w:pPr>
        <w:spacing w:after="0" w:line="198" w:lineRule="exact"/>
        <w:rPr>
          <w:sz w:val="20"/>
          <w:szCs w:val="20"/>
          <w:color w:val="auto"/>
        </w:rPr>
      </w:pPr>
    </w:p>
    <w:p>
      <w:pPr>
        <w:ind w:right="20" w:firstLine="464"/>
        <w:spacing w:after="0" w:line="249" w:lineRule="auto"/>
        <w:rPr>
          <w:sz w:val="20"/>
          <w:szCs w:val="20"/>
          <w:color w:val="auto"/>
        </w:rPr>
      </w:pPr>
      <w:r>
        <w:rPr>
          <w:rFonts w:ascii="Arial" w:cs="Arial" w:eastAsia="Arial" w:hAnsi="Arial"/>
          <w:sz w:val="17"/>
          <w:szCs w:val="17"/>
          <w:color w:val="auto"/>
        </w:rPr>
        <w:t>In addition to the potential for conflict among Oaktree’s funds, we and Oaktree face the potential for conflict between us and Oaktree, on the one hand, and Oaktree’s funds or Oaktree’s clients, on the other hand. These conflicts may include: (i) personal trading by Oaktree personnel in the securities of issuers held by one or more of Oaktree’s funds; (ii) the allocation of investment opportunities among funds with different incentive fee structures, or</w:t>
      </w: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845" w:right="359" w:bottom="1440" w:gutter="0" w:footer="0" w:header="0"/>
        </w:sectPr>
      </w:pPr>
    </w:p>
    <w:bookmarkStart w:id="23" w:name="page24"/>
    <w:bookmarkEnd w:id="23"/>
    <w:p>
      <w:pPr>
        <w:ind w:right="80"/>
        <w:spacing w:after="0"/>
        <w:rPr>
          <w:sz w:val="20"/>
          <w:szCs w:val="20"/>
          <w:color w:val="auto"/>
        </w:rPr>
      </w:pPr>
      <w:r>
        <w:rPr>
          <w:rFonts w:ascii="Arial" w:cs="Arial" w:eastAsia="Arial" w:hAnsi="Arial"/>
          <w:sz w:val="17"/>
          <w:szCs w:val="17"/>
          <w:color w:val="auto"/>
        </w:rPr>
        <w:t>where Oaktree personnel have invested more heavily in one fund than another; (iii) the use of subscription lines by Oaktree’s funds, which, among other things, may cause fund investors to indirectly bear interest expense when such investors would prefer to contribute capital and avoid the interest expense; and (iv) the determination of what constitutes fund-related expenses and the allocation of such expenses between Oaktree’s funds and us or Oaktree. Through Oaktree, we maintain internal controls and various policies and procedures, including oversight, codes of ethics and conduct, compliance systems and communication tools, to identify, prevent, mitigate or resolve conflicts of interest that may arise. Notwithstanding these efforts, it is possible that perceived or actual conflicts could give rise to investor dissatisfaction or litigation or regulatory</w:t>
      </w:r>
    </w:p>
    <w:p>
      <w:pPr>
        <w:spacing w:after="0" w:line="3" w:lineRule="exact"/>
        <w:rPr>
          <w:sz w:val="20"/>
          <w:szCs w:val="20"/>
          <w:color w:val="auto"/>
        </w:rPr>
      </w:pPr>
    </w:p>
    <w:p>
      <w:pPr>
        <w:ind w:right="400"/>
        <w:spacing w:after="0" w:line="229" w:lineRule="auto"/>
        <w:rPr>
          <w:sz w:val="20"/>
          <w:szCs w:val="20"/>
          <w:color w:val="auto"/>
        </w:rPr>
      </w:pPr>
      <w:r>
        <w:rPr>
          <w:rFonts w:ascii="Arial" w:cs="Arial" w:eastAsia="Arial" w:hAnsi="Arial"/>
          <w:sz w:val="17"/>
          <w:szCs w:val="17"/>
          <w:color w:val="auto"/>
        </w:rPr>
        <w:t>enforcement actions. Appropriately dealing with conflicts of interest is complex and difficult, and any mistake could potentially create liability or damage our reputation. Regulatory scrutiny of, or litigation in connection with, conflicts of interest could have a material adverse effect on our</w:t>
      </w:r>
    </w:p>
    <w:p>
      <w:pPr>
        <w:spacing w:after="0" w:line="1" w:lineRule="exact"/>
        <w:rPr>
          <w:sz w:val="20"/>
          <w:szCs w:val="20"/>
          <w:color w:val="auto"/>
        </w:rPr>
      </w:pPr>
    </w:p>
    <w:p>
      <w:pPr>
        <w:ind w:right="200"/>
        <w:spacing w:after="0" w:line="254" w:lineRule="auto"/>
        <w:rPr>
          <w:sz w:val="20"/>
          <w:szCs w:val="20"/>
          <w:color w:val="auto"/>
        </w:rPr>
      </w:pPr>
      <w:r>
        <w:rPr>
          <w:rFonts w:ascii="Arial" w:cs="Arial" w:eastAsia="Arial" w:hAnsi="Arial"/>
          <w:sz w:val="17"/>
          <w:szCs w:val="17"/>
          <w:color w:val="auto"/>
        </w:rPr>
        <w:t>reputation, which in turn could materially adversely affect our business in a number of ways, such as causing investors to redeem their capital (to the degree they have that right), making it harder for Oaktree to raise new funds and discouraging others from doing business with Oaktree.</w:t>
      </w:r>
    </w:p>
    <w:p>
      <w:pPr>
        <w:spacing w:after="0" w:line="7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investment management business is intensely competitive.</w:t>
      </w:r>
    </w:p>
    <w:p>
      <w:pPr>
        <w:spacing w:after="0" w:line="114" w:lineRule="exact"/>
        <w:rPr>
          <w:sz w:val="20"/>
          <w:szCs w:val="20"/>
          <w:color w:val="auto"/>
        </w:rPr>
      </w:pPr>
    </w:p>
    <w:p>
      <w:pPr>
        <w:ind w:right="80" w:firstLine="464"/>
        <w:spacing w:after="0" w:line="262" w:lineRule="auto"/>
        <w:rPr>
          <w:sz w:val="20"/>
          <w:szCs w:val="20"/>
          <w:color w:val="auto"/>
        </w:rPr>
      </w:pPr>
      <w:r>
        <w:rPr>
          <w:rFonts w:ascii="Arial" w:cs="Arial" w:eastAsia="Arial" w:hAnsi="Arial"/>
          <w:sz w:val="17"/>
          <w:szCs w:val="17"/>
          <w:color w:val="auto"/>
        </w:rPr>
        <w:t>The investment management business is intensely competitive, with competition based on a variety of factors, including investment performance, the quality of client service, brand recognition and business reputation. Oaktree’s investment management business competes for clients, personnel and investment opportunities with a large number of private equity funds, specialized investment funds, hedge funds, corporate buyers, traditional investment managers, commercial banks, investment banks, other investment managers and other financial institutions, and we expect that competition will increase. Numerous factors serve to increase Oaktree’s competitive risks, some of which are outside of our control:</w:t>
      </w:r>
    </w:p>
    <w:p>
      <w:pPr>
        <w:spacing w:after="0" w:line="68" w:lineRule="exact"/>
        <w:rPr>
          <w:sz w:val="20"/>
          <w:szCs w:val="20"/>
          <w:color w:val="auto"/>
        </w:rPr>
      </w:pPr>
    </w:p>
    <w:p>
      <w:pPr>
        <w:ind w:left="780" w:right="260" w:hanging="313"/>
        <w:spacing w:after="0" w:line="290" w:lineRule="auto"/>
        <w:tabs>
          <w:tab w:leader="none" w:pos="776" w:val="left"/>
        </w:tabs>
        <w:numPr>
          <w:ilvl w:val="0"/>
          <w:numId w:val="16"/>
        </w:numPr>
        <w:rPr>
          <w:rFonts w:ascii="Arial" w:cs="Arial" w:eastAsia="Arial" w:hAnsi="Arial"/>
          <w:sz w:val="17"/>
          <w:szCs w:val="17"/>
          <w:color w:val="auto"/>
        </w:rPr>
      </w:pPr>
      <w:r>
        <w:rPr>
          <w:rFonts w:ascii="Arial" w:cs="Arial" w:eastAsia="Arial" w:hAnsi="Arial"/>
          <w:sz w:val="17"/>
          <w:szCs w:val="17"/>
          <w:color w:val="auto"/>
        </w:rPr>
        <w:t>a number of Oaktree’s competitors have more personnel and greater financial, technical, marketing and other resources than Oaktree does, and, in the case of some competitors, longer operating histories, more established relationships and/or greater experience;</w:t>
      </w:r>
    </w:p>
    <w:p>
      <w:pPr>
        <w:spacing w:after="0" w:line="43" w:lineRule="exact"/>
        <w:rPr>
          <w:rFonts w:ascii="Arial" w:cs="Arial" w:eastAsia="Arial" w:hAnsi="Arial"/>
          <w:sz w:val="17"/>
          <w:szCs w:val="17"/>
          <w:color w:val="auto"/>
        </w:rPr>
      </w:pPr>
    </w:p>
    <w:p>
      <w:pPr>
        <w:ind w:left="780" w:hanging="313"/>
        <w:spacing w:after="0"/>
        <w:tabs>
          <w:tab w:leader="none" w:pos="7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some of Oaktree’s funds may not perform as well as competitors’ funds or other available investment products;</w:t>
      </w:r>
    </w:p>
    <w:p>
      <w:pPr>
        <w:spacing w:after="0" w:line="113" w:lineRule="exact"/>
        <w:rPr>
          <w:rFonts w:ascii="Arial" w:cs="Arial" w:eastAsia="Arial" w:hAnsi="Arial"/>
          <w:sz w:val="17"/>
          <w:szCs w:val="17"/>
          <w:color w:val="auto"/>
        </w:rPr>
      </w:pPr>
    </w:p>
    <w:p>
      <w:pPr>
        <w:ind w:left="780" w:right="80" w:hanging="313"/>
        <w:spacing w:after="0" w:line="271" w:lineRule="auto"/>
        <w:tabs>
          <w:tab w:leader="none" w:pos="776" w:val="left"/>
        </w:tabs>
        <w:numPr>
          <w:ilvl w:val="0"/>
          <w:numId w:val="16"/>
        </w:numPr>
        <w:rPr>
          <w:rFonts w:ascii="Arial" w:cs="Arial" w:eastAsia="Arial" w:hAnsi="Arial"/>
          <w:sz w:val="17"/>
          <w:szCs w:val="17"/>
          <w:color w:val="auto"/>
        </w:rPr>
      </w:pPr>
      <w:r>
        <w:rPr>
          <w:rFonts w:ascii="Arial" w:cs="Arial" w:eastAsia="Arial" w:hAnsi="Arial"/>
          <w:sz w:val="17"/>
          <w:szCs w:val="17"/>
          <w:color w:val="auto"/>
        </w:rPr>
        <w:t>many of Oaktree’s competitors have raised, or are expected to raise, significant amounts of capital, and many of them have investment objectives similar to Oaktree’s, which may create additional competition for investment opportunities and reduce the size and duration of pricing inefficiencies that Oaktree seeks to exploit;</w:t>
      </w:r>
    </w:p>
    <w:p>
      <w:pPr>
        <w:spacing w:after="0" w:line="59" w:lineRule="exact"/>
        <w:rPr>
          <w:rFonts w:ascii="Arial" w:cs="Arial" w:eastAsia="Arial" w:hAnsi="Arial"/>
          <w:sz w:val="17"/>
          <w:szCs w:val="17"/>
          <w:color w:val="auto"/>
        </w:rPr>
      </w:pPr>
    </w:p>
    <w:p>
      <w:pPr>
        <w:ind w:left="780" w:right="20" w:hanging="313"/>
        <w:spacing w:after="0" w:line="271" w:lineRule="auto"/>
        <w:tabs>
          <w:tab w:leader="none" w:pos="776" w:val="left"/>
        </w:tabs>
        <w:numPr>
          <w:ilvl w:val="0"/>
          <w:numId w:val="16"/>
        </w:numPr>
        <w:rPr>
          <w:rFonts w:ascii="Arial" w:cs="Arial" w:eastAsia="Arial" w:hAnsi="Arial"/>
          <w:sz w:val="17"/>
          <w:szCs w:val="17"/>
          <w:color w:val="auto"/>
        </w:rPr>
      </w:pPr>
      <w:r>
        <w:rPr>
          <w:rFonts w:ascii="Arial" w:cs="Arial" w:eastAsia="Arial" w:hAnsi="Arial"/>
          <w:sz w:val="17"/>
          <w:szCs w:val="17"/>
          <w:color w:val="auto"/>
        </w:rPr>
        <w:t>some of Oaktree’s competitors (including strategic competitors) may have a lower cost of capital and access to funding sources that are not available to us, which may create competitive disadvantages for Oaktree with respect to Oaktree’s funds, particularly Oaktree’s funds that directly use leverage or rely on debt financing of their portfolio companies to generate superior investment returns;</w:t>
      </w:r>
    </w:p>
    <w:p>
      <w:pPr>
        <w:spacing w:after="0" w:line="59" w:lineRule="exact"/>
        <w:rPr>
          <w:rFonts w:ascii="Arial" w:cs="Arial" w:eastAsia="Arial" w:hAnsi="Arial"/>
          <w:sz w:val="17"/>
          <w:szCs w:val="17"/>
          <w:color w:val="auto"/>
        </w:rPr>
      </w:pPr>
    </w:p>
    <w:p>
      <w:pPr>
        <w:ind w:left="780" w:right="40" w:hanging="313"/>
        <w:spacing w:after="0" w:line="290" w:lineRule="auto"/>
        <w:tabs>
          <w:tab w:leader="none" w:pos="776" w:val="left"/>
        </w:tabs>
        <w:numPr>
          <w:ilvl w:val="0"/>
          <w:numId w:val="16"/>
        </w:numPr>
        <w:rPr>
          <w:rFonts w:ascii="Arial" w:cs="Arial" w:eastAsia="Arial" w:hAnsi="Arial"/>
          <w:sz w:val="17"/>
          <w:szCs w:val="17"/>
          <w:color w:val="auto"/>
        </w:rPr>
      </w:pPr>
      <w:r>
        <w:rPr>
          <w:rFonts w:ascii="Arial" w:cs="Arial" w:eastAsia="Arial" w:hAnsi="Arial"/>
          <w:sz w:val="17"/>
          <w:szCs w:val="17"/>
          <w:color w:val="auto"/>
        </w:rPr>
        <w:t>some of Oaktree’s competitors have higher risk tolerances, different risk assessments or lower return thresholds, which could allow them to consider a wider variety of investments and to bid more aggressively than Oaktree for investments;</w:t>
      </w:r>
    </w:p>
    <w:p>
      <w:pPr>
        <w:spacing w:after="0" w:line="43" w:lineRule="exact"/>
        <w:rPr>
          <w:rFonts w:ascii="Arial" w:cs="Arial" w:eastAsia="Arial" w:hAnsi="Arial"/>
          <w:sz w:val="17"/>
          <w:szCs w:val="17"/>
          <w:color w:val="auto"/>
        </w:rPr>
      </w:pPr>
    </w:p>
    <w:p>
      <w:pPr>
        <w:ind w:left="780" w:right="500" w:hanging="313"/>
        <w:spacing w:after="0" w:line="290" w:lineRule="auto"/>
        <w:tabs>
          <w:tab w:leader="none" w:pos="776" w:val="left"/>
        </w:tabs>
        <w:numPr>
          <w:ilvl w:val="0"/>
          <w:numId w:val="16"/>
        </w:numPr>
        <w:rPr>
          <w:rFonts w:ascii="Arial" w:cs="Arial" w:eastAsia="Arial" w:hAnsi="Arial"/>
          <w:sz w:val="17"/>
          <w:szCs w:val="17"/>
          <w:color w:val="auto"/>
        </w:rPr>
      </w:pPr>
      <w:r>
        <w:rPr>
          <w:rFonts w:ascii="Arial" w:cs="Arial" w:eastAsia="Arial" w:hAnsi="Arial"/>
          <w:sz w:val="17"/>
          <w:szCs w:val="17"/>
          <w:color w:val="auto"/>
        </w:rPr>
        <w:t>Oaktree’s competitors may be able to achieve synergistic cost savings in respect of an investment that Oaktree cannot, which may provide them with a competitive advantage in bidding for an investment;</w:t>
      </w:r>
    </w:p>
    <w:p>
      <w:pPr>
        <w:spacing w:after="0" w:line="43" w:lineRule="exact"/>
        <w:rPr>
          <w:rFonts w:ascii="Arial" w:cs="Arial" w:eastAsia="Arial" w:hAnsi="Arial"/>
          <w:sz w:val="17"/>
          <w:szCs w:val="17"/>
          <w:color w:val="auto"/>
        </w:rPr>
      </w:pPr>
    </w:p>
    <w:p>
      <w:pPr>
        <w:ind w:left="780" w:hanging="313"/>
        <w:spacing w:after="0" w:line="271" w:lineRule="auto"/>
        <w:tabs>
          <w:tab w:leader="none" w:pos="776"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there are relatively few barriers to entry impeding new investment funds, and the successful efforts of new entrants into Oaktree’s various lines of business, including major commercial and investment banks and other financial institutions, have resulted in increased competition;</w:t>
      </w:r>
    </w:p>
    <w:p>
      <w:pPr>
        <w:spacing w:after="0" w:line="59" w:lineRule="exact"/>
        <w:rPr>
          <w:rFonts w:ascii="Arial" w:cs="Arial" w:eastAsia="Arial" w:hAnsi="Arial"/>
          <w:sz w:val="17"/>
          <w:szCs w:val="17"/>
          <w:color w:val="auto"/>
        </w:rPr>
      </w:pPr>
    </w:p>
    <w:p>
      <w:pPr>
        <w:ind w:left="780" w:right="60" w:hanging="313"/>
        <w:spacing w:after="0" w:line="290" w:lineRule="auto"/>
        <w:tabs>
          <w:tab w:leader="none" w:pos="776" w:val="left"/>
        </w:tabs>
        <w:numPr>
          <w:ilvl w:val="0"/>
          <w:numId w:val="16"/>
        </w:numPr>
        <w:rPr>
          <w:rFonts w:ascii="Arial" w:cs="Arial" w:eastAsia="Arial" w:hAnsi="Arial"/>
          <w:sz w:val="17"/>
          <w:szCs w:val="17"/>
          <w:color w:val="auto"/>
        </w:rPr>
      </w:pPr>
      <w:r>
        <w:rPr>
          <w:rFonts w:ascii="Arial" w:cs="Arial" w:eastAsia="Arial" w:hAnsi="Arial"/>
          <w:sz w:val="17"/>
          <w:szCs w:val="17"/>
          <w:color w:val="auto"/>
        </w:rPr>
        <w:t>some of Oaktree’s competitors may have better expertise or be regarded by investors as having better expertise in a specific asset class or geographic region than Oaktree does;</w:t>
      </w:r>
    </w:p>
    <w:p>
      <w:pPr>
        <w:spacing w:after="0" w:line="43" w:lineRule="exact"/>
        <w:rPr>
          <w:rFonts w:ascii="Arial" w:cs="Arial" w:eastAsia="Arial" w:hAnsi="Arial"/>
          <w:sz w:val="17"/>
          <w:szCs w:val="17"/>
          <w:color w:val="auto"/>
        </w:rPr>
      </w:pPr>
    </w:p>
    <w:p>
      <w:pPr>
        <w:ind w:left="780" w:hanging="313"/>
        <w:spacing w:after="0"/>
        <w:tabs>
          <w:tab w:leader="none" w:pos="7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some investors may prefer to pursue investments directly instead of investing through one of Oaktree’s funds; and</w:t>
      </w:r>
    </w:p>
    <w:p>
      <w:pPr>
        <w:spacing w:after="0" w:line="113" w:lineRule="exact"/>
        <w:rPr>
          <w:rFonts w:ascii="Arial" w:cs="Arial" w:eastAsia="Arial" w:hAnsi="Arial"/>
          <w:sz w:val="17"/>
          <w:szCs w:val="17"/>
          <w:color w:val="auto"/>
        </w:rPr>
      </w:pPr>
    </w:p>
    <w:p>
      <w:pPr>
        <w:ind w:left="780" w:right="480" w:hanging="313"/>
        <w:spacing w:after="0" w:line="290" w:lineRule="auto"/>
        <w:tabs>
          <w:tab w:leader="none" w:pos="776" w:val="left"/>
        </w:tabs>
        <w:numPr>
          <w:ilvl w:val="0"/>
          <w:numId w:val="16"/>
        </w:numPr>
        <w:rPr>
          <w:rFonts w:ascii="Arial" w:cs="Arial" w:eastAsia="Arial" w:hAnsi="Arial"/>
          <w:sz w:val="17"/>
          <w:szCs w:val="17"/>
          <w:color w:val="auto"/>
        </w:rPr>
      </w:pPr>
      <w:r>
        <w:rPr>
          <w:rFonts w:ascii="Arial" w:cs="Arial" w:eastAsia="Arial" w:hAnsi="Arial"/>
          <w:sz w:val="17"/>
          <w:szCs w:val="17"/>
          <w:color w:val="auto"/>
        </w:rPr>
        <w:t>other industry participants will from time to time seek to recruit Oaktree’s investment professionals and other employees away from Oaktree.</w:t>
      </w:r>
    </w:p>
    <w:p>
      <w:pPr>
        <w:spacing w:after="0" w:line="43" w:lineRule="exact"/>
        <w:rPr>
          <w:sz w:val="20"/>
          <w:szCs w:val="20"/>
          <w:color w:val="auto"/>
        </w:rPr>
      </w:pPr>
    </w:p>
    <w:p>
      <w:pPr>
        <w:ind w:right="40" w:firstLine="464"/>
        <w:spacing w:after="0" w:line="265" w:lineRule="auto"/>
        <w:rPr>
          <w:sz w:val="20"/>
          <w:szCs w:val="20"/>
          <w:color w:val="auto"/>
        </w:rPr>
      </w:pPr>
      <w:r>
        <w:rPr>
          <w:rFonts w:ascii="Arial" w:cs="Arial" w:eastAsia="Arial" w:hAnsi="Arial"/>
          <w:sz w:val="17"/>
          <w:szCs w:val="17"/>
          <w:color w:val="auto"/>
        </w:rPr>
        <w:t>Oaktree may find it harder to raise funds, and may lose investment opportunities in the future, if Oaktree does not match or improve on the fees, structures, products and terms offered by competitors to their fund clients. Alternatively, Oaktree may experience decreased profitability, rates of return and increased risk of loss if Oaktree matches or improves on the prices, structures, products and terms offered by competitors. This competitive</w:t>
      </w:r>
    </w:p>
    <w:p>
      <w:pPr>
        <w:spacing w:after="0" w:line="200" w:lineRule="exact"/>
        <w:rPr>
          <w:sz w:val="20"/>
          <w:szCs w:val="20"/>
          <w:color w:val="auto"/>
        </w:rPr>
      </w:pPr>
    </w:p>
    <w:p>
      <w:pPr>
        <w:spacing w:after="0" w:line="393"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80"/>
          </w:cols>
          <w:pgMar w:left="320" w:top="845" w:right="399" w:bottom="1440" w:gutter="0" w:footer="0" w:header="0"/>
        </w:sectPr>
      </w:pPr>
    </w:p>
    <w:bookmarkStart w:id="24" w:name="page25"/>
    <w:bookmarkEnd w:id="24"/>
    <w:p>
      <w:pPr>
        <w:ind w:right="400"/>
        <w:spacing w:after="0" w:line="290" w:lineRule="auto"/>
        <w:rPr>
          <w:sz w:val="20"/>
          <w:szCs w:val="20"/>
          <w:color w:val="auto"/>
        </w:rPr>
      </w:pPr>
      <w:r>
        <w:rPr>
          <w:rFonts w:ascii="Arial" w:cs="Arial" w:eastAsia="Arial" w:hAnsi="Arial"/>
          <w:sz w:val="17"/>
          <w:szCs w:val="17"/>
          <w:color w:val="auto"/>
        </w:rPr>
        <w:t>pressure could adversely affect Oaktree’s ability to make successful investments and limit Oaktree’s ability to raise future funds, either of which would adversely impact our business, revenues, results of operations and cash flow.</w:t>
      </w:r>
    </w:p>
    <w:p>
      <w:pPr>
        <w:spacing w:after="0" w:line="43" w:lineRule="exact"/>
        <w:rPr>
          <w:sz w:val="20"/>
          <w:szCs w:val="20"/>
          <w:color w:val="auto"/>
        </w:rPr>
      </w:pPr>
    </w:p>
    <w:p>
      <w:pPr>
        <w:ind w:right="100" w:firstLine="464"/>
        <w:spacing w:after="0" w:line="262" w:lineRule="auto"/>
        <w:rPr>
          <w:sz w:val="20"/>
          <w:szCs w:val="20"/>
          <w:color w:val="auto"/>
        </w:rPr>
      </w:pPr>
      <w:r>
        <w:rPr>
          <w:rFonts w:ascii="Arial" w:cs="Arial" w:eastAsia="Arial" w:hAnsi="Arial"/>
          <w:sz w:val="17"/>
          <w:szCs w:val="17"/>
          <w:color w:val="auto"/>
        </w:rPr>
        <w:t>Additionally, technological innovation, including the use of artificial intelligence and data science, has the potential to disrupt the financial industry and change the way financial institutions, including asset managers, do business. Some of Oaktree’s competitors may be more successful than Oaktree in the development and implementation of new technologies, including services and platforms based on artificial intelligence, to address investor demand or improve operations. If Oaktree is unable to adequately advance Oaktree’s capabilities in these areas, or does so at a slower pace than others in Oaktree’s industry, Oaktree may be at a competitive disadvantage.</w:t>
      </w:r>
    </w:p>
    <w:p>
      <w:pPr>
        <w:spacing w:after="0" w:line="68" w:lineRule="exact"/>
        <w:rPr>
          <w:sz w:val="20"/>
          <w:szCs w:val="20"/>
          <w:color w:val="auto"/>
        </w:rPr>
      </w:pPr>
    </w:p>
    <w:p>
      <w:pPr>
        <w:ind w:right="220"/>
        <w:spacing w:after="0" w:line="277" w:lineRule="auto"/>
        <w:rPr>
          <w:sz w:val="20"/>
          <w:szCs w:val="20"/>
          <w:color w:val="auto"/>
        </w:rPr>
      </w:pPr>
      <w:r>
        <w:rPr>
          <w:rFonts w:ascii="Arial" w:cs="Arial" w:eastAsia="Arial" w:hAnsi="Arial"/>
          <w:sz w:val="17"/>
          <w:szCs w:val="17"/>
          <w:b w:val="1"/>
          <w:bCs w:val="1"/>
          <w:i w:val="1"/>
          <w:iCs w:val="1"/>
          <w:color w:val="auto"/>
        </w:rPr>
        <w:t>Poor performance of Oaktree funds could adversely affect Oaktree’s assets under management and ability to raise capital for future funds and poor performance of funds in which we are directly or indirectly invested would cause a decline in our revenues, net income and cash flow.</w:t>
      </w:r>
    </w:p>
    <w:p>
      <w:pPr>
        <w:spacing w:after="0" w:line="32" w:lineRule="exact"/>
        <w:rPr>
          <w:sz w:val="20"/>
          <w:szCs w:val="20"/>
          <w:color w:val="auto"/>
        </w:rPr>
      </w:pPr>
    </w:p>
    <w:p>
      <w:pPr>
        <w:ind w:firstLine="464"/>
        <w:spacing w:after="0"/>
        <w:rPr>
          <w:sz w:val="20"/>
          <w:szCs w:val="20"/>
          <w:color w:val="auto"/>
        </w:rPr>
      </w:pPr>
      <w:r>
        <w:rPr>
          <w:rFonts w:ascii="Arial" w:cs="Arial" w:eastAsia="Arial" w:hAnsi="Arial"/>
          <w:sz w:val="17"/>
          <w:szCs w:val="17"/>
          <w:color w:val="auto"/>
        </w:rPr>
        <w:t>When any of Oaktree’s funds performs poorly, either by incurring losses or underperforming benchmarks or Oaktree’s competitors, Oaktree’s investment record suffers. Poor investment performance by Oaktree funds in which we are directly or indirectly invested also adversely affects our investment income and, all else being equal, may lead to a decline in Oaktree’s AUM. In such circumstances, we may experience losses on our investments of our own capital or losses through our equity method investment in Oaktree Capital I. Poor performance of Oaktree’s funds could also make it more difficult for Oaktree to raise new capital for Oaktree. Investors in Oaktree’s closed-end funds may decline to invest in future closed-end funds Oaktree raises, and investors in open-end and evergreen funds may withdraw their investments in the funds (on specified withdrawal dates)</w:t>
      </w:r>
    </w:p>
    <w:p>
      <w:pPr>
        <w:spacing w:after="0" w:line="3" w:lineRule="exact"/>
        <w:rPr>
          <w:sz w:val="20"/>
          <w:szCs w:val="20"/>
          <w:color w:val="auto"/>
        </w:rPr>
      </w:pPr>
    </w:p>
    <w:p>
      <w:pPr>
        <w:ind w:right="160"/>
        <w:spacing w:after="0" w:line="229" w:lineRule="auto"/>
        <w:rPr>
          <w:sz w:val="20"/>
          <w:szCs w:val="20"/>
          <w:color w:val="auto"/>
        </w:rPr>
      </w:pPr>
      <w:r>
        <w:rPr>
          <w:rFonts w:ascii="Arial" w:cs="Arial" w:eastAsia="Arial" w:hAnsi="Arial"/>
          <w:sz w:val="17"/>
          <w:szCs w:val="17"/>
          <w:color w:val="auto"/>
        </w:rPr>
        <w:t>as a result of poor performance. During periods of market volatility, investor redemption or repurchase requests for open-end and evergreen funds are likely to be elevated, which may negatively impact the fees we earn from such vehicles. Investor subscriptions to certain of such vehicles have</w:t>
      </w:r>
    </w:p>
    <w:p>
      <w:pPr>
        <w:spacing w:after="0" w:line="1" w:lineRule="exact"/>
        <w:rPr>
          <w:sz w:val="20"/>
          <w:szCs w:val="20"/>
          <w:color w:val="auto"/>
        </w:rPr>
      </w:pPr>
    </w:p>
    <w:p>
      <w:pPr>
        <w:ind w:right="60"/>
        <w:spacing w:after="0" w:line="239" w:lineRule="auto"/>
        <w:rPr>
          <w:sz w:val="20"/>
          <w:szCs w:val="20"/>
          <w:color w:val="auto"/>
        </w:rPr>
      </w:pPr>
      <w:r>
        <w:rPr>
          <w:rFonts w:ascii="Arial" w:cs="Arial" w:eastAsia="Arial" w:hAnsi="Arial"/>
          <w:sz w:val="17"/>
          <w:szCs w:val="17"/>
          <w:color w:val="auto"/>
        </w:rPr>
        <w:t>also at times been, and may in the future be, reduced, and investor redemptions or repurchase requests elevated, in the face of negative media or public sentiment with respect to the asset classes of such vehicles. To the extent appropriate and permissible under a vehicle’s constituent documents, we have previously and may in the future limit or prorate redemptions or repurchases in such vehicle for a period of time. This has, and may in the future, make such vehicles less attractive to investors and negatively impact subscriptions to such vehicles for a period of time, which could have a material adverse effect on the revenues we derive from such vehicles. Oaktree’s investors and potential investors continually assess Oaktree’s funds’ performance, both on a standalone basis and relative to market benchmarks, Oaktree’s competitors, and other investment products, and Oaktree’s ability to raise capital for Oaktree’s existing and future funds and avoid excessive redemption levels depends on Oaktree’s funds’ performance.</w:t>
      </w:r>
    </w:p>
    <w:p>
      <w:pPr>
        <w:spacing w:after="0" w:line="90" w:lineRule="exact"/>
        <w:rPr>
          <w:sz w:val="20"/>
          <w:szCs w:val="20"/>
          <w:color w:val="auto"/>
        </w:rPr>
      </w:pPr>
    </w:p>
    <w:p>
      <w:pPr>
        <w:ind w:right="100"/>
        <w:spacing w:after="0" w:line="302" w:lineRule="auto"/>
        <w:rPr>
          <w:sz w:val="20"/>
          <w:szCs w:val="20"/>
          <w:color w:val="auto"/>
        </w:rPr>
      </w:pPr>
      <w:r>
        <w:rPr>
          <w:rFonts w:ascii="Arial" w:cs="Arial" w:eastAsia="Arial" w:hAnsi="Arial"/>
          <w:sz w:val="17"/>
          <w:szCs w:val="17"/>
          <w:b w:val="1"/>
          <w:bCs w:val="1"/>
          <w:i w:val="1"/>
          <w:iCs w:val="1"/>
          <w:color w:val="auto"/>
        </w:rPr>
        <w:t>Oaktree may not be able to maintain its current incentive fee structure as a result of industry pressure from clients to reduce fees, which could have an adverse effect on our profit margins and results of operations.</w:t>
      </w:r>
    </w:p>
    <w:p>
      <w:pPr>
        <w:spacing w:after="0" w:line="24" w:lineRule="exact"/>
        <w:rPr>
          <w:sz w:val="20"/>
          <w:szCs w:val="20"/>
          <w:color w:val="auto"/>
        </w:rPr>
      </w:pPr>
    </w:p>
    <w:p>
      <w:pPr>
        <w:ind w:right="60" w:firstLine="464"/>
        <w:spacing w:after="0" w:line="256" w:lineRule="auto"/>
        <w:rPr>
          <w:sz w:val="20"/>
          <w:szCs w:val="20"/>
          <w:color w:val="auto"/>
        </w:rPr>
      </w:pPr>
      <w:r>
        <w:rPr>
          <w:rFonts w:ascii="Arial" w:cs="Arial" w:eastAsia="Arial" w:hAnsi="Arial"/>
          <w:sz w:val="17"/>
          <w:szCs w:val="17"/>
          <w:color w:val="auto"/>
        </w:rPr>
        <w:t>Oaktree may not be able to maintain its current incentive fee structure as a result of industry pressure from clients to reduce fees. Although Oaktree’s incentive fee rates may vary among and within asset classes, historically Oaktree has competed primarily on the basis of its performance and not on the level of Oaktree’s fees relative to those of Oaktree’s competitors. In recent years, however, there has been a general trend toward lower fees in the investment management industry, and Oaktree has in certain cases lowered the fees Oaktree charges in order to remain competitive. Additionally, Oaktree has afforded, and reserved the right in Oaktree’s sole discretion to continue to afford, certain clients more favorable economic terms, including with respect to incentive fee rates, in cases where such clients have committed capital to Oaktree’s funds or strategies that in the aggregate exceeds certain threshold amounts. In order to maintain Oaktree’s fee structure in a competitive environment, Oaktree must be able to continue to provide clients with investment returns and service that incentivize Oaktree’s investors to pay its current fee rates. We cannot provide any assurance that Oaktree will succeed in providing investment returns and service that will allow Oaktree to maintain its current fee structure. Fee reductions on existing or new business could have an adverse effect on Oaktree’s profit margins and results of operations. For more information about Oaktree’s fees please see “Management’s Discussion and Analysis of Financial Condition and Results of Operations.”</w:t>
      </w:r>
    </w:p>
    <w:p>
      <w:pPr>
        <w:spacing w:after="0" w:line="28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Oaktree often pursues investment opportunities that involve business, regulatory, legal or other complexities.</w:t>
      </w:r>
    </w:p>
    <w:p>
      <w:pPr>
        <w:spacing w:after="0" w:line="114" w:lineRule="exact"/>
        <w:rPr>
          <w:sz w:val="20"/>
          <w:szCs w:val="20"/>
          <w:color w:val="auto"/>
        </w:rPr>
      </w:pPr>
    </w:p>
    <w:p>
      <w:pPr>
        <w:ind w:right="40" w:firstLine="464"/>
        <w:spacing w:after="0" w:line="262" w:lineRule="auto"/>
        <w:rPr>
          <w:sz w:val="20"/>
          <w:szCs w:val="20"/>
          <w:color w:val="auto"/>
        </w:rPr>
      </w:pPr>
      <w:r>
        <w:rPr>
          <w:rFonts w:ascii="Arial" w:cs="Arial" w:eastAsia="Arial" w:hAnsi="Arial"/>
          <w:sz w:val="17"/>
          <w:szCs w:val="17"/>
          <w:color w:val="auto"/>
        </w:rPr>
        <w:t>Oaktree often pursues unusually complex investment opportunities involving substantial business, regulatory or legal complexity that would deter other investment managers. Oaktree’s tolerance for complexity presents risks, as such transactions can be more difficult, expensive and time-consuming to finance and execute; it can be more difficult to manage or realize value from the assets acquired in such transactions; and such transactions sometimes entail a higher level of regulatory scrutiny or a greater risk of contingent liabilities. Any of these risks could harm the performance of Oaktree’s funds.</w:t>
      </w: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961" w:right="339" w:bottom="1440" w:gutter="0" w:footer="0" w:header="0"/>
        </w:sectPr>
      </w:pPr>
    </w:p>
    <w:bookmarkStart w:id="25" w:name="page26"/>
    <w:bookmarkEnd w:id="25"/>
    <w:p>
      <w:pPr>
        <w:ind w:right="140"/>
        <w:spacing w:after="0" w:line="302" w:lineRule="auto"/>
        <w:rPr>
          <w:sz w:val="20"/>
          <w:szCs w:val="20"/>
          <w:color w:val="auto"/>
        </w:rPr>
      </w:pPr>
      <w:r>
        <w:rPr>
          <w:rFonts w:ascii="Arial" w:cs="Arial" w:eastAsia="Arial" w:hAnsi="Arial"/>
          <w:sz w:val="17"/>
          <w:szCs w:val="17"/>
          <w:b w:val="1"/>
          <w:bCs w:val="1"/>
          <w:i w:val="1"/>
          <w:iCs w:val="1"/>
          <w:color w:val="auto"/>
        </w:rPr>
        <w:t>Technological developments in artificial intelligence could disrupt the markets in which Oaktree operates and subject Oaktree and us to increased competition, legal and regulatory risks and compliance costs.</w:t>
      </w:r>
    </w:p>
    <w:p>
      <w:pPr>
        <w:spacing w:after="0" w:line="24" w:lineRule="exact"/>
        <w:rPr>
          <w:sz w:val="20"/>
          <w:szCs w:val="20"/>
          <w:color w:val="auto"/>
        </w:rPr>
      </w:pPr>
    </w:p>
    <w:p>
      <w:pPr>
        <w:ind w:firstLine="619"/>
        <w:spacing w:after="0" w:line="255" w:lineRule="auto"/>
        <w:rPr>
          <w:sz w:val="20"/>
          <w:szCs w:val="20"/>
          <w:color w:val="auto"/>
        </w:rPr>
      </w:pPr>
      <w:r>
        <w:rPr>
          <w:rFonts w:ascii="Arial" w:cs="Arial" w:eastAsia="Arial" w:hAnsi="Arial"/>
          <w:sz w:val="17"/>
          <w:szCs w:val="17"/>
          <w:color w:val="auto"/>
        </w:rPr>
        <w:t>Technological developments in artificial intelligence, including machine learning technology and generative artificial intelligence (collectively, “AI Technologies”) and their current and potential future applications, including in the private investment and financial sectors, as well as the legal and regulatory frameworks within which they operate, are rapidly evolving. The full extent of current or future risks related thereto is not possible to predict. AI Technologies could significantly disrupt the markets in which Oaktree operates and subject Oaktree and us to increased competition, legal and regulatory risks and compliance costs, which could have a material adverse effect on Oaktree’s business or our business, financial condition and results of operations. Oaktree intends to seek to avail itself of the potential benefits, insights and efficiencies that are available through the use of AI Technologies, which presents a number of potential risks that cannot be fully mitigated. Data in models that AI Technologies utilize are likely to contain a degree of inaccuracy and error, which could result in flawed algorithms. This could reduce the effectiveness of AI Technologies and adversely impact us and our operations to the extent we rely on the work product of such AI Technologies in such operations. There is also a risk that AI Technologies may be misused or misappropriated by Oaktree’s employees and/or third parties engaged by us or Oaktree. For example, a user may input confidential information, including material non-public information or personal information, into AI Technology applications, resulting in such information becoming part of a dataset that is accessible by third-party AI Technology applications and users, including Oaktree’s competitors. Such actions could subject Oaktree and/or us to legal and regulatory investigations and/or actions. Further, Oaktree or we may not be able to control how third-party AI Technologies that Oaktree or we choose to use are developed or maintained, or how data Oaktree or we input is used or disclosed, even where Oaktree has sought contractual protections with respect to these matters. The misuse or misappropriation of Oaktree’s or our data could have an adverse impact on our reputation and could subject Oaktree and/or us to legal and regulatory investigations and/or actions. In addition, Oaktree or we may communicate externally regarding AI Technology-related initiatives, including Oaktree’s development and use of AI Technologies, which subjects Oaktree and us to the risk of being accused of making inaccurate or misleading statements regarding Oaktree’s and our ability to avail ourselves of the potential benefits of AI Technology.</w:t>
      </w:r>
    </w:p>
    <w:p>
      <w:pPr>
        <w:spacing w:after="0" w:line="63" w:lineRule="exact"/>
        <w:rPr>
          <w:sz w:val="20"/>
          <w:szCs w:val="20"/>
          <w:color w:val="auto"/>
        </w:rPr>
      </w:pPr>
    </w:p>
    <w:p>
      <w:pPr>
        <w:ind w:firstLine="619"/>
        <w:spacing w:after="0"/>
        <w:rPr>
          <w:sz w:val="20"/>
          <w:szCs w:val="20"/>
          <w:color w:val="auto"/>
        </w:rPr>
      </w:pPr>
      <w:r>
        <w:rPr>
          <w:rFonts w:ascii="Arial" w:cs="Arial" w:eastAsia="Arial" w:hAnsi="Arial"/>
          <w:sz w:val="17"/>
          <w:szCs w:val="17"/>
          <w:color w:val="auto"/>
        </w:rPr>
        <w:t>Regulations related to AI Technologies continue to evolve and may also impose on Oaktree and us certain obligations and costs related to monitoring and compliance. In October 2023, the former Presidential Administration signed an executive order (the “October 2023 Executive Order”) that established new standards for AI safety and security. However, in January 2025, the current Presidential Administration signed an executive order that rescinded the October 2023 Executive Order and required the development of an AI action plan that is consistent with the current Presidential Administration’s policy; such AI action plan was subsequently released in July 2025. Further, in the absence of a comprehensive federal AI law in the United States, AI-related legislation is emerging as a patchwork of laws and regulations on the federal and state levels. For</w:t>
      </w:r>
    </w:p>
    <w:p>
      <w:pPr>
        <w:spacing w:after="0" w:line="3" w:lineRule="exact"/>
        <w:rPr>
          <w:sz w:val="20"/>
          <w:szCs w:val="20"/>
          <w:color w:val="auto"/>
        </w:rPr>
      </w:pPr>
    </w:p>
    <w:p>
      <w:pPr>
        <w:ind w:right="60"/>
        <w:spacing w:after="0" w:line="229" w:lineRule="auto"/>
        <w:rPr>
          <w:sz w:val="20"/>
          <w:szCs w:val="20"/>
          <w:color w:val="auto"/>
        </w:rPr>
      </w:pPr>
      <w:r>
        <w:rPr>
          <w:rFonts w:ascii="Arial" w:cs="Arial" w:eastAsia="Arial" w:hAnsi="Arial"/>
          <w:sz w:val="17"/>
          <w:szCs w:val="17"/>
          <w:color w:val="auto"/>
        </w:rPr>
        <w:t>example, the Colorado AI Act, which goes into effect on June 30, 2026, imposes various obligations on developers and deployers of “high-risk” AI systems. Other states, including California, Texas, and Utah, among others, have passed or are in the process of enacting or considering additional</w:t>
      </w:r>
    </w:p>
    <w:p>
      <w:pPr>
        <w:spacing w:after="0" w:line="1" w:lineRule="exact"/>
        <w:rPr>
          <w:sz w:val="20"/>
          <w:szCs w:val="20"/>
          <w:color w:val="auto"/>
        </w:rPr>
      </w:pPr>
    </w:p>
    <w:p>
      <w:pPr>
        <w:spacing w:after="0" w:line="239" w:lineRule="auto"/>
        <w:rPr>
          <w:sz w:val="20"/>
          <w:szCs w:val="20"/>
          <w:color w:val="auto"/>
        </w:rPr>
      </w:pPr>
      <w:r>
        <w:rPr>
          <w:rFonts w:ascii="Arial" w:cs="Arial" w:eastAsia="Arial" w:hAnsi="Arial"/>
          <w:sz w:val="17"/>
          <w:szCs w:val="17"/>
          <w:color w:val="auto"/>
        </w:rPr>
        <w:t>laws and regulations relating to the use and development of AI Technologies. However, the AI regulatory environment in the U.S. is still evolving; for example, on December 11, 2025, the current Presidential Administration signed an executive order aimed at limiting state-level AI legislation and enforcement, but such executive order may be subject to legal challenge. In the EU, a regulation applicable to certain AI Technologies and the data used to train, test and deploy them (the “EU AI Act”) entered into force in August 2024, with most of its obligations applying in phases from 6 to 36 months thereafter. The EU AI Act imposes significant requirements on both the providers and deployers of AI Technologies, and significant sanctions for breaches. Moreover, claims for damages in respect of AI Technologies may also be possible (and in certain jurisdictions, facilitated by revisions to regulations on liability). The EU is also currently considering further targeted amends to the EU AI Act. The costs of preparing for, monitoring and complying with laws and regulations related to AI Technologies, and any claims or penalties as the result of any use of or reliance on AI Technologies, could, if applicable, adversely affect Oaktree, us and/or third parties connected to Oaktree or us (whether directly or indirectly), which could adversely affect our business and results of operations.</w:t>
      </w:r>
    </w:p>
    <w:p>
      <w:pPr>
        <w:spacing w:after="0" w:line="87" w:lineRule="exact"/>
        <w:rPr>
          <w:sz w:val="20"/>
          <w:szCs w:val="20"/>
          <w:color w:val="auto"/>
        </w:rPr>
      </w:pPr>
    </w:p>
    <w:p>
      <w:pPr>
        <w:ind w:right="320"/>
        <w:spacing w:after="0" w:line="302" w:lineRule="auto"/>
        <w:rPr>
          <w:sz w:val="20"/>
          <w:szCs w:val="20"/>
          <w:color w:val="auto"/>
        </w:rPr>
      </w:pPr>
      <w:r>
        <w:rPr>
          <w:rFonts w:ascii="Arial" w:cs="Arial" w:eastAsia="Arial" w:hAnsi="Arial"/>
          <w:sz w:val="17"/>
          <w:szCs w:val="17"/>
          <w:b w:val="1"/>
          <w:bCs w:val="1"/>
          <w:i w:val="1"/>
          <w:iCs w:val="1"/>
          <w:color w:val="auto"/>
        </w:rPr>
        <w:t>Extensive regulation in the United States and abroad affects Oaktree’s activities and creates the potential for significant liabilities and penalties that could adversely affect our business and results of operations.</w:t>
      </w:r>
    </w:p>
    <w:p>
      <w:pPr>
        <w:spacing w:after="0" w:line="24" w:lineRule="exact"/>
        <w:rPr>
          <w:sz w:val="20"/>
          <w:szCs w:val="20"/>
          <w:color w:val="auto"/>
        </w:rPr>
      </w:pPr>
    </w:p>
    <w:p>
      <w:pPr>
        <w:ind w:right="160" w:firstLine="464"/>
        <w:spacing w:after="0" w:line="260" w:lineRule="auto"/>
        <w:rPr>
          <w:sz w:val="20"/>
          <w:szCs w:val="20"/>
          <w:color w:val="auto"/>
        </w:rPr>
      </w:pPr>
      <w:r>
        <w:rPr>
          <w:rFonts w:ascii="Arial" w:cs="Arial" w:eastAsia="Arial" w:hAnsi="Arial"/>
          <w:sz w:val="17"/>
          <w:szCs w:val="17"/>
          <w:color w:val="auto"/>
        </w:rPr>
        <w:t>Potential regulatory action poses a significant risk to our reputation and our business. Oaktree’s business, and by extension our business, is subject to extensive regulation in the United States and in the other countries in which Oaktree’s investment activities occur, including periodic examinations, inquiries and investigations by governmental and self-regulatory organizations in the jurisdictions in which Oaktree operates around the world. Many of these regulators, including U.S. federal and state and foreign government agencies and self-regulatory organizations, are empowered to impose fines, suspensions of personnel or other sanctions, including censure, the issuance of cease-and-desist orders or the suspension or expulsion of applicable licenses and memberships. Even if an investigation</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961" w:right="339" w:bottom="1440" w:gutter="0" w:footer="0" w:header="0"/>
        </w:sectPr>
      </w:pPr>
    </w:p>
    <w:bookmarkStart w:id="26" w:name="page27"/>
    <w:bookmarkEnd w:id="26"/>
    <w:p>
      <w:pPr>
        <w:ind w:right="180"/>
        <w:spacing w:after="0" w:line="290" w:lineRule="auto"/>
        <w:rPr>
          <w:sz w:val="20"/>
          <w:szCs w:val="20"/>
          <w:color w:val="auto"/>
        </w:rPr>
      </w:pPr>
      <w:r>
        <w:rPr>
          <w:rFonts w:ascii="Arial" w:cs="Arial" w:eastAsia="Arial" w:hAnsi="Arial"/>
          <w:sz w:val="17"/>
          <w:szCs w:val="17"/>
          <w:color w:val="auto"/>
        </w:rPr>
        <w:t>did not result in a sanction, or the sanction imposed against us, Oaktree or Oaktree’s personnel were small in monetary amount, adverse publicity relating to the investigation could harm our or Oaktree’s reputation and cause Oaktree to lose existing investors or fail to gain new investors.</w:t>
      </w:r>
    </w:p>
    <w:p>
      <w:pPr>
        <w:spacing w:after="0" w:line="30" w:lineRule="exact"/>
        <w:rPr>
          <w:sz w:val="20"/>
          <w:szCs w:val="20"/>
          <w:color w:val="auto"/>
        </w:rPr>
      </w:pPr>
    </w:p>
    <w:p>
      <w:pPr>
        <w:ind w:right="180" w:firstLine="464"/>
        <w:spacing w:after="0"/>
        <w:rPr>
          <w:sz w:val="20"/>
          <w:szCs w:val="20"/>
          <w:color w:val="auto"/>
        </w:rPr>
      </w:pPr>
      <w:r>
        <w:rPr>
          <w:rFonts w:ascii="Arial" w:cs="Arial" w:eastAsia="Arial" w:hAnsi="Arial"/>
          <w:sz w:val="17"/>
          <w:szCs w:val="17"/>
          <w:color w:val="auto"/>
        </w:rPr>
        <w:t>Each of the regulatory bodies with jurisdiction over Oaktree or us has regulatory powers dealing with many aspects of financial services, including the authority to grant, and in specific circumstances to cancel, permissions to carry on particular activities. A failure to comply with the applicable obligations imposed by the Advisers Act and the Investment Company Act, including recordkeeping, custody, advertising and operating requirements, disclosure obligations and prohibitions on fraudulent activities, could result in investigations, sanctions and reputational damage. Similarly, a failure to comply with the obligations imposed by the Commodity Exchange Act, including recordkeeping, reporting requirements, disclosure obligations and prohibitions on fraudulent activities, could also result in investigations, sanctions and reputational damage. Oaktree’s</w:t>
      </w:r>
    </w:p>
    <w:p>
      <w:pPr>
        <w:spacing w:after="0" w:line="3" w:lineRule="exact"/>
        <w:rPr>
          <w:sz w:val="20"/>
          <w:szCs w:val="20"/>
          <w:color w:val="auto"/>
        </w:rPr>
      </w:pPr>
    </w:p>
    <w:p>
      <w:pPr>
        <w:ind w:right="20"/>
        <w:spacing w:after="0" w:line="229" w:lineRule="auto"/>
        <w:rPr>
          <w:sz w:val="20"/>
          <w:szCs w:val="20"/>
          <w:color w:val="auto"/>
        </w:rPr>
      </w:pPr>
      <w:r>
        <w:rPr>
          <w:rFonts w:ascii="Arial" w:cs="Arial" w:eastAsia="Arial" w:hAnsi="Arial"/>
          <w:sz w:val="17"/>
          <w:szCs w:val="17"/>
          <w:color w:val="auto"/>
        </w:rPr>
        <w:t>funds are involved regularly in trading activities that implicate a broad number of U.S. securities law regimes, including laws governing trading on inside information, market manipulation and a broad number of technical trading requirements that implicate fundamental market regulation policies.</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Violation of these laws could result in severe restrictions on Oaktree’s activities and damage to Oaktree’s reputation and our reputation.</w:t>
      </w:r>
    </w:p>
    <w:p>
      <w:pPr>
        <w:spacing w:after="0" w:line="149" w:lineRule="exact"/>
        <w:rPr>
          <w:sz w:val="20"/>
          <w:szCs w:val="20"/>
          <w:color w:val="auto"/>
        </w:rPr>
      </w:pPr>
    </w:p>
    <w:p>
      <w:pPr>
        <w:ind w:firstLine="464"/>
        <w:spacing w:after="0" w:line="258" w:lineRule="auto"/>
        <w:rPr>
          <w:sz w:val="20"/>
          <w:szCs w:val="20"/>
          <w:color w:val="auto"/>
        </w:rPr>
      </w:pPr>
      <w:r>
        <w:rPr>
          <w:rFonts w:ascii="Arial" w:cs="Arial" w:eastAsia="Arial" w:hAnsi="Arial"/>
          <w:sz w:val="17"/>
          <w:szCs w:val="17"/>
          <w:color w:val="auto"/>
        </w:rPr>
        <w:t>Oaktree’s or our failure to comply with applicable laws or regulations could result in litigation, fines, censure, suspensions of personnel or other sanctions, including revocation of the registration of relevant affiliated entities as an investment adviser, CPO, CTA or registered broker-dealer. The regulations to which Oaktree’s business is subject are designed primarily to protect investors in Oaktree’s funds and to ensure the integrity of the financial markets. They are not designed to protect our preferred unitholders. Even if a sanction imposed against Oaktree or us, one of Oaktree’s or our subsidiaries or Oaktree personnel by a regulator is for a small monetary amount, the adverse publicity related to the sanction could harm our reputation, which in turn could materially adversely affect our or Oaktree’s business in a number of ways, such as causing Oaktree’s investors to redeem their capital (to the extent they have that right), making it harder for Oaktree to raise new funds and discouraging others from doing business with Oaktree.</w:t>
      </w:r>
    </w:p>
    <w:p>
      <w:pPr>
        <w:spacing w:after="0" w:line="124" w:lineRule="exact"/>
        <w:rPr>
          <w:sz w:val="20"/>
          <w:szCs w:val="20"/>
          <w:color w:val="auto"/>
        </w:rPr>
      </w:pPr>
    </w:p>
    <w:p>
      <w:pPr>
        <w:ind w:right="60" w:firstLine="464"/>
        <w:spacing w:after="0" w:line="258" w:lineRule="auto"/>
        <w:rPr>
          <w:sz w:val="20"/>
          <w:szCs w:val="20"/>
          <w:color w:val="auto"/>
        </w:rPr>
      </w:pPr>
      <w:r>
        <w:rPr>
          <w:rFonts w:ascii="Arial" w:cs="Arial" w:eastAsia="Arial" w:hAnsi="Arial"/>
          <w:sz w:val="17"/>
          <w:szCs w:val="17"/>
          <w:color w:val="auto"/>
        </w:rPr>
        <w:t>Some of Oaktree’s funds from time to time invest in businesses that operate in highly-regulated industries, including businesses that are regulated by the U.S. Federal Communications Commission, the U.S. Federal Energy Regulatory Commission, U.S. federal and state banking authorities and U.S. state gaming authorities, as well as equivalent foreign regulatory bodies. The regulatory regimes to which such businesses are subject may, among other things, condition Oaktree’s funds’ ability to invest in those businesses upon the satisfaction of applicable ownership restrictions or qualification requirements or, absent any applicable exemption, require Oaktree or its subsidiaries to comply with registration, reporting or other requirements. Moreover, Oaktree’s failure to obtain or maintain any regulatory approvals necessary for Oaktree’s funds to invest in such industries may disqualify Oaktree’s funds from participating in certain investments or require Oaktree’s funds to divest themselves of certain assets.</w:t>
      </w:r>
    </w:p>
    <w:p>
      <w:pPr>
        <w:spacing w:after="0" w:line="124" w:lineRule="exact"/>
        <w:rPr>
          <w:sz w:val="20"/>
          <w:szCs w:val="20"/>
          <w:color w:val="auto"/>
        </w:rPr>
      </w:pPr>
    </w:p>
    <w:p>
      <w:pPr>
        <w:ind w:right="280"/>
        <w:spacing w:after="0" w:line="302" w:lineRule="auto"/>
        <w:rPr>
          <w:sz w:val="20"/>
          <w:szCs w:val="20"/>
          <w:color w:val="auto"/>
        </w:rPr>
      </w:pPr>
      <w:r>
        <w:rPr>
          <w:rFonts w:ascii="Arial" w:cs="Arial" w:eastAsia="Arial" w:hAnsi="Arial"/>
          <w:sz w:val="17"/>
          <w:szCs w:val="17"/>
          <w:b w:val="1"/>
          <w:bCs w:val="1"/>
          <w:i w:val="1"/>
          <w:iCs w:val="1"/>
          <w:color w:val="auto"/>
        </w:rPr>
        <w:t>Regulatory changes in the United States, regulatory compliance failures and the effects of negative publicity surrounding the financial industry in general could adversely affect our reputation, business and operations.</w:t>
      </w:r>
    </w:p>
    <w:p>
      <w:pPr>
        <w:spacing w:after="0" w:line="62" w:lineRule="exact"/>
        <w:rPr>
          <w:sz w:val="20"/>
          <w:szCs w:val="20"/>
          <w:color w:val="auto"/>
        </w:rPr>
      </w:pPr>
    </w:p>
    <w:p>
      <w:pPr>
        <w:ind w:right="40" w:firstLine="464"/>
        <w:spacing w:after="0" w:line="241" w:lineRule="auto"/>
        <w:rPr>
          <w:sz w:val="20"/>
          <w:szCs w:val="20"/>
          <w:color w:val="auto"/>
        </w:rPr>
      </w:pPr>
      <w:r>
        <w:rPr>
          <w:rFonts w:ascii="Arial" w:cs="Arial" w:eastAsia="Arial" w:hAnsi="Arial"/>
          <w:sz w:val="17"/>
          <w:szCs w:val="17"/>
          <w:color w:val="auto"/>
        </w:rPr>
        <w:t>The business in which we and Oaktree operate both in and outside the United States may be subject to new or additional regulations from time to time. We and Oaktree may be adversely affected as a result of new or revised legislation or regulations imposed by the SEC, the CFTC or other U.S. governmental regulatory authorities or self-regulatory organizations that supervise the financial markets and businesses such as Oaktree’s and ours. The financial services industry in recent years has been the subject of heightened scrutiny and the SEC has specifically focused on private equity and the private funds industry. In that connection, in recent years the SEC’s stated examination priorities and published observations from examinations have included, among other things, private equity firms’ collection of fees and allocation of expenses, their marketing and valuation practices, allocation of investment opportunities, investor side letter terms, consistency of firms’ practices with disclosures, handling of material non-public information and insider trading, disclosures of investment risk, conflicts of interest, adherence to notice, consent and other contractual requirements regarding limited partnership advisory committees, fiduciary standards of conduct, financial technologies, and compliance with the SEC’s recently adopted rules, including those referenced herein. In recent years, the SEC has proposed, and in some instances, adopted, a number of new rules and amendments to existing rules that impact our or Oaktree’s business and operations.</w:t>
      </w:r>
    </w:p>
    <w:p>
      <w:pPr>
        <w:spacing w:after="0" w:line="110" w:lineRule="exact"/>
        <w:rPr>
          <w:sz w:val="20"/>
          <w:szCs w:val="20"/>
          <w:color w:val="auto"/>
        </w:rPr>
      </w:pPr>
    </w:p>
    <w:p>
      <w:pPr>
        <w:ind w:right="420" w:firstLine="464"/>
        <w:spacing w:after="0" w:line="255" w:lineRule="auto"/>
        <w:rPr>
          <w:sz w:val="20"/>
          <w:szCs w:val="20"/>
          <w:color w:val="auto"/>
        </w:rPr>
      </w:pPr>
      <w:r>
        <w:rPr>
          <w:rFonts w:ascii="Arial" w:cs="Arial" w:eastAsia="Arial" w:hAnsi="Arial"/>
          <w:sz w:val="17"/>
          <w:szCs w:val="17"/>
          <w:color w:val="auto"/>
        </w:rPr>
        <w:t>For example, the SEC (in May 2023) and the SEC and CFTC jointly (in February 2024) adopted changes to Form PF, a confidential form relating to reporting by private fund advisers and intended to be used by the Financial Stability Oversight Counsel (“FSOC”) for systemic risk oversight purposes, that expand existing reporting</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961" w:right="339" w:bottom="1440" w:gutter="0" w:footer="0" w:header="0"/>
        </w:sectPr>
      </w:pPr>
    </w:p>
    <w:bookmarkStart w:id="27" w:name="page28"/>
    <w:bookmarkEnd w:id="27"/>
    <w:p>
      <w:pPr>
        <w:spacing w:after="0" w:line="274" w:lineRule="auto"/>
        <w:rPr>
          <w:sz w:val="20"/>
          <w:szCs w:val="20"/>
          <w:color w:val="auto"/>
        </w:rPr>
      </w:pPr>
      <w:r>
        <w:rPr>
          <w:rFonts w:ascii="Arial" w:cs="Arial" w:eastAsia="Arial" w:hAnsi="Arial"/>
          <w:sz w:val="17"/>
          <w:szCs w:val="17"/>
          <w:color w:val="auto"/>
        </w:rPr>
        <w:t>obligations. Such increased obligations may increase Oaktree’s costs, including if it is required to spend more time, hire additional personnel, or buy new technology to comply effectively.</w:t>
      </w:r>
    </w:p>
    <w:p>
      <w:pPr>
        <w:spacing w:after="0" w:line="172" w:lineRule="exact"/>
        <w:rPr>
          <w:sz w:val="20"/>
          <w:szCs w:val="20"/>
          <w:color w:val="auto"/>
        </w:rPr>
      </w:pPr>
    </w:p>
    <w:p>
      <w:pPr>
        <w:ind w:right="420" w:firstLine="464"/>
        <w:spacing w:after="0" w:line="242" w:lineRule="auto"/>
        <w:rPr>
          <w:sz w:val="20"/>
          <w:szCs w:val="20"/>
          <w:color w:val="auto"/>
        </w:rPr>
      </w:pPr>
      <w:r>
        <w:rPr>
          <w:rFonts w:ascii="Arial" w:cs="Arial" w:eastAsia="Arial" w:hAnsi="Arial"/>
          <w:sz w:val="17"/>
          <w:szCs w:val="17"/>
          <w:color w:val="auto"/>
        </w:rPr>
        <w:t>The SEC has also proposed and can be expected to propose other rules that may impact our or Oaktree’s operations. Such rules could expose Oaktree’s registered investment advisers to additional regulatory liability, increase compliance costs, impose limitations on Oaktree’s investing activities and place burdens on Oaktree’s resources, including the time and attention of Oaktree’s personnel, and heighten the risk of regulatory action. In addition, the SEC has recently indicated an intention to focus on making alternative investments more available to retail</w:t>
      </w:r>
    </w:p>
    <w:p>
      <w:pPr>
        <w:spacing w:after="0" w:line="1" w:lineRule="exact"/>
        <w:rPr>
          <w:sz w:val="20"/>
          <w:szCs w:val="20"/>
          <w:color w:val="auto"/>
        </w:rPr>
      </w:pPr>
    </w:p>
    <w:p>
      <w:pPr>
        <w:ind w:right="400"/>
        <w:spacing w:after="0" w:line="229" w:lineRule="auto"/>
        <w:rPr>
          <w:sz w:val="20"/>
          <w:szCs w:val="20"/>
          <w:color w:val="auto"/>
        </w:rPr>
      </w:pPr>
      <w:r>
        <w:rPr>
          <w:rFonts w:ascii="Arial" w:cs="Arial" w:eastAsia="Arial" w:hAnsi="Arial"/>
          <w:sz w:val="17"/>
          <w:szCs w:val="17"/>
          <w:color w:val="auto"/>
        </w:rPr>
        <w:t>investors. As an example, the President’s 2025 Executive Order to the U.S. Department of Labor to provide 401(k) plan fiduciaries with greater protection against litigation when offering investment options that include alternative assets supports the SEC’s enhanced focus and efforts to</w:t>
      </w:r>
    </w:p>
    <w:p>
      <w:pPr>
        <w:spacing w:after="0" w:line="1" w:lineRule="exact"/>
        <w:rPr>
          <w:sz w:val="20"/>
          <w:szCs w:val="20"/>
          <w:color w:val="auto"/>
        </w:rPr>
      </w:pPr>
    </w:p>
    <w:p>
      <w:pPr>
        <w:spacing w:after="0" w:line="241" w:lineRule="auto"/>
        <w:rPr>
          <w:sz w:val="20"/>
          <w:szCs w:val="20"/>
          <w:color w:val="auto"/>
        </w:rPr>
      </w:pPr>
      <w:r>
        <w:rPr>
          <w:rFonts w:ascii="Arial" w:cs="Arial" w:eastAsia="Arial" w:hAnsi="Arial"/>
          <w:sz w:val="17"/>
          <w:szCs w:val="17"/>
          <w:color w:val="auto"/>
        </w:rPr>
        <w:t>expand access to the “alternative asset” class. The Executive Order considers “alternative assets” to include private market investments, direct and indirect holdings in real estate, digital assets, commodities and infrastructure investments. While the full extent of the anticipated SEC rulemaking or guidance is still to be determined, potential changes relating to (i) accredited investor and/or qualified purchaser status or (ii) disclosure requirements surrounding fees are likely to have an impact on the operations of our or Oaktree’s funds, including the types of products we and Oaktree offer and the investor base we target.</w:t>
      </w:r>
    </w:p>
    <w:p>
      <w:pPr>
        <w:spacing w:after="0" w:line="137" w:lineRule="exact"/>
        <w:rPr>
          <w:sz w:val="20"/>
          <w:szCs w:val="20"/>
          <w:color w:val="auto"/>
        </w:rPr>
      </w:pPr>
    </w:p>
    <w:p>
      <w:pPr>
        <w:ind w:firstLine="464"/>
        <w:spacing w:after="0" w:line="265" w:lineRule="auto"/>
        <w:rPr>
          <w:sz w:val="20"/>
          <w:szCs w:val="20"/>
          <w:color w:val="auto"/>
        </w:rPr>
      </w:pPr>
      <w:r>
        <w:rPr>
          <w:rFonts w:ascii="Arial" w:cs="Arial" w:eastAsia="Arial" w:hAnsi="Arial"/>
          <w:sz w:val="17"/>
          <w:szCs w:val="17"/>
          <w:color w:val="auto"/>
        </w:rPr>
        <w:t>We and Oaktree also may be adversely affected by changes in the interpretation or enforcement of existing laws and rules by these governmental authorities and self-regulatory organizations. For example, in recent years, senior officials at the SEC have shown a willingness to pursue violations that could be viewed as minor on the theory that publicly pursuing minor violations could reduce the prevalence of more significant violations.</w:t>
      </w:r>
    </w:p>
    <w:p>
      <w:pPr>
        <w:spacing w:after="0" w:line="116" w:lineRule="exact"/>
        <w:rPr>
          <w:sz w:val="20"/>
          <w:szCs w:val="20"/>
          <w:color w:val="auto"/>
        </w:rPr>
      </w:pPr>
    </w:p>
    <w:p>
      <w:pPr>
        <w:jc w:val="both"/>
        <w:ind w:right="100" w:firstLine="464"/>
        <w:spacing w:after="0" w:line="259" w:lineRule="auto"/>
        <w:rPr>
          <w:sz w:val="20"/>
          <w:szCs w:val="20"/>
          <w:color w:val="auto"/>
        </w:rPr>
      </w:pPr>
      <w:r>
        <w:rPr>
          <w:rFonts w:ascii="Arial" w:cs="Arial" w:eastAsia="Arial" w:hAnsi="Arial"/>
          <w:sz w:val="17"/>
          <w:szCs w:val="17"/>
          <w:color w:val="auto"/>
        </w:rPr>
        <w:t>In June 2024, the U.S. Supreme Court reversed its longstanding approach under the Chevron doctrine, which provided for judicial deference to regulatory agencies. As a result of this decision, we cannot be sure whether there will be increased challenges to existing agency regulations or how lower courts will apply the decision in the context of other regulatory schemes without more specific guidance from the U.S. Supreme Court.</w:t>
      </w:r>
    </w:p>
    <w:p>
      <w:pPr>
        <w:spacing w:after="0" w:line="2" w:lineRule="exact"/>
        <w:rPr>
          <w:sz w:val="20"/>
          <w:szCs w:val="20"/>
          <w:color w:val="auto"/>
        </w:rPr>
      </w:pPr>
    </w:p>
    <w:p>
      <w:pPr>
        <w:ind w:right="20"/>
        <w:spacing w:after="0" w:line="257" w:lineRule="auto"/>
        <w:rPr>
          <w:sz w:val="20"/>
          <w:szCs w:val="20"/>
          <w:color w:val="auto"/>
        </w:rPr>
      </w:pPr>
      <w:r>
        <w:rPr>
          <w:rFonts w:ascii="Arial" w:cs="Arial" w:eastAsia="Arial" w:hAnsi="Arial"/>
          <w:sz w:val="17"/>
          <w:szCs w:val="17"/>
          <w:color w:val="auto"/>
        </w:rPr>
        <w:t>For example, the decision could significantly impact consumer protection, advertising, privacy, artificial intelligence, anti-corruption and anti-money laundering practices and other regulatory regimes with which we, Oaktree and Oaktree’s portfolio companies are or may be required to comply. Any such regulatory developments could result in uncertainty about and changes in the ways such regulations apply to us, Oaktree and Oaktree’s portfolio companies, and may require additional resources to ensure continued compliance. We cannot predict which, if any, of these actions will be taken or, if taken, their effect. Such actions could have a significant adverse effect on our business, financial condition and results of operations.</w:t>
      </w:r>
    </w:p>
    <w:p>
      <w:pPr>
        <w:spacing w:after="0" w:line="111" w:lineRule="exact"/>
        <w:rPr>
          <w:sz w:val="20"/>
          <w:szCs w:val="20"/>
          <w:color w:val="auto"/>
        </w:rPr>
      </w:pPr>
    </w:p>
    <w:p>
      <w:pPr>
        <w:ind w:firstLine="464"/>
        <w:spacing w:after="0"/>
        <w:rPr>
          <w:sz w:val="20"/>
          <w:szCs w:val="20"/>
          <w:color w:val="auto"/>
        </w:rPr>
      </w:pPr>
      <w:r>
        <w:rPr>
          <w:rFonts w:ascii="Arial" w:cs="Arial" w:eastAsia="Arial" w:hAnsi="Arial"/>
          <w:sz w:val="17"/>
          <w:szCs w:val="17"/>
          <w:color w:val="auto"/>
        </w:rPr>
        <w:t>It is difficult to determine the full extent of the impact on us or Oaktree of any new laws, regulations or initiatives that may be proposed or whether any of the proposals will become law. Any changes in the regulatory framework applicable to our or Oaktree’s business, including the changes described above, may impose additional costs on us, require the attention of Oaktree’s senior management or result in limitations on the manner in which Oaktree and we conduct our businesses. Moreover, as calls for additional regulation have increased, there may be a related increase in regulatory investigations of the trading and other investment activities of alternative asset management funds, including Oaktree’s funds. In addition, Oaktree and we may be adversely affected by changes in the interpretation or enforcement of existing laws and rules by these</w:t>
      </w:r>
    </w:p>
    <w:p>
      <w:pPr>
        <w:spacing w:after="0" w:line="3" w:lineRule="exact"/>
        <w:rPr>
          <w:sz w:val="20"/>
          <w:szCs w:val="20"/>
          <w:color w:val="auto"/>
        </w:rPr>
      </w:pPr>
    </w:p>
    <w:p>
      <w:pPr>
        <w:ind w:right="380"/>
        <w:spacing w:after="0" w:line="239" w:lineRule="auto"/>
        <w:rPr>
          <w:sz w:val="20"/>
          <w:szCs w:val="20"/>
          <w:color w:val="auto"/>
        </w:rPr>
      </w:pPr>
      <w:r>
        <w:rPr>
          <w:rFonts w:ascii="Arial" w:cs="Arial" w:eastAsia="Arial" w:hAnsi="Arial"/>
          <w:sz w:val="17"/>
          <w:szCs w:val="17"/>
          <w:color w:val="auto"/>
        </w:rPr>
        <w:t>governmental authorities and self-regulatory organizations. Compliance with any new laws or regulations could make our overall compliance activities more difficult and expensive, affect the manner in which Oaktree and we conduct our businesses and adversely affect our profitability.</w:t>
      </w:r>
    </w:p>
    <w:p>
      <w:pPr>
        <w:spacing w:after="0" w:line="13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Changes in law and government regulations may adversely affect our business, financial condition and results of operations.</w:t>
      </w:r>
    </w:p>
    <w:p>
      <w:pPr>
        <w:spacing w:after="0" w:line="101" w:lineRule="exact"/>
        <w:rPr>
          <w:sz w:val="20"/>
          <w:szCs w:val="20"/>
          <w:color w:val="auto"/>
        </w:rPr>
      </w:pPr>
    </w:p>
    <w:p>
      <w:pPr>
        <w:ind w:right="40" w:firstLine="464"/>
        <w:spacing w:after="0" w:line="249" w:lineRule="auto"/>
        <w:rPr>
          <w:sz w:val="20"/>
          <w:szCs w:val="20"/>
          <w:color w:val="auto"/>
        </w:rPr>
      </w:pPr>
      <w:r>
        <w:rPr>
          <w:rFonts w:ascii="Arial" w:cs="Arial" w:eastAsia="Arial" w:hAnsi="Arial"/>
          <w:sz w:val="17"/>
          <w:szCs w:val="17"/>
          <w:color w:val="auto"/>
        </w:rPr>
        <w:t>The current regulatory environment in the United States may be impacted by future legislative developments, such as amendments to key provisions of the Dodd-Frank Act. Any changes in the regulatory framework applicable to our business, Oaktree’s business or the businesses of the portfolio companies of Oaktree’s funds may impose additional costs or result in limitations on the manner in which business is conducted, or may ultimately have an adverse impact on the competitiveness of certain nonbank financial service providers vis-à-vis traditional banking organizations.</w:t>
      </w:r>
    </w:p>
    <w:p>
      <w:pPr>
        <w:spacing w:after="0" w:line="13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Regulatory changes in jurisdictions outside the United States could adversely affect Oaktree’s business.</w:t>
      </w:r>
    </w:p>
    <w:p>
      <w:pPr>
        <w:spacing w:after="0" w:line="153" w:lineRule="exact"/>
        <w:rPr>
          <w:sz w:val="20"/>
          <w:szCs w:val="20"/>
          <w:color w:val="auto"/>
        </w:rPr>
      </w:pPr>
    </w:p>
    <w:p>
      <w:pPr>
        <w:ind w:firstLine="464"/>
        <w:spacing w:after="0" w:line="255" w:lineRule="auto"/>
        <w:rPr>
          <w:sz w:val="20"/>
          <w:szCs w:val="20"/>
          <w:color w:val="auto"/>
        </w:rPr>
      </w:pPr>
      <w:r>
        <w:rPr>
          <w:rFonts w:ascii="Arial" w:cs="Arial" w:eastAsia="Arial" w:hAnsi="Arial"/>
          <w:sz w:val="17"/>
          <w:szCs w:val="17"/>
          <w:color w:val="auto"/>
        </w:rPr>
        <w:t>Certain of Oaktree’s subsidiaries operate outside the United States. A number of these subsidiaries are regulated by governmental authorities in foreign jurisdictions where they operate. In addition, Oaktree regularly relies on exemptions from various requirements of the regulations of certain foreign countries in conducting its asset management and fundraising activities.</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999" w:right="359" w:bottom="1440" w:gutter="0" w:footer="0" w:header="0"/>
        </w:sectPr>
      </w:pPr>
    </w:p>
    <w:bookmarkStart w:id="28" w:name="page29"/>
    <w:bookmarkEnd w:id="28"/>
    <w:p>
      <w:pPr>
        <w:ind w:right="20" w:firstLine="464"/>
        <w:spacing w:after="0"/>
        <w:rPr>
          <w:sz w:val="20"/>
          <w:szCs w:val="20"/>
          <w:color w:val="auto"/>
        </w:rPr>
      </w:pPr>
      <w:r>
        <w:rPr>
          <w:rFonts w:ascii="Arial" w:cs="Arial" w:eastAsia="Arial" w:hAnsi="Arial"/>
          <w:sz w:val="17"/>
          <w:szCs w:val="17"/>
          <w:color w:val="auto"/>
        </w:rPr>
        <w:t>Each of the regulatory bodies with jurisdiction over Oaktree has regulatory powers dealing with many aspects of Oaktree’s business generally and financial services specifically, including the authority to grant, and in specific circumstances to cancel, permissions to carry on particular activities. Oaktree is involved regularly in trading activities that implicate a broad number of foreign (as well as U.S.) securities law regimes, including laws governing trading on inside information and market manipulation and a broad number of technical trading requirements that implicate fundamental market regulation policies. Additionally, Oaktree must comply with foreign laws governing the sale of interests in Oaktree’s funds and laws that govern other business activities. Violation of these laws could result in severe penalties, restrictions or prohibitions on Oaktree’s activities</w:t>
      </w:r>
    </w:p>
    <w:p>
      <w:pPr>
        <w:spacing w:after="0" w:line="3" w:lineRule="exact"/>
        <w:rPr>
          <w:sz w:val="20"/>
          <w:szCs w:val="20"/>
          <w:color w:val="auto"/>
        </w:rPr>
      </w:pPr>
    </w:p>
    <w:p>
      <w:pPr>
        <w:ind w:right="260"/>
        <w:spacing w:after="0" w:line="229" w:lineRule="auto"/>
        <w:rPr>
          <w:sz w:val="20"/>
          <w:szCs w:val="20"/>
          <w:color w:val="auto"/>
        </w:rPr>
      </w:pPr>
      <w:r>
        <w:rPr>
          <w:rFonts w:ascii="Arial" w:cs="Arial" w:eastAsia="Arial" w:hAnsi="Arial"/>
          <w:sz w:val="17"/>
          <w:szCs w:val="17"/>
          <w:color w:val="auto"/>
        </w:rPr>
        <w:t>and damage to Oaktree’s reputation and our reputation, which in turn could materially adversely affect Oaktree’s or our business in a number of ways, such as causing investors to redeem their capital (to the degree they have that right) from Oaktree’s funds, making it harder for Oaktree to</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raise new funds and discouraging others from doing business with Oaktree.</w:t>
      </w:r>
    </w:p>
    <w:p>
      <w:pPr>
        <w:spacing w:after="0" w:line="149" w:lineRule="exact"/>
        <w:rPr>
          <w:sz w:val="20"/>
          <w:szCs w:val="20"/>
          <w:color w:val="auto"/>
        </w:rPr>
      </w:pPr>
    </w:p>
    <w:p>
      <w:pPr>
        <w:spacing w:after="0" w:line="302" w:lineRule="auto"/>
        <w:rPr>
          <w:sz w:val="20"/>
          <w:szCs w:val="20"/>
          <w:color w:val="auto"/>
        </w:rPr>
      </w:pPr>
      <w:r>
        <w:rPr>
          <w:rFonts w:ascii="Arial" w:cs="Arial" w:eastAsia="Arial" w:hAnsi="Arial"/>
          <w:sz w:val="17"/>
          <w:szCs w:val="17"/>
          <w:b w:val="1"/>
          <w:bCs w:val="1"/>
          <w:i w:val="1"/>
          <w:iCs w:val="1"/>
          <w:color w:val="auto"/>
        </w:rPr>
        <w:t>SEC rules barring so-called “bad actors” from relying on Rule 506 of Regulation D in private placements could materially adversely affect Oaktree’s business, financial condition and results of operations.</w:t>
      </w:r>
    </w:p>
    <w:p>
      <w:pPr>
        <w:spacing w:after="0" w:line="75" w:lineRule="exact"/>
        <w:rPr>
          <w:sz w:val="20"/>
          <w:szCs w:val="20"/>
          <w:color w:val="auto"/>
        </w:rPr>
      </w:pPr>
    </w:p>
    <w:p>
      <w:pPr>
        <w:ind w:right="80" w:firstLine="464"/>
        <w:spacing w:after="0" w:line="256" w:lineRule="auto"/>
        <w:rPr>
          <w:sz w:val="20"/>
          <w:szCs w:val="20"/>
          <w:color w:val="auto"/>
        </w:rPr>
      </w:pPr>
      <w:r>
        <w:rPr>
          <w:rFonts w:ascii="Arial" w:cs="Arial" w:eastAsia="Arial" w:hAnsi="Arial"/>
          <w:sz w:val="17"/>
          <w:szCs w:val="17"/>
          <w:color w:val="auto"/>
        </w:rPr>
        <w:t>Rules 501 and 506 of Regulation D under the Securities Act prohibit issuers deemed to be “bad actors” from relying on the exemptions available under Rule 506 of Regulation D (“Rule 506”) in connection with private placements (the “disqualification rule”). Specifically, an issuer will be precluded from conducting offerings that rely on the exemption from registration under the Securities Act provided by Rule 506 (“Rule 506 offerings”) if a “covered person” of the issuer has been the subject of a “disqualifying event” (each as defined below). “Covered persons” include, among others, the issuer, affiliated issuers, any investment manager or solicitor of the issuer, any director, executive officer or other officer participating in the offering of the issuer, any general partner or managing member of the foregoing entities, any promoter of the issuer and any beneficial owner of 20% or more of the issuer’s outstanding voting equity securities, calculated on the basis of voting power. A “disqualifying event” includes, among other things, certain (1) criminal convictions and court injunctions and restraining orders issued in connection with the purchase or sale of a security or false filings with the SEC; (2) final orders from the CFTC, federal banking agencies and certain other regulators that bar a person from associating with a regulated entity or engaging in the business of securities, insurance or banking or that are based on certain fraudulent conduct; (3) SEC disciplinary orders relating to investment advisers, brokers, dealers and their associated persons; (4) SEC cease-and-desist orders relating to violations of certain anti-fraud provisions and registration requirements of the federal securities laws; (5) suspensions or expulsions from membership in a self-regulatory organization (“SRO”) or from association with an SRO member; and (6) U.S. Postal Service false representation orders.</w:t>
      </w:r>
    </w:p>
    <w:p>
      <w:pPr>
        <w:spacing w:after="0" w:line="123" w:lineRule="exact"/>
        <w:rPr>
          <w:sz w:val="20"/>
          <w:szCs w:val="20"/>
          <w:color w:val="auto"/>
        </w:rPr>
      </w:pPr>
    </w:p>
    <w:p>
      <w:pPr>
        <w:ind w:right="100" w:firstLine="464"/>
        <w:spacing w:after="0" w:line="265" w:lineRule="auto"/>
        <w:rPr>
          <w:sz w:val="20"/>
          <w:szCs w:val="20"/>
          <w:color w:val="auto"/>
        </w:rPr>
      </w:pPr>
      <w:r>
        <w:rPr>
          <w:rFonts w:ascii="Arial" w:cs="Arial" w:eastAsia="Arial" w:hAnsi="Arial"/>
          <w:sz w:val="17"/>
          <w:szCs w:val="17"/>
          <w:color w:val="auto"/>
        </w:rPr>
        <w:t>If any Oaktree covered person is subject to a disqualifying event, one or more of Oaktree’s funds could lose the ability to raise capital in a Rule 506 offering for a significant period of time. Most of Oaktree’s funds rely on Rule 506 to raise capital from investors during their fundraising periods. If one or more of Oaktree’s funds were to lose the ability to rely on the Rule 506 exemption because an Oaktree covered person has been the subject of a disqualifying event, our business, financial condition and results of operations could be materially and adversely affected.</w:t>
      </w:r>
    </w:p>
    <w:p>
      <w:pPr>
        <w:spacing w:after="0" w:line="116" w:lineRule="exact"/>
        <w:rPr>
          <w:sz w:val="20"/>
          <w:szCs w:val="20"/>
          <w:color w:val="auto"/>
        </w:rPr>
      </w:pPr>
    </w:p>
    <w:p>
      <w:pPr>
        <w:ind w:right="180"/>
        <w:spacing w:after="0" w:line="302" w:lineRule="auto"/>
        <w:rPr>
          <w:sz w:val="20"/>
          <w:szCs w:val="20"/>
          <w:color w:val="auto"/>
        </w:rPr>
      </w:pPr>
      <w:r>
        <w:rPr>
          <w:rFonts w:ascii="Arial" w:cs="Arial" w:eastAsia="Arial" w:hAnsi="Arial"/>
          <w:sz w:val="17"/>
          <w:szCs w:val="17"/>
          <w:b w:val="1"/>
          <w:bCs w:val="1"/>
          <w:i w:val="1"/>
          <w:iCs w:val="1"/>
          <w:color w:val="auto"/>
        </w:rPr>
        <w:t>Oaktree’s failure to comply with “pay to play” regulations implemented by the SEC and certain states, and changes to the “pay to play” regulatory regimes, could adversely affect Oaktree’s business.</w:t>
      </w:r>
    </w:p>
    <w:p>
      <w:pPr>
        <w:spacing w:after="0" w:line="75" w:lineRule="exact"/>
        <w:rPr>
          <w:sz w:val="20"/>
          <w:szCs w:val="20"/>
          <w:color w:val="auto"/>
        </w:rPr>
      </w:pPr>
    </w:p>
    <w:p>
      <w:pPr>
        <w:ind w:right="120" w:firstLine="387"/>
        <w:spacing w:after="0" w:line="256" w:lineRule="auto"/>
        <w:rPr>
          <w:sz w:val="20"/>
          <w:szCs w:val="20"/>
          <w:color w:val="auto"/>
        </w:rPr>
      </w:pPr>
      <w:r>
        <w:rPr>
          <w:rFonts w:ascii="Arial" w:cs="Arial" w:eastAsia="Arial" w:hAnsi="Arial"/>
          <w:sz w:val="17"/>
          <w:szCs w:val="17"/>
          <w:color w:val="auto"/>
        </w:rPr>
        <w:t>In recent years, the SEC and several states have initiated investigations alleging that certain private equity firms and hedge funds or agents acting on their behalf have paid money to current or former government officials or their associates in exchange for improperly soliciting contracts with state pension funds. The SEC has also initiated a similar investigation into contracts awarded by sovereign wealth funds. Rule 206(4)-5 under the Advisers Act addresses “pay to play” practices by investment advisers involving campaign contributions and other payments to government officials able to exert influence on potential U.S. state and local government entity clients. Among other restrictions, the rule prohibits investment advisers from providing advisory services for compensation to a government entity for two years, subject to very limited exceptions, after the investment adviser, its senior executives or its personnel involved in soliciting investments from government entities make contributions to certain candidates and officials in a position to influence the hiring of an investment adviser by such government entity. The rule does not require any showing that a donation was made with intent to exert influence. Any donation that exceeds the limits set forth in Rule 206(4)-5 may lead to an investment adviser being required to forgo compensation from applicable government entities for two years; to the extent such fees have already been paid, the investment adviser may be required to forfeit the already-received compensation. Advisers are required to implement compliance policies designed, among other matters, to track contributions by certain of the adviser’s employees and engagements of third parties that solicit government entities and to keep certain records in order to enable the SEC to determine compliance with the rule. Additionally, California law requires placement agents (including in certain cases employees of investment managers) who solicit funds from California state retirement</w:t>
      </w:r>
    </w:p>
    <w:p>
      <w:pPr>
        <w:spacing w:after="0" w:line="200" w:lineRule="exact"/>
        <w:rPr>
          <w:sz w:val="20"/>
          <w:szCs w:val="20"/>
          <w:color w:val="auto"/>
        </w:rPr>
      </w:pPr>
    </w:p>
    <w:p>
      <w:pPr>
        <w:spacing w:after="0" w:line="40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999" w:right="359" w:bottom="1440" w:gutter="0" w:footer="0" w:header="0"/>
        </w:sectPr>
      </w:pPr>
    </w:p>
    <w:bookmarkStart w:id="29" w:name="page30"/>
    <w:bookmarkEnd w:id="29"/>
    <w:p>
      <w:pPr>
        <w:spacing w:after="0" w:line="257" w:lineRule="auto"/>
        <w:rPr>
          <w:sz w:val="20"/>
          <w:szCs w:val="20"/>
          <w:color w:val="auto"/>
        </w:rPr>
      </w:pPr>
      <w:r>
        <w:rPr>
          <w:rFonts w:ascii="Arial" w:cs="Arial" w:eastAsia="Arial" w:hAnsi="Arial"/>
          <w:sz w:val="17"/>
          <w:szCs w:val="17"/>
          <w:color w:val="auto"/>
        </w:rPr>
        <w:t>systems, such as the California Public Employees’ Retirement System and the California State Teachers’ Retirement System, to register as lobbyists, thereby becoming subject to increased reporting requirements and prohibited from receiving contingent compensation for soliciting investments from California state retirement systems. New York has adopted similar rules. In July 2018, OCM reached a settlement with the SEC related to its “pay to play” rules pursuant to which OCM paid a monetary settlement to the SEC and agreed not to violate the rule in the future. Any failure by OCM or another of Oaktree’s affiliated entities or their respective personnel involved in soliciting investment from government entities to comply with these rules could expose Oaktree or us to reputational damage since we are affiliated with OCM. Additionally, the SEC’s amended rules for investment adviser marketing that went into effect in 2022 impose more prescriptive requirements and will impact the marketing of Oaktree’s funds as well as placement agent arrangements globally. Compliance with the new rule may result in higher compliance and operational costs and less overall flexibility in Oaktree’s marketing.</w:t>
      </w:r>
    </w:p>
    <w:p>
      <w:pPr>
        <w:spacing w:after="0" w:line="127" w:lineRule="exact"/>
        <w:rPr>
          <w:sz w:val="20"/>
          <w:szCs w:val="20"/>
          <w:color w:val="auto"/>
        </w:rPr>
      </w:pPr>
    </w:p>
    <w:p>
      <w:pPr>
        <w:ind w:right="440"/>
        <w:spacing w:after="0" w:line="302" w:lineRule="auto"/>
        <w:rPr>
          <w:sz w:val="20"/>
          <w:szCs w:val="20"/>
          <w:color w:val="auto"/>
        </w:rPr>
      </w:pPr>
      <w:r>
        <w:rPr>
          <w:rFonts w:ascii="Arial" w:cs="Arial" w:eastAsia="Arial" w:hAnsi="Arial"/>
          <w:sz w:val="17"/>
          <w:szCs w:val="17"/>
          <w:b w:val="1"/>
          <w:bCs w:val="1"/>
          <w:i w:val="1"/>
          <w:iCs w:val="1"/>
          <w:color w:val="auto"/>
        </w:rPr>
        <w:t>Oaktree’s failure to maintain the security of its information and technology networks, including personal data and client information, intellectual property and proprietary business information could have a material adverse effect on us.</w:t>
      </w:r>
    </w:p>
    <w:p>
      <w:pPr>
        <w:spacing w:after="0" w:line="62" w:lineRule="exact"/>
        <w:rPr>
          <w:sz w:val="20"/>
          <w:szCs w:val="20"/>
          <w:color w:val="auto"/>
        </w:rPr>
      </w:pPr>
    </w:p>
    <w:p>
      <w:pPr>
        <w:ind w:right="80" w:firstLine="619"/>
        <w:spacing w:after="0"/>
        <w:rPr>
          <w:sz w:val="20"/>
          <w:szCs w:val="20"/>
          <w:color w:val="auto"/>
        </w:rPr>
      </w:pPr>
      <w:r>
        <w:rPr>
          <w:rFonts w:ascii="Arial" w:cs="Arial" w:eastAsia="Arial" w:hAnsi="Arial"/>
          <w:sz w:val="17"/>
          <w:szCs w:val="17"/>
          <w:color w:val="auto"/>
        </w:rPr>
        <w:t>Security breaches and other disruptions of or incidents affecting Oaktree’s information and technology networks could result in compromising our or Oaktree’s information and intellectual property and expose us or Oaktree to significant liability, reputational harm, regulatory investigation and remediation costs, which could cause material harm to our business and financial results. In the ordinary course of our and Oaktree’s business, Oaktree collects, processes and stores sensitive data, including proprietary business information and intellectual property, and personal data of Oaktree employees and its clients, in Oaktree’s data centers and on Oaktree’s networks (including data stored on systems maintained by third parties). The secure processing, maintenance and transmission of this information are critical to our operations. In many cases,</w:t>
      </w:r>
    </w:p>
    <w:p>
      <w:pPr>
        <w:spacing w:after="0" w:line="3" w:lineRule="exact"/>
        <w:rPr>
          <w:sz w:val="20"/>
          <w:szCs w:val="20"/>
          <w:color w:val="auto"/>
        </w:rPr>
      </w:pPr>
    </w:p>
    <w:p>
      <w:pPr>
        <w:ind w:right="140"/>
        <w:spacing w:after="0" w:line="229" w:lineRule="auto"/>
        <w:rPr>
          <w:sz w:val="20"/>
          <w:szCs w:val="20"/>
          <w:color w:val="auto"/>
        </w:rPr>
      </w:pPr>
      <w:r>
        <w:rPr>
          <w:rFonts w:ascii="Arial" w:cs="Arial" w:eastAsia="Arial" w:hAnsi="Arial"/>
          <w:sz w:val="17"/>
          <w:szCs w:val="17"/>
          <w:color w:val="auto"/>
        </w:rPr>
        <w:t>this information is provided or made available to third-party vendors who agree to protect it, which has in the past and may in the future become compromised through a cyber-attack or data breach, misappropriation, misuse, leakage, falsification or accidental release or loss of information by</w:t>
      </w:r>
    </w:p>
    <w:p>
      <w:pPr>
        <w:spacing w:after="0" w:line="1" w:lineRule="exact"/>
        <w:rPr>
          <w:sz w:val="20"/>
          <w:szCs w:val="20"/>
          <w:color w:val="auto"/>
        </w:rPr>
      </w:pPr>
    </w:p>
    <w:p>
      <w:pPr>
        <w:spacing w:after="0" w:line="239" w:lineRule="auto"/>
        <w:rPr>
          <w:sz w:val="20"/>
          <w:szCs w:val="20"/>
          <w:color w:val="auto"/>
        </w:rPr>
      </w:pPr>
      <w:r>
        <w:rPr>
          <w:rFonts w:ascii="Arial" w:cs="Arial" w:eastAsia="Arial" w:hAnsi="Arial"/>
          <w:sz w:val="17"/>
          <w:szCs w:val="17"/>
          <w:color w:val="auto"/>
        </w:rPr>
        <w:t>Oaktree or a third-party vendor. Although Oaktree and its third -party vendors take various measures and have made, and will continue to make, significant investments in an attempt to ensure the integrity of their respective systems and to safeguard against such failures or security breaches, there can be no assurance that these measures and investments will provide adequate protection. Despite security measures, Oaktree’s and its third-party vendor’s information technology and infrastructure are vulnerable to different types of attacks by third parties or breaches due to employee error, malfeasance or other disruptions. Certain of Oaktree’s funds invest in strategic assets having a national or regional profile or in infrastructure assets, the nature of which could expose them to a greater risk of being subject to a cyberattack or security breach. In addition, we, Oaktree, Oaktree’s employees and Oaktree’s third-party vendors have been and may continue to be the target of fraudulent emails or other targeted attempts to gain unauthorized access to proprietary or sensitive information, including personal data.</w:t>
      </w:r>
    </w:p>
    <w:p>
      <w:pPr>
        <w:spacing w:after="0" w:line="128" w:lineRule="exact"/>
        <w:rPr>
          <w:sz w:val="20"/>
          <w:szCs w:val="20"/>
          <w:color w:val="auto"/>
        </w:rPr>
      </w:pPr>
    </w:p>
    <w:p>
      <w:pPr>
        <w:ind w:right="280" w:firstLine="464"/>
        <w:spacing w:after="0" w:line="243" w:lineRule="auto"/>
        <w:rPr>
          <w:sz w:val="20"/>
          <w:szCs w:val="20"/>
          <w:color w:val="auto"/>
        </w:rPr>
      </w:pPr>
      <w:r>
        <w:rPr>
          <w:rFonts w:ascii="Arial" w:cs="Arial" w:eastAsia="Arial" w:hAnsi="Arial"/>
          <w:sz w:val="17"/>
          <w:szCs w:val="17"/>
          <w:color w:val="auto"/>
        </w:rPr>
        <w:t>There has been an increase in the frequency and sophistication of the data security threats Oaktree faces, with attacks ranging from those common to businesses generally to those that are more advanced and persistent, which may target us or Oaktree because, as an investment management firm, Oaktree holds confidential and other price-sensitive information about the portfolio companies of Oaktree’s funds and their</w:t>
      </w:r>
    </w:p>
    <w:p>
      <w:pPr>
        <w:spacing w:after="0" w:line="2" w:lineRule="exact"/>
        <w:rPr>
          <w:sz w:val="20"/>
          <w:szCs w:val="20"/>
          <w:color w:val="auto"/>
        </w:rPr>
      </w:pPr>
    </w:p>
    <w:p>
      <w:pPr>
        <w:ind w:right="80"/>
        <w:spacing w:after="0" w:line="229" w:lineRule="auto"/>
        <w:rPr>
          <w:sz w:val="20"/>
          <w:szCs w:val="20"/>
          <w:color w:val="auto"/>
        </w:rPr>
      </w:pPr>
      <w:r>
        <w:rPr>
          <w:rFonts w:ascii="Arial" w:cs="Arial" w:eastAsia="Arial" w:hAnsi="Arial"/>
          <w:sz w:val="17"/>
          <w:szCs w:val="17"/>
          <w:color w:val="auto"/>
        </w:rPr>
        <w:t>potential investments. As a result, through Oaktree we face a heightened risk of a security breach or disruption with respect to sensitive information resulting from an attack by computer hackers, foreign governments, cyber-terrorists or other bad actors. If successful, these types of attacks on</w:t>
      </w:r>
    </w:p>
    <w:p>
      <w:pPr>
        <w:spacing w:after="0" w:line="1" w:lineRule="exact"/>
        <w:rPr>
          <w:sz w:val="20"/>
          <w:szCs w:val="20"/>
          <w:color w:val="auto"/>
        </w:rPr>
      </w:pPr>
    </w:p>
    <w:p>
      <w:pPr>
        <w:ind w:right="60"/>
        <w:spacing w:after="0" w:line="239" w:lineRule="auto"/>
        <w:rPr>
          <w:sz w:val="20"/>
          <w:szCs w:val="20"/>
          <w:color w:val="auto"/>
        </w:rPr>
      </w:pPr>
      <w:r>
        <w:rPr>
          <w:rFonts w:ascii="Arial" w:cs="Arial" w:eastAsia="Arial" w:hAnsi="Arial"/>
          <w:sz w:val="17"/>
          <w:szCs w:val="17"/>
          <w:color w:val="auto"/>
        </w:rPr>
        <w:t>Oaktree’s network or other systems could have a material adverse effect on our business and results of operations, due to, among other things, the loss, unauthorized access to or other misuse of personal, regulated, investor or proprietary data, interruptions or delays in our business and damage to our reputation. We are not currently aware of any current or past cyberattacks or other incidents that, individually or in the aggregate, have materially affected, or would reasonably be expected to materially affect, our or Oaktree’s business strategy operations or financial condition. There can be no assurance that the various procedures and controls Oaktree utilizes to mitigate these threats will be sufficient to prevent or detect disruptions to its systems. Because cyberattacks can originate from a wide variety of sources and the techniques used change frequently and are not recognized until launched, Oaktree may not learn about an attack until well after the attack occurs, and the full scope of a cyberattack may not be realized until an investigation has been performed. The costs related to data security threats or disruptions may not be fully insured or indemnified by other means. In addition, privacy and data security have become a top priority for regulators around the world and a cybersecurity incident impacting our business could result in regulatory scrutiny, investigations or actions.</w:t>
      </w:r>
    </w:p>
    <w:p>
      <w:pPr>
        <w:spacing w:after="0" w:line="126"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 significant actual or potential theft, loss, corruption, exposure, fraudulent use or misuse of client, employee or other personal data, regulated</w:t>
      </w:r>
    </w:p>
    <w:p>
      <w:pPr>
        <w:spacing w:after="0" w:line="14" w:lineRule="exact"/>
        <w:rPr>
          <w:sz w:val="20"/>
          <w:szCs w:val="20"/>
          <w:color w:val="auto"/>
        </w:rPr>
      </w:pPr>
    </w:p>
    <w:p>
      <w:pPr>
        <w:ind w:right="20"/>
        <w:spacing w:after="0" w:line="229" w:lineRule="auto"/>
        <w:rPr>
          <w:sz w:val="20"/>
          <w:szCs w:val="20"/>
          <w:color w:val="auto"/>
        </w:rPr>
      </w:pPr>
      <w:r>
        <w:rPr>
          <w:rFonts w:ascii="Arial" w:cs="Arial" w:eastAsia="Arial" w:hAnsi="Arial"/>
          <w:sz w:val="17"/>
          <w:szCs w:val="17"/>
          <w:color w:val="auto"/>
        </w:rPr>
        <w:t>or proprietary business data, whether by third parties or as a result of Oaktree’s employee malfeasance or otherwise, non-compliance with our contractual or other legal obligations regarding such data or intellectual property or a violation of Oaktree’s privacy and security policies with respect</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to such data could result in significant remediation and other costs, fines, litigation or regulatory actions against Oaktree or us. Such an</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30" w:name="page31"/>
    <w:bookmarkEnd w:id="30"/>
    <w:p>
      <w:pPr>
        <w:ind w:right="60"/>
        <w:spacing w:after="0" w:line="249" w:lineRule="auto"/>
        <w:rPr>
          <w:sz w:val="20"/>
          <w:szCs w:val="20"/>
          <w:color w:val="auto"/>
        </w:rPr>
      </w:pPr>
      <w:r>
        <w:rPr>
          <w:rFonts w:ascii="Arial" w:cs="Arial" w:eastAsia="Arial" w:hAnsi="Arial"/>
          <w:sz w:val="17"/>
          <w:szCs w:val="17"/>
          <w:color w:val="auto"/>
        </w:rPr>
        <w:t>event could additionally disrupt Oaktree’s or our operations and the services Oaktree provides to clients, damage Oaktree’s reputation and our reputation, result in a loss of a competitive advantage, impact our ability to provide timely and accurate financial data, and cause a loss of confidence in Oaktree’s services and our financial reporting, which could adversely affect our business, revenues, competitive position and investor confidence.</w:t>
      </w:r>
    </w:p>
    <w:p>
      <w:pPr>
        <w:spacing w:after="0" w:line="117" w:lineRule="exact"/>
        <w:rPr>
          <w:sz w:val="20"/>
          <w:szCs w:val="20"/>
          <w:color w:val="auto"/>
        </w:rPr>
      </w:pPr>
    </w:p>
    <w:p>
      <w:pPr>
        <w:ind w:right="260" w:firstLine="464"/>
        <w:spacing w:after="0" w:line="247" w:lineRule="auto"/>
        <w:rPr>
          <w:sz w:val="20"/>
          <w:szCs w:val="20"/>
          <w:color w:val="auto"/>
        </w:rPr>
      </w:pPr>
      <w:r>
        <w:rPr>
          <w:rFonts w:ascii="Arial" w:cs="Arial" w:eastAsia="Arial" w:hAnsi="Arial"/>
          <w:sz w:val="17"/>
          <w:szCs w:val="17"/>
          <w:color w:val="auto"/>
        </w:rPr>
        <w:t>Additionally, the General Data Protection Regulation (the “GDPR”) became applicable in all European Union (“EU”) member states on May 25, 2018. This regulation added a broad array of requirements for handling personal data of individuals that are residents of the EU and the</w:t>
      </w:r>
    </w:p>
    <w:p>
      <w:pPr>
        <w:ind w:right="100"/>
        <w:spacing w:after="0" w:line="229" w:lineRule="auto"/>
        <w:rPr>
          <w:sz w:val="20"/>
          <w:szCs w:val="20"/>
          <w:color w:val="auto"/>
        </w:rPr>
      </w:pPr>
      <w:r>
        <w:rPr>
          <w:rFonts w:ascii="Arial" w:cs="Arial" w:eastAsia="Arial" w:hAnsi="Arial"/>
          <w:sz w:val="17"/>
          <w:szCs w:val="17"/>
          <w:color w:val="auto"/>
        </w:rPr>
        <w:t>processing and transfer of that data from the EU and could impose a fine of up to 4% of global annual revenue or 20 million euros, whichever is higher, for violations. The GDPR has resulted in and will continue to result in significantly greater compliance burdens and costs for companies like</w:t>
      </w:r>
    </w:p>
    <w:p>
      <w:pPr>
        <w:spacing w:after="0" w:line="1" w:lineRule="exact"/>
        <w:rPr>
          <w:sz w:val="20"/>
          <w:szCs w:val="20"/>
          <w:color w:val="auto"/>
        </w:rPr>
      </w:pPr>
    </w:p>
    <w:p>
      <w:pPr>
        <w:ind w:right="220"/>
        <w:spacing w:after="0" w:line="243" w:lineRule="auto"/>
        <w:rPr>
          <w:sz w:val="20"/>
          <w:szCs w:val="20"/>
          <w:color w:val="auto"/>
        </w:rPr>
      </w:pPr>
      <w:r>
        <w:rPr>
          <w:rFonts w:ascii="Arial" w:cs="Arial" w:eastAsia="Arial" w:hAnsi="Arial"/>
          <w:sz w:val="17"/>
          <w:szCs w:val="17"/>
          <w:color w:val="auto"/>
        </w:rPr>
        <w:t>Oaktree. Further, due to Brexit (discussed below), Oaktree is required to comply with the GDPR and also the U.K. equivalent (“U.K. GDPR”). The relationship between the UK and the EU in relation to certain aspects of data protection law remains unsettled, and any changes may lead to additional costs and increase our overall risk exposure. In particular, both the UK and the EU have in 2025 enacted or proposed changes to their data protection regimes that have introduced or will introduce increasing divergence.</w:t>
      </w:r>
    </w:p>
    <w:p>
      <w:pPr>
        <w:spacing w:after="0" w:line="121" w:lineRule="exact"/>
        <w:rPr>
          <w:sz w:val="20"/>
          <w:szCs w:val="20"/>
          <w:color w:val="auto"/>
        </w:rPr>
      </w:pPr>
    </w:p>
    <w:p>
      <w:pPr>
        <w:ind w:right="20" w:firstLine="464"/>
        <w:spacing w:after="0"/>
        <w:rPr>
          <w:sz w:val="20"/>
          <w:szCs w:val="20"/>
          <w:color w:val="auto"/>
        </w:rPr>
      </w:pPr>
      <w:r>
        <w:rPr>
          <w:rFonts w:ascii="Arial" w:cs="Arial" w:eastAsia="Arial" w:hAnsi="Arial"/>
          <w:sz w:val="17"/>
          <w:szCs w:val="17"/>
          <w:color w:val="auto"/>
        </w:rPr>
        <w:t>In the U.S., the Gramm-Leach-Bliley Act of 1999 (the “GLBA”) imposes privacy requirements on financial institutions, including obligations to protect and safeguard consumers' nonpublic personal information and records, and limits the ability to share and reuse such information. Under the GLBA, beginning in May 2024, the Federal Trade Commission will require financial institutions to report the unauthorized acquisition of unencrypted customer information involving at least five hundred customers, within thirty days of discovery. Additionally, the SEC has adopted amendments to Regulation S-P, an underlying regulation of GLBA, that took effect December 3, 2025. These amendments impose operationally challenging notification requirements and obligations to implement written policies and procedures to govern oversight of service providers that will likely increase associated compliance costs. In December 2023, an SEC rule went into effect which requires us to report within four days on a Form 8-K</w:t>
      </w:r>
    </w:p>
    <w:p>
      <w:pPr>
        <w:spacing w:after="0" w:line="1" w:lineRule="exact"/>
        <w:rPr>
          <w:sz w:val="20"/>
          <w:szCs w:val="20"/>
          <w:color w:val="auto"/>
        </w:rPr>
      </w:pPr>
    </w:p>
    <w:p>
      <w:pPr>
        <w:ind w:right="220"/>
        <w:spacing w:after="0" w:line="229" w:lineRule="auto"/>
        <w:rPr>
          <w:sz w:val="20"/>
          <w:szCs w:val="20"/>
          <w:color w:val="auto"/>
        </w:rPr>
      </w:pPr>
      <w:r>
        <w:rPr>
          <w:rFonts w:ascii="Arial" w:cs="Arial" w:eastAsia="Arial" w:hAnsi="Arial"/>
          <w:sz w:val="17"/>
          <w:szCs w:val="17"/>
          <w:color w:val="auto"/>
        </w:rPr>
        <w:t>any cybersecurity incident determined to be material. Material incidents requiring such disclosure include those involving a third party provider. At the state level, California was the first state to pass a comprehensive privacy law when it enacted the California Consumer Privacy Act of 2018,</w:t>
      </w:r>
    </w:p>
    <w:p>
      <w:pPr>
        <w:spacing w:after="0" w:line="1" w:lineRule="exact"/>
        <w:rPr>
          <w:sz w:val="20"/>
          <w:szCs w:val="20"/>
          <w:color w:val="auto"/>
        </w:rPr>
      </w:pPr>
    </w:p>
    <w:p>
      <w:pPr>
        <w:ind w:right="20"/>
        <w:spacing w:after="0" w:line="237" w:lineRule="auto"/>
        <w:rPr>
          <w:sz w:val="20"/>
          <w:szCs w:val="20"/>
          <w:color w:val="auto"/>
        </w:rPr>
      </w:pPr>
      <w:r>
        <w:rPr>
          <w:rFonts w:ascii="Arial" w:cs="Arial" w:eastAsia="Arial" w:hAnsi="Arial"/>
          <w:sz w:val="17"/>
          <w:szCs w:val="17"/>
          <w:color w:val="auto"/>
        </w:rPr>
        <w:t>which initially went into effect on January 1, 2020, and was subsequently amended by the California Privacy Rights Act of 2020 (“CPRA”) and all implementing regulations thereto (collectively, the “CCPA”). The CCPA imposes sweeping data protection obligations on many companies doing business in California and provides for substantial fines for non-compliance and, in some cases, a private right of action for consumers who are victims of data breaches involving their unencrypted personal information. The CCPA is enforceable by the California Attorney General and the California Privacy Protection Agency. In March of 2021, Virginia enacted the Virginia Consumer Data Protection Act, creating the second comprehensive U.S. state privacy law, which took effect on January 1, 2023 (the same day CPRA took effect). Many additional states have since also passed comprehensive state privacy laws with additional obligations and requirements on businesses, with many more states considering passing their own similar laws. In addition to the state of Virginia, Colorado, Utah and Connecticut enacted data privacy laws that went into effect in 2023; Montana, Oregon and Texas enacted data privacy laws that went into effect in 2024; Delaware, Iowa, Maryland, Minnesota, Nebraska, New Hampshire, New Jersey, and Tennessee enacted data privacy laws that went into effect in 2025; and Indiana, Kentucky, and Rhode Island enacted data privacy laws that went into effect on January 1, 2026. Many regulators, including the Federal Trade Commission, have indicated an intention to</w:t>
      </w:r>
    </w:p>
    <w:p>
      <w:pPr>
        <w:spacing w:after="0" w:line="4" w:lineRule="exact"/>
        <w:rPr>
          <w:sz w:val="20"/>
          <w:szCs w:val="20"/>
          <w:color w:val="auto"/>
        </w:rPr>
      </w:pPr>
    </w:p>
    <w:p>
      <w:pPr>
        <w:ind w:right="220"/>
        <w:spacing w:after="0" w:line="239" w:lineRule="auto"/>
        <w:rPr>
          <w:sz w:val="20"/>
          <w:szCs w:val="20"/>
          <w:color w:val="auto"/>
        </w:rPr>
      </w:pPr>
      <w:r>
        <w:rPr>
          <w:rFonts w:ascii="Arial" w:cs="Arial" w:eastAsia="Arial" w:hAnsi="Arial"/>
          <w:sz w:val="17"/>
          <w:szCs w:val="17"/>
          <w:color w:val="auto"/>
        </w:rPr>
        <w:t>take more aggressive enforcement actions regarding data privacy and security matters, and related private litigation is increasing and resulting in progressively larger judgments and settlements.</w:t>
      </w:r>
    </w:p>
    <w:p>
      <w:pPr>
        <w:spacing w:after="0" w:line="123" w:lineRule="exact"/>
        <w:rPr>
          <w:sz w:val="20"/>
          <w:szCs w:val="20"/>
          <w:color w:val="auto"/>
        </w:rPr>
      </w:pPr>
    </w:p>
    <w:p>
      <w:pPr>
        <w:ind w:right="260" w:firstLine="464"/>
        <w:spacing w:after="0" w:line="249" w:lineRule="auto"/>
        <w:rPr>
          <w:sz w:val="20"/>
          <w:szCs w:val="20"/>
          <w:color w:val="auto"/>
        </w:rPr>
      </w:pPr>
      <w:r>
        <w:rPr>
          <w:rFonts w:ascii="Arial" w:cs="Arial" w:eastAsia="Arial" w:hAnsi="Arial"/>
          <w:sz w:val="17"/>
          <w:szCs w:val="17"/>
          <w:color w:val="auto"/>
        </w:rPr>
        <w:t>It remains unclear how various provisions of these newer laws will be interpreted and enforced. These and other data privacy, security and use laws and regulations and their interpretations continue to develop and may be inconsistent from jurisdiction to jurisdiction. The effects of the GDPR and U.K. GDPR, CCPA, and other U.S. state, U.S. federal, and international data privacy, security and use laws and regulations are significant and may require Oaktree to modify its data processing practices and policies and to incur substantial costs and potential liability in an</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effort to comply with such laws and regulations. Any inability, or perceived inability, by us or Oaktree funds’ portfolio companies to adequately address data protection or privacy concerns, or comply with applicable laws, regulations, policies, industry standards and guidance, contractual obligations, or other legal obligations, even if unfounded, could result in significant legal, regulatory and third-party liability, increased costs, disruption of our and Oaktree funds’ portfolio companies’ business and operations, and a loss of client (including investor) confidence and other reputational damage. Many regulators have indicated an intention to take more aggressive enforcement actions regarding data privacy matters, and private litigation resulting from such matters is increasing and resulting in progressively larger judgments and settlements. For example, the SEC’s</w:t>
      </w:r>
    </w:p>
    <w:p>
      <w:pPr>
        <w:spacing w:after="0" w:line="3" w:lineRule="exact"/>
        <w:rPr>
          <w:sz w:val="20"/>
          <w:szCs w:val="20"/>
          <w:color w:val="auto"/>
        </w:rPr>
      </w:pPr>
    </w:p>
    <w:p>
      <w:pPr>
        <w:ind w:right="200"/>
        <w:spacing w:after="0" w:line="229" w:lineRule="auto"/>
        <w:rPr>
          <w:sz w:val="20"/>
          <w:szCs w:val="20"/>
          <w:color w:val="auto"/>
        </w:rPr>
      </w:pPr>
      <w:r>
        <w:rPr>
          <w:rFonts w:ascii="Arial" w:cs="Arial" w:eastAsia="Arial" w:hAnsi="Arial"/>
          <w:sz w:val="17"/>
          <w:szCs w:val="17"/>
          <w:color w:val="auto"/>
        </w:rPr>
        <w:t>stated 2026 examination priorities included an intended focus on advisers’ policies and procedures related to information security and operational risks in the safeguarding of customer records and information. Furthermore, as new data protection and privacy-related laws and regulations are</w:t>
      </w:r>
    </w:p>
    <w:p>
      <w:pPr>
        <w:spacing w:after="0" w:line="1" w:lineRule="exact"/>
        <w:rPr>
          <w:sz w:val="20"/>
          <w:szCs w:val="20"/>
          <w:color w:val="auto"/>
        </w:rPr>
      </w:pPr>
    </w:p>
    <w:p>
      <w:pPr>
        <w:ind w:right="660"/>
        <w:spacing w:after="0" w:line="254" w:lineRule="auto"/>
        <w:rPr>
          <w:sz w:val="20"/>
          <w:szCs w:val="20"/>
          <w:color w:val="auto"/>
        </w:rPr>
      </w:pPr>
      <w:r>
        <w:rPr>
          <w:rFonts w:ascii="Arial" w:cs="Arial" w:eastAsia="Arial" w:hAnsi="Arial"/>
          <w:sz w:val="17"/>
          <w:szCs w:val="17"/>
          <w:color w:val="auto"/>
        </w:rPr>
        <w:t>implemented, the time and resources needed for Oaktree and Oaktree funds’ portfolio companies to comply with such laws and regulations continues to increase and become a significant compliance workstream.</w:t>
      </w:r>
    </w:p>
    <w:p>
      <w:pPr>
        <w:spacing w:after="0" w:line="200" w:lineRule="exact"/>
        <w:rPr>
          <w:sz w:val="20"/>
          <w:szCs w:val="20"/>
          <w:color w:val="auto"/>
        </w:rPr>
      </w:pPr>
    </w:p>
    <w:p>
      <w:pPr>
        <w:spacing w:after="0" w:line="29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999" w:right="359" w:bottom="1440" w:gutter="0" w:footer="0" w:header="0"/>
        </w:sectPr>
      </w:pPr>
    </w:p>
    <w:bookmarkStart w:id="31" w:name="page32"/>
    <w:bookmarkEnd w:id="31"/>
    <w:p>
      <w:pPr>
        <w:ind w:right="340"/>
        <w:spacing w:after="0" w:line="302" w:lineRule="auto"/>
        <w:rPr>
          <w:sz w:val="20"/>
          <w:szCs w:val="20"/>
          <w:color w:val="auto"/>
        </w:rPr>
      </w:pPr>
      <w:r>
        <w:rPr>
          <w:rFonts w:ascii="Arial" w:cs="Arial" w:eastAsia="Arial" w:hAnsi="Arial"/>
          <w:sz w:val="17"/>
          <w:szCs w:val="17"/>
          <w:b w:val="1"/>
          <w:bCs w:val="1"/>
          <w:i w:val="1"/>
          <w:iCs w:val="1"/>
          <w:color w:val="auto"/>
        </w:rPr>
        <w:t>Interruption of certain information technology, communications systems or data services could disrupt our business, result in losses and/or limit our growth.</w:t>
      </w:r>
    </w:p>
    <w:p>
      <w:pPr>
        <w:spacing w:after="0" w:line="11" w:lineRule="exact"/>
        <w:rPr>
          <w:sz w:val="20"/>
          <w:szCs w:val="20"/>
          <w:color w:val="auto"/>
        </w:rPr>
      </w:pPr>
    </w:p>
    <w:p>
      <w:pPr>
        <w:ind w:right="120" w:firstLine="464"/>
        <w:spacing w:after="0" w:line="246" w:lineRule="auto"/>
        <w:rPr>
          <w:sz w:val="20"/>
          <w:szCs w:val="20"/>
          <w:color w:val="auto"/>
        </w:rPr>
      </w:pPr>
      <w:r>
        <w:rPr>
          <w:rFonts w:ascii="Arial" w:cs="Arial" w:eastAsia="Arial" w:hAnsi="Arial"/>
          <w:sz w:val="17"/>
          <w:szCs w:val="17"/>
          <w:color w:val="auto"/>
        </w:rPr>
        <w:t>We rely on Oaktree’s financial, accounting, communications and other information technology systems. If these systems do not operate properly, are disabled or are compromised, we could suffer financial loss, a disruption of our business, regulatory intervention or reputational damage. Oaktree’s information technology and communications systems are vulnerable to damage or disruption from fire, power loss, telecommunications failure, system malfunctions, natural disasters such as hurricanes, earthquakes and floods, acts of war or terrorism, employee errors or malfeasance, computer viruses, cyberattacks, or other events which are beyond our or Oaktree’s control.</w:t>
      </w:r>
    </w:p>
    <w:p>
      <w:pPr>
        <w:spacing w:after="0" w:line="133" w:lineRule="exact"/>
        <w:rPr>
          <w:sz w:val="20"/>
          <w:szCs w:val="20"/>
          <w:color w:val="auto"/>
        </w:rPr>
      </w:pPr>
    </w:p>
    <w:p>
      <w:pPr>
        <w:ind w:right="40" w:firstLine="464"/>
        <w:spacing w:after="0" w:line="262" w:lineRule="auto"/>
        <w:rPr>
          <w:sz w:val="20"/>
          <w:szCs w:val="20"/>
          <w:color w:val="auto"/>
        </w:rPr>
      </w:pPr>
      <w:r>
        <w:rPr>
          <w:rFonts w:ascii="Arial" w:cs="Arial" w:eastAsia="Arial" w:hAnsi="Arial"/>
          <w:sz w:val="17"/>
          <w:szCs w:val="17"/>
          <w:color w:val="auto"/>
        </w:rPr>
        <w:t>We depend on Oaktree’s headquarters in Los Angeles, where a substantial portion of Oaktree’s personnel are located, for the continued operation of our business. An earthquake, fire or other disaster or a disruption in the infrastructure that supports our business, including a disruption involving electronic communications or other services used by Oaktree or third parties with whom we conduct business, or directly affecting Oaktree’s headquarters, could have a material adverse impact on our ability to continue to operate our business without interruption. Insurance and other safeguards might only partially reimburse us for certain losses, if at all.</w:t>
      </w:r>
    </w:p>
    <w:p>
      <w:pPr>
        <w:spacing w:after="0" w:line="119" w:lineRule="exact"/>
        <w:rPr>
          <w:sz w:val="20"/>
          <w:szCs w:val="20"/>
          <w:color w:val="auto"/>
        </w:rPr>
      </w:pPr>
    </w:p>
    <w:p>
      <w:pPr>
        <w:ind w:right="140" w:firstLine="464"/>
        <w:spacing w:after="0" w:line="257" w:lineRule="auto"/>
        <w:rPr>
          <w:sz w:val="20"/>
          <w:szCs w:val="20"/>
          <w:color w:val="auto"/>
        </w:rPr>
      </w:pPr>
      <w:r>
        <w:rPr>
          <w:rFonts w:ascii="Arial" w:cs="Arial" w:eastAsia="Arial" w:hAnsi="Arial"/>
          <w:sz w:val="17"/>
          <w:szCs w:val="17"/>
          <w:color w:val="auto"/>
        </w:rPr>
        <w:t>In addition, we rely on unaffiliated third party service providers for certain other aspects of our business, including software vendors for portfolio management and accounting software, outside financial institutions for back office processing and custody of securities and third party broker dealers for the execution of trades. An interruption or deterioration in the performance of these third parties or failures of their information systems and technology, over which we have no control, could cause system interruption, delays, loss, corruption or exposure of critical data or intellectual property and impair the quality of the funds’ operations, which could impact our reputation and hence adversely affect our business. These risks could increase as vendors increasingly offer cloud-based software services rather than software services that can be operated within our own data centers. Oaktree’s portfolio companies also rely on data processing systems and the secure processing, storage and transmission of information, including payment and health information. A disruption or compromise of these systems could have a material adverse effect on the value of these businesses. Such an event may have adverse consequences on our investments or assets of the same type, or may require Oaktree’s portfolio companies to increase preventative security measures or expand insurance coverage.</w:t>
      </w:r>
    </w:p>
    <w:p>
      <w:pPr>
        <w:spacing w:after="0" w:line="6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Any such interruption or deterioration in Oaktree’s operations could result in substantial recovery and remediation costs and liability to</w:t>
      </w:r>
    </w:p>
    <w:p>
      <w:pPr>
        <w:spacing w:after="0" w:line="14" w:lineRule="exact"/>
        <w:rPr>
          <w:sz w:val="20"/>
          <w:szCs w:val="20"/>
          <w:color w:val="auto"/>
        </w:rPr>
      </w:pPr>
    </w:p>
    <w:p>
      <w:pPr>
        <w:ind w:right="100"/>
        <w:spacing w:after="0" w:line="229" w:lineRule="auto"/>
        <w:rPr>
          <w:sz w:val="20"/>
          <w:szCs w:val="20"/>
          <w:color w:val="auto"/>
        </w:rPr>
      </w:pPr>
      <w:r>
        <w:rPr>
          <w:rFonts w:ascii="Arial" w:cs="Arial" w:eastAsia="Arial" w:hAnsi="Arial"/>
          <w:sz w:val="17"/>
          <w:szCs w:val="17"/>
          <w:color w:val="auto"/>
        </w:rPr>
        <w:t>Oaktree’s clients, business partners and other third parties. While Oaktree has implemented disaster recovery plans, business continuity plans and backup systems designed to lessen the risk of any material adverse impact, such disaster recovery planning may not be sufficient to mitigate the</w:t>
      </w:r>
    </w:p>
    <w:p>
      <w:pPr>
        <w:spacing w:after="0" w:line="1" w:lineRule="exact"/>
        <w:rPr>
          <w:sz w:val="20"/>
          <w:szCs w:val="20"/>
          <w:color w:val="auto"/>
        </w:rPr>
      </w:pPr>
    </w:p>
    <w:p>
      <w:pPr>
        <w:jc w:val="both"/>
        <w:ind w:right="20"/>
        <w:spacing w:after="0" w:line="246" w:lineRule="auto"/>
        <w:rPr>
          <w:sz w:val="20"/>
          <w:szCs w:val="20"/>
          <w:color w:val="auto"/>
        </w:rPr>
      </w:pPr>
      <w:r>
        <w:rPr>
          <w:rFonts w:ascii="Arial" w:cs="Arial" w:eastAsia="Arial" w:hAnsi="Arial"/>
          <w:sz w:val="17"/>
          <w:szCs w:val="17"/>
          <w:color w:val="auto"/>
        </w:rPr>
        <w:t>harm and cannot account for all eventualities, and a catastrophic event that results in the destruction or disruption of any of Oaktree’s or our data or critical business or information technology systems could severely affect Oaktree’s or our ability to conduct business operations, and as a result, our future operating results could be materially adversely affected.</w:t>
      </w:r>
    </w:p>
    <w:p>
      <w:pPr>
        <w:spacing w:after="0" w:line="13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Oaktree is subject to substantial litigation risks and may face significant liabilities and damage to its professional reputation as a result.</w:t>
      </w:r>
    </w:p>
    <w:p>
      <w:pPr>
        <w:spacing w:after="0" w:line="165" w:lineRule="exact"/>
        <w:rPr>
          <w:sz w:val="20"/>
          <w:szCs w:val="20"/>
          <w:color w:val="auto"/>
        </w:rPr>
      </w:pPr>
    </w:p>
    <w:p>
      <w:pPr>
        <w:ind w:right="60" w:firstLine="464"/>
        <w:spacing w:after="0" w:line="262" w:lineRule="auto"/>
        <w:rPr>
          <w:sz w:val="20"/>
          <w:szCs w:val="20"/>
          <w:color w:val="auto"/>
        </w:rPr>
      </w:pPr>
      <w:r>
        <w:rPr>
          <w:rFonts w:ascii="Arial" w:cs="Arial" w:eastAsia="Arial" w:hAnsi="Arial"/>
          <w:sz w:val="17"/>
          <w:szCs w:val="17"/>
          <w:color w:val="auto"/>
        </w:rPr>
        <w:t>Oaktree makes investment decisions on behalf of its clients that could result in substantial losses. This may subject Oaktree to the risk of legal liabilities or actions alleging negligence, breach of fiduciary duty, breach of contract or other causes of action. Heightened standards of care or additional fiduciary duties may apply in certain of Oaktree’s managed accounts or other advisory contracts. To the extent Oaktree enters into agreements with clients containing such terms or applicable law mandates a heightened standard of care or duties, Oaktree could, for example, be liable to certain clients for acts of simple negligence or breach of such duties.</w:t>
      </w:r>
    </w:p>
    <w:p>
      <w:pPr>
        <w:spacing w:after="0" w:line="119" w:lineRule="exact"/>
        <w:rPr>
          <w:sz w:val="20"/>
          <w:szCs w:val="20"/>
          <w:color w:val="auto"/>
        </w:rPr>
      </w:pPr>
    </w:p>
    <w:p>
      <w:pPr>
        <w:ind w:firstLine="464"/>
        <w:spacing w:after="0" w:line="257" w:lineRule="auto"/>
        <w:rPr>
          <w:sz w:val="20"/>
          <w:szCs w:val="20"/>
          <w:color w:val="auto"/>
        </w:rPr>
      </w:pPr>
      <w:r>
        <w:rPr>
          <w:rFonts w:ascii="Arial" w:cs="Arial" w:eastAsia="Arial" w:hAnsi="Arial"/>
          <w:sz w:val="17"/>
          <w:szCs w:val="17"/>
          <w:color w:val="auto"/>
        </w:rPr>
        <w:t>Further, Oaktree may be subject to litigation arising from investor dissatisfaction with the performance of Oaktree’s funds or from third-party allegations that Oaktree improperly exercised control or influence over portfolio investments or that Oaktree is liable for actions or inactions taken by portfolio companies that such third parties argue Oaktree controls. In addition, Oaktree and its affiliates that are the investment managers and general partners of Oaktree’s funds, Oaktree’s funds themselves and those individuals who are Oaktree’s affiliates’ or the funds’ officers and directors are each exposed to the risks of litigation specific to the funds’ investment activities and portfolio companies and, in cases where Oaktree’s funds own controlling interests in public companies, to the risk of shareholder litigation by the public companies’ other shareholders. Moreover, Oaktree is exposed to risks of litigation or investigation by investors and regulators relating to Oaktree having engaged, or Oaktree’s funds having engaged, in transactions that presented conflicts of interest that were not properly addressed. Please see also “—Extensive regulation in the United States and abroad affects Oaktree’s activities and creates the potential for significant liabilities and penalties that could adversely affect our business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32" w:name="page33"/>
    <w:bookmarkEnd w:id="32"/>
    <w:p>
      <w:pPr>
        <w:ind w:right="200" w:firstLine="464"/>
        <w:spacing w:after="0" w:line="244" w:lineRule="auto"/>
        <w:rPr>
          <w:sz w:val="20"/>
          <w:szCs w:val="20"/>
          <w:color w:val="auto"/>
        </w:rPr>
      </w:pPr>
      <w:r>
        <w:rPr>
          <w:rFonts w:ascii="Arial" w:cs="Arial" w:eastAsia="Arial" w:hAnsi="Arial"/>
          <w:sz w:val="17"/>
          <w:szCs w:val="17"/>
          <w:color w:val="auto"/>
        </w:rPr>
        <w:t>Substantial legal liability of Oaktree could materially adversely affect our business, financial condition or results of operations or cause significant reputational harm to Oaktree, which could seriously harm our business. The Oaktree funds in which we directly and indirectly invest depend on Oaktree’s business relationships and reputation for integrity and high-caliber professional services. As a result, allegations of improper conduct asserted by private litigants or regulators, regardless of whether the ultimate outcome is favorable or unfavorable to Oaktree, as well as negative publicity and press speculation about Oaktree, its investment activities or the investment industry in general, whether or not valid, may harm Oaktree’s reputation, which may be more damaging to our business than to other types of businesses.</w:t>
      </w:r>
    </w:p>
    <w:p>
      <w:pPr>
        <w:spacing w:after="0" w:line="135" w:lineRule="exact"/>
        <w:rPr>
          <w:sz w:val="20"/>
          <w:szCs w:val="20"/>
          <w:color w:val="auto"/>
        </w:rPr>
      </w:pPr>
    </w:p>
    <w:p>
      <w:pPr>
        <w:ind w:right="40"/>
        <w:spacing w:after="0" w:line="277" w:lineRule="auto"/>
        <w:rPr>
          <w:sz w:val="20"/>
          <w:szCs w:val="20"/>
          <w:color w:val="auto"/>
        </w:rPr>
      </w:pPr>
      <w:r>
        <w:rPr>
          <w:rFonts w:ascii="Arial" w:cs="Arial" w:eastAsia="Arial" w:hAnsi="Arial"/>
          <w:sz w:val="17"/>
          <w:szCs w:val="17"/>
          <w:b w:val="1"/>
          <w:bCs w:val="1"/>
          <w:i w:val="1"/>
          <w:iCs w:val="1"/>
          <w:color w:val="auto"/>
        </w:rPr>
        <w:t>Oaktree employee misconduct, which is difficult to detect and deter, could subject Oaktree to significant regulatory sanctions and reputational harm. Fraud and other deceptive practices or other misconduct at the portfolio companies of Oaktree’s funds could similarly subject Oaktree or us to liability and reputational damage and also harm our performance.</w:t>
      </w:r>
    </w:p>
    <w:p>
      <w:pPr>
        <w:spacing w:after="0" w:line="97" w:lineRule="exact"/>
        <w:rPr>
          <w:sz w:val="20"/>
          <w:szCs w:val="20"/>
          <w:color w:val="auto"/>
        </w:rPr>
      </w:pPr>
    </w:p>
    <w:p>
      <w:pPr>
        <w:ind w:right="60" w:firstLine="464"/>
        <w:spacing w:after="0" w:line="257" w:lineRule="auto"/>
        <w:rPr>
          <w:sz w:val="20"/>
          <w:szCs w:val="20"/>
          <w:color w:val="auto"/>
        </w:rPr>
      </w:pPr>
      <w:r>
        <w:rPr>
          <w:rFonts w:ascii="Arial" w:cs="Arial" w:eastAsia="Arial" w:hAnsi="Arial"/>
          <w:sz w:val="17"/>
          <w:szCs w:val="17"/>
          <w:color w:val="auto"/>
        </w:rPr>
        <w:t>There have been a number of highly publicized cases involving fraud or other misconduct by individuals in the financial services industry, and there is a risk that Oaktree employees could engage in misconduct that adversely affects our business. Oaktree is subject to a number of obligations and standards arising from its investment management business and the authority over the assets Oaktree manages. The violation of any of these obligations or standards by any of Oaktree’s employees or advisors could adversely affect Oaktree clients and us. Oaktree’s business often requires that Oaktree deal with confidential matters of great significance to companies in which Oaktree’s funds may invest or to Oaktree clients. If Oaktree employees improperly use or disclose confidential information, Oaktree could be subject to regulatory sanctions and suffer serious harm to its reputation, financial position and current and future business relationships. It is not always possible to deter employee misconduct, and the precautions Oaktree takes to prevent this activity may not be effective in all cases. If Oaktree employees engage in misconduct, or if they are accused of misconduct, its business and reputation could be adversely affected, which may cause adverse effects on our business.</w:t>
      </w:r>
    </w:p>
    <w:p>
      <w:pPr>
        <w:spacing w:after="0" w:line="334" w:lineRule="exact"/>
        <w:rPr>
          <w:sz w:val="20"/>
          <w:szCs w:val="20"/>
          <w:color w:val="auto"/>
        </w:rPr>
      </w:pPr>
    </w:p>
    <w:p>
      <w:pPr>
        <w:ind w:firstLine="464"/>
        <w:spacing w:after="0" w:line="255" w:lineRule="auto"/>
        <w:rPr>
          <w:sz w:val="20"/>
          <w:szCs w:val="20"/>
          <w:color w:val="auto"/>
        </w:rPr>
      </w:pPr>
      <w:r>
        <w:rPr>
          <w:rFonts w:ascii="Arial" w:cs="Arial" w:eastAsia="Arial" w:hAnsi="Arial"/>
          <w:sz w:val="17"/>
          <w:szCs w:val="17"/>
          <w:color w:val="auto"/>
        </w:rPr>
        <w:t>Any determination that Oaktree personnel have violated the Foreign Corrupt Practices Act (the “FCPA”), UK anti-bribery laws or other applicable anti-corruption laws could subject Oaktree to, among other things, civil and criminal penalties, material fines, profit disgorgement, injunctions on future conduct, securities litigation and a general loss of investor confidence, any one of which could adversely affect our reputation, business, financial condition or results of operations. Although the current U.S. Presidential administration has signed an executive order to pause, subject to certain exceptions, the initiation of new investigations and enforcement actions under the FCPA, such laws have attracted significant regulatory focus in recent years, including outside of the United States. For example, the SEC will be responsible for examining investment advisers’ compliance with a U.S. Department of Treasury’s Financial Crimes Enforcement Network (“FinCEN”) rule currently scheduled to go into effect January 2026, that requires registered investment adviser and exempt reporting advisers to, among other measures, adopt an anti-money laundering and countering the financing of terrorism (“AML/CFT”) program, file certain reports with FinCEN and to maintain records related to such activities. The application of these rules would impose significant compliance costs on us. The EU and the U.K. are similarly revising their respective anti-money laundering regimes. The EU’s revised anti-money laundering regime is expected to come into effect as early as June 2026 and the U.K. has also significantly expanded the reach of its anti-bribery laws. While Oaktree has policies and procedures designed to ensure compliance by its personnel with the FCPA, such policies and procedures may not be effective in all instances to prevent violations. In addition, in light of the executive order to pause initiation of new FCPA investigations and enforcement actions in the U.S., other asset managers, particularly those who, unlike Oaktree, are not subject to the anti-corruption laws of a jurisdiction outside of the United States, may implement changes to their FCPA or anti-money laundering policies that would provide such managers access to investment opportunities that may not be available to Oaktree because of its current policies and procedures.</w:t>
      </w:r>
    </w:p>
    <w:p>
      <w:pPr>
        <w:spacing w:after="0" w:line="131" w:lineRule="exact"/>
        <w:rPr>
          <w:sz w:val="20"/>
          <w:szCs w:val="20"/>
          <w:color w:val="auto"/>
        </w:rPr>
      </w:pPr>
    </w:p>
    <w:p>
      <w:pPr>
        <w:ind w:right="40" w:firstLine="464"/>
        <w:spacing w:after="0" w:line="260" w:lineRule="auto"/>
        <w:rPr>
          <w:sz w:val="20"/>
          <w:szCs w:val="20"/>
          <w:color w:val="auto"/>
        </w:rPr>
      </w:pPr>
      <w:r>
        <w:rPr>
          <w:rFonts w:ascii="Arial" w:cs="Arial" w:eastAsia="Arial" w:hAnsi="Arial"/>
          <w:sz w:val="17"/>
          <w:szCs w:val="17"/>
          <w:color w:val="auto"/>
        </w:rPr>
        <w:t>In addition, we may also be adversely affected if there is misconduct by personnel of portfolio companies in which Oaktree’s funds invest. For example, financial fraud or other deceptive practices at such portfolio companies, or failures by personnel at such portfolio companies to comply with anti-bribery, trade sanctions or other legal and regulatory requirements could adversely affect our business and reputation. Such misconduct might undermine our due diligence efforts with respect to such companies and could negatively affect the valuation of Oaktree’s funds’ investments. In addition, we may face increased risk of such misconduct to the extent Oaktree’s funds’ investment in markets outside the United States, particularly emerging markets, increases.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45" w:right="339" w:bottom="1440" w:gutter="0" w:footer="0" w:header="0"/>
        </w:sectPr>
      </w:pPr>
    </w:p>
    <w:bookmarkStart w:id="33" w:name="page34"/>
    <w:bookmarkEnd w:id="33"/>
    <w:p>
      <w:pPr>
        <w:spacing w:after="0"/>
        <w:rPr>
          <w:sz w:val="20"/>
          <w:szCs w:val="20"/>
          <w:color w:val="auto"/>
        </w:rPr>
      </w:pPr>
      <w:r>
        <w:rPr>
          <w:rFonts w:ascii="Arial" w:cs="Arial" w:eastAsia="Arial" w:hAnsi="Arial"/>
          <w:sz w:val="17"/>
          <w:szCs w:val="17"/>
          <w:b w:val="1"/>
          <w:bCs w:val="1"/>
          <w:color w:val="auto"/>
        </w:rPr>
        <w:t>Risks Relating to Oaktree’s Funds</w:t>
      </w:r>
    </w:p>
    <w:p>
      <w:pPr>
        <w:spacing w:after="0" w:line="169" w:lineRule="exact"/>
        <w:rPr>
          <w:sz w:val="20"/>
          <w:szCs w:val="20"/>
          <w:color w:val="auto"/>
        </w:rPr>
      </w:pPr>
    </w:p>
    <w:p>
      <w:pPr>
        <w:jc w:val="both"/>
        <w:ind w:right="80" w:firstLine="464"/>
        <w:spacing w:after="0" w:line="270" w:lineRule="auto"/>
        <w:rPr>
          <w:sz w:val="20"/>
          <w:szCs w:val="20"/>
          <w:color w:val="auto"/>
        </w:rPr>
      </w:pPr>
      <w:r>
        <w:rPr>
          <w:rFonts w:ascii="Arial" w:cs="Arial" w:eastAsia="Arial" w:hAnsi="Arial"/>
          <w:sz w:val="17"/>
          <w:szCs w:val="17"/>
          <w:i w:val="1"/>
          <w:iCs w:val="1"/>
          <w:color w:val="auto"/>
        </w:rPr>
        <w:t>Our results of operations are dependent on the performance of Oaktree’s funds. Poor fund performance will result in reduced revenues. Poor performance of Oaktree’s funds will also make it difficult for Oaktree to retain and attract investors to Oaktree’s funds, to retain and attract qualified professionals and to grow Oaktree’s business. The performance of each fund Oaktree manages is subject to some or all of the following risks.</w:t>
      </w:r>
    </w:p>
    <w:p>
      <w:pPr>
        <w:spacing w:after="0" w:line="112" w:lineRule="exact"/>
        <w:rPr>
          <w:sz w:val="20"/>
          <w:szCs w:val="20"/>
          <w:color w:val="auto"/>
        </w:rPr>
      </w:pPr>
    </w:p>
    <w:p>
      <w:pPr>
        <w:spacing w:after="0" w:line="302" w:lineRule="auto"/>
        <w:rPr>
          <w:sz w:val="20"/>
          <w:szCs w:val="20"/>
          <w:color w:val="auto"/>
        </w:rPr>
      </w:pPr>
      <w:r>
        <w:rPr>
          <w:rFonts w:ascii="Arial" w:cs="Arial" w:eastAsia="Arial" w:hAnsi="Arial"/>
          <w:sz w:val="17"/>
          <w:szCs w:val="17"/>
          <w:b w:val="1"/>
          <w:bCs w:val="1"/>
          <w:i w:val="1"/>
          <w:iCs w:val="1"/>
          <w:color w:val="auto"/>
        </w:rPr>
        <w:t>The historical returns attributable to Oaktree’s funds should not be considered indicative of the future results of Oaktree’s funds or of our future results or of any returns expected on an investment in our preferred units.</w:t>
      </w:r>
    </w:p>
    <w:p>
      <w:pPr>
        <w:spacing w:after="0" w:line="75" w:lineRule="exact"/>
        <w:rPr>
          <w:sz w:val="20"/>
          <w:szCs w:val="20"/>
          <w:color w:val="auto"/>
        </w:rPr>
      </w:pPr>
    </w:p>
    <w:p>
      <w:pPr>
        <w:ind w:right="560" w:firstLine="464"/>
        <w:spacing w:after="0" w:line="271" w:lineRule="auto"/>
        <w:rPr>
          <w:sz w:val="20"/>
          <w:szCs w:val="20"/>
          <w:color w:val="auto"/>
        </w:rPr>
      </w:pPr>
      <w:r>
        <w:rPr>
          <w:rFonts w:ascii="Arial" w:cs="Arial" w:eastAsia="Arial" w:hAnsi="Arial"/>
          <w:sz w:val="17"/>
          <w:szCs w:val="17"/>
          <w:color w:val="auto"/>
        </w:rPr>
        <w:t>The historical returns attributable to Oaktree’s funds should not be considered indicative of the future results of Oaktree’s funds. Poor performance of the funds Oaktree manages will cause a decline in our revenues and would therefore have a negative effect on our operating results.</w:t>
      </w:r>
    </w:p>
    <w:p>
      <w:pPr>
        <w:spacing w:after="0" w:line="11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Moreover, with respect to the historical returns of Oaktree’s funds:</w:t>
      </w:r>
    </w:p>
    <w:p>
      <w:pPr>
        <w:spacing w:after="0" w:line="165" w:lineRule="exact"/>
        <w:rPr>
          <w:sz w:val="20"/>
          <w:szCs w:val="20"/>
          <w:color w:val="auto"/>
        </w:rPr>
      </w:pPr>
    </w:p>
    <w:p>
      <w:pPr>
        <w:ind w:left="620" w:right="200" w:hanging="307"/>
        <w:spacing w:after="0" w:line="271" w:lineRule="auto"/>
        <w:tabs>
          <w:tab w:leader="none" w:pos="616" w:val="left"/>
        </w:tabs>
        <w:numPr>
          <w:ilvl w:val="0"/>
          <w:numId w:val="17"/>
        </w:numPr>
        <w:rPr>
          <w:rFonts w:ascii="Arial" w:cs="Arial" w:eastAsia="Arial" w:hAnsi="Arial"/>
          <w:sz w:val="17"/>
          <w:szCs w:val="17"/>
          <w:color w:val="auto"/>
        </w:rPr>
      </w:pPr>
      <w:r>
        <w:rPr>
          <w:rFonts w:ascii="Arial" w:cs="Arial" w:eastAsia="Arial" w:hAnsi="Arial"/>
          <w:sz w:val="17"/>
          <w:szCs w:val="17"/>
          <w:color w:val="auto"/>
        </w:rPr>
        <w:t>we may create new funds in the future that reflect a different asset mix and different investment strategies, as well as a varied geographic and industry exposure as compared to Oaktree’s present funds, and any such new funds could have different returns from Oaktree’s existing or previous funds;</w:t>
      </w:r>
    </w:p>
    <w:p>
      <w:pPr>
        <w:spacing w:after="0" w:line="111" w:lineRule="exact"/>
        <w:rPr>
          <w:rFonts w:ascii="Arial" w:cs="Arial" w:eastAsia="Arial" w:hAnsi="Arial"/>
          <w:sz w:val="17"/>
          <w:szCs w:val="17"/>
          <w:color w:val="auto"/>
        </w:rPr>
      </w:pPr>
    </w:p>
    <w:p>
      <w:pPr>
        <w:ind w:left="620" w:right="200" w:hanging="307"/>
        <w:spacing w:after="0" w:line="271" w:lineRule="auto"/>
        <w:tabs>
          <w:tab w:leader="none" w:pos="616" w:val="left"/>
        </w:tabs>
        <w:numPr>
          <w:ilvl w:val="0"/>
          <w:numId w:val="17"/>
        </w:numPr>
        <w:rPr>
          <w:rFonts w:ascii="Arial" w:cs="Arial" w:eastAsia="Arial" w:hAnsi="Arial"/>
          <w:sz w:val="17"/>
          <w:szCs w:val="17"/>
          <w:color w:val="auto"/>
        </w:rPr>
      </w:pPr>
      <w:r>
        <w:rPr>
          <w:rFonts w:ascii="Arial" w:cs="Arial" w:eastAsia="Arial" w:hAnsi="Arial"/>
          <w:sz w:val="17"/>
          <w:szCs w:val="17"/>
          <w:color w:val="auto"/>
        </w:rPr>
        <w:t>Oaktree’s funds’ returns have previously benefited from investment opportunities and general market conditions that may not repeat themselves, and there can be no assurance that Oaktree’s current or future funds will be able to avail themselves of profitable investment opportunities;</w:t>
      </w:r>
    </w:p>
    <w:p>
      <w:pPr>
        <w:spacing w:after="0" w:line="59" w:lineRule="exact"/>
        <w:rPr>
          <w:rFonts w:ascii="Arial" w:cs="Arial" w:eastAsia="Arial" w:hAnsi="Arial"/>
          <w:sz w:val="17"/>
          <w:szCs w:val="17"/>
          <w:color w:val="auto"/>
        </w:rPr>
      </w:pPr>
    </w:p>
    <w:p>
      <w:pPr>
        <w:ind w:left="620" w:right="480" w:hanging="307"/>
        <w:spacing w:after="0" w:line="271" w:lineRule="auto"/>
        <w:tabs>
          <w:tab w:leader="none" w:pos="616" w:val="left"/>
        </w:tabs>
        <w:numPr>
          <w:ilvl w:val="0"/>
          <w:numId w:val="17"/>
        </w:numPr>
        <w:rPr>
          <w:rFonts w:ascii="Arial" w:cs="Arial" w:eastAsia="Arial" w:hAnsi="Arial"/>
          <w:sz w:val="17"/>
          <w:szCs w:val="17"/>
          <w:color w:val="auto"/>
        </w:rPr>
      </w:pPr>
      <w:r>
        <w:rPr>
          <w:rFonts w:ascii="Arial" w:cs="Arial" w:eastAsia="Arial" w:hAnsi="Arial"/>
          <w:sz w:val="17"/>
          <w:szCs w:val="17"/>
          <w:color w:val="auto"/>
        </w:rPr>
        <w:t>many of Oaktree’s funds’ historical investments were made over a long period of time and over the course of various market and macroeconomic cycles, and the circumstances under which Oaktree’s current or future funds may make future investments may differ significantly from those conditions prevailing in the past;</w:t>
      </w:r>
    </w:p>
    <w:p>
      <w:pPr>
        <w:spacing w:after="0" w:line="59" w:lineRule="exact"/>
        <w:rPr>
          <w:rFonts w:ascii="Arial" w:cs="Arial" w:eastAsia="Arial" w:hAnsi="Arial"/>
          <w:sz w:val="17"/>
          <w:szCs w:val="17"/>
          <w:color w:val="auto"/>
        </w:rPr>
      </w:pPr>
    </w:p>
    <w:p>
      <w:pPr>
        <w:ind w:left="620" w:hanging="307"/>
        <w:spacing w:after="0"/>
        <w:tabs>
          <w:tab w:leader="none" w:pos="6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newly established funds may generate lower returns during the period in which they initially deploy their capital;</w:t>
      </w:r>
    </w:p>
    <w:p>
      <w:pPr>
        <w:spacing w:after="0" w:line="113" w:lineRule="exact"/>
        <w:rPr>
          <w:rFonts w:ascii="Arial" w:cs="Arial" w:eastAsia="Arial" w:hAnsi="Arial"/>
          <w:sz w:val="17"/>
          <w:szCs w:val="17"/>
          <w:color w:val="auto"/>
        </w:rPr>
      </w:pPr>
    </w:p>
    <w:p>
      <w:pPr>
        <w:ind w:left="620" w:right="480" w:hanging="307"/>
        <w:spacing w:after="0" w:line="290" w:lineRule="auto"/>
        <w:tabs>
          <w:tab w:leader="none" w:pos="616" w:val="left"/>
        </w:tabs>
        <w:numPr>
          <w:ilvl w:val="0"/>
          <w:numId w:val="17"/>
        </w:numPr>
        <w:rPr>
          <w:rFonts w:ascii="Arial" w:cs="Arial" w:eastAsia="Arial" w:hAnsi="Arial"/>
          <w:sz w:val="17"/>
          <w:szCs w:val="17"/>
          <w:color w:val="auto"/>
        </w:rPr>
      </w:pPr>
      <w:r>
        <w:rPr>
          <w:rFonts w:ascii="Arial" w:cs="Arial" w:eastAsia="Arial" w:hAnsi="Arial"/>
          <w:sz w:val="17"/>
          <w:szCs w:val="17"/>
          <w:color w:val="auto"/>
        </w:rPr>
        <w:t>Oaktree’s funds may not be able to successfully identify, make and realize upon any particular investment or generate returns for their investors; and</w:t>
      </w:r>
    </w:p>
    <w:p>
      <w:pPr>
        <w:spacing w:after="0" w:line="43" w:lineRule="exact"/>
        <w:rPr>
          <w:rFonts w:ascii="Arial" w:cs="Arial" w:eastAsia="Arial" w:hAnsi="Arial"/>
          <w:sz w:val="17"/>
          <w:szCs w:val="17"/>
          <w:color w:val="auto"/>
        </w:rPr>
      </w:pPr>
    </w:p>
    <w:p>
      <w:pPr>
        <w:ind w:left="620" w:hanging="307"/>
        <w:spacing w:after="0"/>
        <w:tabs>
          <w:tab w:leader="none" w:pos="6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any material increase or decrease in the size of Oaktree’s funds could result in materially different rates of returns.</w:t>
      </w:r>
    </w:p>
    <w:p>
      <w:pPr>
        <w:spacing w:after="0" w:line="101" w:lineRule="exact"/>
        <w:rPr>
          <w:sz w:val="20"/>
          <w:szCs w:val="20"/>
          <w:color w:val="auto"/>
        </w:rPr>
      </w:pPr>
    </w:p>
    <w:p>
      <w:pPr>
        <w:ind w:right="80" w:firstLine="464"/>
        <w:spacing w:after="0" w:line="244" w:lineRule="auto"/>
        <w:rPr>
          <w:sz w:val="20"/>
          <w:szCs w:val="20"/>
          <w:color w:val="auto"/>
        </w:rPr>
      </w:pPr>
      <w:r>
        <w:rPr>
          <w:rFonts w:ascii="Arial" w:cs="Arial" w:eastAsia="Arial" w:hAnsi="Arial"/>
          <w:sz w:val="17"/>
          <w:szCs w:val="17"/>
          <w:color w:val="auto"/>
        </w:rPr>
        <w:t>The future internal rate of return for any current or future fund may vary considerably from the historical internal rate of return generated by any particular fund, or for Oaktree’s funds as a whole. In addition, future returns will be affected by the applicable risks described elsewhere in this annual report, including risks of the industries and businesses in which a particular fund invests. Moreover, the Company’s investment income earned from the Company’s equity method investment in Oaktree Capital I generally reflects only one-third of the incentive income attributable to Oaktree Capital I in respect of Oaktree’s closed-end funds established in 2022 or later and in respect of incentive income from Oaktree’s evergreen funds earned subsequent to January 1, 2023.</w:t>
      </w:r>
    </w:p>
    <w:p>
      <w:pPr>
        <w:spacing w:after="0" w:line="8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Certain of Oaktree’s funds make investments in distressed businesses that involve significant risks and potential additional liabilities.</w:t>
      </w:r>
    </w:p>
    <w:p>
      <w:pPr>
        <w:spacing w:after="0" w:line="165" w:lineRule="exact"/>
        <w:rPr>
          <w:sz w:val="20"/>
          <w:szCs w:val="20"/>
          <w:color w:val="auto"/>
        </w:rPr>
      </w:pPr>
    </w:p>
    <w:p>
      <w:pPr>
        <w:ind w:right="60" w:firstLine="464"/>
        <w:spacing w:after="0" w:line="258" w:lineRule="auto"/>
        <w:rPr>
          <w:sz w:val="20"/>
          <w:szCs w:val="20"/>
          <w:color w:val="auto"/>
        </w:rPr>
      </w:pPr>
      <w:r>
        <w:rPr>
          <w:rFonts w:ascii="Arial" w:cs="Arial" w:eastAsia="Arial" w:hAnsi="Arial"/>
          <w:sz w:val="17"/>
          <w:szCs w:val="17"/>
          <w:color w:val="auto"/>
        </w:rPr>
        <w:t>Certain of Oaktree’s funds invest in obligors and issuers with weak financial conditions, poor operating results, substantial financing needs, negative net worth or significant competitive issues and/or securities that are illiquid, distressed or have other high-risk features. These funds also invest in obligors and issuers that are involved in bankruptcy or reorganization proceedings. In these situations, it may be difficult to obtain full information as to the exact financial and operating conditions of these obligors and issuers. Furthermore, some of Oaktree’s funds’ distressed debt investments may not be widely traded or may have no recognized market. Depending on the specific fund’s investment profile, a fund’s exposure to the investments may be substantial in relation to the market for those investments, and the acquired assets are likely to be illiquid and difficult to transfer. As a result, it may take a number of years for the market value of the investments to ultimately reflect their intrinsic value as Oaktree perceives it.</w:t>
      </w:r>
    </w:p>
    <w:p>
      <w:pPr>
        <w:spacing w:after="0" w:line="124" w:lineRule="exact"/>
        <w:rPr>
          <w:sz w:val="20"/>
          <w:szCs w:val="20"/>
          <w:color w:val="auto"/>
        </w:rPr>
      </w:pPr>
    </w:p>
    <w:p>
      <w:pPr>
        <w:ind w:right="360" w:firstLine="464"/>
        <w:spacing w:after="0" w:line="290" w:lineRule="auto"/>
        <w:rPr>
          <w:sz w:val="20"/>
          <w:szCs w:val="20"/>
          <w:color w:val="auto"/>
        </w:rPr>
      </w:pPr>
      <w:r>
        <w:rPr>
          <w:rFonts w:ascii="Arial" w:cs="Arial" w:eastAsia="Arial" w:hAnsi="Arial"/>
          <w:sz w:val="17"/>
          <w:szCs w:val="17"/>
          <w:color w:val="auto"/>
        </w:rPr>
        <w:t>A central strategy of Oaktree’s opportunistic credit funds, for example, is to anticipate the occurrence of certain corporate events, such as debt or equity offerings, restructurings, reorganizations, mergers, takeover offers</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10" w:right="339" w:bottom="1440" w:gutter="0" w:footer="0" w:header="0"/>
        </w:sectPr>
      </w:pPr>
    </w:p>
    <w:bookmarkStart w:id="34" w:name="page35"/>
    <w:bookmarkEnd w:id="34"/>
    <w:p>
      <w:pPr>
        <w:ind w:right="80"/>
        <w:spacing w:after="0" w:line="290" w:lineRule="auto"/>
        <w:rPr>
          <w:sz w:val="20"/>
          <w:szCs w:val="20"/>
          <w:color w:val="auto"/>
        </w:rPr>
      </w:pPr>
      <w:r>
        <w:rPr>
          <w:rFonts w:ascii="Arial" w:cs="Arial" w:eastAsia="Arial" w:hAnsi="Arial"/>
          <w:sz w:val="17"/>
          <w:szCs w:val="17"/>
          <w:color w:val="auto"/>
        </w:rPr>
        <w:t>and other transactions. If the relevant corporate event that Oaktree anticipates is delayed, changed or never completed, the market price and value of the applicable fund’s investment could decline sharply.</w:t>
      </w:r>
    </w:p>
    <w:p>
      <w:pPr>
        <w:spacing w:after="0" w:line="95" w:lineRule="exact"/>
        <w:rPr>
          <w:sz w:val="20"/>
          <w:szCs w:val="20"/>
          <w:color w:val="auto"/>
        </w:rPr>
      </w:pPr>
    </w:p>
    <w:p>
      <w:pPr>
        <w:ind w:firstLine="464"/>
        <w:spacing w:after="0" w:line="259" w:lineRule="auto"/>
        <w:rPr>
          <w:sz w:val="20"/>
          <w:szCs w:val="20"/>
          <w:color w:val="auto"/>
        </w:rPr>
      </w:pPr>
      <w:r>
        <w:rPr>
          <w:rFonts w:ascii="Arial" w:cs="Arial" w:eastAsia="Arial" w:hAnsi="Arial"/>
          <w:sz w:val="17"/>
          <w:szCs w:val="17"/>
          <w:color w:val="auto"/>
        </w:rPr>
        <w:t>In addition, these investments could subject a fund to certain potential additional liabilities that may exceed the value of its original investment. Under certain circumstances, payments or distributions on certain investments may be reclaimed if any such payment or distribution is later determined to have been a fraudulent conveyance, a preferential payment or similar transaction under applicable bankruptcy and insolvency laws. In addition, under certain circumstances, a lender that has inappropriately exercised control of the management and policies of a debtor may have its claims subordinated or disallowed or may be found liable for damages suffered by parties as a result of such actions. In the case where the investment in securities of troubled companies is made in connection with an attempt to influence a restructuring proposal or plan of reorganization in bankruptcy, the fund may become involved in substantial litigation.</w:t>
      </w:r>
    </w:p>
    <w:p>
      <w:pPr>
        <w:spacing w:after="0" w:line="12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Certain of Oaktree’s funds may be subject to risks arising from potential control group liability.</w:t>
      </w:r>
    </w:p>
    <w:p>
      <w:pPr>
        <w:spacing w:after="0" w:line="165" w:lineRule="exact"/>
        <w:rPr>
          <w:sz w:val="20"/>
          <w:szCs w:val="20"/>
          <w:color w:val="auto"/>
        </w:rPr>
      </w:pPr>
    </w:p>
    <w:p>
      <w:pPr>
        <w:ind w:right="120" w:firstLine="464"/>
        <w:spacing w:after="0" w:line="258" w:lineRule="auto"/>
        <w:rPr>
          <w:sz w:val="20"/>
          <w:szCs w:val="20"/>
          <w:color w:val="auto"/>
        </w:rPr>
      </w:pPr>
      <w:r>
        <w:rPr>
          <w:rFonts w:ascii="Arial" w:cs="Arial" w:eastAsia="Arial" w:hAnsi="Arial"/>
          <w:sz w:val="17"/>
          <w:szCs w:val="17"/>
          <w:color w:val="auto"/>
        </w:rPr>
        <w:t>Certain of Oaktree’s investment funds could potentially be liable under U.S. Employee Retirement Income Security Act of 1974 ("ERISA") for the pension obligations of one or more of Oaktree’s portfolio companies if the investment fund were determined to be a "trade or business" under ERISA and deemed part of the same "controlled group" as the portfolio company under ERISA’s controlled group rules. While a number of cases have held that managing investments is not a “trade or business” for tax purposes, at least one federal Circuit Court has determined that a private equity fund could be a “trade or business” for ERISA controlled group liability purposes based on a number of factors, including the fund’s level of involvement in the management of its portfolio companies and the nature of its management fee arrangements. Litigation related to the Circuit Court’s decision suggests that additional factors may be relevant, including the structure of the investment and the nature of the fund’s relationship with other affiliated investors and co-investors in the portfolio company.</w:t>
      </w:r>
    </w:p>
    <w:p>
      <w:pPr>
        <w:spacing w:after="0" w:line="124" w:lineRule="exact"/>
        <w:rPr>
          <w:sz w:val="20"/>
          <w:szCs w:val="20"/>
          <w:color w:val="auto"/>
        </w:rPr>
      </w:pPr>
    </w:p>
    <w:p>
      <w:pPr>
        <w:jc w:val="both"/>
        <w:ind w:right="40" w:firstLine="464"/>
        <w:spacing w:after="0" w:line="259" w:lineRule="auto"/>
        <w:rPr>
          <w:sz w:val="20"/>
          <w:szCs w:val="20"/>
          <w:color w:val="auto"/>
        </w:rPr>
      </w:pPr>
      <w:r>
        <w:rPr>
          <w:rFonts w:ascii="Arial" w:cs="Arial" w:eastAsia="Arial" w:hAnsi="Arial"/>
          <w:sz w:val="17"/>
          <w:szCs w:val="17"/>
          <w:color w:val="auto"/>
        </w:rPr>
        <w:t>If any of Oaktree’s funds were determined to be a trade or business for purposes of ERISA controlled group liability, it is possible that pension liabilities incurred by a portfolio company could result in liability being incurred by the fund, with a resulting need for additional capital contributions, the appropriation of such fund’s assets to satisfy such pension liabilities and/or the imposition of a lien by the PBGC on certain fund assets.</w:t>
      </w:r>
    </w:p>
    <w:p>
      <w:pPr>
        <w:spacing w:after="0" w:line="2" w:lineRule="exact"/>
        <w:rPr>
          <w:sz w:val="20"/>
          <w:szCs w:val="20"/>
          <w:color w:val="auto"/>
        </w:rPr>
      </w:pPr>
    </w:p>
    <w:p>
      <w:pPr>
        <w:ind w:right="100"/>
        <w:spacing w:after="0" w:line="259" w:lineRule="auto"/>
        <w:rPr>
          <w:sz w:val="20"/>
          <w:szCs w:val="20"/>
          <w:color w:val="auto"/>
        </w:rPr>
      </w:pPr>
      <w:r>
        <w:rPr>
          <w:rFonts w:ascii="Arial" w:cs="Arial" w:eastAsia="Arial" w:hAnsi="Arial"/>
          <w:sz w:val="17"/>
          <w:szCs w:val="17"/>
          <w:color w:val="auto"/>
        </w:rPr>
        <w:t>Moreover, regardless of whether any of Oaktree’s funds were determined to be a trade or business for purposes of ERISA controlled group liability, a court might hold that one of Oaktree’s fund’s portfolio companies is jointly and severally liable for another portfolio company’s unfunded pension liabilities pursuant to the ERISA “controlled group” rules, depending upon the relevant investment structures and ownership interests as noted above.</w:t>
      </w:r>
    </w:p>
    <w:p>
      <w:pPr>
        <w:spacing w:after="0" w:line="120" w:lineRule="exact"/>
        <w:rPr>
          <w:sz w:val="20"/>
          <w:szCs w:val="20"/>
          <w:color w:val="auto"/>
        </w:rPr>
      </w:pPr>
    </w:p>
    <w:p>
      <w:pPr>
        <w:ind w:right="220"/>
        <w:spacing w:after="0" w:line="277" w:lineRule="auto"/>
        <w:rPr>
          <w:sz w:val="20"/>
          <w:szCs w:val="20"/>
          <w:color w:val="auto"/>
        </w:rPr>
      </w:pPr>
      <w:r>
        <w:rPr>
          <w:rFonts w:ascii="Arial" w:cs="Arial" w:eastAsia="Arial" w:hAnsi="Arial"/>
          <w:sz w:val="17"/>
          <w:szCs w:val="17"/>
          <w:b w:val="1"/>
          <w:bCs w:val="1"/>
          <w:i w:val="1"/>
          <w:iCs w:val="1"/>
          <w:color w:val="auto"/>
        </w:rPr>
        <w:t>Poor investment performance during periods of adverse market conditions may result in relatively high levels of investor redemptions, which can exacerbate the liquidity pressures on the affected funds, force the sale of assets at distressed prices or reduce the funds’ returns.</w:t>
      </w:r>
    </w:p>
    <w:p>
      <w:pPr>
        <w:spacing w:after="0" w:line="97" w:lineRule="exact"/>
        <w:rPr>
          <w:sz w:val="20"/>
          <w:szCs w:val="20"/>
          <w:color w:val="auto"/>
        </w:rPr>
      </w:pPr>
    </w:p>
    <w:p>
      <w:pPr>
        <w:ind w:firstLine="464"/>
        <w:spacing w:after="0" w:line="258" w:lineRule="auto"/>
        <w:rPr>
          <w:sz w:val="20"/>
          <w:szCs w:val="20"/>
          <w:color w:val="auto"/>
        </w:rPr>
      </w:pPr>
      <w:r>
        <w:rPr>
          <w:rFonts w:ascii="Arial" w:cs="Arial" w:eastAsia="Arial" w:hAnsi="Arial"/>
          <w:sz w:val="17"/>
          <w:szCs w:val="17"/>
          <w:color w:val="auto"/>
        </w:rPr>
        <w:t>Poor investment performance during periods of adverse market conditions, together with investors’ increased need for liquidity given adverse conditions in the credit markets during such periods, can prompt relatively high levels of investor redemptions at times when many funds may not have sufficient liquidity to satisfy some or all of their investor redemption requests. During times when market conditions are deteriorating, many funds may face additional redemption requests and/or compulsory investor withdrawals or redemptions, which will exacerbate the liquidity pressures on the affected funds. If such funds cannot satisfy their current and future redemption requests, they may be forced to sell assets at distressed prices or cease operations. Various measures taken by funds to improve their liquidity profiles (such as the implementation of “gates” or the suspension of redemptions) that reduce the amounts that would otherwise be paid out in response to redemption requests may have the effect of incentivizing investors to “gross up” or increase the size of the future redemption requests they make, thereby exacerbating the cycle of redemptions.</w:t>
      </w:r>
    </w:p>
    <w:p>
      <w:pPr>
        <w:spacing w:after="0" w:line="330" w:lineRule="exact"/>
        <w:rPr>
          <w:sz w:val="20"/>
          <w:szCs w:val="20"/>
          <w:color w:val="auto"/>
        </w:rPr>
      </w:pPr>
    </w:p>
    <w:p>
      <w:pPr>
        <w:ind w:right="760"/>
        <w:spacing w:after="0" w:line="302" w:lineRule="auto"/>
        <w:rPr>
          <w:sz w:val="20"/>
          <w:szCs w:val="20"/>
          <w:color w:val="auto"/>
        </w:rPr>
      </w:pPr>
      <w:r>
        <w:rPr>
          <w:rFonts w:ascii="Arial" w:cs="Arial" w:eastAsia="Arial" w:hAnsi="Arial"/>
          <w:sz w:val="17"/>
          <w:szCs w:val="17"/>
          <w:b w:val="1"/>
          <w:bCs w:val="1"/>
          <w:i w:val="1"/>
          <w:iCs w:val="1"/>
          <w:color w:val="auto"/>
        </w:rPr>
        <w:t>Valuation methodologies for certain assets in Oaktree’s funds can be subject to significant subjectivity, and the values of assets established pursuant to the methodologies may never be realized.</w:t>
      </w:r>
    </w:p>
    <w:p>
      <w:pPr>
        <w:spacing w:after="0" w:line="62" w:lineRule="exact"/>
        <w:rPr>
          <w:sz w:val="20"/>
          <w:szCs w:val="20"/>
          <w:color w:val="auto"/>
        </w:rPr>
      </w:pPr>
    </w:p>
    <w:p>
      <w:pPr>
        <w:ind w:right="200" w:firstLine="464"/>
        <w:spacing w:after="0" w:line="255" w:lineRule="auto"/>
        <w:rPr>
          <w:sz w:val="20"/>
          <w:szCs w:val="20"/>
          <w:color w:val="auto"/>
        </w:rPr>
      </w:pPr>
      <w:r>
        <w:rPr>
          <w:rFonts w:ascii="Arial" w:cs="Arial" w:eastAsia="Arial" w:hAnsi="Arial"/>
          <w:sz w:val="17"/>
          <w:szCs w:val="17"/>
          <w:color w:val="auto"/>
        </w:rPr>
        <w:t>Oaktree’s funds make investments for which market quotations are not readily available, and thus the process by which Oaktree value such investments involves inherent uncertainties. Oaktree is required by GAAP to make good faith determinations as to the fair value of these investments on a quarterly basis in connection with the preparation of Oaktree’s funds’ financial statements.</w:t>
      </w:r>
    </w:p>
    <w:p>
      <w:pPr>
        <w:spacing w:after="0" w:line="125" w:lineRule="exact"/>
        <w:rPr>
          <w:sz w:val="20"/>
          <w:szCs w:val="20"/>
          <w:color w:val="auto"/>
        </w:rPr>
      </w:pPr>
    </w:p>
    <w:p>
      <w:pPr>
        <w:ind w:firstLine="464"/>
        <w:spacing w:after="0" w:line="290" w:lineRule="auto"/>
        <w:rPr>
          <w:sz w:val="20"/>
          <w:szCs w:val="20"/>
          <w:color w:val="auto"/>
        </w:rPr>
      </w:pPr>
      <w:r>
        <w:rPr>
          <w:rFonts w:ascii="Arial" w:cs="Arial" w:eastAsia="Arial" w:hAnsi="Arial"/>
          <w:sz w:val="17"/>
          <w:szCs w:val="17"/>
          <w:color w:val="auto"/>
        </w:rPr>
        <w:t>There is no single method for determining fair value in good faith. The types of factors that may be considered when determining the fair value of an investment in a particular company include acquisition price of the investment,</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35" w:name="page36"/>
    <w:bookmarkEnd w:id="35"/>
    <w:p>
      <w:pPr>
        <w:spacing w:after="0" w:line="257" w:lineRule="auto"/>
        <w:rPr>
          <w:sz w:val="20"/>
          <w:szCs w:val="20"/>
          <w:color w:val="auto"/>
        </w:rPr>
      </w:pPr>
      <w:r>
        <w:rPr>
          <w:rFonts w:ascii="Arial" w:cs="Arial" w:eastAsia="Arial" w:hAnsi="Arial"/>
          <w:sz w:val="17"/>
          <w:szCs w:val="17"/>
          <w:color w:val="auto"/>
        </w:rPr>
        <w:t>discounted cash flow valuations, historical and projected operational and financial results for the company, the strengths and weaknesses of the company relative to its comparable companies, industry trends, general economic and market conditions, information with respect to offers for the investment, the size of the investment (and any associated control) and other factors deemed relevant. Because valuations of investments for which market quotations are not readily available are inherently uncertain, may fluctuate over short periods of time and may be based on estimates, determinations of fair value may differ materially from the values that would have resulted if a ready market had existed. Even if market quotations are available for Oaktree’s investments, the quotations may not reflect the value that Oaktree would actually be able to realize because of various factors, including the possible illiquidity associated with a large ownership position, subsequent illiquidity in the market for a company’s securities, future market price volatility or the potential for a future loss in market value based on poor industry conditions or the market’s view of overall company and management performance.</w:t>
      </w:r>
    </w:p>
    <w:p>
      <w:pPr>
        <w:spacing w:after="0" w:line="127" w:lineRule="exact"/>
        <w:rPr>
          <w:sz w:val="20"/>
          <w:szCs w:val="20"/>
          <w:color w:val="auto"/>
        </w:rPr>
      </w:pPr>
    </w:p>
    <w:p>
      <w:pPr>
        <w:ind w:right="160" w:firstLine="464"/>
        <w:spacing w:after="0" w:line="265" w:lineRule="auto"/>
        <w:rPr>
          <w:sz w:val="20"/>
          <w:szCs w:val="20"/>
          <w:color w:val="auto"/>
        </w:rPr>
      </w:pPr>
      <w:r>
        <w:rPr>
          <w:rFonts w:ascii="Arial" w:cs="Arial" w:eastAsia="Arial" w:hAnsi="Arial"/>
          <w:sz w:val="17"/>
          <w:szCs w:val="17"/>
          <w:color w:val="auto"/>
        </w:rPr>
        <w:t>Because there is significant uncertainty in the valuation of, or in the stability of the value of, illiquid investments, the fair values of such investments as reflected in a fund’s NAV do not necessarily reflect the prices that would actually be obtained on behalf of the fund when such investments are sold. Sales at values significantly lower than the values at which investments have previously been reflected in a fund’s NAV may result in losses for the applicable fund and the loss of incentive income that may have been accrued by the applicable fund.</w:t>
      </w:r>
    </w:p>
    <w:p>
      <w:pPr>
        <w:spacing w:after="0" w:line="116" w:lineRule="exact"/>
        <w:rPr>
          <w:sz w:val="20"/>
          <w:szCs w:val="20"/>
          <w:color w:val="auto"/>
        </w:rPr>
      </w:pPr>
    </w:p>
    <w:p>
      <w:pPr>
        <w:ind w:right="520"/>
        <w:spacing w:after="0" w:line="302" w:lineRule="auto"/>
        <w:rPr>
          <w:sz w:val="20"/>
          <w:szCs w:val="20"/>
          <w:color w:val="auto"/>
        </w:rPr>
      </w:pPr>
      <w:r>
        <w:rPr>
          <w:rFonts w:ascii="Arial" w:cs="Arial" w:eastAsia="Arial" w:hAnsi="Arial"/>
          <w:sz w:val="17"/>
          <w:szCs w:val="17"/>
          <w:b w:val="1"/>
          <w:bCs w:val="1"/>
          <w:i w:val="1"/>
          <w:iCs w:val="1"/>
          <w:color w:val="auto"/>
        </w:rPr>
        <w:t>Oaktree’s funds make investments in companies that are based outside the United States, which exposes us to additional risks not typically associated with investing in companies that are based in the United States.</w:t>
      </w:r>
    </w:p>
    <w:p>
      <w:pPr>
        <w:spacing w:after="0" w:line="11" w:lineRule="exact"/>
        <w:rPr>
          <w:sz w:val="20"/>
          <w:szCs w:val="20"/>
          <w:color w:val="auto"/>
        </w:rPr>
      </w:pPr>
    </w:p>
    <w:p>
      <w:pPr>
        <w:jc w:val="both"/>
        <w:ind w:right="440" w:firstLine="464"/>
        <w:spacing w:after="0" w:line="255" w:lineRule="auto"/>
        <w:rPr>
          <w:sz w:val="20"/>
          <w:szCs w:val="20"/>
          <w:color w:val="auto"/>
        </w:rPr>
      </w:pPr>
      <w:r>
        <w:rPr>
          <w:rFonts w:ascii="Arial" w:cs="Arial" w:eastAsia="Arial" w:hAnsi="Arial"/>
          <w:sz w:val="17"/>
          <w:szCs w:val="17"/>
          <w:color w:val="auto"/>
        </w:rPr>
        <w:t>Many of Oaktree’s funds invest a portion of their assets in the equity, debt, loans or other securities of issuers located outside the United States, while certain of Oaktree’s funds invest substantially all of their assets in these types of securities. Investments in securities outside the United States involve certain factors not typically associated with investing in U.S. securities, including risks relating to:</w:t>
      </w:r>
    </w:p>
    <w:p>
      <w:pPr>
        <w:spacing w:after="0" w:line="125" w:lineRule="exact"/>
        <w:rPr>
          <w:sz w:val="20"/>
          <w:szCs w:val="20"/>
          <w:color w:val="auto"/>
        </w:rPr>
      </w:pPr>
    </w:p>
    <w:p>
      <w:pPr>
        <w:ind w:left="620" w:right="640" w:hanging="307"/>
        <w:spacing w:after="0" w:line="290" w:lineRule="auto"/>
        <w:tabs>
          <w:tab w:leader="none" w:pos="616" w:val="left"/>
        </w:tabs>
        <w:numPr>
          <w:ilvl w:val="0"/>
          <w:numId w:val="18"/>
        </w:numPr>
        <w:rPr>
          <w:rFonts w:ascii="Arial" w:cs="Arial" w:eastAsia="Arial" w:hAnsi="Arial"/>
          <w:sz w:val="17"/>
          <w:szCs w:val="17"/>
          <w:color w:val="auto"/>
        </w:rPr>
      </w:pPr>
      <w:r>
        <w:rPr>
          <w:rFonts w:ascii="Arial" w:cs="Arial" w:eastAsia="Arial" w:hAnsi="Arial"/>
          <w:sz w:val="17"/>
          <w:szCs w:val="17"/>
          <w:color w:val="auto"/>
        </w:rPr>
        <w:t>a fund’s ability to exchange local currencies for U.S. dollars and other currency exchange matters, including fluctuations in currency exchange rates and costs associated with conversion of investment principal and income from one currency into another;</w:t>
      </w:r>
    </w:p>
    <w:p>
      <w:pPr>
        <w:spacing w:after="0" w:line="43" w:lineRule="exact"/>
        <w:rPr>
          <w:rFonts w:ascii="Arial" w:cs="Arial" w:eastAsia="Arial" w:hAnsi="Arial"/>
          <w:sz w:val="17"/>
          <w:szCs w:val="17"/>
          <w:color w:val="auto"/>
        </w:rPr>
      </w:pPr>
    </w:p>
    <w:p>
      <w:pPr>
        <w:ind w:left="620" w:hanging="307"/>
        <w:spacing w:after="0"/>
        <w:tabs>
          <w:tab w:leader="none" w:pos="6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controls on, and changes in controls on, foreign investment and limitations on repatriation of invested capital;</w:t>
      </w:r>
    </w:p>
    <w:p>
      <w:pPr>
        <w:spacing w:after="0" w:line="113" w:lineRule="exact"/>
        <w:rPr>
          <w:rFonts w:ascii="Arial" w:cs="Arial" w:eastAsia="Arial" w:hAnsi="Arial"/>
          <w:sz w:val="17"/>
          <w:szCs w:val="17"/>
          <w:color w:val="auto"/>
        </w:rPr>
      </w:pPr>
    </w:p>
    <w:p>
      <w:pPr>
        <w:ind w:left="620" w:hanging="307"/>
        <w:spacing w:after="0"/>
        <w:tabs>
          <w:tab w:leader="none" w:pos="6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less developed or less efficient financial markets than exist in the United States, which may lead to price volatility and relative illiquidity;</w:t>
      </w:r>
    </w:p>
    <w:p>
      <w:pPr>
        <w:spacing w:after="0" w:line="113" w:lineRule="exact"/>
        <w:rPr>
          <w:rFonts w:ascii="Arial" w:cs="Arial" w:eastAsia="Arial" w:hAnsi="Arial"/>
          <w:sz w:val="17"/>
          <w:szCs w:val="17"/>
          <w:color w:val="auto"/>
        </w:rPr>
      </w:pPr>
    </w:p>
    <w:p>
      <w:pPr>
        <w:ind w:left="620" w:right="100" w:hanging="307"/>
        <w:spacing w:after="0" w:line="290" w:lineRule="auto"/>
        <w:tabs>
          <w:tab w:leader="none" w:pos="616"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absence of uniform accounting, auditing and financial reporting standards, practices and disclosure requirements and less government supervision and regulation;</w:t>
      </w:r>
    </w:p>
    <w:p>
      <w:pPr>
        <w:spacing w:after="0" w:line="43" w:lineRule="exact"/>
        <w:rPr>
          <w:rFonts w:ascii="Arial" w:cs="Arial" w:eastAsia="Arial" w:hAnsi="Arial"/>
          <w:sz w:val="17"/>
          <w:szCs w:val="17"/>
          <w:color w:val="auto"/>
        </w:rPr>
      </w:pPr>
    </w:p>
    <w:p>
      <w:pPr>
        <w:ind w:left="620" w:right="100" w:hanging="307"/>
        <w:spacing w:after="0" w:line="290" w:lineRule="auto"/>
        <w:tabs>
          <w:tab w:leader="none" w:pos="616" w:val="left"/>
        </w:tabs>
        <w:numPr>
          <w:ilvl w:val="0"/>
          <w:numId w:val="18"/>
        </w:numPr>
        <w:rPr>
          <w:rFonts w:ascii="Arial" w:cs="Arial" w:eastAsia="Arial" w:hAnsi="Arial"/>
          <w:sz w:val="17"/>
          <w:szCs w:val="17"/>
          <w:color w:val="auto"/>
        </w:rPr>
      </w:pPr>
      <w:r>
        <w:rPr>
          <w:rFonts w:ascii="Arial" w:cs="Arial" w:eastAsia="Arial" w:hAnsi="Arial"/>
          <w:sz w:val="17"/>
          <w:szCs w:val="17"/>
          <w:color w:val="auto"/>
        </w:rPr>
        <w:t>differences in legal and regulatory environments, particularly with respect to bankruptcy and reorganization, less developed corporate laws regarding fiduciary duties and the protection of investors and less reliable judicial systems to enforce contracts and applicable law;</w:t>
      </w:r>
    </w:p>
    <w:p>
      <w:pPr>
        <w:spacing w:after="0" w:line="43" w:lineRule="exact"/>
        <w:rPr>
          <w:rFonts w:ascii="Arial" w:cs="Arial" w:eastAsia="Arial" w:hAnsi="Arial"/>
          <w:sz w:val="17"/>
          <w:szCs w:val="17"/>
          <w:color w:val="auto"/>
        </w:rPr>
      </w:pPr>
    </w:p>
    <w:p>
      <w:pPr>
        <w:ind w:left="620" w:hanging="307"/>
        <w:spacing w:after="0"/>
        <w:tabs>
          <w:tab w:leader="none" w:pos="6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less publicly available information in respect of companies in non-U.S. markets;</w:t>
      </w:r>
    </w:p>
    <w:p>
      <w:pPr>
        <w:spacing w:after="0" w:line="113" w:lineRule="exact"/>
        <w:rPr>
          <w:rFonts w:ascii="Arial" w:cs="Arial" w:eastAsia="Arial" w:hAnsi="Arial"/>
          <w:sz w:val="17"/>
          <w:szCs w:val="17"/>
          <w:color w:val="auto"/>
        </w:rPr>
      </w:pPr>
    </w:p>
    <w:p>
      <w:pPr>
        <w:ind w:left="620" w:hanging="307"/>
        <w:spacing w:after="0"/>
        <w:tabs>
          <w:tab w:leader="none" w:pos="6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heightened exposure to corruption risk;</w:t>
      </w:r>
    </w:p>
    <w:p>
      <w:pPr>
        <w:spacing w:after="0" w:line="113" w:lineRule="exact"/>
        <w:rPr>
          <w:rFonts w:ascii="Arial" w:cs="Arial" w:eastAsia="Arial" w:hAnsi="Arial"/>
          <w:sz w:val="17"/>
          <w:szCs w:val="17"/>
          <w:color w:val="auto"/>
        </w:rPr>
      </w:pPr>
    </w:p>
    <w:p>
      <w:pPr>
        <w:ind w:left="620" w:right="380" w:hanging="307"/>
        <w:spacing w:after="0" w:line="271" w:lineRule="auto"/>
        <w:tabs>
          <w:tab w:leader="none" w:pos="616" w:val="left"/>
        </w:tabs>
        <w:numPr>
          <w:ilvl w:val="0"/>
          <w:numId w:val="18"/>
        </w:numPr>
        <w:rPr>
          <w:rFonts w:ascii="Arial" w:cs="Arial" w:eastAsia="Arial" w:hAnsi="Arial"/>
          <w:sz w:val="17"/>
          <w:szCs w:val="17"/>
          <w:color w:val="auto"/>
        </w:rPr>
      </w:pPr>
      <w:r>
        <w:rPr>
          <w:rFonts w:ascii="Arial" w:cs="Arial" w:eastAsia="Arial" w:hAnsi="Arial"/>
          <w:sz w:val="17"/>
          <w:szCs w:val="17"/>
          <w:color w:val="auto"/>
        </w:rPr>
        <w:t>certain economic and political risks, including potential exchange control regulations and restrictions on investments and repatriation of capital, potential political, economic or social instability, the possibility of nationalization or expropriation or confiscatory taxation and adverse economic and political developments; and</w:t>
      </w:r>
    </w:p>
    <w:p>
      <w:pPr>
        <w:spacing w:after="0" w:line="59" w:lineRule="exact"/>
        <w:rPr>
          <w:rFonts w:ascii="Arial" w:cs="Arial" w:eastAsia="Arial" w:hAnsi="Arial"/>
          <w:sz w:val="17"/>
          <w:szCs w:val="17"/>
          <w:color w:val="auto"/>
        </w:rPr>
      </w:pPr>
    </w:p>
    <w:p>
      <w:pPr>
        <w:ind w:left="620" w:hanging="307"/>
        <w:spacing w:after="0"/>
        <w:tabs>
          <w:tab w:leader="none" w:pos="6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possible imposition of non-U.S. taxes or withholding on income and gains recognized with respect to the securities.</w:t>
      </w:r>
    </w:p>
    <w:p>
      <w:pPr>
        <w:spacing w:after="0" w:line="165" w:lineRule="exact"/>
        <w:rPr>
          <w:sz w:val="20"/>
          <w:szCs w:val="20"/>
          <w:color w:val="auto"/>
        </w:rPr>
      </w:pPr>
    </w:p>
    <w:p>
      <w:pPr>
        <w:ind w:right="400" w:firstLine="503"/>
        <w:spacing w:after="0" w:line="290" w:lineRule="auto"/>
        <w:rPr>
          <w:sz w:val="20"/>
          <w:szCs w:val="20"/>
          <w:color w:val="auto"/>
        </w:rPr>
      </w:pPr>
      <w:r>
        <w:rPr>
          <w:rFonts w:ascii="Arial" w:cs="Arial" w:eastAsia="Arial" w:hAnsi="Arial"/>
          <w:sz w:val="17"/>
          <w:szCs w:val="17"/>
          <w:color w:val="auto"/>
        </w:rPr>
        <w:t>There can be no assurance that adverse developments with respect to these risks will not adversely affect Oaktree’s funds that invest in securities of non-U.S. issuers.</w:t>
      </w: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012" w:right="359" w:bottom="1440" w:gutter="0" w:footer="0" w:header="0"/>
        </w:sectPr>
      </w:pPr>
    </w:p>
    <w:bookmarkStart w:id="36" w:name="page37"/>
    <w:bookmarkEnd w:id="36"/>
    <w:p>
      <w:pPr>
        <w:ind w:right="80"/>
        <w:spacing w:after="0" w:line="302" w:lineRule="auto"/>
        <w:rPr>
          <w:sz w:val="20"/>
          <w:szCs w:val="20"/>
          <w:color w:val="auto"/>
        </w:rPr>
      </w:pPr>
      <w:r>
        <w:rPr>
          <w:rFonts w:ascii="Arial" w:cs="Arial" w:eastAsia="Arial" w:hAnsi="Arial"/>
          <w:sz w:val="17"/>
          <w:szCs w:val="17"/>
          <w:b w:val="1"/>
          <w:bCs w:val="1"/>
          <w:i w:val="1"/>
          <w:iCs w:val="1"/>
          <w:color w:val="auto"/>
        </w:rPr>
        <w:t>We have made and expect to continue to make significant investments in Oaktree’s current and future funds, and we may lose money on some or all of our investments.</w:t>
      </w:r>
    </w:p>
    <w:p>
      <w:pPr>
        <w:spacing w:after="0" w:line="11" w:lineRule="exact"/>
        <w:rPr>
          <w:sz w:val="20"/>
          <w:szCs w:val="20"/>
          <w:color w:val="auto"/>
        </w:rPr>
      </w:pPr>
    </w:p>
    <w:p>
      <w:pPr>
        <w:ind w:firstLine="464"/>
        <w:spacing w:after="0" w:line="244" w:lineRule="auto"/>
        <w:rPr>
          <w:sz w:val="20"/>
          <w:szCs w:val="20"/>
          <w:color w:val="auto"/>
        </w:rPr>
      </w:pPr>
      <w:r>
        <w:rPr>
          <w:rFonts w:ascii="Arial" w:cs="Arial" w:eastAsia="Arial" w:hAnsi="Arial"/>
          <w:sz w:val="17"/>
          <w:szCs w:val="17"/>
          <w:color w:val="auto"/>
        </w:rPr>
        <w:t>We have had a practice of making significant principal investments in Oaktree funds and expect to continue to make significant principal investments in Oaktree’s funds both directly and indirectly through Oaktree Capital I and we or Oaktree Capital I may increase the amount we invest at any time. Further, from time to time Oaktree Capital I makes loans or otherwise extends credit or guarantees to Oaktree’s funds. Contributing capital, making other investments or extending credit to these funds is risky, and we and/or Oaktree Capital I may lose some or all of these investments. Any such loss could have a material adverse impact on our financial condition and results of operations whether directly or through its impact on Oaktree Capital I.</w:t>
      </w:r>
    </w:p>
    <w:p>
      <w:pPr>
        <w:spacing w:after="0" w:line="135" w:lineRule="exact"/>
        <w:rPr>
          <w:sz w:val="20"/>
          <w:szCs w:val="20"/>
          <w:color w:val="auto"/>
        </w:rPr>
      </w:pPr>
    </w:p>
    <w:p>
      <w:pPr>
        <w:ind w:right="780"/>
        <w:spacing w:after="0" w:line="302" w:lineRule="auto"/>
        <w:rPr>
          <w:sz w:val="20"/>
          <w:szCs w:val="20"/>
          <w:color w:val="auto"/>
        </w:rPr>
      </w:pPr>
      <w:r>
        <w:rPr>
          <w:rFonts w:ascii="Arial" w:cs="Arial" w:eastAsia="Arial" w:hAnsi="Arial"/>
          <w:sz w:val="17"/>
          <w:szCs w:val="17"/>
          <w:b w:val="1"/>
          <w:bCs w:val="1"/>
          <w:i w:val="1"/>
          <w:iCs w:val="1"/>
          <w:color w:val="auto"/>
        </w:rPr>
        <w:t>Oaktree’s funds often invest in companies that are highly leveraged, a fact that may increase the risk of loss associated with the investments.</w:t>
      </w:r>
    </w:p>
    <w:p>
      <w:pPr>
        <w:spacing w:after="0" w:line="62" w:lineRule="exact"/>
        <w:rPr>
          <w:sz w:val="20"/>
          <w:szCs w:val="20"/>
          <w:color w:val="auto"/>
        </w:rPr>
      </w:pPr>
    </w:p>
    <w:p>
      <w:pPr>
        <w:ind w:right="520" w:firstLine="464"/>
        <w:spacing w:after="0" w:line="239" w:lineRule="auto"/>
        <w:rPr>
          <w:sz w:val="20"/>
          <w:szCs w:val="20"/>
          <w:color w:val="auto"/>
        </w:rPr>
      </w:pPr>
      <w:r>
        <w:rPr>
          <w:rFonts w:ascii="Arial" w:cs="Arial" w:eastAsia="Arial" w:hAnsi="Arial"/>
          <w:sz w:val="17"/>
          <w:szCs w:val="17"/>
          <w:color w:val="auto"/>
        </w:rPr>
        <w:t>Oaktree’s funds often invest in companies whose capital structures involve significant leverage. These investments are inherently more sensitive to declines in revenues and to increases in expenses and interest rates. The leveraged capital structures of these companies place</w:t>
      </w:r>
    </w:p>
    <w:p>
      <w:pPr>
        <w:spacing w:after="0" w:line="1" w:lineRule="exact"/>
        <w:rPr>
          <w:sz w:val="20"/>
          <w:szCs w:val="20"/>
          <w:color w:val="auto"/>
        </w:rPr>
      </w:pPr>
    </w:p>
    <w:p>
      <w:pPr>
        <w:ind w:right="40"/>
        <w:spacing w:after="0" w:line="243" w:lineRule="auto"/>
        <w:rPr>
          <w:sz w:val="20"/>
          <w:szCs w:val="20"/>
          <w:color w:val="auto"/>
        </w:rPr>
      </w:pPr>
      <w:r>
        <w:rPr>
          <w:rFonts w:ascii="Arial" w:cs="Arial" w:eastAsia="Arial" w:hAnsi="Arial"/>
          <w:sz w:val="17"/>
          <w:szCs w:val="17"/>
          <w:color w:val="auto"/>
        </w:rPr>
        <w:t>significant burdens on their cash flows and increases the exposure of Oaktree’s funds to adverse economic factors such as downturns in the economy or deterioration in the condition of the portfolio company or its industry. Additionally, the securities acquired by Oaktree’s funds may be the most junior in what could be a complex capital structure and thus subject the funds to the greatest risk of loss in the event of insolvency, liquidation, dissolution, reorganization or bankruptcy of one of these companies.</w:t>
      </w:r>
    </w:p>
    <w:p>
      <w:pPr>
        <w:spacing w:after="0" w:line="133" w:lineRule="exact"/>
        <w:rPr>
          <w:sz w:val="20"/>
          <w:szCs w:val="20"/>
          <w:color w:val="auto"/>
        </w:rPr>
      </w:pPr>
    </w:p>
    <w:p>
      <w:pPr>
        <w:ind w:right="400"/>
        <w:spacing w:after="0" w:line="302" w:lineRule="auto"/>
        <w:rPr>
          <w:sz w:val="20"/>
          <w:szCs w:val="20"/>
          <w:color w:val="auto"/>
        </w:rPr>
      </w:pPr>
      <w:r>
        <w:rPr>
          <w:rFonts w:ascii="Arial" w:cs="Arial" w:eastAsia="Arial" w:hAnsi="Arial"/>
          <w:sz w:val="17"/>
          <w:szCs w:val="17"/>
          <w:b w:val="1"/>
          <w:bCs w:val="1"/>
          <w:i w:val="1"/>
          <w:iCs w:val="1"/>
          <w:color w:val="auto"/>
        </w:rPr>
        <w:t>The use of leverage by Oaktree’s funds could have a material adverse effect on our financial condition, results of operation and cash flow.</w:t>
      </w:r>
    </w:p>
    <w:p>
      <w:pPr>
        <w:spacing w:after="0" w:line="75" w:lineRule="exact"/>
        <w:rPr>
          <w:sz w:val="20"/>
          <w:szCs w:val="20"/>
          <w:color w:val="auto"/>
        </w:rPr>
      </w:pPr>
    </w:p>
    <w:p>
      <w:pPr>
        <w:ind w:firstLine="464"/>
        <w:spacing w:after="0" w:line="256" w:lineRule="auto"/>
        <w:rPr>
          <w:sz w:val="20"/>
          <w:szCs w:val="20"/>
          <w:color w:val="auto"/>
        </w:rPr>
      </w:pPr>
      <w:r>
        <w:rPr>
          <w:rFonts w:ascii="Arial" w:cs="Arial" w:eastAsia="Arial" w:hAnsi="Arial"/>
          <w:sz w:val="17"/>
          <w:szCs w:val="17"/>
          <w:color w:val="auto"/>
        </w:rPr>
        <w:t>Some of Oaktree’s funds use leverage (including through credit facilities, swaps and other derivatives) as part of their respective investment programs and may borrow a substantial amount of capital. The use of leverage poses a significant degree of risk and can enhance the magnitude of a significant loss in the value of the investment portfolio. To the extent that any fund leverages its capital structure, it is subject to the risks normally associated with debt financing, including the risk that its cash flows will be insufficient to meet principal and interest payments, which could significantly reduce or even eliminate the value of such fund’s investments. In addition, the interest expense and other costs incurred in connection with such leverage may not be recovered by the appreciation in the value of any associated securities or bank debt and will be lost – and the timing and magnitude of such losses may be accelerated or exacerbated – in the event of a decline in the market value of such securities or bank debt. In addition, such funds may be subject to margin calls or acceleration in the event of a decline in the value of the posted collateral. To meet liquidity needs as a result of margin calls or acceleration, Oaktree Capital I may elect to invest additional capital into or loan money to such funds. Any such investment or loan would be subject to the risk of loss. In addition, if Oaktree were to elect to enforce its rights against any fund with respect to a loan to such fund, Oaktree may damage its relationships with its investors and have difficulty raising additional capital. Any of the foregoing circumstances could have a material adverse effect on our financial condition, results of operations and cash flow.</w:t>
      </w:r>
    </w:p>
    <w:p>
      <w:pPr>
        <w:spacing w:after="0" w:line="128" w:lineRule="exact"/>
        <w:rPr>
          <w:sz w:val="20"/>
          <w:szCs w:val="20"/>
          <w:color w:val="auto"/>
        </w:rPr>
      </w:pPr>
    </w:p>
    <w:p>
      <w:pPr>
        <w:ind w:right="80"/>
        <w:spacing w:after="0" w:line="277" w:lineRule="auto"/>
        <w:rPr>
          <w:sz w:val="20"/>
          <w:szCs w:val="20"/>
          <w:color w:val="auto"/>
        </w:rPr>
      </w:pPr>
      <w:r>
        <w:rPr>
          <w:rFonts w:ascii="Arial" w:cs="Arial" w:eastAsia="Arial" w:hAnsi="Arial"/>
          <w:sz w:val="17"/>
          <w:szCs w:val="17"/>
          <w:b w:val="1"/>
          <w:bCs w:val="1"/>
          <w:i w:val="1"/>
          <w:iCs w:val="1"/>
          <w:color w:val="auto"/>
        </w:rPr>
        <w:t>Changes in the debt financing markets and higher interest rates may negatively impact the ability of Oaktree’s funds and their portfolio companies to obtain attractive financing for their investments or refinance existing debt and may increase the cost of such financing if it is obtained, leading to lower-yielding investments and potentially decreasing our investment income.</w:t>
      </w:r>
    </w:p>
    <w:p>
      <w:pPr>
        <w:spacing w:after="0" w:line="97" w:lineRule="exact"/>
        <w:rPr>
          <w:sz w:val="20"/>
          <w:szCs w:val="20"/>
          <w:color w:val="auto"/>
        </w:rPr>
      </w:pPr>
    </w:p>
    <w:p>
      <w:pPr>
        <w:ind w:right="80" w:firstLine="464"/>
        <w:spacing w:after="0" w:line="262" w:lineRule="auto"/>
        <w:rPr>
          <w:sz w:val="20"/>
          <w:szCs w:val="20"/>
          <w:color w:val="auto"/>
        </w:rPr>
      </w:pPr>
      <w:r>
        <w:rPr>
          <w:rFonts w:ascii="Arial" w:cs="Arial" w:eastAsia="Arial" w:hAnsi="Arial"/>
          <w:sz w:val="17"/>
          <w:szCs w:val="17"/>
          <w:color w:val="auto"/>
        </w:rPr>
        <w:t>The markets for debt financing are subject to retrenchment, resulting in more restrictive covenants or other more onerous terms (including posting additional collateral) in order to obtain financing, and in some cases lenders may refuse to provide any financing that would have been readily obtained under different credit conditions. In addition, higher interest rates generally impact the investment management industry by making it harder to obtain financing for new investments, refinance existing investments or liquidate debt investments, which can lead to reduced investment returns and missed investment opportunities.</w:t>
      </w:r>
    </w:p>
    <w:p>
      <w:pPr>
        <w:spacing w:after="0" w:line="119" w:lineRule="exact"/>
        <w:rPr>
          <w:sz w:val="20"/>
          <w:szCs w:val="20"/>
          <w:color w:val="auto"/>
        </w:rPr>
      </w:pPr>
    </w:p>
    <w:p>
      <w:pPr>
        <w:ind w:right="60" w:firstLine="464"/>
        <w:spacing w:after="0" w:line="259" w:lineRule="auto"/>
        <w:rPr>
          <w:sz w:val="20"/>
          <w:szCs w:val="20"/>
          <w:color w:val="auto"/>
        </w:rPr>
      </w:pPr>
      <w:r>
        <w:rPr>
          <w:rFonts w:ascii="Arial" w:cs="Arial" w:eastAsia="Arial" w:hAnsi="Arial"/>
          <w:sz w:val="17"/>
          <w:szCs w:val="17"/>
          <w:color w:val="auto"/>
        </w:rPr>
        <w:t>If Oaktree’s funds are unable to obtain committed debt financing or can only obtain debt at an increased interest rate or on other less advantageous terms, such funds’ investment activities may be restricted and their profits may be lower than they would otherwise have achieved, either of which could lead to a decrease in the investment income earned by us. Similarly, the portfolio companies owned by Oaktree’s funds regularly utilize the corporate debt markets to obtain financing for their operations. To the extent that credit markets render such financing difficult or more expensive to obtain, the operating performance of those portfolio companies and therefore the investment returns on Oaktree’s funds may be negatively impacted. In addition, to the extent that the then-current markets make it difficult or impossible to refinance debt or extend maturities on outstanding debt, a portfolio</w:t>
      </w: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37" w:name="page38"/>
    <w:bookmarkEnd w:id="37"/>
    <w:p>
      <w:pPr>
        <w:ind w:right="100"/>
        <w:spacing w:after="0" w:line="271" w:lineRule="auto"/>
        <w:rPr>
          <w:sz w:val="20"/>
          <w:szCs w:val="20"/>
          <w:color w:val="auto"/>
        </w:rPr>
      </w:pPr>
      <w:r>
        <w:rPr>
          <w:rFonts w:ascii="Arial" w:cs="Arial" w:eastAsia="Arial" w:hAnsi="Arial"/>
          <w:sz w:val="17"/>
          <w:szCs w:val="17"/>
          <w:color w:val="auto"/>
        </w:rPr>
        <w:t>company may be unable to repay such debt at maturity and may be forced to sell assets, undergo a recapitalization or seek bankruptcy protection. Any of the foregoing circumstances could impair the value of Oaktree’s funds’ investments in those portfolio companies and have a material adverse effect on our financial condition, results of operations and cash flow.</w:t>
      </w:r>
    </w:p>
    <w:p>
      <w:pPr>
        <w:spacing w:after="0" w:line="111" w:lineRule="exact"/>
        <w:rPr>
          <w:sz w:val="20"/>
          <w:szCs w:val="20"/>
          <w:color w:val="auto"/>
        </w:rPr>
      </w:pPr>
    </w:p>
    <w:p>
      <w:pPr>
        <w:ind w:right="440"/>
        <w:spacing w:after="0" w:line="302" w:lineRule="auto"/>
        <w:rPr>
          <w:sz w:val="20"/>
          <w:szCs w:val="20"/>
          <w:color w:val="auto"/>
        </w:rPr>
      </w:pPr>
      <w:r>
        <w:rPr>
          <w:rFonts w:ascii="Arial" w:cs="Arial" w:eastAsia="Arial" w:hAnsi="Arial"/>
          <w:sz w:val="17"/>
          <w:szCs w:val="17"/>
          <w:b w:val="1"/>
          <w:bCs w:val="1"/>
          <w:i w:val="1"/>
          <w:iCs w:val="1"/>
          <w:color w:val="auto"/>
        </w:rPr>
        <w:t>Oaktree’s funds are subject to risks in using prime brokers, custodians, counterparties, administrators, other agents and third-party service providers.</w:t>
      </w:r>
    </w:p>
    <w:p>
      <w:pPr>
        <w:spacing w:after="0" w:line="75" w:lineRule="exact"/>
        <w:rPr>
          <w:sz w:val="20"/>
          <w:szCs w:val="20"/>
          <w:color w:val="auto"/>
        </w:rPr>
      </w:pPr>
    </w:p>
    <w:p>
      <w:pPr>
        <w:ind w:right="20" w:firstLine="464"/>
        <w:spacing w:after="0" w:line="262" w:lineRule="auto"/>
        <w:rPr>
          <w:sz w:val="20"/>
          <w:szCs w:val="20"/>
          <w:color w:val="auto"/>
        </w:rPr>
      </w:pPr>
      <w:r>
        <w:rPr>
          <w:rFonts w:ascii="Arial" w:cs="Arial" w:eastAsia="Arial" w:hAnsi="Arial"/>
          <w:sz w:val="17"/>
          <w:szCs w:val="17"/>
          <w:color w:val="auto"/>
        </w:rPr>
        <w:t>Many of Oaktree’s funds depend on the services of prime brokers, custodians, counterparties, administrators and other agents and third-party service providers to carry out certain securities and derivatives transactions and other business functions. The terms of these contracts are often customized and complex, and many of these arrangements occur in markets or relate to products that are subject to limited or no regulatory oversight. In particular, some of Oaktree’s funds utilize prime brokerage arrangements with a relatively limited number of counterparties, which has the effect of concentrating the transaction volume (and related counterparty default risk) of such funds with these counterparties.</w:t>
      </w:r>
    </w:p>
    <w:p>
      <w:pPr>
        <w:spacing w:after="0" w:line="106" w:lineRule="exact"/>
        <w:rPr>
          <w:sz w:val="20"/>
          <w:szCs w:val="20"/>
          <w:color w:val="auto"/>
        </w:rPr>
      </w:pPr>
    </w:p>
    <w:p>
      <w:pPr>
        <w:ind w:right="40" w:firstLine="464"/>
        <w:spacing w:after="0" w:line="249" w:lineRule="auto"/>
        <w:rPr>
          <w:sz w:val="20"/>
          <w:szCs w:val="20"/>
          <w:color w:val="auto"/>
        </w:rPr>
      </w:pPr>
      <w:r>
        <w:rPr>
          <w:rFonts w:ascii="Arial" w:cs="Arial" w:eastAsia="Arial" w:hAnsi="Arial"/>
          <w:sz w:val="17"/>
          <w:szCs w:val="17"/>
          <w:color w:val="auto"/>
        </w:rPr>
        <w:t>Oaktree’s funds are subject to the risk that the counterparty to one or more of these contracts defaults, either voluntarily or involuntarily, on its performance under the contract. Any such default may occur suddenly and without notice to us. Moreover, if a counterparty defaults, Oaktree’s funds may be unable to take action to cover their exposure, either because they lack contractual recourse or because market conditions make it difficult to take effective action. This inability could occur in times of market stress, which is when defaults are most likely to occur.</w:t>
      </w:r>
    </w:p>
    <w:p>
      <w:pPr>
        <w:spacing w:after="0" w:line="130" w:lineRule="exact"/>
        <w:rPr>
          <w:sz w:val="20"/>
          <w:szCs w:val="20"/>
          <w:color w:val="auto"/>
        </w:rPr>
      </w:pPr>
    </w:p>
    <w:p>
      <w:pPr>
        <w:jc w:val="both"/>
        <w:ind w:right="40" w:firstLine="464"/>
        <w:spacing w:after="0" w:line="265" w:lineRule="auto"/>
        <w:rPr>
          <w:sz w:val="20"/>
          <w:szCs w:val="20"/>
          <w:color w:val="auto"/>
        </w:rPr>
      </w:pPr>
      <w:r>
        <w:rPr>
          <w:rFonts w:ascii="Arial" w:cs="Arial" w:eastAsia="Arial" w:hAnsi="Arial"/>
          <w:sz w:val="17"/>
          <w:szCs w:val="17"/>
          <w:color w:val="auto"/>
        </w:rPr>
        <w:t>In addition, risk-management models that Oaktree may employ from time to time may not accurately anticipate the impact of market stress or counterparty financial condition, and as a result, Oaktree may not have taken sufficient action to reduce risks effectively. Default risk may arise from events or circumstances that are difficult to detect, foresee or evaluate. In addition, concerns about, or a default by, one large participant could lead to significant liquidity problems for other participants, which may in turn expose us to significant losses.</w:t>
      </w:r>
    </w:p>
    <w:p>
      <w:pPr>
        <w:spacing w:after="0" w:line="116" w:lineRule="exact"/>
        <w:rPr>
          <w:sz w:val="20"/>
          <w:szCs w:val="20"/>
          <w:color w:val="auto"/>
        </w:rPr>
      </w:pPr>
    </w:p>
    <w:p>
      <w:pPr>
        <w:ind w:right="180" w:firstLine="464"/>
        <w:spacing w:after="0" w:line="290" w:lineRule="auto"/>
        <w:rPr>
          <w:sz w:val="20"/>
          <w:szCs w:val="20"/>
          <w:color w:val="auto"/>
        </w:rPr>
      </w:pPr>
      <w:r>
        <w:rPr>
          <w:rFonts w:ascii="Arial" w:cs="Arial" w:eastAsia="Arial" w:hAnsi="Arial"/>
          <w:sz w:val="17"/>
          <w:szCs w:val="17"/>
          <w:color w:val="auto"/>
        </w:rPr>
        <w:t>In the event of a counterparty default, particularly a default by a major investment bank, one or more of Oaktree’s funds could incur material losses, and the resulting market impact of a major counterparty default could harm our business, results of operation and financial condition.</w:t>
      </w:r>
    </w:p>
    <w:p>
      <w:pPr>
        <w:spacing w:after="0" w:line="95" w:lineRule="exact"/>
        <w:rPr>
          <w:sz w:val="20"/>
          <w:szCs w:val="20"/>
          <w:color w:val="auto"/>
        </w:rPr>
      </w:pPr>
    </w:p>
    <w:p>
      <w:pPr>
        <w:ind w:firstLine="464"/>
        <w:spacing w:after="0" w:line="262" w:lineRule="auto"/>
        <w:rPr>
          <w:sz w:val="20"/>
          <w:szCs w:val="20"/>
          <w:color w:val="auto"/>
        </w:rPr>
      </w:pPr>
      <w:r>
        <w:rPr>
          <w:rFonts w:ascii="Arial" w:cs="Arial" w:eastAsia="Arial" w:hAnsi="Arial"/>
          <w:sz w:val="17"/>
          <w:szCs w:val="17"/>
          <w:color w:val="auto"/>
        </w:rPr>
        <w:t>In the event of the insolvency of a prime broker, custodian, counterparty or any other party that is holding assets of Oaktree’s funds as collateral, Oaktree’s funds might not be able to recover equivalent assets in full as they will rank among the prime broker’s, custodian’s or counterparty’s unsecured creditors in relation to the assets held as collateral. In addition, Oaktree’s funds’ cash held with a prime broker, custodian or counterparty generally will not be segregated from the prime broker’s, custodian’s or counterparty’s own cash, and Oaktree’s funds may therefore rank as unsecured creditors in relation thereto.</w:t>
      </w:r>
    </w:p>
    <w:p>
      <w:pPr>
        <w:spacing w:after="0" w:line="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Relating to Our Preferred Units</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market price of our preferred units could be adversely affected by various factors.</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market price for the preferred units may fluctuate based on a number of factors, including:</w:t>
      </w:r>
    </w:p>
    <w:p>
      <w:pPr>
        <w:spacing w:after="0" w:line="114" w:lineRule="exact"/>
        <w:rPr>
          <w:sz w:val="20"/>
          <w:szCs w:val="20"/>
          <w:color w:val="auto"/>
        </w:rPr>
      </w:pPr>
    </w:p>
    <w:p>
      <w:pPr>
        <w:ind w:left="780" w:hanging="313"/>
        <w:spacing w:after="0"/>
        <w:tabs>
          <w:tab w:leader="none" w:pos="780" w:val="left"/>
        </w:tabs>
        <w:numPr>
          <w:ilvl w:val="0"/>
          <w:numId w:val="19"/>
        </w:numPr>
        <w:rPr>
          <w:rFonts w:ascii="Arial" w:cs="Arial" w:eastAsia="Arial" w:hAnsi="Arial"/>
          <w:sz w:val="17"/>
          <w:szCs w:val="17"/>
          <w:color w:val="auto"/>
        </w:rPr>
      </w:pPr>
      <w:r>
        <w:rPr>
          <w:rFonts w:ascii="Arial" w:cs="Arial" w:eastAsia="Arial" w:hAnsi="Arial"/>
          <w:sz w:val="17"/>
          <w:szCs w:val="17"/>
          <w:color w:val="auto"/>
        </w:rPr>
        <w:t>variations in our quarterly operating results or distributions, which may be substantial;</w:t>
      </w:r>
    </w:p>
    <w:p>
      <w:pPr>
        <w:spacing w:after="0" w:line="113" w:lineRule="exact"/>
        <w:rPr>
          <w:rFonts w:ascii="Arial" w:cs="Arial" w:eastAsia="Arial" w:hAnsi="Arial"/>
          <w:sz w:val="17"/>
          <w:szCs w:val="17"/>
          <w:color w:val="auto"/>
        </w:rPr>
      </w:pPr>
    </w:p>
    <w:p>
      <w:pPr>
        <w:ind w:left="780" w:hanging="313"/>
        <w:spacing w:after="0"/>
        <w:tabs>
          <w:tab w:leader="none" w:pos="78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incurrence of additional indebtedness or additional issuances of other series or classes of preferred units;</w:t>
      </w:r>
    </w:p>
    <w:p>
      <w:pPr>
        <w:spacing w:after="0" w:line="113" w:lineRule="exact"/>
        <w:rPr>
          <w:rFonts w:ascii="Arial" w:cs="Arial" w:eastAsia="Arial" w:hAnsi="Arial"/>
          <w:sz w:val="17"/>
          <w:szCs w:val="17"/>
          <w:color w:val="auto"/>
        </w:rPr>
      </w:pPr>
    </w:p>
    <w:p>
      <w:pPr>
        <w:ind w:left="780" w:right="200" w:hanging="313"/>
        <w:spacing w:after="0" w:line="290" w:lineRule="auto"/>
        <w:tabs>
          <w:tab w:leader="none" w:pos="776" w:val="left"/>
        </w:tabs>
        <w:numPr>
          <w:ilvl w:val="0"/>
          <w:numId w:val="19"/>
        </w:numPr>
        <w:rPr>
          <w:rFonts w:ascii="Arial" w:cs="Arial" w:eastAsia="Arial" w:hAnsi="Arial"/>
          <w:sz w:val="17"/>
          <w:szCs w:val="17"/>
          <w:color w:val="auto"/>
        </w:rPr>
      </w:pPr>
      <w:r>
        <w:rPr>
          <w:rFonts w:ascii="Arial" w:cs="Arial" w:eastAsia="Arial" w:hAnsi="Arial"/>
          <w:sz w:val="17"/>
          <w:szCs w:val="17"/>
          <w:color w:val="auto"/>
        </w:rPr>
        <w:t>whether we declare or fail to declare distributions on the preferred units from time to time and our ability to make distributions under the terms of our indebtedness;</w:t>
      </w:r>
    </w:p>
    <w:p>
      <w:pPr>
        <w:spacing w:after="0" w:line="43" w:lineRule="exact"/>
        <w:rPr>
          <w:rFonts w:ascii="Arial" w:cs="Arial" w:eastAsia="Arial" w:hAnsi="Arial"/>
          <w:sz w:val="17"/>
          <w:szCs w:val="17"/>
          <w:color w:val="auto"/>
        </w:rPr>
      </w:pPr>
    </w:p>
    <w:p>
      <w:pPr>
        <w:ind w:left="780" w:hanging="313"/>
        <w:spacing w:after="0"/>
        <w:tabs>
          <w:tab w:leader="none" w:pos="78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credit ratings of the preferred units;</w:t>
      </w:r>
    </w:p>
    <w:p>
      <w:pPr>
        <w:spacing w:after="0" w:line="113" w:lineRule="exact"/>
        <w:rPr>
          <w:rFonts w:ascii="Arial" w:cs="Arial" w:eastAsia="Arial" w:hAnsi="Arial"/>
          <w:sz w:val="17"/>
          <w:szCs w:val="17"/>
          <w:color w:val="auto"/>
        </w:rPr>
      </w:pPr>
    </w:p>
    <w:p>
      <w:pPr>
        <w:ind w:left="780" w:right="500" w:hanging="313"/>
        <w:spacing w:after="0" w:line="290" w:lineRule="auto"/>
        <w:tabs>
          <w:tab w:leader="none" w:pos="776" w:val="left"/>
        </w:tabs>
        <w:numPr>
          <w:ilvl w:val="0"/>
          <w:numId w:val="19"/>
        </w:numPr>
        <w:rPr>
          <w:rFonts w:ascii="Arial" w:cs="Arial" w:eastAsia="Arial" w:hAnsi="Arial"/>
          <w:sz w:val="17"/>
          <w:szCs w:val="17"/>
          <w:color w:val="auto"/>
        </w:rPr>
      </w:pPr>
      <w:r>
        <w:rPr>
          <w:rFonts w:ascii="Arial" w:cs="Arial" w:eastAsia="Arial" w:hAnsi="Arial"/>
          <w:sz w:val="17"/>
          <w:szCs w:val="17"/>
          <w:color w:val="auto"/>
        </w:rPr>
        <w:t>a lack of liquidity in the trading of our preferred units (including, if the preferred units are voluntarily or involuntarily delisted from the NYSE);</w:t>
      </w:r>
    </w:p>
    <w:p>
      <w:pPr>
        <w:spacing w:after="0" w:line="43" w:lineRule="exact"/>
        <w:rPr>
          <w:rFonts w:ascii="Arial" w:cs="Arial" w:eastAsia="Arial" w:hAnsi="Arial"/>
          <w:sz w:val="17"/>
          <w:szCs w:val="17"/>
          <w:color w:val="auto"/>
        </w:rPr>
      </w:pPr>
    </w:p>
    <w:p>
      <w:pPr>
        <w:ind w:left="780" w:hanging="313"/>
        <w:spacing w:after="0"/>
        <w:tabs>
          <w:tab w:leader="none" w:pos="78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prevailing interest rates or rates of return being paid by other companies similar to us and the market for similar securities; and</w:t>
      </w:r>
    </w:p>
    <w:p>
      <w:pPr>
        <w:spacing w:after="0" w:line="113" w:lineRule="exact"/>
        <w:rPr>
          <w:rFonts w:ascii="Arial" w:cs="Arial" w:eastAsia="Arial" w:hAnsi="Arial"/>
          <w:sz w:val="17"/>
          <w:szCs w:val="17"/>
          <w:color w:val="auto"/>
        </w:rPr>
      </w:pPr>
    </w:p>
    <w:p>
      <w:pPr>
        <w:ind w:left="780" w:hanging="313"/>
        <w:spacing w:after="0"/>
        <w:tabs>
          <w:tab w:leader="none" w:pos="780" w:val="left"/>
        </w:tabs>
        <w:numPr>
          <w:ilvl w:val="0"/>
          <w:numId w:val="19"/>
        </w:numPr>
        <w:rPr>
          <w:rFonts w:ascii="Arial" w:cs="Arial" w:eastAsia="Arial" w:hAnsi="Arial"/>
          <w:sz w:val="17"/>
          <w:szCs w:val="17"/>
          <w:color w:val="auto"/>
        </w:rPr>
      </w:pPr>
      <w:r>
        <w:rPr>
          <w:rFonts w:ascii="Arial" w:cs="Arial" w:eastAsia="Arial" w:hAnsi="Arial"/>
          <w:sz w:val="17"/>
          <w:szCs w:val="17"/>
          <w:color w:val="auto"/>
        </w:rPr>
        <w:t>general market, political and economic conditions.</w:t>
      </w:r>
    </w:p>
    <w:p>
      <w:pPr>
        <w:spacing w:after="0" w:line="165" w:lineRule="exact"/>
        <w:rPr>
          <w:sz w:val="20"/>
          <w:szCs w:val="20"/>
          <w:color w:val="auto"/>
        </w:rPr>
      </w:pPr>
    </w:p>
    <w:p>
      <w:pPr>
        <w:ind w:right="260" w:firstLine="464"/>
        <w:spacing w:after="0" w:line="290" w:lineRule="auto"/>
        <w:rPr>
          <w:sz w:val="20"/>
          <w:szCs w:val="20"/>
          <w:color w:val="auto"/>
        </w:rPr>
      </w:pPr>
      <w:r>
        <w:rPr>
          <w:rFonts w:ascii="Arial" w:cs="Arial" w:eastAsia="Arial" w:hAnsi="Arial"/>
          <w:sz w:val="17"/>
          <w:szCs w:val="17"/>
          <w:color w:val="auto"/>
        </w:rPr>
        <w:t>Our performance, market conditions and prevailing interest rates have fluctuated in the past and can be expected to fluctuate in the future. Fluctuations in these factors could have an adverse effect on the price and</w:t>
      </w: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012" w:right="359" w:bottom="1440" w:gutter="0" w:footer="0" w:header="0"/>
        </w:sectPr>
      </w:pPr>
    </w:p>
    <w:bookmarkStart w:id="38" w:name="page39"/>
    <w:bookmarkEnd w:id="38"/>
    <w:p>
      <w:pPr>
        <w:ind w:right="440"/>
        <w:spacing w:after="0" w:line="271" w:lineRule="auto"/>
        <w:rPr>
          <w:sz w:val="20"/>
          <w:szCs w:val="20"/>
          <w:color w:val="auto"/>
        </w:rPr>
      </w:pPr>
      <w:r>
        <w:rPr>
          <w:rFonts w:ascii="Arial" w:cs="Arial" w:eastAsia="Arial" w:hAnsi="Arial"/>
          <w:sz w:val="17"/>
          <w:szCs w:val="17"/>
          <w:color w:val="auto"/>
        </w:rPr>
        <w:t>liquidity of the preferred units. In general, as market interest rates rise, securities with fixed interest rates or fixed distribution rates, such as the preferred units, decline in value. Consequently, if you purchase the preferred units and market interest rates increase, the market price of the preferred units may decline. We cannot predict the future level of market interest rates.</w:t>
      </w:r>
    </w:p>
    <w:p>
      <w:pPr>
        <w:spacing w:after="0" w:line="47" w:lineRule="exact"/>
        <w:rPr>
          <w:sz w:val="20"/>
          <w:szCs w:val="20"/>
          <w:color w:val="auto"/>
        </w:rPr>
      </w:pPr>
    </w:p>
    <w:p>
      <w:pPr>
        <w:ind w:firstLine="464"/>
        <w:spacing w:after="0" w:line="246" w:lineRule="auto"/>
        <w:rPr>
          <w:sz w:val="20"/>
          <w:szCs w:val="20"/>
          <w:color w:val="auto"/>
        </w:rPr>
      </w:pPr>
      <w:r>
        <w:rPr>
          <w:rFonts w:ascii="Arial" w:cs="Arial" w:eastAsia="Arial" w:hAnsi="Arial"/>
          <w:sz w:val="17"/>
          <w:szCs w:val="17"/>
          <w:color w:val="auto"/>
        </w:rPr>
        <w:t>Our ability to pay quarterly distributions on the preferred units will be subject to, among other things, general business conditions, our financial results, restrictions under the terms of any indebtedness we may incur or senior units we may issue, Oaktree Capital I’s existing and future indebtedness or senior equity securities, and our and Oaktree Capital I’s liquidity needs. Any reduction or discontinuation of quarterly distributions could cause the market price of the preferred units to decline significantly. Accordingly, the preferred units may trade at a discount to their purchase price.</w:t>
      </w:r>
    </w:p>
    <w:p>
      <w:pPr>
        <w:spacing w:after="0" w:line="133"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b w:val="1"/>
          <w:bCs w:val="1"/>
          <w:i w:val="1"/>
          <w:iCs w:val="1"/>
          <w:color w:val="auto"/>
        </w:rPr>
        <w:t>If we, including any service organizations that we use, fail to maintain effective internal controls over our financial reporting in the future, the accuracy and timing of our financial reporting may be adversely affected.</w:t>
      </w:r>
    </w:p>
    <w:p>
      <w:pPr>
        <w:spacing w:after="0" w:line="76" w:lineRule="exact"/>
        <w:rPr>
          <w:sz w:val="20"/>
          <w:szCs w:val="20"/>
          <w:color w:val="auto"/>
        </w:rPr>
      </w:pPr>
    </w:p>
    <w:p>
      <w:pPr>
        <w:ind w:right="40" w:firstLine="464"/>
        <w:spacing w:after="0" w:line="260" w:lineRule="auto"/>
        <w:rPr>
          <w:sz w:val="20"/>
          <w:szCs w:val="20"/>
          <w:color w:val="auto"/>
        </w:rPr>
      </w:pPr>
      <w:r>
        <w:rPr>
          <w:rFonts w:ascii="Arial" w:cs="Arial" w:eastAsia="Arial" w:hAnsi="Arial"/>
          <w:sz w:val="17"/>
          <w:szCs w:val="17"/>
          <w:color w:val="auto"/>
        </w:rPr>
        <w:t>The Sarbanes-Oxley Act requires, among other things, that as a public company we maintain effective internal control over financial reporting and disclosure controls and procedures. We are required under Section 404 to provide an annual management assessment of the effectiveness of our internal controls over financial reporting. Following the 2019 Restructuring, we are no longer required to include in our annual reports an opinion from our independent registered public accounting firm addressing its assessment of such controls. To maintain and improve the effectiveness of our disclosure controls and procedures, significant resources and management oversight are required. We have implemented and continue to implement procedures and processes to address the standards and requirements applicable to public companies.</w:t>
      </w:r>
    </w:p>
    <w:p>
      <w:pPr>
        <w:spacing w:after="0" w:line="122" w:lineRule="exact"/>
        <w:rPr>
          <w:sz w:val="20"/>
          <w:szCs w:val="20"/>
          <w:color w:val="auto"/>
        </w:rPr>
      </w:pPr>
    </w:p>
    <w:p>
      <w:pPr>
        <w:ind w:right="140" w:firstLine="464"/>
        <w:spacing w:after="0" w:line="259" w:lineRule="auto"/>
        <w:rPr>
          <w:sz w:val="20"/>
          <w:szCs w:val="20"/>
          <w:color w:val="auto"/>
        </w:rPr>
      </w:pPr>
      <w:r>
        <w:rPr>
          <w:rFonts w:ascii="Arial" w:cs="Arial" w:eastAsia="Arial" w:hAnsi="Arial"/>
          <w:sz w:val="17"/>
          <w:szCs w:val="17"/>
          <w:color w:val="auto"/>
        </w:rPr>
        <w:t>If it is determined that we are not in compliance with Section 404 in the future, we would be required to implement remedial procedures and re-evaluate our internal controls over financial reporting and our operations, financial reporting or financial results could be adversely affected. Matters impacting our internal controls may cause us to be unable to report our financial information on a timely basis and thereby subject us to adverse regulatory consequences, including sanctions by the SEC, or violations of applicable stock exchange listing rules. Moreover, if a material misstatement occurs, we may need to restate our financial results and there could be a negative reaction in the financial markets due to a loss of investor confidence in us and the reliability of our financial statements. This could materially adversely affect us and lead to a decline in the market price of our preferred units.</w:t>
      </w:r>
    </w:p>
    <w:p>
      <w:pPr>
        <w:spacing w:after="0" w:line="122" w:lineRule="exact"/>
        <w:rPr>
          <w:sz w:val="20"/>
          <w:szCs w:val="20"/>
          <w:color w:val="auto"/>
        </w:rPr>
      </w:pPr>
    </w:p>
    <w:p>
      <w:pPr>
        <w:jc w:val="both"/>
        <w:ind w:right="220" w:firstLine="464"/>
        <w:spacing w:after="0" w:line="271" w:lineRule="auto"/>
        <w:rPr>
          <w:sz w:val="20"/>
          <w:szCs w:val="20"/>
          <w:color w:val="auto"/>
        </w:rPr>
      </w:pPr>
      <w:r>
        <w:rPr>
          <w:rFonts w:ascii="Arial" w:cs="Arial" w:eastAsia="Arial" w:hAnsi="Arial"/>
          <w:sz w:val="17"/>
          <w:szCs w:val="17"/>
          <w:color w:val="auto"/>
        </w:rPr>
        <w:t>Preparing our consolidated financial statements involves a number of complex manual and automated processes, which are dependent on individual data input or review and require significant management judgment. One or more of these elements may result in errors that may not be detected and could result in a material misstatement of our consolidated financial statements.</w:t>
      </w:r>
    </w:p>
    <w:p>
      <w:pPr>
        <w:spacing w:after="0" w:line="11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Distributions on the preferred units are discretionary and non-cumulative.</w:t>
      </w:r>
    </w:p>
    <w:p>
      <w:pPr>
        <w:spacing w:after="0" w:line="165" w:lineRule="exact"/>
        <w:rPr>
          <w:sz w:val="20"/>
          <w:szCs w:val="20"/>
          <w:color w:val="auto"/>
        </w:rPr>
      </w:pPr>
    </w:p>
    <w:p>
      <w:pPr>
        <w:ind w:firstLine="464"/>
        <w:spacing w:after="0" w:line="256" w:lineRule="auto"/>
        <w:rPr>
          <w:sz w:val="20"/>
          <w:szCs w:val="20"/>
          <w:color w:val="auto"/>
        </w:rPr>
      </w:pPr>
      <w:r>
        <w:rPr>
          <w:rFonts w:ascii="Arial" w:cs="Arial" w:eastAsia="Arial" w:hAnsi="Arial"/>
          <w:sz w:val="17"/>
          <w:szCs w:val="17"/>
          <w:color w:val="auto"/>
        </w:rPr>
        <w:t>Distributions on each of the Series A preferred units and Series B preferred units are discretionary and non-cumulative. Holders of each series of our preferred units will only receive distributions when, as and if declared by our board of directors. Consequently, if the board of directors does not authorize and declare a distribution for a distribution period, holders of each of our preferred units would not be entitled to receive any distribution for such distribution period, and such unpaid distribution will not be payable in such distribution period or in later distribution periods. We will have no obligation to pay distributions for a distribution period if our board of directors does not declare such distribution before the scheduled record date for such period, whether or not distributions are declared or paid for any subsequent distribution period with respect to our outstanding preferred units or any other preferred units we may issue in the future. This may result in holders of our preferred units not receiving the full amount of distributions that they expect to receive, or any distributions, and may make it more difficult to resell our preferred units, or to do so at a price that the holder finds attractive. Our board of directors may, in its sole discretion, determine to suspend distributions on our outstanding preferred units, which may have a material adverse effect on the market price of those units. There can be no assurances that our operations will generate sufficient cash flows to enable us to pay distributions on our preferred units. Our financial and operating performance is subject to prevailing economic and industry conditions and to financial, business and other factors, many of which are beyond our control.</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39" w:name="page40"/>
    <w:bookmarkEnd w:id="39"/>
    <w:p>
      <w:pPr>
        <w:spacing w:after="0"/>
        <w:rPr>
          <w:sz w:val="20"/>
          <w:szCs w:val="20"/>
          <w:color w:val="auto"/>
        </w:rPr>
      </w:pPr>
      <w:r>
        <w:rPr>
          <w:rFonts w:ascii="Arial" w:cs="Arial" w:eastAsia="Arial" w:hAnsi="Arial"/>
          <w:sz w:val="17"/>
          <w:szCs w:val="17"/>
          <w:b w:val="1"/>
          <w:bCs w:val="1"/>
          <w:color w:val="auto"/>
        </w:rPr>
        <w:t>Risks Relating to Our Organization and Structure</w:t>
      </w:r>
    </w:p>
    <w:p>
      <w:pPr>
        <w:spacing w:after="0" w:line="116" w:lineRule="exact"/>
        <w:rPr>
          <w:sz w:val="20"/>
          <w:szCs w:val="20"/>
          <w:color w:val="auto"/>
        </w:rPr>
      </w:pPr>
    </w:p>
    <w:p>
      <w:pPr>
        <w:ind w:right="220"/>
        <w:spacing w:after="0" w:line="302" w:lineRule="auto"/>
        <w:rPr>
          <w:sz w:val="20"/>
          <w:szCs w:val="20"/>
          <w:color w:val="auto"/>
        </w:rPr>
      </w:pPr>
      <w:r>
        <w:rPr>
          <w:rFonts w:ascii="Arial" w:cs="Arial" w:eastAsia="Arial" w:hAnsi="Arial"/>
          <w:sz w:val="17"/>
          <w:szCs w:val="17"/>
          <w:b w:val="1"/>
          <w:bCs w:val="1"/>
          <w:i w:val="1"/>
          <w:iCs w:val="1"/>
          <w:color w:val="auto"/>
        </w:rPr>
        <w:t>We have an indirect economic interest in only a portion of the Oaktree Operating Group, which may negatively impact our ability to pay distributions on our preferred units.</w:t>
      </w:r>
    </w:p>
    <w:p>
      <w:pPr>
        <w:spacing w:after="0" w:line="75" w:lineRule="exact"/>
        <w:rPr>
          <w:sz w:val="20"/>
          <w:szCs w:val="20"/>
          <w:color w:val="auto"/>
        </w:rPr>
      </w:pPr>
    </w:p>
    <w:p>
      <w:pPr>
        <w:ind w:right="260" w:firstLine="464"/>
        <w:spacing w:after="0" w:line="260" w:lineRule="auto"/>
        <w:rPr>
          <w:sz w:val="20"/>
          <w:szCs w:val="20"/>
          <w:color w:val="auto"/>
        </w:rPr>
      </w:pPr>
      <w:r>
        <w:rPr>
          <w:rFonts w:ascii="Arial" w:cs="Arial" w:eastAsia="Arial" w:hAnsi="Arial"/>
          <w:sz w:val="17"/>
          <w:szCs w:val="17"/>
          <w:color w:val="auto"/>
        </w:rPr>
        <w:t>Following the 2022 Restructuring, the only entity within the Oaktree Operating Group in which we have an indirect economic interest is Oaktree Capital I. As a result of the 2024 Restructuring, the Company no longer consolidates the operations of Oaktree Capital I, but rather accounts for the Company’s approximately 74% interest in Oaktree Capital I under the equity method of accounting. As such, subsequent to the 2024 Restructuring, the Company’s revenue is primarily the investment income earned from (i) limited partner investments in certain of Oaktree’s flagship opportunistic funds, (ii) an equity method investment in Oaktree Capital I, and (iii) an indirect ownership in Brookfield REIT. Please see “Item 1. Business—Structure and Operation of our Business.”</w:t>
      </w:r>
    </w:p>
    <w:p>
      <w:pPr>
        <w:spacing w:after="0" w:line="122" w:lineRule="exact"/>
        <w:rPr>
          <w:sz w:val="20"/>
          <w:szCs w:val="20"/>
          <w:color w:val="auto"/>
        </w:rPr>
      </w:pPr>
    </w:p>
    <w:p>
      <w:pPr>
        <w:ind w:right="20" w:firstLine="464"/>
        <w:spacing w:after="0" w:line="257" w:lineRule="auto"/>
        <w:rPr>
          <w:sz w:val="20"/>
          <w:szCs w:val="20"/>
          <w:color w:val="auto"/>
        </w:rPr>
      </w:pPr>
      <w:r>
        <w:rPr>
          <w:rFonts w:ascii="Arial" w:cs="Arial" w:eastAsia="Arial" w:hAnsi="Arial"/>
          <w:sz w:val="17"/>
          <w:szCs w:val="17"/>
          <w:color w:val="auto"/>
        </w:rPr>
        <w:t>We hold a limited partner interest in, and made a capital commitment of, $750.0 million to Oaktree Opportunities Fund XI, L.P., a parallel investment vehicle thereof or a feeder fund in respect of one of the foregoing (such limited partner interest, the “Opps XI Investment” and such fund entities collectively, “Opps XI”). In order to fund the Opps XI Investment, our sole Class A unitholder, or one of its affiliates, contributes cash as a capital contribution (the “Opps XI Investment Cash”) as and to the extent required to satisfy our obligations to Opps XI. We will use the Opps XI Investment Cash solely to fund the Opps XI Investment and satisfy our obligations in respect of Opps XI. Distributions from the Opps XI Investment are intended for the benefit of the Class A unitholder, subject to applicable law. Our preferred unitholders should not rely on distributions received by us in respect of our Opps XI Investment for payment of distributions on or redemption of the preferred units. As of December 31, 2025, the Company has funded in the aggregate $637.5 million of the $750.0 million capital commitment. $379.0 million of the investment interest was pledged as collateral for two non-recourse credit facilities of an affiliate. The potential exposure is limited to the pledged interests.</w:t>
      </w:r>
    </w:p>
    <w:p>
      <w:pPr>
        <w:spacing w:after="0" w:line="63" w:lineRule="exact"/>
        <w:rPr>
          <w:sz w:val="20"/>
          <w:szCs w:val="20"/>
          <w:color w:val="auto"/>
        </w:rPr>
      </w:pPr>
    </w:p>
    <w:p>
      <w:pPr>
        <w:ind w:firstLine="464"/>
        <w:spacing w:after="0"/>
        <w:rPr>
          <w:sz w:val="20"/>
          <w:szCs w:val="20"/>
          <w:color w:val="auto"/>
        </w:rPr>
      </w:pPr>
      <w:r>
        <w:rPr>
          <w:rFonts w:ascii="Arial" w:cs="Arial" w:eastAsia="Arial" w:hAnsi="Arial"/>
          <w:sz w:val="17"/>
          <w:szCs w:val="17"/>
          <w:color w:val="auto"/>
        </w:rPr>
        <w:t>In addition, we hold a limited partner interest in, and made a capital commitment of, $ 750.0 million to Oaktree Opportunities Fund XII, L.P., a parallel investment vehicle thereof or a feeder fund in respect of one of the foregoing (such limited partner interest, the “Opps XII Investment” and such fund entities collectively, “Opps XII”). Subsequently, the Company made an additional commitment of $46.2 million. In order to fund the Opps XII Investment, our sole Class A unitholder, or one of its affiliates, contributes cash as a capital contribution (the “Opps XII Investment Cash”) as and to the extent required to satisfy our obligations to Opps XII. We will use the Opps XII Investment Cash solely to fund the Opps XII Investment and satisfy our obligations in respect of Opps XII. Distributions from the Opps XII Investment are intended for the benefit of the Class A unitholder,</w:t>
      </w:r>
    </w:p>
    <w:p>
      <w:pPr>
        <w:spacing w:after="0" w:line="3" w:lineRule="exact"/>
        <w:rPr>
          <w:sz w:val="20"/>
          <w:szCs w:val="20"/>
          <w:color w:val="auto"/>
        </w:rPr>
      </w:pPr>
    </w:p>
    <w:p>
      <w:pPr>
        <w:spacing w:after="0" w:line="229" w:lineRule="auto"/>
        <w:rPr>
          <w:sz w:val="20"/>
          <w:szCs w:val="20"/>
          <w:color w:val="auto"/>
        </w:rPr>
      </w:pPr>
      <w:r>
        <w:rPr>
          <w:rFonts w:ascii="Arial" w:cs="Arial" w:eastAsia="Arial" w:hAnsi="Arial"/>
          <w:sz w:val="17"/>
          <w:szCs w:val="17"/>
          <w:color w:val="auto"/>
        </w:rPr>
        <w:t>subject to applicable law. Our preferred unitholders should not rely on distributions received by us in respect of our Opps XII Investment for payment of distributions on or redemption of the preferred units. As of December 31, 2025, the Company has funded in the aggregate $218.9 million of the</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$796.2 million capital commitment.</w:t>
      </w:r>
    </w:p>
    <w:p>
      <w:pPr>
        <w:spacing w:after="0" w:line="149" w:lineRule="exact"/>
        <w:rPr>
          <w:sz w:val="20"/>
          <w:szCs w:val="20"/>
          <w:color w:val="auto"/>
        </w:rPr>
      </w:pPr>
    </w:p>
    <w:p>
      <w:pPr>
        <w:ind w:right="40" w:firstLine="464"/>
        <w:spacing w:after="0" w:line="271" w:lineRule="auto"/>
        <w:rPr>
          <w:sz w:val="20"/>
          <w:szCs w:val="20"/>
          <w:color w:val="auto"/>
        </w:rPr>
      </w:pPr>
      <w:r>
        <w:rPr>
          <w:rFonts w:ascii="Arial" w:cs="Arial" w:eastAsia="Arial" w:hAnsi="Arial"/>
          <w:sz w:val="17"/>
          <w:szCs w:val="17"/>
          <w:color w:val="auto"/>
        </w:rPr>
        <w:t>The distributions to holders of the Series A and Series B preferred units have been, and are expected to continue to be, generally serviced by distributions we receive from Oaktree Capital I. There can be no assurances that the distributions we receive from Oaktree Capital I will generate sufficient cash flows to enable us to pay distributions on our preferred units.</w:t>
      </w:r>
    </w:p>
    <w:p>
      <w:pPr>
        <w:spacing w:after="0" w:line="111" w:lineRule="exact"/>
        <w:rPr>
          <w:sz w:val="20"/>
          <w:szCs w:val="20"/>
          <w:color w:val="auto"/>
        </w:rPr>
      </w:pPr>
    </w:p>
    <w:p>
      <w:pPr>
        <w:ind w:right="120"/>
        <w:spacing w:after="0" w:line="277" w:lineRule="auto"/>
        <w:rPr>
          <w:sz w:val="20"/>
          <w:szCs w:val="20"/>
          <w:color w:val="auto"/>
        </w:rPr>
      </w:pPr>
      <w:r>
        <w:rPr>
          <w:rFonts w:ascii="Arial" w:cs="Arial" w:eastAsia="Arial" w:hAnsi="Arial"/>
          <w:sz w:val="17"/>
          <w:szCs w:val="17"/>
          <w:b w:val="1"/>
          <w:bCs w:val="1"/>
          <w:i w:val="1"/>
          <w:iCs w:val="1"/>
          <w:color w:val="auto"/>
        </w:rPr>
        <w:t>If we or any of Oaktree’s private funds were deemed an investment company under the Investment Company Act, applicable restrictions could make it impractical for us to continue our business or for Oaktree to continue such funds as contemplated and could have a material adverse effect on our business.</w:t>
      </w:r>
    </w:p>
    <w:p>
      <w:pPr>
        <w:spacing w:after="0" w:line="9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 person will generally be deemed to be an “investment company” for purposes of the Investment Company Act if:</w:t>
      </w:r>
    </w:p>
    <w:p>
      <w:pPr>
        <w:spacing w:after="0" w:line="165" w:lineRule="exact"/>
        <w:rPr>
          <w:sz w:val="20"/>
          <w:szCs w:val="20"/>
          <w:color w:val="auto"/>
        </w:rPr>
      </w:pPr>
    </w:p>
    <w:p>
      <w:pPr>
        <w:ind w:left="780" w:right="220" w:hanging="313"/>
        <w:spacing w:after="0" w:line="290" w:lineRule="auto"/>
        <w:tabs>
          <w:tab w:leader="none" w:pos="776" w:val="left"/>
        </w:tabs>
        <w:numPr>
          <w:ilvl w:val="0"/>
          <w:numId w:val="20"/>
        </w:numPr>
        <w:rPr>
          <w:rFonts w:ascii="Arial" w:cs="Arial" w:eastAsia="Arial" w:hAnsi="Arial"/>
          <w:sz w:val="17"/>
          <w:szCs w:val="17"/>
          <w:color w:val="auto"/>
        </w:rPr>
      </w:pPr>
      <w:r>
        <w:rPr>
          <w:rFonts w:ascii="Arial" w:cs="Arial" w:eastAsia="Arial" w:hAnsi="Arial"/>
          <w:sz w:val="17"/>
          <w:szCs w:val="17"/>
          <w:color w:val="auto"/>
        </w:rPr>
        <w:t>it is or holds itself out as being engaged primarily, or proposes to engage primarily, in the business of investing, reinvesting or trading in securities; or</w:t>
      </w:r>
    </w:p>
    <w:p>
      <w:pPr>
        <w:spacing w:after="0" w:line="94" w:lineRule="exact"/>
        <w:rPr>
          <w:rFonts w:ascii="Arial" w:cs="Arial" w:eastAsia="Arial" w:hAnsi="Arial"/>
          <w:sz w:val="17"/>
          <w:szCs w:val="17"/>
          <w:color w:val="auto"/>
        </w:rPr>
      </w:pPr>
    </w:p>
    <w:p>
      <w:pPr>
        <w:ind w:left="780" w:right="280" w:hanging="313"/>
        <w:spacing w:after="0" w:line="290" w:lineRule="auto"/>
        <w:tabs>
          <w:tab w:leader="none" w:pos="776" w:val="left"/>
        </w:tabs>
        <w:numPr>
          <w:ilvl w:val="0"/>
          <w:numId w:val="20"/>
        </w:numPr>
        <w:rPr>
          <w:rFonts w:ascii="Arial" w:cs="Arial" w:eastAsia="Arial" w:hAnsi="Arial"/>
          <w:sz w:val="17"/>
          <w:szCs w:val="17"/>
          <w:color w:val="auto"/>
        </w:rPr>
      </w:pPr>
      <w:r>
        <w:rPr>
          <w:rFonts w:ascii="Arial" w:cs="Arial" w:eastAsia="Arial" w:hAnsi="Arial"/>
          <w:sz w:val="17"/>
          <w:szCs w:val="17"/>
          <w:color w:val="auto"/>
        </w:rPr>
        <w:t>absent an applicable exemption, it owns or proposes to acquire investment securities having a value exceeding 40% of the value of its total assets (exclusive of U.S. government securities and cash items) on an unconsolidated basis.</w:t>
      </w:r>
    </w:p>
    <w:p>
      <w:pPr>
        <w:spacing w:after="0" w:line="95" w:lineRule="exact"/>
        <w:rPr>
          <w:sz w:val="20"/>
          <w:szCs w:val="20"/>
          <w:color w:val="auto"/>
        </w:rPr>
      </w:pPr>
    </w:p>
    <w:p>
      <w:pPr>
        <w:ind w:right="440" w:firstLine="464"/>
        <w:spacing w:after="0" w:line="265" w:lineRule="auto"/>
        <w:rPr>
          <w:sz w:val="20"/>
          <w:szCs w:val="20"/>
          <w:color w:val="auto"/>
        </w:rPr>
      </w:pPr>
      <w:r>
        <w:rPr>
          <w:rFonts w:ascii="Arial" w:cs="Arial" w:eastAsia="Arial" w:hAnsi="Arial"/>
          <w:sz w:val="17"/>
          <w:szCs w:val="17"/>
          <w:color w:val="auto"/>
        </w:rPr>
        <w:t>We believe that we are engaged primarily in the business of providing asset management services and not primarily in the business of investing, reinvesting or trading in securities. We also believe that the primary source of income from our business is properly characterized as income earned in exchange for the provision of services. We hold ourselves out as an asset management firm and do not propose to engage primarily in the business of</w:t>
      </w: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959" w:right="339" w:bottom="1440" w:gutter="0" w:footer="0" w:header="0"/>
        </w:sectPr>
      </w:pPr>
    </w:p>
    <w:bookmarkStart w:id="40" w:name="page41"/>
    <w:bookmarkEnd w:id="40"/>
    <w:p>
      <w:pPr>
        <w:ind w:right="300"/>
        <w:spacing w:after="0" w:line="290" w:lineRule="auto"/>
        <w:rPr>
          <w:sz w:val="20"/>
          <w:szCs w:val="20"/>
          <w:color w:val="auto"/>
        </w:rPr>
      </w:pPr>
      <w:r>
        <w:rPr>
          <w:rFonts w:ascii="Arial" w:cs="Arial" w:eastAsia="Arial" w:hAnsi="Arial"/>
          <w:sz w:val="17"/>
          <w:szCs w:val="17"/>
          <w:color w:val="auto"/>
        </w:rPr>
        <w:t>investing, reinvesting or trading in securities. Accordingly, we do not believe that we are an investment company under the Investment Company Act.</w:t>
      </w:r>
    </w:p>
    <w:p>
      <w:pPr>
        <w:spacing w:after="0" w:line="30" w:lineRule="exact"/>
        <w:rPr>
          <w:sz w:val="20"/>
          <w:szCs w:val="20"/>
          <w:color w:val="auto"/>
        </w:rPr>
      </w:pPr>
    </w:p>
    <w:p>
      <w:pPr>
        <w:ind w:right="20" w:firstLine="464"/>
        <w:spacing w:after="0"/>
        <w:rPr>
          <w:sz w:val="20"/>
          <w:szCs w:val="20"/>
          <w:color w:val="auto"/>
        </w:rPr>
      </w:pPr>
      <w:r>
        <w:rPr>
          <w:rFonts w:ascii="Arial" w:cs="Arial" w:eastAsia="Arial" w:hAnsi="Arial"/>
          <w:sz w:val="17"/>
          <w:szCs w:val="17"/>
          <w:color w:val="auto"/>
        </w:rPr>
        <w:t>The Investment Company Act and the rules thereunder contain detailed parameters for the organization and operation of investment companies. Among other things, the Investment Company Act and the rules thereunder limit or prohibit transactions with affiliates, impose limitations on the issuance of debt and equity securities, generally prohibit the issuance of options and impose certain governance requirements. Oaktree and we intend to conduct our respective operations so that Oaktree and we will not be deemed to be an investment company under the Investment Company Act. While Oaktree does advise or sub-advise funds that are registered under the Investment Company Act, Oaktree operates its private funds so that they are not deemed to be investment companies that are required to be registered under the Investment Company Act. If</w:t>
      </w:r>
    </w:p>
    <w:p>
      <w:pPr>
        <w:spacing w:after="0" w:line="3" w:lineRule="exact"/>
        <w:rPr>
          <w:sz w:val="20"/>
          <w:szCs w:val="20"/>
          <w:color w:val="auto"/>
        </w:rPr>
      </w:pPr>
    </w:p>
    <w:p>
      <w:pPr>
        <w:ind w:right="40"/>
        <w:spacing w:after="0" w:line="229" w:lineRule="auto"/>
        <w:rPr>
          <w:sz w:val="20"/>
          <w:szCs w:val="20"/>
          <w:color w:val="auto"/>
        </w:rPr>
      </w:pPr>
      <w:r>
        <w:rPr>
          <w:rFonts w:ascii="Arial" w:cs="Arial" w:eastAsia="Arial" w:hAnsi="Arial"/>
          <w:sz w:val="17"/>
          <w:szCs w:val="17"/>
          <w:color w:val="auto"/>
        </w:rPr>
        <w:t>anything were to happen that would cause us to be deemed to be an investment company under the Investment Company Act or that would require us to register its private funds under the Investment Company Act, requirements imposed by the Investment Company Act, including limitations on</w:t>
      </w:r>
    </w:p>
    <w:p>
      <w:pPr>
        <w:spacing w:after="0" w:line="1" w:lineRule="exact"/>
        <w:rPr>
          <w:sz w:val="20"/>
          <w:szCs w:val="20"/>
          <w:color w:val="auto"/>
        </w:rPr>
      </w:pPr>
    </w:p>
    <w:p>
      <w:pPr>
        <w:ind w:right="160"/>
        <w:spacing w:after="0"/>
        <w:rPr>
          <w:sz w:val="20"/>
          <w:szCs w:val="20"/>
          <w:color w:val="auto"/>
        </w:rPr>
      </w:pPr>
      <w:r>
        <w:rPr>
          <w:rFonts w:ascii="Arial" w:cs="Arial" w:eastAsia="Arial" w:hAnsi="Arial"/>
          <w:sz w:val="17"/>
          <w:szCs w:val="17"/>
          <w:color w:val="auto"/>
        </w:rPr>
        <w:t>capital structure, ability to transact business with affiliates and ability to compensate senior employees, could make it impractical for us to continue our business as currently conducted or Oaktree to continue management of its private funds as currently conducted, impair the agreements and arrangements between and among OCGH, us, Oaktree’s private funds and Oaktree’s senior management, or any combination thereof, and materially adversely affect our business, financial condition and results of operations. In addition, we may be required to limit the amount of investments that we make as a principal or otherwise conduct our business in a manner that does not subject us to the registration and other requirements of the Investment Company Act.</w:t>
      </w:r>
    </w:p>
    <w:p>
      <w:pPr>
        <w:spacing w:after="0" w:line="139" w:lineRule="exact"/>
        <w:rPr>
          <w:sz w:val="20"/>
          <w:szCs w:val="20"/>
          <w:color w:val="auto"/>
        </w:rPr>
      </w:pPr>
    </w:p>
    <w:p>
      <w:pPr>
        <w:ind w:right="460"/>
        <w:spacing w:after="0" w:line="302" w:lineRule="auto"/>
        <w:rPr>
          <w:sz w:val="20"/>
          <w:szCs w:val="20"/>
          <w:color w:val="auto"/>
        </w:rPr>
      </w:pPr>
      <w:r>
        <w:rPr>
          <w:rFonts w:ascii="Arial" w:cs="Arial" w:eastAsia="Arial" w:hAnsi="Arial"/>
          <w:sz w:val="17"/>
          <w:szCs w:val="17"/>
          <w:b w:val="1"/>
          <w:bCs w:val="1"/>
          <w:i w:val="1"/>
          <w:iCs w:val="1"/>
          <w:color w:val="auto"/>
        </w:rPr>
        <w:t>Our operating agreement contains provisions that substantially limit remedies available to our preferred unitholders for actions that might otherwise result in liability for our officers and/or directors.</w:t>
      </w:r>
    </w:p>
    <w:p>
      <w:pPr>
        <w:spacing w:after="0" w:line="75" w:lineRule="exact"/>
        <w:rPr>
          <w:sz w:val="20"/>
          <w:szCs w:val="20"/>
          <w:color w:val="auto"/>
        </w:rPr>
      </w:pPr>
    </w:p>
    <w:p>
      <w:pPr>
        <w:ind w:firstLine="464"/>
        <w:spacing w:after="0" w:line="256" w:lineRule="auto"/>
        <w:rPr>
          <w:sz w:val="20"/>
          <w:szCs w:val="20"/>
          <w:color w:val="auto"/>
        </w:rPr>
      </w:pPr>
      <w:r>
        <w:rPr>
          <w:rFonts w:ascii="Arial" w:cs="Arial" w:eastAsia="Arial" w:hAnsi="Arial"/>
          <w:sz w:val="17"/>
          <w:szCs w:val="17"/>
          <w:color w:val="auto"/>
        </w:rPr>
        <w:t>While our operating agreement provides that our officers and directors have fiduciary duties equivalent to those applicable to officers and directors of a Delaware corporation under the Delaware General Corporation Law, the agreement also provides that our officers and directors are liable to us or our unitholders for an act or omission only if such act or omission constitutes a breach of the duties owed to us or our unitholders, as applicable, by any such officer or director and such breach is the result of willful malfeasance, gross negligence, the commission of a felony or a material violation of law, in each case, that has, or could reasonably be expected to have, a material adverse effect on us or fraud. Moreover, we have agreed to indemnify each of our directors and officers, to the fullest extent permitted by law, against all expenses and liabilities (including judgments, fines, penalties, interest, amounts paid in settlement with our approval and counsel fees and disbursements) arising from the performance of any of their obligations or duties in connection with their service to us, including in connection with any civil, criminal, administrative, investigative or other action, suit or proceeding to which any such person may be made party by reason of being or having been one of our directors or officers, except for any expenses or liabilities that have been finally judicially determined to have arisen primarily from acts or omissions that violated the standard set forth in the preceding sentence. Furthermore, our operating agreement provides that OCGH does not have any liability to us or our other unitholders for any act or omission and is indemnified in connection therewith.</w:t>
      </w:r>
    </w:p>
    <w:p>
      <w:pPr>
        <w:spacing w:after="0" w:line="128" w:lineRule="exact"/>
        <w:rPr>
          <w:sz w:val="20"/>
          <w:szCs w:val="20"/>
          <w:color w:val="auto"/>
        </w:rPr>
      </w:pPr>
    </w:p>
    <w:p>
      <w:pPr>
        <w:ind w:right="40" w:firstLine="464"/>
        <w:spacing w:after="0" w:line="258" w:lineRule="auto"/>
        <w:rPr>
          <w:sz w:val="20"/>
          <w:szCs w:val="20"/>
          <w:color w:val="auto"/>
        </w:rPr>
      </w:pPr>
      <w:r>
        <w:rPr>
          <w:rFonts w:ascii="Arial" w:cs="Arial" w:eastAsia="Arial" w:hAnsi="Arial"/>
          <w:sz w:val="17"/>
          <w:szCs w:val="17"/>
          <w:color w:val="auto"/>
        </w:rPr>
        <w:t>Under our operating agreement, each of our directors and us is entitled, subject to certain consent rights, to take actions or make decisions in its “sole discretion” or “discretion” or that it deems “necessary or appropriate” or “necessary or advisable.” In those circumstances, each of our directors or us is entitled to consider only such interests and factors as it desires, including our own or our directors’ interests, and neither it nor our board of directors has any duty or obligation (fiduciary or otherwise) to give any consideration to any interest of or factors affecting us or any unitholders, and neither we nor our board of directors is subject to any different standards imposed by our operating agreement, the Act or under any other law, rule or regulation or in equity, except that we must act in good faith at all times. These modifications of fiduciary duties are expressly permitted by Delaware law. These modifications are detrimental to our unitholders because they restrict the remedies available to them for actions that without those limitations might constitute breaches of duty (including fiduciary duty).</w:t>
      </w:r>
    </w:p>
    <w:p>
      <w:pPr>
        <w:spacing w:after="0" w:line="124" w:lineRule="exact"/>
        <w:rPr>
          <w:sz w:val="20"/>
          <w:szCs w:val="20"/>
          <w:color w:val="auto"/>
        </w:rPr>
      </w:pPr>
    </w:p>
    <w:p>
      <w:pPr>
        <w:ind w:right="140"/>
        <w:spacing w:after="0" w:line="302" w:lineRule="auto"/>
        <w:rPr>
          <w:sz w:val="20"/>
          <w:szCs w:val="20"/>
          <w:color w:val="auto"/>
        </w:rPr>
      </w:pPr>
      <w:r>
        <w:rPr>
          <w:rFonts w:ascii="Arial" w:cs="Arial" w:eastAsia="Arial" w:hAnsi="Arial"/>
          <w:sz w:val="17"/>
          <w:szCs w:val="17"/>
          <w:b w:val="1"/>
          <w:bCs w:val="1"/>
          <w:i w:val="1"/>
          <w:iCs w:val="1"/>
          <w:color w:val="auto"/>
        </w:rPr>
        <w:t>Our ability to make distributions to holders of any series of preferred units may be limited by our holding company structure, applicable provisions of Delaware law, contractual restrictions and the terms of any senior securities we may issue in the future.</w:t>
      </w:r>
    </w:p>
    <w:p>
      <w:pPr>
        <w:spacing w:after="0" w:line="62" w:lineRule="exact"/>
        <w:rPr>
          <w:sz w:val="20"/>
          <w:szCs w:val="20"/>
          <w:color w:val="auto"/>
        </w:rPr>
      </w:pPr>
    </w:p>
    <w:p>
      <w:pPr>
        <w:ind w:firstLine="464"/>
        <w:spacing w:after="0" w:line="244" w:lineRule="auto"/>
        <w:rPr>
          <w:sz w:val="20"/>
          <w:szCs w:val="20"/>
          <w:color w:val="auto"/>
        </w:rPr>
      </w:pPr>
      <w:r>
        <w:rPr>
          <w:rFonts w:ascii="Arial" w:cs="Arial" w:eastAsia="Arial" w:hAnsi="Arial"/>
          <w:sz w:val="17"/>
          <w:szCs w:val="17"/>
          <w:color w:val="auto"/>
        </w:rPr>
        <w:t>We are a limited liability holding company and have no independent means of generating revenues. In connection with the issuance of our preferred units, Oaktree Capital I issued ”mirror” preferred units to a holding company in which we indirectly own an interest to correspond with each series of our preferred units. The terms of the mirror preferred units state that, subject to certain exceptions, no distributions may be declared or paid with respect to the common units of Oaktree Capital I until distributions have been declared and paid or declared and set aside with respect to each series of mirror preferred units and the series of our preferred units to which they correspond. Accordingly, our ability to receive distributions from Oaktree Capital I may be impaired to the extent</w:t>
      </w: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41" w:name="page42"/>
    <w:bookmarkEnd w:id="41"/>
    <w:p>
      <w:pPr>
        <w:spacing w:after="0"/>
        <w:rPr>
          <w:sz w:val="20"/>
          <w:szCs w:val="20"/>
          <w:color w:val="auto"/>
        </w:rPr>
      </w:pPr>
      <w:r>
        <w:rPr>
          <w:rFonts w:ascii="Arial" w:cs="Arial" w:eastAsia="Arial" w:hAnsi="Arial"/>
          <w:sz w:val="17"/>
          <w:szCs w:val="17"/>
          <w:color w:val="auto"/>
        </w:rPr>
        <w:t>Oaktree Capital I has not declared and paid or declared and set aside distributions on each series of mirror preferred units.</w:t>
      </w:r>
    </w:p>
    <w:p>
      <w:pPr>
        <w:spacing w:after="0" w:line="165" w:lineRule="exact"/>
        <w:rPr>
          <w:sz w:val="20"/>
          <w:szCs w:val="20"/>
          <w:color w:val="auto"/>
        </w:rPr>
      </w:pPr>
    </w:p>
    <w:p>
      <w:pPr>
        <w:ind w:right="40" w:firstLine="464"/>
        <w:spacing w:after="0" w:line="258" w:lineRule="auto"/>
        <w:rPr>
          <w:sz w:val="20"/>
          <w:szCs w:val="20"/>
          <w:color w:val="auto"/>
        </w:rPr>
      </w:pPr>
      <w:r>
        <w:rPr>
          <w:rFonts w:ascii="Arial" w:cs="Arial" w:eastAsia="Arial" w:hAnsi="Arial"/>
          <w:sz w:val="17"/>
          <w:szCs w:val="17"/>
          <w:color w:val="auto"/>
        </w:rPr>
        <w:t>Under the Act, we may not make a distribution to a member if, after the distribution, all our liabilities, other than liabilities to members on account of their limited liability company interests and liabilities for which the recourse of creditors is limited to specific property of the limited liability company, would exceed the fair value of our assets. If we were to make such an impermissible distribution, any member who received a distribution and knew at the time of the distribution that the distribution was in violation of the Act would be liable to us for three years for the amount of the distribution. In addition, Oaktree Capital I’s cash flow may be insufficient to enable it to make required minimum tax distributions to holders of its units, in which case it may have to borrow funds or sell assets and thus our liquidity and financial condition could be materially adversely affected. Our operating agreement contains provisions authorizing the issuance of preferred units in us by our board of directors at any time without unitholder approval.</w:t>
      </w:r>
    </w:p>
    <w:p>
      <w:pPr>
        <w:spacing w:after="0" w:line="1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Relating to United States Taxation</w:t>
      </w:r>
    </w:p>
    <w:p>
      <w:pPr>
        <w:spacing w:after="0" w:line="168" w:lineRule="exact"/>
        <w:rPr>
          <w:sz w:val="20"/>
          <w:szCs w:val="20"/>
          <w:color w:val="auto"/>
        </w:rPr>
      </w:pPr>
    </w:p>
    <w:p>
      <w:pPr>
        <w:ind w:right="60"/>
        <w:spacing w:after="0" w:line="302" w:lineRule="auto"/>
        <w:rPr>
          <w:sz w:val="20"/>
          <w:szCs w:val="20"/>
          <w:color w:val="auto"/>
        </w:rPr>
      </w:pPr>
      <w:r>
        <w:rPr>
          <w:rFonts w:ascii="Arial" w:cs="Arial" w:eastAsia="Arial" w:hAnsi="Arial"/>
          <w:sz w:val="17"/>
          <w:szCs w:val="17"/>
          <w:b w:val="1"/>
          <w:bCs w:val="1"/>
          <w:i w:val="1"/>
          <w:iCs w:val="1"/>
          <w:color w:val="auto"/>
        </w:rPr>
        <w:t>If the amount of distributions on the preferred units is greater than our gross ordinary income, then the amount that a holder of preferred units would receive upon liquidation may be less than the preferred unit liquidation value.</w:t>
      </w:r>
    </w:p>
    <w:p>
      <w:pPr>
        <w:spacing w:after="0" w:line="75" w:lineRule="exact"/>
        <w:rPr>
          <w:sz w:val="20"/>
          <w:szCs w:val="20"/>
          <w:color w:val="auto"/>
        </w:rPr>
      </w:pPr>
    </w:p>
    <w:p>
      <w:pPr>
        <w:ind w:firstLine="464"/>
        <w:spacing w:after="0" w:line="255" w:lineRule="auto"/>
        <w:rPr>
          <w:sz w:val="20"/>
          <w:szCs w:val="20"/>
          <w:color w:val="auto"/>
        </w:rPr>
      </w:pPr>
      <w:r>
        <w:rPr>
          <w:rFonts w:ascii="Arial" w:cs="Arial" w:eastAsia="Arial" w:hAnsi="Arial"/>
          <w:sz w:val="17"/>
          <w:szCs w:val="17"/>
          <w:color w:val="auto"/>
        </w:rPr>
        <w:t>In general, to the extent of our gross ordinary income in any taxable year, we will specially allocate to the preferred units items of our gross ordinary income in an amount equal to the distributions paid in respect of the preferred units during the taxable year. Similar allocations will be made with respect to any equity securities we issue in the future that rank equally with the preferred units. Allocations of gross ordinary income will increase the capital account balances of the holders of the preferred units. Distributions will correspondingly reduce the capital account balances of the holders of the preferred units. So long as our gross ordinary income equals or exceeds the distributions paid to the holders of the preferred units, the capital account balances of the holders of the preferred units with respect to the preferred units will equal the aggregate preferred unit liquidation value at the end of each taxable year. If the distributions paid in respect of the preferred units in a taxable year exceed our gross ordinary income, items of our gross ordinary income will be allocated to the preferred units pro-rata based on the amount of distributions paid in respect of the preferred units in such taxable year. If the distributions paid in respect of the preferred units in a taxable year exceed the proportionate share of our gross ordinary income allocated in respect of the preferred units for such year, the capital account balances of the holders of the preferred units with respect to the preferred units will be reduced below the aggregate preferred unit liquidation value by the amount of such excess. In that event, we will allocate additional gross ordinary income, to the extent available in any taxable year, in subsequent years until such excess is eliminated. If we were to have insufficient gross ordinary income to eliminate such excess, holders of preferred units would be entitled, upon our liquidation, dissolution or winding up, to less than the aggregate preferred unit liquidation value. In addition, to the extent that we make additional allocations of gross ordinary income in a taxable year to eliminate such excess from prior years, the gross ordinary income allocated to holders of the preferred units in such taxable year would exceed the distributions paid to the preferred units during such taxable year. In such taxable year, holders of preferred units may recognize taxable income in respect of their investments in the preferred units in excess of our cash distributions, thus giving rise to an out-of-pocket tax liability for such holders. Future issuances of equity securities that rank equally with the preferred units could increase the likelihood that the capital account balances of holders of the preferred units decrease below the aggregate preferred unit liquidation value and holders of preferred units bear an out-of-pocket tax liability in future taxable years.</w:t>
      </w:r>
    </w:p>
    <w:p>
      <w:pPr>
        <w:spacing w:after="0" w:line="126" w:lineRule="exact"/>
        <w:rPr>
          <w:sz w:val="20"/>
          <w:szCs w:val="20"/>
          <w:color w:val="auto"/>
        </w:rPr>
      </w:pPr>
    </w:p>
    <w:p>
      <w:pPr>
        <w:ind w:right="60"/>
        <w:spacing w:after="0" w:line="302" w:lineRule="auto"/>
        <w:rPr>
          <w:sz w:val="20"/>
          <w:szCs w:val="20"/>
          <w:color w:val="auto"/>
        </w:rPr>
      </w:pPr>
      <w:r>
        <w:rPr>
          <w:rFonts w:ascii="Arial" w:cs="Arial" w:eastAsia="Arial" w:hAnsi="Arial"/>
          <w:sz w:val="17"/>
          <w:szCs w:val="17"/>
          <w:b w:val="1"/>
          <w:bCs w:val="1"/>
          <w:i w:val="1"/>
          <w:iCs w:val="1"/>
          <w:color w:val="auto"/>
        </w:rPr>
        <w:t>Holders of preferred units who are U.S. taxpayers should anticipate the need to file annually a request for an extension of the due date of their income tax return. In addition, it is possible that holders of preferred units may be required to file amended income tax returns.</w:t>
      </w:r>
    </w:p>
    <w:p>
      <w:pPr>
        <w:spacing w:after="0" w:line="75" w:lineRule="exact"/>
        <w:rPr>
          <w:sz w:val="20"/>
          <w:szCs w:val="20"/>
          <w:color w:val="auto"/>
        </w:rPr>
      </w:pPr>
    </w:p>
    <w:p>
      <w:pPr>
        <w:ind w:right="140" w:firstLine="464"/>
        <w:spacing w:after="0" w:line="259" w:lineRule="auto"/>
        <w:rPr>
          <w:sz w:val="20"/>
          <w:szCs w:val="20"/>
          <w:color w:val="auto"/>
        </w:rPr>
      </w:pPr>
      <w:r>
        <w:rPr>
          <w:rFonts w:ascii="Arial" w:cs="Arial" w:eastAsia="Arial" w:hAnsi="Arial"/>
          <w:sz w:val="17"/>
          <w:szCs w:val="17"/>
          <w:color w:val="auto"/>
        </w:rPr>
        <w:t>Holders of preferred units are required to take into account items of gross ordinary income that are allocated to them for our taxable year ending within or with their taxable year. It may require a substantial period of time after the end of our fiscal year to obtain the requisite information from all lower-tier entities so that tax information (including IRS Schedules K-1) may be prepared by us. For this reason, holders of preferred units who are U.S. taxpayers should anticipate the need to file annually with the IRS (and certain states) a request for an extension past the applicable due date of their income tax return for the taxable year. Because holders of our preferred units will be required to report the items of gross income that are allocated to them, tax reporting for such holders will generally be more complicated than for shareholders of a corporation. In addition, it is possible that a holder of preferred units will be required to file amended income tax returns as a result of adjustments to items on the</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42" w:name="page43"/>
    <w:bookmarkEnd w:id="42"/>
    <w:p>
      <w:pPr>
        <w:ind w:right="200"/>
        <w:spacing w:after="0" w:line="290" w:lineRule="auto"/>
        <w:rPr>
          <w:sz w:val="20"/>
          <w:szCs w:val="20"/>
          <w:color w:val="auto"/>
        </w:rPr>
      </w:pPr>
      <w:r>
        <w:rPr>
          <w:rFonts w:ascii="Arial" w:cs="Arial" w:eastAsia="Arial" w:hAnsi="Arial"/>
          <w:sz w:val="17"/>
          <w:szCs w:val="17"/>
          <w:color w:val="auto"/>
        </w:rPr>
        <w:t>corresponding income tax returns of the Company. Any obligation for a holder of preferred units to file amended income tax returns for that or any other reason, including any costs incurred in the preparation or filing of such returns, is the responsibility of each holder of preferred units.</w:t>
      </w:r>
    </w:p>
    <w:p>
      <w:pPr>
        <w:spacing w:after="0" w:line="9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An investment in preferred units will give rise to UBTI to certain tax-exempt holders.</w:t>
      </w:r>
    </w:p>
    <w:p>
      <w:pPr>
        <w:spacing w:after="0" w:line="165" w:lineRule="exact"/>
        <w:rPr>
          <w:sz w:val="20"/>
          <w:szCs w:val="20"/>
          <w:color w:val="auto"/>
        </w:rPr>
      </w:pPr>
    </w:p>
    <w:p>
      <w:pPr>
        <w:ind w:right="180" w:firstLine="464"/>
        <w:spacing w:after="0" w:line="260" w:lineRule="auto"/>
        <w:rPr>
          <w:sz w:val="20"/>
          <w:szCs w:val="20"/>
          <w:color w:val="auto"/>
        </w:rPr>
      </w:pPr>
      <w:r>
        <w:rPr>
          <w:rFonts w:ascii="Arial" w:cs="Arial" w:eastAsia="Arial" w:hAnsi="Arial"/>
          <w:sz w:val="17"/>
          <w:szCs w:val="17"/>
          <w:color w:val="auto"/>
        </w:rPr>
        <w:t>We will make investments through entities classified as partnerships or disregarded entities for U.S. federal income tax purposes in “debt-financed” property and, thus, an investment in preferred units will give rise to unrelated business taxable income (“UBTI”) to tax-exempt holders of preferred units. Moreover, if the IRS successfully asserts that we are engaged in a trade or business, then additional amounts of income could be treated as UBTI. Tax-exempt holders of our preferred units are strongly urged to consult their tax advisors regarding the tax consequences of owning our preferred units. Because we are under no obligation to minimize UBTI, tax-exempt U.S. holders of preferred units should consult their own tax advisers regarding all aspects of UBTI.</w:t>
      </w:r>
    </w:p>
    <w:p>
      <w:pPr>
        <w:spacing w:after="0" w:line="12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Non-U.S. holders face unique U.S. tax issues from owning preferred units that may result in adverse tax consequences to them.</w:t>
      </w:r>
    </w:p>
    <w:p>
      <w:pPr>
        <w:spacing w:after="0" w:line="165" w:lineRule="exact"/>
        <w:rPr>
          <w:sz w:val="20"/>
          <w:szCs w:val="20"/>
          <w:color w:val="auto"/>
        </w:rPr>
      </w:pPr>
    </w:p>
    <w:p>
      <w:pPr>
        <w:ind w:firstLine="464"/>
        <w:spacing w:after="0" w:line="255" w:lineRule="auto"/>
        <w:rPr>
          <w:sz w:val="20"/>
          <w:szCs w:val="20"/>
          <w:color w:val="auto"/>
        </w:rPr>
      </w:pPr>
      <w:r>
        <w:rPr>
          <w:rFonts w:ascii="Arial" w:cs="Arial" w:eastAsia="Arial" w:hAnsi="Arial"/>
          <w:sz w:val="17"/>
          <w:szCs w:val="17"/>
          <w:color w:val="auto"/>
        </w:rPr>
        <w:t>In light of our investment activities, we may be, or may become, engaged in a U.S. trade or business for U.S. federal income tax purposes, in which case some portion of our income would be treated as effectively connected income, or “ECI,” with respect to non-U.S. holders of our preferred units. Moreover, dividends paid by real estate investment trust, or “REIT,” investments that are attributable to gains from the sale of U.S. real property interests may be treated as ECI with respect to non-U.S. holders of our preferred units. In addition, certain income of non-U.S. holders from U.S. sources not connected to any U.S. trade or business conducted by us could be treated as ECI. We may earn ECI and/or income treated as ECI. To the extent our income is treated as ECI, each non-U.S. holder generally would be subject to withholding tax on distributions attributable to such income, would be required to file a U.S. federal income tax return for such year reporting such income effectively connected with such trade or business and any other income treated as ECI, and would be subject to U.S. federal income tax at regular U.S. tax rates on any such income (state and local income taxes and filings may also apply in that event). Non-U.S. holders that are corporations may also be subject to a 30% branch profits tax (potentially reduced under an applicable tax treaty) on their allocable share of such income. In addition, if we are treated as being engaged in a U.S. trade or business, a portion of any gain recognized by non-U.S. holders on the sale or exchange of preferred units may be treated for U.S. federal income tax purposes as ECI. Consequently, such non-U.S. holders could be subject to U.S. federal income tax and branch profits tax on the sale or exchange of preferred units. In certain circumstances, for transfers on or after January 1, 2022, the transferee of such preferred units (or a broker through which the transfer is effected) may be required to deduct and withhold a tax equal to 10% of the amount realized (or deemed realized) on the sale or exchange of such preferred units, or such other amount as is specified in the Treasury Regulations. Because this guidance is recent, it is unclear how this provision may impact transfers of preferred units in the future. In addition, certain income from U.S. sources that is not ECI allocable to non-U.S. holders may be subject to withholding taxes imposed at the highest effective applicable tax rate. Non-U.S. holders of our preferred units are strongly urged to consult their tax advisors regarding the tax consequences of owning our preferred units.</w:t>
      </w:r>
    </w:p>
    <w:p>
      <w:pPr>
        <w:spacing w:after="0" w:line="129" w:lineRule="exact"/>
        <w:rPr>
          <w:sz w:val="20"/>
          <w:szCs w:val="20"/>
          <w:color w:val="auto"/>
        </w:rPr>
      </w:pPr>
    </w:p>
    <w:p>
      <w:pPr>
        <w:ind w:right="180"/>
        <w:spacing w:after="0" w:line="302" w:lineRule="auto"/>
        <w:rPr>
          <w:sz w:val="20"/>
          <w:szCs w:val="20"/>
          <w:color w:val="auto"/>
        </w:rPr>
      </w:pPr>
      <w:r>
        <w:rPr>
          <w:rFonts w:ascii="Arial" w:cs="Arial" w:eastAsia="Arial" w:hAnsi="Arial"/>
          <w:sz w:val="17"/>
          <w:szCs w:val="17"/>
          <w:b w:val="1"/>
          <w:bCs w:val="1"/>
          <w:i w:val="1"/>
          <w:iCs w:val="1"/>
          <w:color w:val="auto"/>
        </w:rPr>
        <w:t>Holders of preferred units may be subject to state and local taxes and return filing requirements as a result of investing in our preferred units.</w:t>
      </w:r>
    </w:p>
    <w:p>
      <w:pPr>
        <w:spacing w:after="0" w:line="75" w:lineRule="exact"/>
        <w:rPr>
          <w:sz w:val="20"/>
          <w:szCs w:val="20"/>
          <w:color w:val="auto"/>
        </w:rPr>
      </w:pPr>
    </w:p>
    <w:p>
      <w:pPr>
        <w:ind w:right="100" w:firstLine="464"/>
        <w:spacing w:after="0" w:line="260" w:lineRule="auto"/>
        <w:rPr>
          <w:sz w:val="20"/>
          <w:szCs w:val="20"/>
          <w:color w:val="auto"/>
        </w:rPr>
      </w:pPr>
      <w:r>
        <w:rPr>
          <w:rFonts w:ascii="Arial" w:cs="Arial" w:eastAsia="Arial" w:hAnsi="Arial"/>
          <w:sz w:val="17"/>
          <w:szCs w:val="17"/>
          <w:color w:val="auto"/>
        </w:rPr>
        <w:t>In addition to U.S. federal income taxes, holders of our preferred units may be subject to other taxes, including state and local taxes, unincorporated business taxes and estate, inheritance or intangible taxes that are imposed by the various jurisdictions in which we do business or own property now or in the future, even if the holders of our preferred units do not reside in any of those jurisdictions. Holders of our preferred units may also be required to file state and local income tax returns and pay state and local income taxes in some or all of these jurisdictions. Further, holders of our preferred units may be subject to penalties for failure to comply with those requirements. It is the responsibility of each unitholder to file all U.S. federal, state and local tax returns that may be required of such unitholder.</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43" w:name="page44"/>
    <w:bookmarkEnd w:id="43"/>
    <w:p>
      <w:pPr>
        <w:spacing w:after="0"/>
        <w:rPr>
          <w:sz w:val="20"/>
          <w:szCs w:val="20"/>
          <w:color w:val="auto"/>
        </w:rPr>
      </w:pPr>
      <w:r>
        <w:rPr>
          <w:rFonts w:ascii="Arial" w:cs="Arial" w:eastAsia="Arial" w:hAnsi="Arial"/>
          <w:sz w:val="17"/>
          <w:szCs w:val="17"/>
          <w:b w:val="1"/>
          <w:bCs w:val="1"/>
          <w:i w:val="1"/>
          <w:iCs w:val="1"/>
          <w:color w:val="auto"/>
        </w:rPr>
        <w:t>Amounts distributed in respect of the preferred units could be treated as “guaranteed payments” for U.S. federal income tax purposes.</w:t>
      </w:r>
    </w:p>
    <w:p>
      <w:pPr>
        <w:spacing w:after="0" w:line="165" w:lineRule="exact"/>
        <w:rPr>
          <w:sz w:val="20"/>
          <w:szCs w:val="20"/>
          <w:color w:val="auto"/>
        </w:rPr>
      </w:pPr>
    </w:p>
    <w:p>
      <w:pPr>
        <w:ind w:firstLine="464"/>
        <w:spacing w:after="0" w:line="259" w:lineRule="auto"/>
        <w:rPr>
          <w:sz w:val="20"/>
          <w:szCs w:val="20"/>
          <w:color w:val="auto"/>
        </w:rPr>
      </w:pPr>
      <w:r>
        <w:rPr>
          <w:rFonts w:ascii="Arial" w:cs="Arial" w:eastAsia="Arial" w:hAnsi="Arial"/>
          <w:sz w:val="17"/>
          <w:szCs w:val="17"/>
          <w:color w:val="auto"/>
        </w:rPr>
        <w:t>The treatment of interests in a partnership such as the preferred units and the payments received in respect of such interests is uncertain. The IRS may contend that payments on the preferred units represent “guaranteed payments,” which would generally be treated as ordinary income and may not have the same character when received by a holder as our gross ordinary income had when earned by us. If distributions on the preferred units are treated as “guaranteed payments,” a holder’s taxable income would be equal to the guaranteed payment accrued or received, regardless of the amount of our gross ordinary income. Our limited liability company agreement provides that we and all holders agree to treat payments made in respect of the preferred units as other than guaranteed payments. Potential holders of preferred units are encouraged to consult their own tax advisors regarding the treatment of payments on the preferred units as “guaranteed payments.”</w:t>
      </w:r>
    </w:p>
    <w:p>
      <w:pPr>
        <w:spacing w:after="0" w:line="122" w:lineRule="exact"/>
        <w:rPr>
          <w:sz w:val="20"/>
          <w:szCs w:val="20"/>
          <w:color w:val="auto"/>
        </w:rPr>
      </w:pPr>
    </w:p>
    <w:p>
      <w:pPr>
        <w:ind w:right="180"/>
        <w:spacing w:after="0" w:line="302" w:lineRule="auto"/>
        <w:rPr>
          <w:sz w:val="20"/>
          <w:szCs w:val="20"/>
          <w:color w:val="auto"/>
        </w:rPr>
      </w:pPr>
      <w:r>
        <w:rPr>
          <w:rFonts w:ascii="Arial" w:cs="Arial" w:eastAsia="Arial" w:hAnsi="Arial"/>
          <w:sz w:val="17"/>
          <w:szCs w:val="17"/>
          <w:b w:val="1"/>
          <w:bCs w:val="1"/>
          <w:i w:val="1"/>
          <w:iCs w:val="1"/>
          <w:color w:val="auto"/>
        </w:rPr>
        <w:t>Holders of preferred units who do not hold the units through the record date for a distribution may be allocated gross ordinary income even though no distribution is received.</w:t>
      </w:r>
    </w:p>
    <w:p>
      <w:pPr>
        <w:spacing w:after="0" w:line="75" w:lineRule="exact"/>
        <w:rPr>
          <w:sz w:val="20"/>
          <w:szCs w:val="20"/>
          <w:color w:val="auto"/>
        </w:rPr>
      </w:pPr>
    </w:p>
    <w:p>
      <w:pPr>
        <w:ind w:firstLine="464"/>
        <w:spacing w:after="0" w:line="259" w:lineRule="auto"/>
        <w:rPr>
          <w:sz w:val="20"/>
          <w:szCs w:val="20"/>
          <w:color w:val="auto"/>
        </w:rPr>
      </w:pPr>
      <w:r>
        <w:rPr>
          <w:rFonts w:ascii="Arial" w:cs="Arial" w:eastAsia="Arial" w:hAnsi="Arial"/>
          <w:sz w:val="17"/>
          <w:szCs w:val="17"/>
          <w:color w:val="auto"/>
        </w:rPr>
        <w:t>While distributions (if any) with respect to preferred units will be made on a quarterly basis, under the allocation methodology we have adopted we will prorate the total amount of gross ordinary income allocated to preferred units for a taxable year among holders of the preferred units on a monthly basis. As a result, a holder of a preferred unit who does not hold the preferred unit through the record date for a distribution may be allocated gross ordinary income even though no distribution is received. Holders of preferred units will remain liable for any income taxes associated with allocations of gross ordinary income even if they do not receive a distribution with respect to their preferred units or if the amount of such allocations exceed the amount of distributions they receive with respect to their preferred units. Any such gross ordinary income allocation will increase the holder’s adjusted basis in its preferred units.</w:t>
      </w:r>
    </w:p>
    <w:p>
      <w:pPr>
        <w:spacing w:after="0" w:line="200" w:lineRule="exact"/>
        <w:rPr>
          <w:sz w:val="20"/>
          <w:szCs w:val="20"/>
          <w:color w:val="auto"/>
        </w:rPr>
      </w:pPr>
    </w:p>
    <w:p>
      <w:pPr>
        <w:spacing w:after="0" w:line="399"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60"/>
          </w:cols>
          <w:pgMar w:left="320" w:top="1012" w:right="419" w:bottom="1440" w:gutter="0" w:footer="0" w:header="0"/>
        </w:sectPr>
      </w:pPr>
    </w:p>
    <w:bookmarkStart w:id="44" w:name="page45"/>
    <w:bookmarkEnd w:id="44"/>
    <w:p>
      <w:pPr>
        <w:spacing w:after="0"/>
        <w:rPr>
          <w:sz w:val="20"/>
          <w:szCs w:val="20"/>
          <w:color w:val="auto"/>
        </w:rPr>
      </w:pPr>
      <w:r>
        <w:rPr>
          <w:rFonts w:ascii="Arial" w:cs="Arial" w:eastAsia="Arial" w:hAnsi="Arial"/>
          <w:sz w:val="17"/>
          <w:szCs w:val="17"/>
          <w:b w:val="1"/>
          <w:bCs w:val="1"/>
          <w:color w:val="auto"/>
        </w:rPr>
        <w:t>Item 1B. Unresolved Staff Comments</w:t>
      </w:r>
    </w:p>
    <w:p>
      <w:pPr>
        <w:spacing w:after="0" w:line="168" w:lineRule="exact"/>
        <w:rPr>
          <w:sz w:val="20"/>
          <w:szCs w:val="20"/>
          <w:color w:val="auto"/>
        </w:rPr>
      </w:pPr>
    </w:p>
    <w:p>
      <w:pPr>
        <w:ind w:left="540"/>
        <w:spacing w:after="0"/>
        <w:rPr>
          <w:sz w:val="20"/>
          <w:szCs w:val="20"/>
          <w:color w:val="auto"/>
        </w:rPr>
      </w:pPr>
      <w:r>
        <w:rPr>
          <w:rFonts w:ascii="Arial" w:cs="Arial" w:eastAsia="Arial" w:hAnsi="Arial"/>
          <w:sz w:val="17"/>
          <w:szCs w:val="17"/>
          <w:color w:val="auto"/>
        </w:rPr>
        <w:t>None.</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1C. Cybersecurity</w:t>
      </w:r>
    </w:p>
    <w:p>
      <w:pPr>
        <w:spacing w:after="0" w:line="155" w:lineRule="exact"/>
        <w:rPr>
          <w:sz w:val="20"/>
          <w:szCs w:val="20"/>
          <w:color w:val="auto"/>
        </w:rPr>
      </w:pPr>
    </w:p>
    <w:p>
      <w:pPr>
        <w:ind w:right="180" w:firstLine="464"/>
        <w:spacing w:after="0" w:line="243" w:lineRule="auto"/>
        <w:rPr>
          <w:sz w:val="20"/>
          <w:szCs w:val="20"/>
          <w:color w:val="auto"/>
        </w:rPr>
      </w:pPr>
      <w:r>
        <w:rPr>
          <w:rFonts w:ascii="Arial" w:cs="Arial" w:eastAsia="Arial" w:hAnsi="Arial"/>
          <w:sz w:val="17"/>
          <w:szCs w:val="17"/>
          <w:color w:val="auto"/>
        </w:rPr>
        <w:t>Oaktree maintains a cyber risk management program designed to identify, assess, manage, mitigate, and respond to cybersecurity threats. This program is integrated into Oaktree’s overall enterprise risk management processes and is focused on protecting the Company’s corporate information technology environment and related information assets.</w:t>
      </w:r>
    </w:p>
    <w:p>
      <w:pPr>
        <w:spacing w:after="0" w:line="2" w:lineRule="exact"/>
        <w:rPr>
          <w:sz w:val="20"/>
          <w:szCs w:val="20"/>
          <w:color w:val="auto"/>
        </w:rPr>
      </w:pPr>
    </w:p>
    <w:p>
      <w:pPr>
        <w:ind w:right="260" w:firstLine="464"/>
        <w:spacing w:after="0" w:line="237" w:lineRule="auto"/>
        <w:rPr>
          <w:sz w:val="20"/>
          <w:szCs w:val="20"/>
          <w:color w:val="auto"/>
        </w:rPr>
      </w:pPr>
      <w:r>
        <w:rPr>
          <w:rFonts w:ascii="Arial" w:cs="Arial" w:eastAsia="Arial" w:hAnsi="Arial"/>
          <w:sz w:val="17"/>
          <w:szCs w:val="17"/>
          <w:color w:val="auto"/>
        </w:rPr>
        <w:t>The underlying controls of the cyber risk management program are designed to meet Oaktree’s business requirements, risk profile, and operational requirements. The program leverages elements of recognized industry frameworks, including the National Institute of Standards and Technology (“NIST”) Cybersecurity Framework (“CSF”). Oaktree conducts annual security testing through an internal audit of its cyber risk</w:t>
      </w:r>
    </w:p>
    <w:p>
      <w:pPr>
        <w:spacing w:after="0" w:line="1" w:lineRule="exact"/>
        <w:rPr>
          <w:sz w:val="20"/>
          <w:szCs w:val="20"/>
          <w:color w:val="auto"/>
        </w:rPr>
      </w:pPr>
    </w:p>
    <w:p>
      <w:pPr>
        <w:ind w:right="100"/>
        <w:spacing w:after="0" w:line="229" w:lineRule="auto"/>
        <w:rPr>
          <w:sz w:val="20"/>
          <w:szCs w:val="20"/>
          <w:color w:val="auto"/>
        </w:rPr>
      </w:pPr>
      <w:r>
        <w:rPr>
          <w:rFonts w:ascii="Arial" w:cs="Arial" w:eastAsia="Arial" w:hAnsi="Arial"/>
          <w:sz w:val="17"/>
          <w:szCs w:val="17"/>
          <w:color w:val="auto"/>
        </w:rPr>
        <w:t>management program and an independent third-party penetration test of its systems. Oaktree has developed and implemented controls and processes to oversee and manage its engagements with third-party vendors. These procedures encompass pre-engagement due diligence efforts</w:t>
      </w:r>
    </w:p>
    <w:p>
      <w:pPr>
        <w:spacing w:after="0" w:line="1" w:lineRule="exact"/>
        <w:rPr>
          <w:sz w:val="20"/>
          <w:szCs w:val="20"/>
          <w:color w:val="auto"/>
        </w:rPr>
      </w:pPr>
    </w:p>
    <w:p>
      <w:pPr>
        <w:ind w:right="140"/>
        <w:spacing w:after="0" w:line="246" w:lineRule="auto"/>
        <w:rPr>
          <w:sz w:val="20"/>
          <w:szCs w:val="20"/>
          <w:color w:val="auto"/>
        </w:rPr>
      </w:pPr>
      <w:r>
        <w:rPr>
          <w:rFonts w:ascii="Arial" w:cs="Arial" w:eastAsia="Arial" w:hAnsi="Arial"/>
          <w:sz w:val="17"/>
          <w:szCs w:val="17"/>
          <w:color w:val="auto"/>
        </w:rPr>
        <w:t>and ongoing monitoring of third-party vendors that are considered to be high risk. Although these controls and processes are designed to mitigate risks, they do not guarantee the elimination of all potential risks. The effectiveness of these controls and processes is dependent on a variety of factors, some of which are outside our control.</w:t>
      </w:r>
    </w:p>
    <w:p>
      <w:pPr>
        <w:spacing w:after="0" w:line="118" w:lineRule="exact"/>
        <w:rPr>
          <w:sz w:val="20"/>
          <w:szCs w:val="20"/>
          <w:color w:val="auto"/>
        </w:rPr>
      </w:pPr>
    </w:p>
    <w:p>
      <w:pPr>
        <w:ind w:right="200" w:firstLine="464"/>
        <w:spacing w:after="0" w:line="249" w:lineRule="auto"/>
        <w:rPr>
          <w:sz w:val="20"/>
          <w:szCs w:val="20"/>
          <w:color w:val="auto"/>
        </w:rPr>
      </w:pPr>
      <w:r>
        <w:rPr>
          <w:rFonts w:ascii="Arial" w:cs="Arial" w:eastAsia="Arial" w:hAnsi="Arial"/>
          <w:sz w:val="17"/>
          <w:szCs w:val="17"/>
          <w:color w:val="auto"/>
        </w:rPr>
        <w:t>A Managed Security Service Provider (MSSP) operates Oaktree’s Security Operations Center, providing 24/7 monitoring of the Company’s global systems and responds to initial security alerts. Alerts are escalated to Oaktree’s Cybersecurity team for investigation, response and remediation, as appropriate. Oaktree engages third-party service providers and utilizes external technologies to support the performance and effectiveness of its cybersecurity program and to supplement internal capabilities.</w:t>
      </w:r>
    </w:p>
    <w:p>
      <w:pPr>
        <w:spacing w:after="0" w:line="117" w:lineRule="exact"/>
        <w:rPr>
          <w:sz w:val="20"/>
          <w:szCs w:val="20"/>
          <w:color w:val="auto"/>
        </w:rPr>
      </w:pPr>
    </w:p>
    <w:p>
      <w:pPr>
        <w:ind w:right="40" w:firstLine="464"/>
        <w:spacing w:after="0" w:line="242" w:lineRule="auto"/>
        <w:rPr>
          <w:sz w:val="20"/>
          <w:szCs w:val="20"/>
          <w:color w:val="auto"/>
        </w:rPr>
      </w:pPr>
      <w:r>
        <w:rPr>
          <w:rFonts w:ascii="Arial" w:cs="Arial" w:eastAsia="Arial" w:hAnsi="Arial"/>
          <w:sz w:val="17"/>
          <w:szCs w:val="17"/>
          <w:color w:val="auto"/>
        </w:rPr>
        <w:t>Oaktree’s Chief Information Security Officer leads Oaktree’s cybersecurity team and reports to Oaktree’s Chief Technology Officer. The Chief Information Security Officer is responsible for overseeing Oaktree’s cyber risk management program, including assessing and managing cybersecurity risks, and informing senior management regarding the prevention, detection, mitigation, and remediation of cybersecurity incidents. The cybersecurity team has significant experience in information technology, cybersecurity, operations, governance, risk management, and</w:t>
      </w:r>
    </w:p>
    <w:p>
      <w:pPr>
        <w:spacing w:after="0" w:line="1" w:lineRule="exact"/>
        <w:rPr>
          <w:sz w:val="20"/>
          <w:szCs w:val="20"/>
          <w:color w:val="auto"/>
        </w:rPr>
      </w:pPr>
    </w:p>
    <w:p>
      <w:pPr>
        <w:ind w:right="540"/>
        <w:spacing w:after="0" w:line="239" w:lineRule="auto"/>
        <w:rPr>
          <w:sz w:val="20"/>
          <w:szCs w:val="20"/>
          <w:color w:val="auto"/>
        </w:rPr>
      </w:pPr>
      <w:r>
        <w:rPr>
          <w:rFonts w:ascii="Arial" w:cs="Arial" w:eastAsia="Arial" w:hAnsi="Arial"/>
          <w:sz w:val="17"/>
          <w:szCs w:val="17"/>
          <w:color w:val="auto"/>
        </w:rPr>
        <w:t>compliance, and leverages threat intelligence as well as other information obtained from governmental, public and private sources, including external consultants engaged by Oaktree.</w:t>
      </w:r>
    </w:p>
    <w:p>
      <w:pPr>
        <w:spacing w:after="0" w:line="123" w:lineRule="exact"/>
        <w:rPr>
          <w:sz w:val="20"/>
          <w:szCs w:val="20"/>
          <w:color w:val="auto"/>
        </w:rPr>
      </w:pPr>
    </w:p>
    <w:p>
      <w:pPr>
        <w:ind w:firstLine="464"/>
        <w:spacing w:after="0" w:line="274" w:lineRule="auto"/>
        <w:rPr>
          <w:sz w:val="20"/>
          <w:szCs w:val="20"/>
          <w:color w:val="auto"/>
        </w:rPr>
      </w:pPr>
      <w:r>
        <w:rPr>
          <w:rFonts w:ascii="Arial" w:cs="Arial" w:eastAsia="Arial" w:hAnsi="Arial"/>
          <w:sz w:val="17"/>
          <w:szCs w:val="17"/>
          <w:color w:val="auto"/>
        </w:rPr>
        <w:t>The Chief Information Security Officer has over 25 years of experience in information technology and cybersecurity leadership, specializing in areas such as cybersecurity, IT governance, controls, compliance, network engineering and cloud computing.</w:t>
      </w:r>
    </w:p>
    <w:p>
      <w:pPr>
        <w:spacing w:after="0" w:line="95" w:lineRule="exact"/>
        <w:rPr>
          <w:sz w:val="20"/>
          <w:szCs w:val="20"/>
          <w:color w:val="auto"/>
        </w:rPr>
      </w:pPr>
    </w:p>
    <w:p>
      <w:pPr>
        <w:ind w:right="200" w:firstLine="464"/>
        <w:spacing w:after="0" w:line="255" w:lineRule="auto"/>
        <w:rPr>
          <w:sz w:val="20"/>
          <w:szCs w:val="20"/>
          <w:color w:val="auto"/>
        </w:rPr>
      </w:pPr>
      <w:r>
        <w:rPr>
          <w:rFonts w:ascii="Arial" w:cs="Arial" w:eastAsia="Arial" w:hAnsi="Arial"/>
          <w:sz w:val="17"/>
          <w:szCs w:val="17"/>
          <w:color w:val="auto"/>
        </w:rPr>
        <w:t>The audit committee of the board of directors oversees the cybersecurity risk management program. The cybersecurity team provides periodic updates to the audit committee regarding Oaktree’s cybersecurity posture, key risks, and the effectiveness of the cybersecurity program. Oaktree’s Internal Audit team also reports the results of its annual cybersecurity audits to the audit committee.</w:t>
      </w:r>
    </w:p>
    <w:p>
      <w:pPr>
        <w:spacing w:after="0" w:line="125" w:lineRule="exact"/>
        <w:rPr>
          <w:sz w:val="20"/>
          <w:szCs w:val="20"/>
          <w:color w:val="auto"/>
        </w:rPr>
      </w:pPr>
    </w:p>
    <w:p>
      <w:pPr>
        <w:ind w:right="60" w:firstLine="464"/>
        <w:spacing w:after="0" w:line="248" w:lineRule="auto"/>
        <w:rPr>
          <w:sz w:val="20"/>
          <w:szCs w:val="20"/>
          <w:color w:val="auto"/>
        </w:rPr>
      </w:pPr>
      <w:r>
        <w:rPr>
          <w:rFonts w:ascii="Arial" w:cs="Arial" w:eastAsia="Arial" w:hAnsi="Arial"/>
          <w:sz w:val="17"/>
          <w:szCs w:val="17"/>
          <w:color w:val="auto"/>
        </w:rPr>
        <w:t>Oaktree faces risks from cybersecurity threats that could have a material adverse effect on its business, financial condition, results of operations, cash flows, or reputation. Oaktree has experienced, and expects to continue to experience, cyber incidents in the ordinary course of its business. However, we are not currently aware of any current or past cyberattacks or other incidents that, individually or in the aggregate, have materially affected, or are reasonably likely to materially affect, Oaktree’s business, business strategy, financial condition, results of operations, or cash flows. See “Risk Factors – Risks Relating to Our Business – Oaktree’s failure to maintain the security of its information and technology networks, including personal data and client information, intellectual property and proprietary business information could have a material adverse effect on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80"/>
          </w:cols>
          <w:pgMar w:left="320" w:top="1165" w:right="399" w:bottom="1440" w:gutter="0" w:footer="0" w:header="0"/>
        </w:sectPr>
      </w:pPr>
    </w:p>
    <w:bookmarkStart w:id="45" w:name="page46"/>
    <w:bookmarkEnd w:id="45"/>
    <w:p>
      <w:pPr>
        <w:spacing w:after="0"/>
        <w:rPr>
          <w:sz w:val="20"/>
          <w:szCs w:val="20"/>
          <w:color w:val="auto"/>
        </w:rPr>
      </w:pPr>
      <w:r>
        <w:rPr>
          <w:rFonts w:ascii="Arial" w:cs="Arial" w:eastAsia="Arial" w:hAnsi="Arial"/>
          <w:sz w:val="17"/>
          <w:szCs w:val="17"/>
          <w:b w:val="1"/>
          <w:bCs w:val="1"/>
          <w:color w:val="auto"/>
        </w:rPr>
        <w:t>Item 2. Properties</w:t>
      </w:r>
    </w:p>
    <w:p>
      <w:pPr>
        <w:spacing w:after="0" w:line="155" w:lineRule="exact"/>
        <w:rPr>
          <w:sz w:val="20"/>
          <w:szCs w:val="20"/>
          <w:color w:val="auto"/>
        </w:rPr>
      </w:pPr>
    </w:p>
    <w:p>
      <w:pPr>
        <w:ind w:firstLine="464"/>
        <w:spacing w:after="0" w:line="249" w:lineRule="auto"/>
        <w:rPr>
          <w:sz w:val="20"/>
          <w:szCs w:val="20"/>
          <w:color w:val="auto"/>
        </w:rPr>
      </w:pPr>
      <w:r>
        <w:rPr>
          <w:rFonts w:ascii="Arial" w:cs="Arial" w:eastAsia="Arial" w:hAnsi="Arial"/>
          <w:sz w:val="17"/>
          <w:szCs w:val="17"/>
          <w:color w:val="auto"/>
        </w:rPr>
        <w:t>We do not directly own or lease any real property. Our principal executive offices are located in office space leased by OCM at 333 South Grand Avenue, 28th Floor, Los Angeles, California 90071. OCM also leases office space elsewhere in the United States. OCM Cayman leases office space in Europe, the Middle East, Asia and Australia. Certain affiliates of Oaktree’s managed funds lease office space in Europe and Asia. We consider our facilities to be suitable and adequate for the management and operation of our business.</w:t>
      </w:r>
    </w:p>
    <w:p>
      <w:pPr>
        <w:spacing w:after="0" w:line="2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3. Legal Proceedings</w:t>
      </w:r>
    </w:p>
    <w:p>
      <w:pPr>
        <w:spacing w:after="0" w:line="168" w:lineRule="exact"/>
        <w:rPr>
          <w:sz w:val="20"/>
          <w:szCs w:val="20"/>
          <w:color w:val="auto"/>
        </w:rPr>
      </w:pPr>
    </w:p>
    <w:p>
      <w:pPr>
        <w:ind w:right="140" w:firstLine="464"/>
        <w:spacing w:after="0" w:line="289" w:lineRule="auto"/>
        <w:rPr>
          <w:sz w:val="20"/>
          <w:szCs w:val="20"/>
          <w:color w:val="auto"/>
        </w:rPr>
      </w:pPr>
      <w:r>
        <w:rPr>
          <w:rFonts w:ascii="Arial" w:cs="Arial" w:eastAsia="Arial" w:hAnsi="Arial"/>
          <w:sz w:val="17"/>
          <w:szCs w:val="17"/>
          <w:color w:val="auto"/>
        </w:rPr>
        <w:t xml:space="preserve">For a discussion of legal proceedings, please see the section entitled </w:t>
      </w:r>
      <w:r>
        <w:rPr>
          <w:rFonts w:ascii="Times New Roman" w:cs="Times New Roman" w:eastAsia="Times New Roman" w:hAnsi="Times New Roman"/>
          <w:sz w:val="17"/>
          <w:szCs w:val="17"/>
          <w:color w:val="auto"/>
        </w:rPr>
        <w:t>“</w:t>
      </w:r>
      <w:r>
        <w:rPr>
          <w:rFonts w:ascii="Arial" w:cs="Arial" w:eastAsia="Arial" w:hAnsi="Arial"/>
          <w:sz w:val="17"/>
          <w:szCs w:val="17"/>
          <w:color w:val="auto"/>
        </w:rPr>
        <w:t>Legal Actions</w:t>
      </w:r>
      <w:r>
        <w:rPr>
          <w:rFonts w:ascii="Times New Roman" w:cs="Times New Roman" w:eastAsia="Times New Roman" w:hAnsi="Times New Roman"/>
          <w:sz w:val="17"/>
          <w:szCs w:val="17"/>
          <w:color w:val="auto"/>
        </w:rPr>
        <w:t>”</w:t>
      </w:r>
      <w:r>
        <w:rPr>
          <w:rFonts w:ascii="Arial" w:cs="Arial" w:eastAsia="Arial" w:hAnsi="Arial"/>
          <w:sz w:val="17"/>
          <w:szCs w:val="17"/>
          <w:color w:val="auto"/>
        </w:rPr>
        <w:t xml:space="preserve"> in note 17 to our consolidated financial statements included elsewhere in this annual report, which section is incorporated herein by reference.</w:t>
      </w:r>
    </w:p>
    <w:p>
      <w:pPr>
        <w:spacing w:after="0" w:line="24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4. Mine Safety Disclosures</w:t>
      </w:r>
    </w:p>
    <w:p>
      <w:pPr>
        <w:spacing w:after="0" w:line="168" w:lineRule="exact"/>
        <w:rPr>
          <w:sz w:val="20"/>
          <w:szCs w:val="20"/>
          <w:color w:val="auto"/>
        </w:rPr>
      </w:pPr>
    </w:p>
    <w:p>
      <w:pPr>
        <w:ind w:left="460"/>
        <w:spacing w:after="0"/>
        <w:rPr>
          <w:sz w:val="20"/>
          <w:szCs w:val="20"/>
          <w:color w:val="auto"/>
        </w:rPr>
      </w:pPr>
      <w:r>
        <w:rPr>
          <w:rFonts w:ascii="Arial" w:cs="Arial" w:eastAsia="Arial" w:hAnsi="Arial"/>
          <w:sz w:val="17"/>
          <w:szCs w:val="17"/>
          <w:color w:val="auto"/>
        </w:rPr>
        <w:t>None.</w:t>
      </w:r>
    </w:p>
    <w:p>
      <w:pPr>
        <w:spacing w:after="0" w:line="200" w:lineRule="exact"/>
        <w:rPr>
          <w:sz w:val="20"/>
          <w:szCs w:val="20"/>
          <w:color w:val="auto"/>
        </w:rPr>
      </w:pPr>
    </w:p>
    <w:p>
      <w:pPr>
        <w:spacing w:after="0" w:line="339" w:lineRule="exact"/>
        <w:rPr>
          <w:sz w:val="20"/>
          <w:szCs w:val="20"/>
          <w:color w:val="auto"/>
        </w:rPr>
      </w:pPr>
    </w:p>
    <w:p>
      <w:pPr>
        <w:jc w:val="center"/>
        <w:ind w:right="-299"/>
        <w:spacing w:after="0"/>
        <w:rPr>
          <w:sz w:val="20"/>
          <w:szCs w:val="20"/>
          <w:color w:val="auto"/>
        </w:rPr>
      </w:pPr>
      <w:r>
        <w:rPr>
          <w:rFonts w:ascii="Arial" w:cs="Arial" w:eastAsia="Arial" w:hAnsi="Arial"/>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0960"/>
          </w:cols>
          <w:pgMar w:left="320" w:top="1010" w:right="619" w:bottom="1440" w:gutter="0" w:footer="0" w:header="0"/>
        </w:sectPr>
      </w:pPr>
    </w:p>
    <w:bookmarkStart w:id="46" w:name="page47"/>
    <w:bookmarkEnd w:id="46"/>
    <w:p>
      <w:pPr>
        <w:spacing w:after="0"/>
        <w:rPr>
          <w:sz w:val="20"/>
          <w:szCs w:val="20"/>
          <w:color w:val="auto"/>
        </w:rPr>
      </w:pPr>
      <w:r>
        <w:rPr>
          <w:rFonts w:ascii="Arial" w:cs="Arial" w:eastAsia="Arial" w:hAnsi="Arial"/>
          <w:sz w:val="17"/>
          <w:szCs w:val="17"/>
          <w:b w:val="1"/>
          <w:bCs w:val="1"/>
          <w:color w:val="auto"/>
        </w:rPr>
        <w:t>Part II.</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5. Market for Registrant’s Common Equity, Related Stockholder Matters and Issuer Purchases of Equity Securities</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Market Information</w:t>
      </w:r>
    </w:p>
    <w:p>
      <w:pPr>
        <w:spacing w:after="0" w:line="168" w:lineRule="exact"/>
        <w:rPr>
          <w:sz w:val="20"/>
          <w:szCs w:val="20"/>
          <w:color w:val="auto"/>
        </w:rPr>
      </w:pPr>
    </w:p>
    <w:p>
      <w:pPr>
        <w:ind w:left="460"/>
        <w:spacing w:after="0"/>
        <w:rPr>
          <w:sz w:val="20"/>
          <w:szCs w:val="20"/>
          <w:color w:val="auto"/>
        </w:rPr>
      </w:pPr>
      <w:r>
        <w:rPr>
          <w:rFonts w:ascii="Arial" w:cs="Arial" w:eastAsia="Arial" w:hAnsi="Arial"/>
          <w:sz w:val="17"/>
          <w:szCs w:val="17"/>
          <w:color w:val="auto"/>
        </w:rPr>
        <w:t>Our Class A units are not listed on a securities exchange. The number of holders of record of our Class A units as of March 24, 2026 was</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color w:val="auto"/>
        </w:rPr>
        <w:t>one.</w:t>
      </w:r>
    </w:p>
    <w:p>
      <w:pPr>
        <w:spacing w:after="0" w:line="9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Equity Compensation Plan Information</w:t>
      </w:r>
    </w:p>
    <w:p>
      <w:pPr>
        <w:spacing w:after="0" w:line="103" w:lineRule="exact"/>
        <w:rPr>
          <w:sz w:val="20"/>
          <w:szCs w:val="20"/>
          <w:color w:val="auto"/>
        </w:rPr>
      </w:pPr>
    </w:p>
    <w:p>
      <w:pPr>
        <w:ind w:right="120" w:firstLine="464"/>
        <w:spacing w:after="0" w:line="274" w:lineRule="auto"/>
        <w:rPr>
          <w:sz w:val="20"/>
          <w:szCs w:val="20"/>
          <w:color w:val="auto"/>
        </w:rPr>
      </w:pPr>
      <w:r>
        <w:rPr>
          <w:rFonts w:ascii="Arial" w:cs="Arial" w:eastAsia="Arial" w:hAnsi="Arial"/>
          <w:sz w:val="17"/>
          <w:szCs w:val="17"/>
          <w:color w:val="auto"/>
        </w:rPr>
        <w:t>The following table sets forth information concerning the awards that may be issued under the Amended and Restated 2011 Equity Incentive Plan (the “2011 Plan”) as of December 31, 2025.</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7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20" w:type="dxa"/>
            <w:vAlign w:val="bottom"/>
          </w:tcPr>
          <w:p>
            <w:pPr>
              <w:jc w:val="center"/>
              <w:spacing w:after="0"/>
              <w:rPr>
                <w:sz w:val="20"/>
                <w:szCs w:val="20"/>
                <w:color w:val="auto"/>
              </w:rPr>
            </w:pPr>
            <w:r>
              <w:rPr>
                <w:rFonts w:ascii="Arial" w:cs="Arial" w:eastAsia="Arial" w:hAnsi="Arial"/>
                <w:sz w:val="12"/>
                <w:szCs w:val="12"/>
                <w:b w:val="1"/>
                <w:bCs w:val="1"/>
                <w:color w:val="auto"/>
              </w:rPr>
              <w:t>Number of Securities</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720" w:type="dxa"/>
            <w:vAlign w:val="bottom"/>
          </w:tcPr>
          <w:p>
            <w:pPr>
              <w:spacing w:after="0"/>
              <w:rPr>
                <w:sz w:val="10"/>
                <w:szCs w:val="10"/>
                <w:color w:val="auto"/>
              </w:rPr>
            </w:pPr>
          </w:p>
        </w:tc>
        <w:tc>
          <w:tcPr>
            <w:tcW w:w="1640" w:type="dxa"/>
            <w:vAlign w:val="bottom"/>
            <w:gridSpan w:val="2"/>
            <w:vMerge w:val="restart"/>
          </w:tcPr>
          <w:p>
            <w:pPr>
              <w:jc w:val="center"/>
              <w:ind w:right="200"/>
              <w:spacing w:after="0"/>
              <w:rPr>
                <w:sz w:val="20"/>
                <w:szCs w:val="20"/>
                <w:color w:val="auto"/>
              </w:rPr>
            </w:pPr>
            <w:r>
              <w:rPr>
                <w:rFonts w:ascii="Arial" w:cs="Arial" w:eastAsia="Arial" w:hAnsi="Arial"/>
                <w:sz w:val="12"/>
                <w:szCs w:val="12"/>
                <w:b w:val="1"/>
                <w:bCs w:val="1"/>
                <w:color w:val="auto"/>
              </w:rPr>
              <w:t>Number of Securities to</w:t>
            </w:r>
          </w:p>
        </w:tc>
        <w:tc>
          <w:tcPr>
            <w:tcW w:w="14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20" w:type="dxa"/>
            <w:vAlign w:val="bottom"/>
          </w:tcPr>
          <w:p>
            <w:pPr>
              <w:jc w:val="center"/>
              <w:spacing w:after="0" w:line="116" w:lineRule="exact"/>
              <w:rPr>
                <w:sz w:val="20"/>
                <w:szCs w:val="20"/>
                <w:color w:val="auto"/>
              </w:rPr>
            </w:pPr>
            <w:r>
              <w:rPr>
                <w:rFonts w:ascii="Arial" w:cs="Arial" w:eastAsia="Arial" w:hAnsi="Arial"/>
                <w:sz w:val="12"/>
                <w:szCs w:val="12"/>
                <w:b w:val="1"/>
                <w:bCs w:val="1"/>
                <w:color w:val="auto"/>
              </w:rPr>
              <w:t>Remaining Available for</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720" w:type="dxa"/>
            <w:vAlign w:val="bottom"/>
          </w:tcPr>
          <w:p>
            <w:pPr>
              <w:spacing w:after="0"/>
              <w:rPr>
                <w:sz w:val="10"/>
                <w:szCs w:val="10"/>
                <w:color w:val="auto"/>
              </w:rPr>
            </w:pPr>
          </w:p>
        </w:tc>
        <w:tc>
          <w:tcPr>
            <w:tcW w:w="1640" w:type="dxa"/>
            <w:vAlign w:val="bottom"/>
            <w:gridSpan w:val="2"/>
            <w:vMerge w:val="continue"/>
          </w:tcPr>
          <w:p>
            <w:pPr>
              <w:spacing w:after="0"/>
              <w:rPr>
                <w:sz w:val="10"/>
                <w:szCs w:val="10"/>
                <w:color w:val="auto"/>
              </w:rPr>
            </w:pPr>
          </w:p>
        </w:tc>
        <w:tc>
          <w:tcPr>
            <w:tcW w:w="1640" w:type="dxa"/>
            <w:vAlign w:val="bottom"/>
            <w:gridSpan w:val="2"/>
            <w:vMerge w:val="restart"/>
          </w:tcPr>
          <w:p>
            <w:pPr>
              <w:jc w:val="center"/>
              <w:ind w:right="220"/>
              <w:spacing w:after="0"/>
              <w:rPr>
                <w:sz w:val="20"/>
                <w:szCs w:val="20"/>
                <w:color w:val="auto"/>
              </w:rPr>
            </w:pPr>
            <w:r>
              <w:rPr>
                <w:rFonts w:ascii="Arial" w:cs="Arial" w:eastAsia="Arial" w:hAnsi="Arial"/>
                <w:sz w:val="12"/>
                <w:szCs w:val="12"/>
                <w:b w:val="1"/>
                <w:bCs w:val="1"/>
                <w:color w:val="auto"/>
              </w:rPr>
              <w:t>Weighted-Average</w:t>
            </w:r>
          </w:p>
        </w:tc>
        <w:tc>
          <w:tcPr>
            <w:tcW w:w="1420" w:type="dxa"/>
            <w:vAlign w:val="bottom"/>
          </w:tcPr>
          <w:p>
            <w:pPr>
              <w:jc w:val="center"/>
              <w:spacing w:after="0" w:line="116" w:lineRule="exact"/>
              <w:rPr>
                <w:sz w:val="20"/>
                <w:szCs w:val="20"/>
                <w:color w:val="auto"/>
              </w:rPr>
            </w:pPr>
            <w:r>
              <w:rPr>
                <w:rFonts w:ascii="Arial" w:cs="Arial" w:eastAsia="Arial" w:hAnsi="Arial"/>
                <w:sz w:val="12"/>
                <w:szCs w:val="12"/>
                <w:b w:val="1"/>
                <w:bCs w:val="1"/>
                <w:color w:val="auto"/>
                <w:w w:val="99"/>
              </w:rPr>
              <w:t>Future Issuance Under</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720" w:type="dxa"/>
            <w:vAlign w:val="bottom"/>
          </w:tcPr>
          <w:p>
            <w:pPr>
              <w:spacing w:after="0"/>
              <w:rPr>
                <w:sz w:val="11"/>
                <w:szCs w:val="11"/>
                <w:color w:val="auto"/>
              </w:rPr>
            </w:pPr>
          </w:p>
        </w:tc>
        <w:tc>
          <w:tcPr>
            <w:tcW w:w="1640" w:type="dxa"/>
            <w:vAlign w:val="bottom"/>
            <w:gridSpan w:val="2"/>
          </w:tcPr>
          <w:p>
            <w:pPr>
              <w:jc w:val="center"/>
              <w:ind w:right="220"/>
              <w:spacing w:after="0" w:line="129" w:lineRule="exact"/>
              <w:rPr>
                <w:sz w:val="20"/>
                <w:szCs w:val="20"/>
                <w:color w:val="auto"/>
              </w:rPr>
            </w:pPr>
            <w:r>
              <w:rPr>
                <w:rFonts w:ascii="Arial" w:cs="Arial" w:eastAsia="Arial" w:hAnsi="Arial"/>
                <w:sz w:val="12"/>
                <w:szCs w:val="12"/>
                <w:b w:val="1"/>
                <w:bCs w:val="1"/>
                <w:color w:val="auto"/>
              </w:rPr>
              <w:t>be Issued Upon</w:t>
            </w:r>
          </w:p>
        </w:tc>
        <w:tc>
          <w:tcPr>
            <w:tcW w:w="1640" w:type="dxa"/>
            <w:vAlign w:val="bottom"/>
            <w:gridSpan w:val="2"/>
            <w:vMerge w:val="continue"/>
          </w:tcPr>
          <w:p>
            <w:pPr>
              <w:spacing w:after="0"/>
              <w:rPr>
                <w:sz w:val="11"/>
                <w:szCs w:val="11"/>
                <w:color w:val="auto"/>
              </w:rPr>
            </w:pPr>
          </w:p>
        </w:tc>
        <w:tc>
          <w:tcPr>
            <w:tcW w:w="1420" w:type="dxa"/>
            <w:vAlign w:val="bottom"/>
          </w:tcPr>
          <w:p>
            <w:pPr>
              <w:jc w:val="center"/>
              <w:spacing w:after="0" w:line="129" w:lineRule="exact"/>
              <w:rPr>
                <w:sz w:val="20"/>
                <w:szCs w:val="20"/>
                <w:color w:val="auto"/>
              </w:rPr>
            </w:pPr>
            <w:r>
              <w:rPr>
                <w:rFonts w:ascii="Arial" w:cs="Arial" w:eastAsia="Arial" w:hAnsi="Arial"/>
                <w:sz w:val="12"/>
                <w:szCs w:val="12"/>
                <w:b w:val="1"/>
                <w:bCs w:val="1"/>
                <w:color w:val="auto"/>
                <w:w w:val="98"/>
              </w:rPr>
              <w:t>Equity Compensation</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720" w:type="dxa"/>
            <w:vAlign w:val="bottom"/>
          </w:tcPr>
          <w:p>
            <w:pPr>
              <w:spacing w:after="0"/>
              <w:rPr>
                <w:sz w:val="10"/>
                <w:szCs w:val="10"/>
                <w:color w:val="auto"/>
              </w:rPr>
            </w:pPr>
          </w:p>
        </w:tc>
        <w:tc>
          <w:tcPr>
            <w:tcW w:w="1640" w:type="dxa"/>
            <w:vAlign w:val="bottom"/>
            <w:gridSpan w:val="2"/>
          </w:tcPr>
          <w:p>
            <w:pPr>
              <w:jc w:val="center"/>
              <w:ind w:right="220"/>
              <w:spacing w:after="0" w:line="116" w:lineRule="exact"/>
              <w:rPr>
                <w:sz w:val="20"/>
                <w:szCs w:val="20"/>
                <w:color w:val="auto"/>
              </w:rPr>
            </w:pPr>
            <w:r>
              <w:rPr>
                <w:rFonts w:ascii="Arial" w:cs="Arial" w:eastAsia="Arial" w:hAnsi="Arial"/>
                <w:sz w:val="12"/>
                <w:szCs w:val="12"/>
                <w:b w:val="1"/>
                <w:bCs w:val="1"/>
                <w:color w:val="auto"/>
                <w:w w:val="99"/>
              </w:rPr>
              <w:t>Exercise of Outstanding</w:t>
            </w:r>
          </w:p>
        </w:tc>
        <w:tc>
          <w:tcPr>
            <w:tcW w:w="1640" w:type="dxa"/>
            <w:vAlign w:val="bottom"/>
            <w:gridSpan w:val="2"/>
          </w:tcPr>
          <w:p>
            <w:pPr>
              <w:jc w:val="center"/>
              <w:ind w:right="220"/>
              <w:spacing w:after="0" w:line="116" w:lineRule="exact"/>
              <w:rPr>
                <w:sz w:val="20"/>
                <w:szCs w:val="20"/>
                <w:color w:val="auto"/>
              </w:rPr>
            </w:pPr>
            <w:r>
              <w:rPr>
                <w:rFonts w:ascii="Arial" w:cs="Arial" w:eastAsia="Arial" w:hAnsi="Arial"/>
                <w:sz w:val="12"/>
                <w:szCs w:val="12"/>
                <w:b w:val="1"/>
                <w:bCs w:val="1"/>
                <w:color w:val="auto"/>
              </w:rPr>
              <w:t>Exercise Price of</w:t>
            </w:r>
          </w:p>
        </w:tc>
        <w:tc>
          <w:tcPr>
            <w:tcW w:w="1420" w:type="dxa"/>
            <w:vAlign w:val="bottom"/>
          </w:tcPr>
          <w:p>
            <w:pPr>
              <w:jc w:val="center"/>
              <w:spacing w:after="0" w:line="116" w:lineRule="exact"/>
              <w:rPr>
                <w:sz w:val="20"/>
                <w:szCs w:val="20"/>
                <w:color w:val="auto"/>
              </w:rPr>
            </w:pPr>
            <w:r>
              <w:rPr>
                <w:rFonts w:ascii="Arial" w:cs="Arial" w:eastAsia="Arial" w:hAnsi="Arial"/>
                <w:sz w:val="12"/>
                <w:szCs w:val="12"/>
                <w:b w:val="1"/>
                <w:bCs w:val="1"/>
                <w:color w:val="auto"/>
                <w:w w:val="98"/>
              </w:rPr>
              <w:t>Plans (excluding</w:t>
            </w:r>
          </w:p>
        </w:tc>
        <w:tc>
          <w:tcPr>
            <w:tcW w:w="0" w:type="dxa"/>
            <w:vAlign w:val="bottom"/>
          </w:tcPr>
          <w:p>
            <w:pPr>
              <w:spacing w:after="0"/>
              <w:rPr>
                <w:sz w:val="1"/>
                <w:szCs w:val="1"/>
                <w:color w:val="auto"/>
              </w:rPr>
            </w:pPr>
          </w:p>
        </w:tc>
      </w:tr>
      <w:tr>
        <w:trPr>
          <w:trHeight w:val="116"/>
        </w:trPr>
        <w:tc>
          <w:tcPr>
            <w:tcW w:w="6540" w:type="dxa"/>
            <w:vAlign w:val="bottom"/>
            <w:gridSpan w:val="4"/>
            <w:vMerge w:val="restart"/>
          </w:tcPr>
          <w:p>
            <w:pPr>
              <w:ind w:left="20"/>
              <w:spacing w:after="0"/>
              <w:rPr>
                <w:sz w:val="20"/>
                <w:szCs w:val="20"/>
                <w:color w:val="auto"/>
              </w:rPr>
            </w:pPr>
            <w:r>
              <w:rPr>
                <w:rFonts w:ascii="Arial" w:cs="Arial" w:eastAsia="Arial" w:hAnsi="Arial"/>
                <w:sz w:val="12"/>
                <w:szCs w:val="12"/>
                <w:b w:val="1"/>
                <w:bCs w:val="1"/>
                <w:color w:val="auto"/>
              </w:rPr>
              <w:t>Plan Category</w:t>
            </w:r>
          </w:p>
        </w:tc>
        <w:tc>
          <w:tcPr>
            <w:tcW w:w="1640" w:type="dxa"/>
            <w:vAlign w:val="bottom"/>
            <w:gridSpan w:val="2"/>
          </w:tcPr>
          <w:p>
            <w:pPr>
              <w:jc w:val="center"/>
              <w:ind w:right="200"/>
              <w:spacing w:after="0" w:line="116" w:lineRule="exact"/>
              <w:rPr>
                <w:sz w:val="20"/>
                <w:szCs w:val="20"/>
                <w:color w:val="auto"/>
              </w:rPr>
            </w:pPr>
            <w:r>
              <w:rPr>
                <w:rFonts w:ascii="Arial" w:cs="Arial" w:eastAsia="Arial" w:hAnsi="Arial"/>
                <w:sz w:val="12"/>
                <w:szCs w:val="12"/>
                <w:b w:val="1"/>
                <w:bCs w:val="1"/>
                <w:color w:val="auto"/>
                <w:w w:val="99"/>
              </w:rPr>
              <w:t>Options, Warrants and</w:t>
            </w:r>
          </w:p>
        </w:tc>
        <w:tc>
          <w:tcPr>
            <w:tcW w:w="1640" w:type="dxa"/>
            <w:vAlign w:val="bottom"/>
            <w:gridSpan w:val="2"/>
          </w:tcPr>
          <w:p>
            <w:pPr>
              <w:jc w:val="center"/>
              <w:ind w:right="220"/>
              <w:spacing w:after="0" w:line="116" w:lineRule="exact"/>
              <w:rPr>
                <w:sz w:val="20"/>
                <w:szCs w:val="20"/>
                <w:color w:val="auto"/>
              </w:rPr>
            </w:pPr>
            <w:r>
              <w:rPr>
                <w:rFonts w:ascii="Arial" w:cs="Arial" w:eastAsia="Arial" w:hAnsi="Arial"/>
                <w:sz w:val="12"/>
                <w:szCs w:val="12"/>
                <w:b w:val="1"/>
                <w:bCs w:val="1"/>
                <w:color w:val="auto"/>
                <w:w w:val="99"/>
              </w:rPr>
              <w:t>Outstanding Options,</w:t>
            </w:r>
          </w:p>
        </w:tc>
        <w:tc>
          <w:tcPr>
            <w:tcW w:w="1420" w:type="dxa"/>
            <w:vAlign w:val="bottom"/>
          </w:tcPr>
          <w:p>
            <w:pPr>
              <w:jc w:val="center"/>
              <w:spacing w:after="0" w:line="116" w:lineRule="exact"/>
              <w:rPr>
                <w:sz w:val="20"/>
                <w:szCs w:val="20"/>
                <w:color w:val="auto"/>
              </w:rPr>
            </w:pPr>
            <w:r>
              <w:rPr>
                <w:rFonts w:ascii="Arial" w:cs="Arial" w:eastAsia="Arial" w:hAnsi="Arial"/>
                <w:sz w:val="12"/>
                <w:szCs w:val="12"/>
                <w:b w:val="1"/>
                <w:bCs w:val="1"/>
                <w:color w:val="auto"/>
                <w:w w:val="98"/>
              </w:rPr>
              <w:t>securities reflected in</w:t>
            </w:r>
          </w:p>
        </w:tc>
        <w:tc>
          <w:tcPr>
            <w:tcW w:w="0" w:type="dxa"/>
            <w:vAlign w:val="bottom"/>
          </w:tcPr>
          <w:p>
            <w:pPr>
              <w:spacing w:after="0"/>
              <w:rPr>
                <w:sz w:val="1"/>
                <w:szCs w:val="1"/>
                <w:color w:val="auto"/>
              </w:rPr>
            </w:pPr>
          </w:p>
        </w:tc>
      </w:tr>
      <w:tr>
        <w:trPr>
          <w:trHeight w:val="142"/>
        </w:trPr>
        <w:tc>
          <w:tcPr>
            <w:tcW w:w="6540" w:type="dxa"/>
            <w:vAlign w:val="bottom"/>
            <w:gridSpan w:val="4"/>
            <w:vMerge w:val="continue"/>
          </w:tcPr>
          <w:p>
            <w:pPr>
              <w:spacing w:after="0"/>
              <w:rPr>
                <w:sz w:val="12"/>
                <w:szCs w:val="12"/>
                <w:color w:val="auto"/>
              </w:rPr>
            </w:pPr>
          </w:p>
        </w:tc>
        <w:tc>
          <w:tcPr>
            <w:tcW w:w="1640" w:type="dxa"/>
            <w:vAlign w:val="bottom"/>
            <w:gridSpan w:val="2"/>
          </w:tcPr>
          <w:p>
            <w:pPr>
              <w:jc w:val="center"/>
              <w:ind w:right="220"/>
              <w:spacing w:after="0" w:line="142" w:lineRule="exact"/>
              <w:rPr>
                <w:sz w:val="20"/>
                <w:szCs w:val="20"/>
                <w:color w:val="auto"/>
              </w:rPr>
            </w:pPr>
            <w:r>
              <w:rPr>
                <w:rFonts w:ascii="Arial" w:cs="Arial" w:eastAsia="Arial" w:hAnsi="Arial"/>
                <w:sz w:val="12"/>
                <w:szCs w:val="12"/>
                <w:b w:val="1"/>
                <w:bCs w:val="1"/>
                <w:color w:val="auto"/>
                <w:w w:val="94"/>
              </w:rPr>
              <w:t xml:space="preserve">Rights </w:t>
            </w:r>
            <w:r>
              <w:rPr>
                <w:rFonts w:ascii="Arial" w:cs="Arial" w:eastAsia="Arial" w:hAnsi="Arial"/>
                <w:sz w:val="15"/>
                <w:szCs w:val="15"/>
                <w:b w:val="1"/>
                <w:bCs w:val="1"/>
                <w:color w:val="auto"/>
                <w:w w:val="94"/>
                <w:vertAlign w:val="superscript"/>
              </w:rPr>
              <w:t>(1)</w:t>
            </w:r>
          </w:p>
        </w:tc>
        <w:tc>
          <w:tcPr>
            <w:tcW w:w="164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rPr>
              <w:t>Warrants and Rights</w:t>
            </w:r>
          </w:p>
        </w:tc>
        <w:tc>
          <w:tcPr>
            <w:tcW w:w="1420" w:type="dxa"/>
            <w:vAlign w:val="bottom"/>
          </w:tcPr>
          <w:p>
            <w:pPr>
              <w:jc w:val="center"/>
              <w:spacing w:after="0" w:line="142" w:lineRule="exact"/>
              <w:rPr>
                <w:sz w:val="20"/>
                <w:szCs w:val="20"/>
                <w:color w:val="auto"/>
              </w:rPr>
            </w:pPr>
            <w:r>
              <w:rPr>
                <w:rFonts w:ascii="Arial" w:cs="Arial" w:eastAsia="Arial" w:hAnsi="Arial"/>
                <w:sz w:val="12"/>
                <w:szCs w:val="12"/>
                <w:b w:val="1"/>
                <w:bCs w:val="1"/>
                <w:color w:val="auto"/>
                <w:w w:val="97"/>
              </w:rPr>
              <w:t xml:space="preserve">column (a)) </w:t>
            </w:r>
            <w:r>
              <w:rPr>
                <w:rFonts w:ascii="Arial" w:cs="Arial" w:eastAsia="Arial" w:hAnsi="Arial"/>
                <w:sz w:val="15"/>
                <w:szCs w:val="15"/>
                <w:b w:val="1"/>
                <w:bCs w:val="1"/>
                <w:color w:val="auto"/>
                <w:w w:val="97"/>
                <w:vertAlign w:val="superscript"/>
              </w:rPr>
              <w:t>(2)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720" w:type="dxa"/>
            <w:vAlign w:val="bottom"/>
          </w:tcPr>
          <w:p>
            <w:pPr>
              <w:spacing w:after="0"/>
              <w:rPr>
                <w:sz w:val="13"/>
                <w:szCs w:val="13"/>
                <w:color w:val="auto"/>
              </w:rPr>
            </w:pPr>
          </w:p>
        </w:tc>
        <w:tc>
          <w:tcPr>
            <w:tcW w:w="1440" w:type="dxa"/>
            <w:vAlign w:val="bottom"/>
          </w:tcPr>
          <w:p>
            <w:pPr>
              <w:jc w:val="center"/>
              <w:spacing w:after="0"/>
              <w:rPr>
                <w:sz w:val="20"/>
                <w:szCs w:val="20"/>
                <w:color w:val="auto"/>
              </w:rPr>
            </w:pPr>
            <w:r>
              <w:rPr>
                <w:rFonts w:ascii="Arial" w:cs="Arial" w:eastAsia="Arial" w:hAnsi="Arial"/>
                <w:sz w:val="12"/>
                <w:szCs w:val="12"/>
                <w:b w:val="1"/>
                <w:bCs w:val="1"/>
                <w:color w:val="auto"/>
                <w:w w:val="95"/>
              </w:rPr>
              <w:t>(a)</w:t>
            </w:r>
          </w:p>
        </w:tc>
        <w:tc>
          <w:tcPr>
            <w:tcW w:w="200" w:type="dxa"/>
            <w:vAlign w:val="bottom"/>
          </w:tcPr>
          <w:p>
            <w:pPr>
              <w:spacing w:after="0"/>
              <w:rPr>
                <w:sz w:val="13"/>
                <w:szCs w:val="13"/>
                <w:color w:val="auto"/>
              </w:rPr>
            </w:pPr>
          </w:p>
        </w:tc>
        <w:tc>
          <w:tcPr>
            <w:tcW w:w="1420" w:type="dxa"/>
            <w:vAlign w:val="bottom"/>
          </w:tcPr>
          <w:p>
            <w:pPr>
              <w:jc w:val="center"/>
              <w:spacing w:after="0"/>
              <w:rPr>
                <w:sz w:val="20"/>
                <w:szCs w:val="20"/>
                <w:color w:val="auto"/>
              </w:rPr>
            </w:pPr>
            <w:r>
              <w:rPr>
                <w:rFonts w:ascii="Arial" w:cs="Arial" w:eastAsia="Arial" w:hAnsi="Arial"/>
                <w:sz w:val="12"/>
                <w:szCs w:val="12"/>
                <w:b w:val="1"/>
                <w:bCs w:val="1"/>
                <w:color w:val="auto"/>
                <w:w w:val="91"/>
              </w:rPr>
              <w:t>(b)</w:t>
            </w:r>
          </w:p>
        </w:tc>
        <w:tc>
          <w:tcPr>
            <w:tcW w:w="220" w:type="dxa"/>
            <w:vAlign w:val="bottom"/>
          </w:tcPr>
          <w:p>
            <w:pPr>
              <w:spacing w:after="0"/>
              <w:rPr>
                <w:sz w:val="13"/>
                <w:szCs w:val="13"/>
                <w:color w:val="auto"/>
              </w:rPr>
            </w:pPr>
          </w:p>
        </w:tc>
        <w:tc>
          <w:tcPr>
            <w:tcW w:w="1420" w:type="dxa"/>
            <w:vAlign w:val="bottom"/>
          </w:tcPr>
          <w:p>
            <w:pPr>
              <w:jc w:val="center"/>
              <w:spacing w:after="0"/>
              <w:rPr>
                <w:sz w:val="20"/>
                <w:szCs w:val="20"/>
                <w:color w:val="auto"/>
              </w:rPr>
            </w:pPr>
            <w:r>
              <w:rPr>
                <w:rFonts w:ascii="Arial" w:cs="Arial" w:eastAsia="Arial" w:hAnsi="Arial"/>
                <w:sz w:val="12"/>
                <w:szCs w:val="12"/>
                <w:b w:val="1"/>
                <w:bCs w:val="1"/>
                <w:color w:val="auto"/>
                <w:w w:val="95"/>
              </w:rPr>
              <w:t>(c)</w:t>
            </w:r>
          </w:p>
        </w:tc>
        <w:tc>
          <w:tcPr>
            <w:tcW w:w="0" w:type="dxa"/>
            <w:vAlign w:val="bottom"/>
          </w:tcPr>
          <w:p>
            <w:pPr>
              <w:spacing w:after="0"/>
              <w:rPr>
                <w:sz w:val="1"/>
                <w:szCs w:val="1"/>
                <w:color w:val="auto"/>
              </w:rPr>
            </w:pPr>
          </w:p>
        </w:tc>
      </w:tr>
      <w:tr>
        <w:trPr>
          <w:trHeight w:val="208"/>
        </w:trPr>
        <w:tc>
          <w:tcPr>
            <w:tcW w:w="6540" w:type="dxa"/>
            <w:vAlign w:val="bottom"/>
            <w:gridSpan w:val="4"/>
          </w:tcPr>
          <w:p>
            <w:pPr>
              <w:ind w:left="20"/>
              <w:spacing w:after="0"/>
              <w:rPr>
                <w:sz w:val="20"/>
                <w:szCs w:val="20"/>
                <w:color w:val="auto"/>
              </w:rPr>
            </w:pPr>
            <w:r>
              <w:rPr>
                <w:rFonts w:ascii="Arial" w:cs="Arial" w:eastAsia="Arial" w:hAnsi="Arial"/>
                <w:sz w:val="15"/>
                <w:szCs w:val="15"/>
                <w:color w:val="auto"/>
              </w:rPr>
              <w:t>Equity compensation plans approved by security holders</w:t>
            </w:r>
          </w:p>
        </w:tc>
        <w:tc>
          <w:tcPr>
            <w:tcW w:w="1440" w:type="dxa"/>
            <w:vAlign w:val="bottom"/>
            <w:tcBorders>
              <w:bottom w:val="single" w:sz="8" w:color="auto"/>
            </w:tcBorders>
          </w:tcPr>
          <w:p>
            <w:pPr>
              <w:jc w:val="right"/>
              <w:ind w:right="16"/>
              <w:spacing w:after="0"/>
              <w:rPr>
                <w:sz w:val="20"/>
                <w:szCs w:val="20"/>
                <w:color w:val="auto"/>
              </w:rPr>
            </w:pPr>
            <w:r>
              <w:rPr>
                <w:rFonts w:ascii="Arial" w:cs="Arial" w:eastAsia="Arial" w:hAnsi="Arial"/>
                <w:sz w:val="15"/>
                <w:szCs w:val="15"/>
                <w:color w:val="auto"/>
              </w:rPr>
              <w:t>22,109,537</w:t>
            </w:r>
          </w:p>
        </w:tc>
        <w:tc>
          <w:tcPr>
            <w:tcW w:w="200" w:type="dxa"/>
            <w:vAlign w:val="bottom"/>
          </w:tcPr>
          <w:p>
            <w:pPr>
              <w:spacing w:after="0"/>
              <w:rPr>
                <w:sz w:val="18"/>
                <w:szCs w:val="18"/>
                <w:color w:val="auto"/>
              </w:rPr>
            </w:pPr>
          </w:p>
        </w:tc>
        <w:tc>
          <w:tcPr>
            <w:tcW w:w="1420" w:type="dxa"/>
            <w:vAlign w:val="bottom"/>
            <w:tcBorders>
              <w:bottom w:val="single" w:sz="8" w:color="auto"/>
            </w:tcBorders>
          </w:tcPr>
          <w:p>
            <w:pPr>
              <w:ind w:left="1200"/>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2,174,780</w:t>
            </w:r>
          </w:p>
        </w:tc>
        <w:tc>
          <w:tcPr>
            <w:tcW w:w="0" w:type="dxa"/>
            <w:vAlign w:val="bottom"/>
          </w:tcPr>
          <w:p>
            <w:pPr>
              <w:spacing w:after="0"/>
              <w:rPr>
                <w:sz w:val="1"/>
                <w:szCs w:val="1"/>
                <w:color w:val="auto"/>
              </w:rPr>
            </w:pPr>
          </w:p>
        </w:tc>
      </w:tr>
      <w:tr>
        <w:trPr>
          <w:trHeight w:val="200"/>
        </w:trPr>
        <w:tc>
          <w:tcPr>
            <w:tcW w:w="6540" w:type="dxa"/>
            <w:vAlign w:val="bottom"/>
            <w:gridSpan w:val="4"/>
          </w:tcPr>
          <w:p>
            <w:pPr>
              <w:ind w:left="20"/>
              <w:spacing w:after="0" w:line="200" w:lineRule="exact"/>
              <w:rPr>
                <w:sz w:val="20"/>
                <w:szCs w:val="20"/>
                <w:color w:val="auto"/>
              </w:rPr>
            </w:pPr>
            <w:r>
              <w:rPr>
                <w:rFonts w:ascii="Arial" w:cs="Arial" w:eastAsia="Arial" w:hAnsi="Arial"/>
                <w:sz w:val="15"/>
                <w:szCs w:val="15"/>
                <w:color w:val="auto"/>
              </w:rPr>
              <w:t xml:space="preserve">Total </w:t>
            </w:r>
            <w:r>
              <w:rPr>
                <w:rFonts w:ascii="Arial" w:cs="Arial" w:eastAsia="Arial" w:hAnsi="Arial"/>
                <w:sz w:val="20"/>
                <w:szCs w:val="20"/>
                <w:color w:val="auto"/>
                <w:vertAlign w:val="superscript"/>
              </w:rPr>
              <w:t>(3)</w:t>
            </w:r>
          </w:p>
        </w:tc>
        <w:tc>
          <w:tcPr>
            <w:tcW w:w="1440" w:type="dxa"/>
            <w:vAlign w:val="bottom"/>
          </w:tcPr>
          <w:p>
            <w:pPr>
              <w:jc w:val="right"/>
              <w:ind w:right="16"/>
              <w:spacing w:after="0"/>
              <w:rPr>
                <w:sz w:val="20"/>
                <w:szCs w:val="20"/>
                <w:color w:val="auto"/>
              </w:rPr>
            </w:pPr>
            <w:r>
              <w:rPr>
                <w:rFonts w:ascii="Arial" w:cs="Arial" w:eastAsia="Arial" w:hAnsi="Arial"/>
                <w:sz w:val="15"/>
                <w:szCs w:val="15"/>
                <w:color w:val="auto"/>
              </w:rPr>
              <w:t>22,109,537</w:t>
            </w:r>
          </w:p>
        </w:tc>
        <w:tc>
          <w:tcPr>
            <w:tcW w:w="200" w:type="dxa"/>
            <w:vAlign w:val="bottom"/>
          </w:tcPr>
          <w:p>
            <w:pPr>
              <w:spacing w:after="0"/>
              <w:rPr>
                <w:sz w:val="17"/>
                <w:szCs w:val="17"/>
                <w:color w:val="auto"/>
              </w:rPr>
            </w:pPr>
          </w:p>
        </w:tc>
        <w:tc>
          <w:tcPr>
            <w:tcW w:w="1640" w:type="dxa"/>
            <w:vAlign w:val="bottom"/>
            <w:gridSpan w:val="2"/>
          </w:tcPr>
          <w:p>
            <w:pPr>
              <w:ind w:left="1200"/>
              <w:spacing w:after="0"/>
              <w:rPr>
                <w:sz w:val="20"/>
                <w:szCs w:val="20"/>
                <w:color w:val="auto"/>
              </w:rPr>
            </w:pPr>
            <w:r>
              <w:rPr>
                <w:rFonts w:ascii="Arial" w:cs="Arial" w:eastAsia="Arial" w:hAnsi="Arial"/>
                <w:sz w:val="15"/>
                <w:szCs w:val="15"/>
                <w:color w:val="auto"/>
              </w:rPr>
              <w:t>—</w:t>
            </w:r>
          </w:p>
        </w:tc>
        <w:tc>
          <w:tcPr>
            <w:tcW w:w="1420" w:type="dxa"/>
            <w:vAlign w:val="bottom"/>
          </w:tcPr>
          <w:p>
            <w:pPr>
              <w:jc w:val="right"/>
              <w:spacing w:after="0"/>
              <w:rPr>
                <w:sz w:val="20"/>
                <w:szCs w:val="20"/>
                <w:color w:val="auto"/>
              </w:rPr>
            </w:pPr>
            <w:r>
              <w:rPr>
                <w:rFonts w:ascii="Arial" w:cs="Arial" w:eastAsia="Arial" w:hAnsi="Arial"/>
                <w:sz w:val="15"/>
                <w:szCs w:val="15"/>
                <w:color w:val="auto"/>
              </w:rPr>
              <w:t>2,174,780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57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117" w:lineRule="exact"/>
        <w:rPr>
          <w:sz w:val="20"/>
          <w:szCs w:val="20"/>
          <w:color w:val="auto"/>
        </w:rPr>
      </w:pPr>
    </w:p>
    <w:p>
      <w:pPr>
        <w:ind w:left="380" w:right="280" w:hanging="377"/>
        <w:spacing w:after="0" w:line="258" w:lineRule="auto"/>
        <w:tabs>
          <w:tab w:leader="none" w:pos="354" w:val="left"/>
        </w:tabs>
        <w:numPr>
          <w:ilvl w:val="0"/>
          <w:numId w:val="21"/>
        </w:numPr>
        <w:rPr>
          <w:rFonts w:ascii="Arial" w:cs="Arial" w:eastAsia="Arial" w:hAnsi="Arial"/>
          <w:sz w:val="15"/>
          <w:szCs w:val="15"/>
          <w:color w:val="auto"/>
        </w:rPr>
      </w:pPr>
      <w:r>
        <w:rPr>
          <w:rFonts w:ascii="Arial" w:cs="Arial" w:eastAsia="Arial" w:hAnsi="Arial"/>
          <w:sz w:val="15"/>
          <w:szCs w:val="15"/>
          <w:color w:val="auto"/>
        </w:rPr>
        <w:t>Reflects the aggregate number of OCGH units, Class A units, OEP units, OEP II units, and phantom units granted under the 2011 Plan as of December 31, 2025.</w:t>
      </w:r>
    </w:p>
    <w:p>
      <w:pPr>
        <w:ind w:left="380" w:right="20" w:hanging="377"/>
        <w:spacing w:after="0" w:line="257" w:lineRule="auto"/>
        <w:tabs>
          <w:tab w:leader="none" w:pos="352" w:val="left"/>
        </w:tabs>
        <w:numPr>
          <w:ilvl w:val="0"/>
          <w:numId w:val="21"/>
        </w:numPr>
        <w:rPr>
          <w:rFonts w:ascii="Arial" w:cs="Arial" w:eastAsia="Arial" w:hAnsi="Arial"/>
          <w:sz w:val="15"/>
          <w:szCs w:val="15"/>
          <w:color w:val="auto"/>
        </w:rPr>
      </w:pPr>
      <w:r>
        <w:rPr>
          <w:rFonts w:ascii="Arial" w:cs="Arial" w:eastAsia="Arial" w:hAnsi="Arial"/>
          <w:sz w:val="15"/>
          <w:szCs w:val="15"/>
          <w:color w:val="auto"/>
        </w:rPr>
        <w:t>The 2011 Plan provides that the maximum number of Units that may be delivered pursuant to awards under the 2011 Plan is 22,300,000, as increased on January 1 of each year beginning in 2012 by a number of Units equal to the excess of (a) 15% of the number of outstanding Oaktree Operating Group units on December 31 of the immediately preceding year over (b) the number of Oaktree Operating Group units that have been issued or are issuable under the 2011 Plan as of such date, except that our board of directors may, in its discretion, increase the number of Units covered by the 2011 Plan by a lesser amount. The issuance of Units or the payment of cash upon the exercise of an award or in consideration of the cancellation or termination of an award will reduce the total number of Units available under the 2011 Plan, as applicable. Units underlying awards under the 2011 Plan that are forfeited, cancelled, expire unexercised or are settled in cash will be available again to be used as awards under the 2011 Plan. However, Units used to pay the required exercise price or tax obligations, or Units not issued in connection with the settlement of an award or that are used or withheld to satisfy tax obligations of a participant, will not be available again for other awards under the 2011 Plan.</w:t>
      </w:r>
    </w:p>
    <w:p>
      <w:pPr>
        <w:spacing w:after="0" w:line="4" w:lineRule="exact"/>
        <w:rPr>
          <w:rFonts w:ascii="Arial" w:cs="Arial" w:eastAsia="Arial" w:hAnsi="Arial"/>
          <w:sz w:val="15"/>
          <w:szCs w:val="15"/>
          <w:color w:val="auto"/>
        </w:rPr>
      </w:pPr>
    </w:p>
    <w:p>
      <w:pPr>
        <w:ind w:left="380" w:right="100" w:hanging="377"/>
        <w:spacing w:after="0" w:line="293" w:lineRule="auto"/>
        <w:tabs>
          <w:tab w:leader="none" w:pos="346" w:val="left"/>
        </w:tabs>
        <w:numPr>
          <w:ilvl w:val="0"/>
          <w:numId w:val="21"/>
        </w:numPr>
        <w:rPr>
          <w:rFonts w:ascii="Arial" w:cs="Arial" w:eastAsia="Arial" w:hAnsi="Arial"/>
          <w:sz w:val="15"/>
          <w:szCs w:val="15"/>
          <w:color w:val="auto"/>
        </w:rPr>
      </w:pPr>
      <w:r>
        <w:rPr>
          <w:rFonts w:ascii="Arial" w:cs="Arial" w:eastAsia="Arial" w:hAnsi="Arial"/>
          <w:sz w:val="15"/>
          <w:szCs w:val="15"/>
          <w:color w:val="auto"/>
        </w:rPr>
        <w:t>As of December 31, 2025, 4,929,054 OCGH units have been granted under the 2007 Plan. However, such amounts are not reflected in this table because our board of directors has resolved that the administrator of the 2007 Plan will no longer grant awards under the 2007 Plan.</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Unregistered Sales of Equity Securities and Purchases of Equity Securities in the Fourth Quarter of 2025</w:t>
      </w:r>
    </w:p>
    <w:p>
      <w:pPr>
        <w:spacing w:after="0" w:line="16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None.</w:t>
      </w:r>
    </w:p>
    <w:p>
      <w:pPr>
        <w:spacing w:after="0" w:line="39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6. 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6" w:right="339" w:bottom="1440" w:gutter="0" w:footer="0" w:header="0"/>
        </w:sectPr>
      </w:pPr>
    </w:p>
    <w:bookmarkStart w:id="47" w:name="page48"/>
    <w:bookmarkEnd w:id="47"/>
    <w:p>
      <w:pPr>
        <w:spacing w:after="0"/>
        <w:rPr>
          <w:sz w:val="20"/>
          <w:szCs w:val="20"/>
          <w:color w:val="auto"/>
        </w:rPr>
      </w:pPr>
      <w:r>
        <w:rPr>
          <w:rFonts w:ascii="Arial" w:cs="Arial" w:eastAsia="Arial" w:hAnsi="Arial"/>
          <w:sz w:val="17"/>
          <w:szCs w:val="17"/>
          <w:b w:val="1"/>
          <w:bCs w:val="1"/>
          <w:color w:val="auto"/>
        </w:rPr>
        <w:t>Item 7. Management’s Discussion and Analysis of Financial Condition and Results of Operations</w:t>
      </w:r>
    </w:p>
    <w:p>
      <w:pPr>
        <w:spacing w:after="0" w:line="232" w:lineRule="exact"/>
        <w:rPr>
          <w:sz w:val="20"/>
          <w:szCs w:val="20"/>
          <w:color w:val="auto"/>
        </w:rPr>
      </w:pPr>
    </w:p>
    <w:p>
      <w:pPr>
        <w:ind w:right="80" w:firstLine="619"/>
        <w:spacing w:after="0" w:line="243" w:lineRule="auto"/>
        <w:rPr>
          <w:sz w:val="20"/>
          <w:szCs w:val="20"/>
          <w:color w:val="auto"/>
        </w:rPr>
      </w:pPr>
      <w:r>
        <w:rPr>
          <w:rFonts w:ascii="Arial" w:cs="Arial" w:eastAsia="Arial" w:hAnsi="Arial"/>
          <w:sz w:val="17"/>
          <w:szCs w:val="17"/>
          <w:i w:val="1"/>
          <w:iCs w:val="1"/>
          <w:color w:val="auto"/>
        </w:rPr>
        <w:t xml:space="preserve">The following discussion and analysis should be read in conjunction with the consolidated financial statements of </w:t>
      </w:r>
      <w:r>
        <w:rPr>
          <w:rFonts w:ascii="Arial" w:cs="Arial" w:eastAsia="Arial" w:hAnsi="Arial"/>
          <w:sz w:val="17"/>
          <w:szCs w:val="17"/>
          <w:color w:val="auto"/>
        </w:rPr>
        <w:t>Brookfield Oaktree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Holdings, LLC </w:t>
      </w:r>
      <w:r>
        <w:rPr>
          <w:rFonts w:ascii="Arial" w:cs="Arial" w:eastAsia="Arial" w:hAnsi="Arial"/>
          <w:sz w:val="17"/>
          <w:szCs w:val="17"/>
          <w:i w:val="1"/>
          <w:iCs w:val="1"/>
          <w:color w:val="auto"/>
        </w:rPr>
        <w:t>and the related notes included within this annual report. For a discussion and analysis of historical periods ended before January 1,</w:t>
      </w:r>
      <w:r>
        <w:rPr>
          <w:rFonts w:ascii="Arial" w:cs="Arial" w:eastAsia="Arial" w:hAnsi="Arial"/>
          <w:sz w:val="17"/>
          <w:szCs w:val="17"/>
          <w:color w:val="auto"/>
        </w:rPr>
        <w:t xml:space="preserve"> </w:t>
      </w:r>
      <w:r>
        <w:rPr>
          <w:rFonts w:ascii="Arial" w:cs="Arial" w:eastAsia="Arial" w:hAnsi="Arial"/>
          <w:sz w:val="17"/>
          <w:szCs w:val="17"/>
          <w:i w:val="1"/>
          <w:iCs w:val="1"/>
          <w:color w:val="auto"/>
        </w:rPr>
        <w:t>2024, please refer to “Management’s Discussion and Analysis of Financial Condition and Results of Operations” in our annual report on Form 10-K for the year ended December 31, 2024. This discussion contains forward-looking statements that are subject to risks and uncertainties and assumptions relating to our operations, financial results, financial condition, business prospects, growth strategy and liquidity. The factors listed under “Risk Factors” and “Forward-Looking Statements” in this annual report provide examples of risks, uncertainties and events that may cause our actual results to differ materially from the expectations described in any forward-looking statements.</w:t>
      </w:r>
    </w:p>
    <w:p>
      <w:pPr>
        <w:spacing w:after="0" w:line="30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Business Overview</w:t>
      </w:r>
    </w:p>
    <w:p>
      <w:pPr>
        <w:spacing w:after="0" w:line="103" w:lineRule="exact"/>
        <w:rPr>
          <w:sz w:val="20"/>
          <w:szCs w:val="20"/>
          <w:color w:val="auto"/>
        </w:rPr>
      </w:pPr>
    </w:p>
    <w:p>
      <w:pPr>
        <w:ind w:right="340" w:firstLine="619"/>
        <w:spacing w:after="0" w:line="249" w:lineRule="auto"/>
        <w:rPr>
          <w:sz w:val="20"/>
          <w:szCs w:val="20"/>
          <w:color w:val="auto"/>
        </w:rPr>
      </w:pPr>
      <w:r>
        <w:rPr>
          <w:rFonts w:ascii="Arial" w:cs="Arial" w:eastAsia="Arial" w:hAnsi="Arial"/>
          <w:sz w:val="17"/>
          <w:szCs w:val="17"/>
          <w:color w:val="auto"/>
        </w:rPr>
        <w:t>Brookfield Oaktree Holdings, LLC holds Credit, Real Estate and Equity investments managed by leading alternative asset management firms Oaktree Capital Management, L.P. and Brookfield Asset Management Ltd. The Company both directly invests in funds and has indirect exposure through its approximately 74% economic interest in Oaktree Capital I, L.P. (“Oaktree Capital I”), which holds a majority of Oaktree’s investments in its funds.</w:t>
      </w:r>
    </w:p>
    <w:p>
      <w:pPr>
        <w:spacing w:after="0" w:line="194" w:lineRule="exact"/>
        <w:rPr>
          <w:sz w:val="20"/>
          <w:szCs w:val="20"/>
          <w:color w:val="auto"/>
        </w:rPr>
      </w:pPr>
    </w:p>
    <w:p>
      <w:pPr>
        <w:ind w:firstLine="619"/>
        <w:spacing w:after="0" w:line="244" w:lineRule="auto"/>
        <w:rPr>
          <w:sz w:val="20"/>
          <w:szCs w:val="20"/>
          <w:color w:val="auto"/>
        </w:rPr>
      </w:pPr>
      <w:r>
        <w:rPr>
          <w:rFonts w:ascii="Arial" w:cs="Arial" w:eastAsia="Arial" w:hAnsi="Arial"/>
          <w:sz w:val="17"/>
          <w:szCs w:val="17"/>
          <w:color w:val="auto"/>
        </w:rPr>
        <w:t>Brookfield Oaktree Holdings, LLC is a Delaware limited liability company that was formed on April 13, 2007 under the name Oaktree Capital Group, LLC. The Company’s ownership and operational structure through December 31, 2025 are the result of certain mergers and restructurings. The Company’s holdings and operations currently primarily represent (i) limited partner investments in certain of Oaktree’s flagship opportunistic credit funds, (ii) an approximately 74% economic interest in Oaktree Capital I, which holds a majority of Oaktree’s investments in its funds, and (iii) an indirect ownership interest in Brookfield Real Estate Income Trust Inc. (“Brookfield REIT”). The Company is the issuer of the Series A and Series B preferred units listed on the NYSE.</w:t>
      </w:r>
    </w:p>
    <w:p>
      <w:pPr>
        <w:spacing w:after="0" w:line="71" w:lineRule="exact"/>
        <w:rPr>
          <w:sz w:val="20"/>
          <w:szCs w:val="20"/>
          <w:color w:val="auto"/>
        </w:rPr>
      </w:pPr>
    </w:p>
    <w:p>
      <w:pPr>
        <w:ind w:right="60" w:firstLine="619"/>
        <w:spacing w:after="0" w:line="241" w:lineRule="auto"/>
        <w:rPr>
          <w:sz w:val="20"/>
          <w:szCs w:val="20"/>
          <w:color w:val="auto"/>
        </w:rPr>
      </w:pPr>
      <w:r>
        <w:rPr>
          <w:rFonts w:ascii="Arial" w:cs="Arial" w:eastAsia="Arial" w:hAnsi="Arial"/>
          <w:sz w:val="17"/>
          <w:szCs w:val="17"/>
          <w:color w:val="auto"/>
        </w:rPr>
        <w:t>See Part I, Item I included in the Company’s Annual Report on Form 10-K for the year ended December 31, 2019 filed with the SEC on March 2, 2020 for more information regarding the Mergers and the 2019 Restructuring. See Item 1.01 of the Company’s Current Report on Form 8-K filed with the SEC on December 6, 2022 and Part I, Item I included in the Company’s Annual Report on Form 10-K for the year ended December</w:t>
      </w:r>
    </w:p>
    <w:p>
      <w:pPr>
        <w:spacing w:after="0" w:line="2" w:lineRule="exact"/>
        <w:rPr>
          <w:sz w:val="20"/>
          <w:szCs w:val="20"/>
          <w:color w:val="auto"/>
        </w:rPr>
      </w:pPr>
    </w:p>
    <w:p>
      <w:pPr>
        <w:ind w:right="60"/>
        <w:spacing w:after="0" w:line="250" w:lineRule="auto"/>
        <w:rPr>
          <w:sz w:val="20"/>
          <w:szCs w:val="20"/>
          <w:color w:val="auto"/>
        </w:rPr>
      </w:pPr>
      <w:r>
        <w:rPr>
          <w:rFonts w:ascii="Arial" w:cs="Arial" w:eastAsia="Arial" w:hAnsi="Arial"/>
          <w:sz w:val="17"/>
          <w:szCs w:val="17"/>
          <w:color w:val="auto"/>
        </w:rPr>
        <w:t>31, 2022 filed with the SEC on March 21, 2023 for more information about the 2022 Restructuring</w:t>
      </w:r>
      <w:r>
        <w:rPr>
          <w:rFonts w:ascii="Arial" w:cs="Arial" w:eastAsia="Arial" w:hAnsi="Arial"/>
          <w:sz w:val="20"/>
          <w:szCs w:val="20"/>
          <w:color w:val="auto"/>
        </w:rPr>
        <w:t>.</w:t>
      </w:r>
      <w:r>
        <w:rPr>
          <w:rFonts w:ascii="Arial" w:cs="Arial" w:eastAsia="Arial" w:hAnsi="Arial"/>
          <w:sz w:val="17"/>
          <w:szCs w:val="17"/>
          <w:color w:val="auto"/>
        </w:rPr>
        <w:t xml:space="preserve"> See Item 8.01 of the Company’s Current Report on Form 8-K filed with the SEC on July 1, 2024 for more information about the 2024 Restructuring.</w:t>
      </w:r>
    </w:p>
    <w:p>
      <w:pPr>
        <w:spacing w:after="0" w:line="191" w:lineRule="exact"/>
        <w:rPr>
          <w:sz w:val="20"/>
          <w:szCs w:val="20"/>
          <w:color w:val="auto"/>
        </w:rPr>
      </w:pPr>
    </w:p>
    <w:p>
      <w:pPr>
        <w:ind w:right="180" w:firstLine="619"/>
        <w:spacing w:after="0" w:line="246" w:lineRule="auto"/>
        <w:rPr>
          <w:sz w:val="20"/>
          <w:szCs w:val="20"/>
          <w:color w:val="auto"/>
        </w:rPr>
      </w:pPr>
      <w:r>
        <w:rPr>
          <w:rFonts w:ascii="Arial" w:cs="Arial" w:eastAsia="Arial" w:hAnsi="Arial"/>
          <w:sz w:val="17"/>
          <w:szCs w:val="17"/>
          <w:color w:val="auto"/>
        </w:rPr>
        <w:t>The results of the Company are largely driven by the performance of certain funds and other investments held directly or indirectly by Oaktree Capital I, which is one of the key operating entities of Oaktree, and managed by Oaktree. The distributions to holders of the Series A and Series B preferred units listed on the NYSE are generally serviced by the distributions from Oaktree Capital I, and payments to the preferred unitholders must be satisfied prior to declaration of any distributions to Class A or Class B unitholders, subject to the terms of the Series A and Series B preferred units and certain limitations and exceptions set forth therein.</w:t>
      </w:r>
    </w:p>
    <w:p>
      <w:pPr>
        <w:spacing w:after="0" w:line="68" w:lineRule="exact"/>
        <w:rPr>
          <w:sz w:val="20"/>
          <w:szCs w:val="20"/>
          <w:color w:val="auto"/>
        </w:rPr>
      </w:pPr>
    </w:p>
    <w:p>
      <w:pPr>
        <w:ind w:right="420" w:firstLine="619"/>
        <w:spacing w:after="0" w:line="274" w:lineRule="auto"/>
        <w:rPr>
          <w:sz w:val="20"/>
          <w:szCs w:val="20"/>
          <w:color w:val="auto"/>
        </w:rPr>
      </w:pPr>
      <w:r>
        <w:rPr>
          <w:rFonts w:ascii="Arial" w:cs="Arial" w:eastAsia="Arial" w:hAnsi="Arial"/>
          <w:sz w:val="17"/>
          <w:szCs w:val="17"/>
          <w:color w:val="auto"/>
        </w:rPr>
        <w:t>OCM provides certain administrative and other services relating to the operations of the Company’s business pursuant to the Services Agreement between the Company and OCM.</w:t>
      </w:r>
    </w:p>
    <w:p>
      <w:pPr>
        <w:spacing w:after="0" w:line="10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Business Environment and Developments</w:t>
      </w:r>
    </w:p>
    <w:p>
      <w:pPr>
        <w:spacing w:after="0" w:line="232" w:lineRule="exact"/>
        <w:rPr>
          <w:sz w:val="20"/>
          <w:szCs w:val="20"/>
          <w:color w:val="auto"/>
        </w:rPr>
      </w:pPr>
    </w:p>
    <w:p>
      <w:pPr>
        <w:jc w:val="both"/>
        <w:ind w:right="20" w:firstLine="619"/>
        <w:spacing w:after="0" w:line="243" w:lineRule="auto"/>
        <w:rPr>
          <w:sz w:val="20"/>
          <w:szCs w:val="20"/>
          <w:color w:val="auto"/>
        </w:rPr>
      </w:pPr>
      <w:r>
        <w:rPr>
          <w:rFonts w:ascii="Arial" w:cs="Arial" w:eastAsia="Arial" w:hAnsi="Arial"/>
          <w:sz w:val="17"/>
          <w:szCs w:val="17"/>
          <w:color w:val="auto"/>
        </w:rPr>
        <w:t>The Company and Oaktree are affected by a wide range of factors, including the condition of the global economy and financial markets; the relative attractiveness of Oaktree’s investment strategies and investors’ demand for them; and regulatory or other governmental policies or actions. Global economic conditions can significantly impact the values of fund investments and the ability to make new investments or sell existing</w:t>
      </w:r>
    </w:p>
    <w:p>
      <w:pPr>
        <w:spacing w:after="0" w:line="2" w:lineRule="exact"/>
        <w:rPr>
          <w:sz w:val="20"/>
          <w:szCs w:val="20"/>
          <w:color w:val="auto"/>
        </w:rPr>
      </w:pPr>
    </w:p>
    <w:p>
      <w:pPr>
        <w:ind w:right="560"/>
        <w:spacing w:after="0" w:line="229" w:lineRule="auto"/>
        <w:rPr>
          <w:sz w:val="20"/>
          <w:szCs w:val="20"/>
          <w:color w:val="auto"/>
        </w:rPr>
      </w:pPr>
      <w:r>
        <w:rPr>
          <w:rFonts w:ascii="Arial" w:cs="Arial" w:eastAsia="Arial" w:hAnsi="Arial"/>
          <w:sz w:val="17"/>
          <w:szCs w:val="17"/>
          <w:color w:val="auto"/>
        </w:rPr>
        <w:t>investments for these funds. Historically, however, Oaktree’s diversified nature, of both investment strategies and revenue mix, has generally allowed it to benefit from both strong and weak economic environments. Weak economies and the declining financial markets that typically</w:t>
      </w:r>
    </w:p>
    <w:p>
      <w:pPr>
        <w:spacing w:after="0" w:line="1" w:lineRule="exact"/>
        <w:rPr>
          <w:sz w:val="20"/>
          <w:szCs w:val="20"/>
          <w:color w:val="auto"/>
        </w:rPr>
      </w:pPr>
    </w:p>
    <w:p>
      <w:pPr>
        <w:ind w:right="100"/>
        <w:spacing w:after="0" w:line="241" w:lineRule="auto"/>
        <w:rPr>
          <w:sz w:val="20"/>
          <w:szCs w:val="20"/>
          <w:color w:val="auto"/>
        </w:rPr>
      </w:pPr>
      <w:r>
        <w:rPr>
          <w:rFonts w:ascii="Arial" w:cs="Arial" w:eastAsia="Arial" w:hAnsi="Arial"/>
          <w:sz w:val="17"/>
          <w:szCs w:val="17"/>
          <w:color w:val="auto"/>
        </w:rPr>
        <w:t>accompany them tend to dampen revenues from asset-based management fees, investment realizations or price appreciation, but their prospect can present opportunities to raise relatively larger amounts of capital for certain strategies, especially opportunistic credit. Additionally, weak financial markets may also present more opportunities for funds to make investments at reduced prices. Conversely, strong financial markets generally increase the value of fund investments, which typically create favorable exit opportunities that enhance the prospect for incentive income and fund-related realized investment income proceeds for Oaktree and enhance the prospect for investment income for us.</w:t>
      </w:r>
    </w:p>
    <w:p>
      <w:pPr>
        <w:spacing w:after="0" w:line="202" w:lineRule="exact"/>
        <w:rPr>
          <w:sz w:val="20"/>
          <w:szCs w:val="20"/>
          <w:color w:val="auto"/>
        </w:rPr>
      </w:pPr>
    </w:p>
    <w:p>
      <w:pPr>
        <w:jc w:val="both"/>
        <w:ind w:right="300" w:firstLine="619"/>
        <w:spacing w:after="0" w:line="255" w:lineRule="auto"/>
        <w:rPr>
          <w:sz w:val="20"/>
          <w:szCs w:val="20"/>
          <w:color w:val="auto"/>
        </w:rPr>
      </w:pPr>
      <w:r>
        <w:rPr>
          <w:rFonts w:ascii="Arial" w:cs="Arial" w:eastAsia="Arial" w:hAnsi="Arial"/>
          <w:sz w:val="17"/>
          <w:szCs w:val="17"/>
          <w:color w:val="auto"/>
        </w:rPr>
        <w:t>The ongoing Russia-Ukraine conflict, including global sanctions imposed on Russia, conflict in the Middle East, controversies regarding Greenland, and changes in trade policies of the United States and other countries, including the imposition of tariffs and retaliatory tariffs, create continued uncertainty and volatility in the global</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856" w:right="359" w:bottom="1440" w:gutter="0" w:footer="0" w:header="0"/>
        </w:sectPr>
      </w:pPr>
    </w:p>
    <w:bookmarkStart w:id="48" w:name="page49"/>
    <w:bookmarkEnd w:id="48"/>
    <w:p>
      <w:pPr>
        <w:spacing w:after="0" w:line="249" w:lineRule="auto"/>
        <w:rPr>
          <w:sz w:val="20"/>
          <w:szCs w:val="20"/>
          <w:color w:val="auto"/>
        </w:rPr>
      </w:pPr>
      <w:r>
        <w:rPr>
          <w:rFonts w:ascii="Arial" w:cs="Arial" w:eastAsia="Arial" w:hAnsi="Arial"/>
          <w:sz w:val="17"/>
          <w:szCs w:val="17"/>
          <w:color w:val="auto"/>
        </w:rPr>
        <w:t>financial markets and economy and, as a result, may adversely impact Oaktree’s businesses and its funds’ and their respective portfolio companies’ business. As of the date of this filing, we are not aware of any material risk to the stability of our consolidated financial statements caused by the Russia-Ukraine conflict, the conflict in the Middle East or changes in U.S. and global trade policies, or the materiality of any effect such uncertainties may have on our business and operations.</w:t>
      </w:r>
    </w:p>
    <w:p>
      <w:pPr>
        <w:spacing w:after="0" w:line="194" w:lineRule="exact"/>
        <w:rPr>
          <w:sz w:val="20"/>
          <w:szCs w:val="20"/>
          <w:color w:val="auto"/>
        </w:rPr>
      </w:pPr>
    </w:p>
    <w:p>
      <w:pPr>
        <w:ind w:right="140" w:firstLine="619"/>
        <w:spacing w:after="0" w:line="274" w:lineRule="auto"/>
        <w:rPr>
          <w:sz w:val="20"/>
          <w:szCs w:val="20"/>
          <w:color w:val="auto"/>
        </w:rPr>
      </w:pPr>
      <w:r>
        <w:rPr>
          <w:rFonts w:ascii="Arial" w:cs="Arial" w:eastAsia="Arial" w:hAnsi="Arial"/>
          <w:sz w:val="17"/>
          <w:szCs w:val="17"/>
          <w:color w:val="auto"/>
        </w:rPr>
        <w:t>There has been significant recent progress and developments in the area of generative artificial intelligence but the impact to our business of such evolving technology cannot be fully determined at this time.</w:t>
      </w:r>
    </w:p>
    <w:p>
      <w:pPr>
        <w:spacing w:after="0" w:line="5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Understanding Our Results—Consolidation of Oaktree Funds</w:t>
      </w:r>
    </w:p>
    <w:p>
      <w:pPr>
        <w:spacing w:after="0" w:line="168" w:lineRule="exact"/>
        <w:rPr>
          <w:sz w:val="20"/>
          <w:szCs w:val="20"/>
          <w:color w:val="auto"/>
        </w:rPr>
      </w:pPr>
    </w:p>
    <w:p>
      <w:pPr>
        <w:ind w:right="220" w:firstLine="619"/>
        <w:spacing w:after="0" w:line="260" w:lineRule="auto"/>
        <w:rPr>
          <w:sz w:val="20"/>
          <w:szCs w:val="20"/>
          <w:color w:val="auto"/>
        </w:rPr>
      </w:pPr>
      <w:r>
        <w:rPr>
          <w:rFonts w:ascii="Arial" w:cs="Arial" w:eastAsia="Arial" w:hAnsi="Arial"/>
          <w:sz w:val="17"/>
          <w:szCs w:val="17"/>
          <w:color w:val="auto"/>
        </w:rPr>
        <w:t>Generally accepted accounting principles in the United States (“GAAP”) requires us to consolidate entities in which we have a direct or indirect controlling financial interest based on either a variable interest model or voting interest model. A limited partnership or similar entity is a variable interest entity (“VIE”) if the unaffiliated limited partners do not have substantive kick-out or participating rights. Most of the Oaktree funds are VIEs because they have not granted unaffiliated limited partners substantive kick-out or participating rights. The Company consolidates those VIEs in which we are the primary beneficiary. For entities that are not VIEs, consolidation is evaluated through a majority voting interest model. Please see note 2 to our consolidated financial statements included elsewhere in this annual report for more information.</w:t>
      </w:r>
    </w:p>
    <w:p>
      <w:pPr>
        <w:spacing w:after="0" w:line="186" w:lineRule="exact"/>
        <w:rPr>
          <w:sz w:val="20"/>
          <w:szCs w:val="20"/>
          <w:color w:val="auto"/>
        </w:rPr>
      </w:pPr>
    </w:p>
    <w:p>
      <w:pPr>
        <w:ind w:right="120" w:firstLine="619"/>
        <w:spacing w:after="0" w:line="239" w:lineRule="auto"/>
        <w:rPr>
          <w:sz w:val="20"/>
          <w:szCs w:val="20"/>
          <w:color w:val="auto"/>
        </w:rPr>
      </w:pPr>
      <w:r>
        <w:rPr>
          <w:rFonts w:ascii="Arial" w:cs="Arial" w:eastAsia="Arial" w:hAnsi="Arial"/>
          <w:sz w:val="17"/>
          <w:szCs w:val="17"/>
          <w:color w:val="auto"/>
        </w:rPr>
        <w:t>As a result of the 2024 Restructuring, effected to facilitate the change of the general partner of Oaktree Capital I, the Company no longer indirectly controls Oaktree Capital I. Therefore, Oaktree Capital I was deconsolidated as of July 1, 2024. As such, certain Oaktree funds and CLOs</w:t>
      </w:r>
    </w:p>
    <w:p>
      <w:pPr>
        <w:spacing w:after="0" w:line="1" w:lineRule="exact"/>
        <w:rPr>
          <w:sz w:val="20"/>
          <w:szCs w:val="20"/>
          <w:color w:val="auto"/>
        </w:rPr>
      </w:pPr>
    </w:p>
    <w:p>
      <w:pPr>
        <w:ind w:right="100"/>
        <w:spacing w:after="0" w:line="246" w:lineRule="auto"/>
        <w:rPr>
          <w:sz w:val="20"/>
          <w:szCs w:val="20"/>
          <w:color w:val="auto"/>
        </w:rPr>
      </w:pPr>
      <w:r>
        <w:rPr>
          <w:rFonts w:ascii="Arial" w:cs="Arial" w:eastAsia="Arial" w:hAnsi="Arial"/>
          <w:sz w:val="17"/>
          <w:szCs w:val="17"/>
          <w:color w:val="auto"/>
        </w:rPr>
        <w:t>which were consolidated by Oaktree Capital I are no longer consolidated by the Company. The Company continues to consolidate the respective vehicles through which interests are held in Oaktree Opportunities Fund XI, L.P. and Oaktree Opportunities Fund XII, L.P. as the Company remains the primary beneficiary.</w:t>
      </w:r>
    </w:p>
    <w:p>
      <w:pPr>
        <w:spacing w:after="0" w:line="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Revenues</w:t>
      </w:r>
    </w:p>
    <w:p>
      <w:pPr>
        <w:spacing w:after="0" w:line="101"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We earn interest and dividend income which is primarily earned by our consolidated funds from their investment holdings.</w:t>
      </w:r>
    </w:p>
    <w:p>
      <w:pPr>
        <w:spacing w:after="0" w:line="269" w:lineRule="exact"/>
        <w:rPr>
          <w:sz w:val="20"/>
          <w:szCs w:val="20"/>
          <w:color w:val="auto"/>
        </w:rPr>
      </w:pPr>
    </w:p>
    <w:p>
      <w:pPr>
        <w:ind w:right="40" w:firstLine="619"/>
        <w:spacing w:after="0"/>
        <w:rPr>
          <w:sz w:val="20"/>
          <w:szCs w:val="20"/>
          <w:color w:val="auto"/>
        </w:rPr>
      </w:pPr>
      <w:r>
        <w:rPr>
          <w:rFonts w:ascii="Arial" w:cs="Arial" w:eastAsia="Arial" w:hAnsi="Arial"/>
          <w:sz w:val="17"/>
          <w:szCs w:val="17"/>
          <w:color w:val="auto"/>
        </w:rPr>
        <w:t>Historically, we had the potential to earn incentive income from many of the closed-end funds and certain evergreen funds managed by Oaktree in Oaktree Capital I’s capacity as the general partner of those funds. These closed-end funds generally provided that we received incentive income only after we had returned to Oaktree’s investors all of their contributed capital plus an annual preferred return, typically 8%. Once this occurred, we generally received as incentive income 80% of all distributions otherwise attributable to Oaktree’s investors, and those investors received the remaining 20% until we had received, as incentive income, 20% of all such distributions in excess of the contributed capital from the inception of the fund. Thereafter, all such future distributions attributable to Oaktree’s investors were distributed 80% to those investors and 20% to us as incentive income. As a result of the 2022 Restructuring, we were generally only entitled to earn one-third of the incentive income attributable</w:t>
      </w:r>
    </w:p>
    <w:p>
      <w:pPr>
        <w:spacing w:after="0" w:line="1" w:lineRule="exact"/>
        <w:rPr>
          <w:sz w:val="20"/>
          <w:szCs w:val="20"/>
          <w:color w:val="auto"/>
        </w:rPr>
      </w:pPr>
    </w:p>
    <w:p>
      <w:pPr>
        <w:ind w:right="160"/>
        <w:spacing w:after="0" w:line="229" w:lineRule="auto"/>
        <w:rPr>
          <w:sz w:val="20"/>
          <w:szCs w:val="20"/>
          <w:color w:val="auto"/>
        </w:rPr>
      </w:pPr>
      <w:r>
        <w:rPr>
          <w:rFonts w:ascii="Arial" w:cs="Arial" w:eastAsia="Arial" w:hAnsi="Arial"/>
          <w:sz w:val="17"/>
          <w:szCs w:val="17"/>
          <w:color w:val="auto"/>
        </w:rPr>
        <w:t>to Oaktree Capital I in respect of Oaktree’s closed-end funds established in 2022 or later and in respect of incentive income from Oaktree’s evergreen funds earned subsequent to January 1, 2023. We were generally earning 100% of the incentive income attributable to Oaktree Capital I</w:t>
      </w:r>
    </w:p>
    <w:p>
      <w:pPr>
        <w:spacing w:after="0" w:line="1" w:lineRule="exact"/>
        <w:rPr>
          <w:sz w:val="20"/>
          <w:szCs w:val="20"/>
          <w:color w:val="auto"/>
        </w:rPr>
      </w:pPr>
    </w:p>
    <w:p>
      <w:pPr>
        <w:ind w:right="160"/>
        <w:spacing w:after="0" w:line="243" w:lineRule="auto"/>
        <w:rPr>
          <w:sz w:val="20"/>
          <w:szCs w:val="20"/>
          <w:color w:val="auto"/>
        </w:rPr>
      </w:pPr>
      <w:r>
        <w:rPr>
          <w:rFonts w:ascii="Arial" w:cs="Arial" w:eastAsia="Arial" w:hAnsi="Arial"/>
          <w:sz w:val="17"/>
          <w:szCs w:val="17"/>
          <w:color w:val="auto"/>
        </w:rPr>
        <w:t>in respect of Oaktree’s closed-end funds established prior to 2022. Subsequent to the 2024 Restructuring, the Company no longer earns incentive income as a result of the deconsolidation of Oaktree Capital I. Rather the economics resulting from Oaktree Capital I’s right to earn incentive income are reflected in the Company’s results through investment income earned from the Company’s approximately 74% equity method investment in Oaktree Capital I.</w:t>
      </w:r>
    </w:p>
    <w:p>
      <w:pPr>
        <w:spacing w:after="0" w:line="211" w:lineRule="exact"/>
        <w:rPr>
          <w:sz w:val="20"/>
          <w:szCs w:val="20"/>
          <w:color w:val="auto"/>
        </w:rPr>
      </w:pPr>
    </w:p>
    <w:p>
      <w:pPr>
        <w:ind w:right="200" w:firstLine="619"/>
        <w:spacing w:after="0" w:line="262" w:lineRule="auto"/>
        <w:rPr>
          <w:sz w:val="20"/>
          <w:szCs w:val="20"/>
          <w:color w:val="auto"/>
        </w:rPr>
      </w:pPr>
      <w:r>
        <w:rPr>
          <w:rFonts w:ascii="Arial" w:cs="Arial" w:eastAsia="Arial" w:hAnsi="Arial"/>
          <w:sz w:val="17"/>
          <w:szCs w:val="17"/>
          <w:color w:val="auto"/>
        </w:rPr>
        <w:t>We earn revenue from investment income, which represents our pro-rata share of income or loss from our investments. Historically, investment income was generally from Oaktree Capital I’s capacity as general partner in Oaktree funds and as an investor in Oaktree’s CLOs and third-party managed funds and companies. Subsequent to the 2024 Restructuring, we no longer earn investment income from the direct fund-related holdings of Oaktree Capital I. Rather the economics resulting from Oaktree Capital I’s investments are reflected in the Company’s investment income earned from the Company’s approximately 74% equity method investment in Oaktree Capital I.</w:t>
      </w:r>
    </w:p>
    <w:p>
      <w:pPr>
        <w:spacing w:after="0" w:line="119" w:lineRule="exact"/>
        <w:rPr>
          <w:sz w:val="20"/>
          <w:szCs w:val="20"/>
          <w:color w:val="auto"/>
        </w:rPr>
      </w:pPr>
    </w:p>
    <w:p>
      <w:pPr>
        <w:ind w:left="620"/>
        <w:spacing w:after="0"/>
        <w:rPr>
          <w:sz w:val="20"/>
          <w:szCs w:val="20"/>
          <w:color w:val="auto"/>
        </w:rPr>
      </w:pPr>
      <w:r>
        <w:rPr>
          <w:rFonts w:ascii="Arial" w:cs="Arial" w:eastAsia="Arial" w:hAnsi="Arial"/>
          <w:sz w:val="17"/>
          <w:szCs w:val="17"/>
          <w:color w:val="auto"/>
        </w:rPr>
        <w:t>Our consolidated revenues reflect the elimination of all revenues, if any, related to funds that are consolidated by the Company.</w:t>
      </w:r>
    </w:p>
    <w:p>
      <w:pPr>
        <w:spacing w:after="0" w:line="165" w:lineRule="exact"/>
        <w:rPr>
          <w:sz w:val="20"/>
          <w:szCs w:val="20"/>
          <w:color w:val="auto"/>
        </w:rPr>
      </w:pPr>
    </w:p>
    <w:p>
      <w:pPr>
        <w:ind w:right="120" w:firstLine="619"/>
        <w:spacing w:after="0" w:line="290" w:lineRule="auto"/>
        <w:rPr>
          <w:sz w:val="20"/>
          <w:szCs w:val="20"/>
          <w:color w:val="auto"/>
        </w:rPr>
      </w:pPr>
      <w:r>
        <w:rPr>
          <w:rFonts w:ascii="Arial" w:cs="Arial" w:eastAsia="Arial" w:hAnsi="Arial"/>
          <w:sz w:val="17"/>
          <w:szCs w:val="17"/>
          <w:color w:val="auto"/>
        </w:rPr>
        <w:t>Please see “Business—Structure and Operation of Our Business—Structure of Funds” in this annual report for a detailed discussion of the structure of Oaktree funds.</w:t>
      </w: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948" w:right="339" w:bottom="1440" w:gutter="0" w:footer="0" w:header="0"/>
        </w:sectPr>
      </w:pPr>
    </w:p>
    <w:bookmarkStart w:id="49" w:name="page50"/>
    <w:bookmarkEnd w:id="49"/>
    <w:p>
      <w:pPr>
        <w:spacing w:after="0"/>
        <w:rPr>
          <w:sz w:val="20"/>
          <w:szCs w:val="20"/>
          <w:color w:val="auto"/>
        </w:rPr>
      </w:pPr>
      <w:r>
        <w:rPr>
          <w:rFonts w:ascii="Arial" w:cs="Arial" w:eastAsia="Arial" w:hAnsi="Arial"/>
          <w:sz w:val="17"/>
          <w:szCs w:val="17"/>
          <w:b w:val="1"/>
          <w:bCs w:val="1"/>
          <w:i w:val="1"/>
          <w:iCs w:val="1"/>
          <w:color w:val="auto"/>
        </w:rPr>
        <w:t>Expenses</w:t>
      </w:r>
    </w:p>
    <w:p>
      <w:pPr>
        <w:spacing w:after="0" w:line="11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Compensation, General and Administrative Expenses</w:t>
      </w:r>
    </w:p>
    <w:p>
      <w:pPr>
        <w:spacing w:after="0" w:line="112" w:lineRule="exact"/>
        <w:rPr>
          <w:sz w:val="20"/>
          <w:szCs w:val="20"/>
          <w:color w:val="auto"/>
        </w:rPr>
      </w:pPr>
    </w:p>
    <w:p>
      <w:pPr>
        <w:ind w:right="120" w:firstLine="619"/>
        <w:spacing w:after="0" w:line="259" w:lineRule="auto"/>
        <w:rPr>
          <w:sz w:val="20"/>
          <w:szCs w:val="20"/>
          <w:color w:val="auto"/>
        </w:rPr>
      </w:pPr>
      <w:r>
        <w:rPr>
          <w:rFonts w:ascii="Arial" w:cs="Arial" w:eastAsia="Arial" w:hAnsi="Arial"/>
          <w:sz w:val="17"/>
          <w:szCs w:val="17"/>
          <w:color w:val="auto"/>
        </w:rPr>
        <w:t>Compensation has historically primarily reflected compensation expense directly related to incentive income, which generally consists of percentage interests (sometimes referred to as “points” or an allocation of shares received upon the completion of a successful SPAC merger) that are granted to Oaktree investment professionals associated with the particular fund or SPAC that generated the incentive income, and secondarily, compensation directly related to investment income. There was no fixed percentage for the incentive income-related portion of this compensation, either by fund, SPAC or strategy. The percentage that consolidated incentive compensation expense represented of the particular period’s consolidated incentive income may not have been meaningful because incentive income from consolidated funds or SPACs was eliminated in consolidation, whereas no incentive income compensation expense was eliminated in consolidation.</w:t>
      </w:r>
    </w:p>
    <w:p>
      <w:pPr>
        <w:spacing w:after="0" w:line="70" w:lineRule="exact"/>
        <w:rPr>
          <w:sz w:val="20"/>
          <w:szCs w:val="20"/>
          <w:color w:val="auto"/>
        </w:rPr>
      </w:pPr>
    </w:p>
    <w:p>
      <w:pPr>
        <w:ind w:right="40" w:firstLine="619"/>
        <w:spacing w:after="0" w:line="271" w:lineRule="auto"/>
        <w:rPr>
          <w:sz w:val="20"/>
          <w:szCs w:val="20"/>
          <w:color w:val="auto"/>
        </w:rPr>
      </w:pPr>
      <w:r>
        <w:rPr>
          <w:rFonts w:ascii="Arial" w:cs="Arial" w:eastAsia="Arial" w:hAnsi="Arial"/>
          <w:sz w:val="17"/>
          <w:szCs w:val="17"/>
          <w:color w:val="auto"/>
        </w:rPr>
        <w:t>Subsequent to the 2024 Restructuring, the Company no longer earns incentive income as a result of the deconsolidation of Oaktree Capital I, and therefore will no longer record incentive compensation expense. Compensation and benefits following the 2024 Restructuring primarily reflects compensation to the Company’s board of directors.</w:t>
      </w:r>
    </w:p>
    <w:p>
      <w:pPr>
        <w:spacing w:after="0" w:line="189" w:lineRule="exact"/>
        <w:rPr>
          <w:sz w:val="20"/>
          <w:szCs w:val="20"/>
          <w:color w:val="auto"/>
        </w:rPr>
      </w:pPr>
    </w:p>
    <w:p>
      <w:pPr>
        <w:jc w:val="both"/>
        <w:ind w:right="540" w:firstLine="619"/>
        <w:spacing w:after="0" w:line="271" w:lineRule="auto"/>
        <w:rPr>
          <w:sz w:val="20"/>
          <w:szCs w:val="20"/>
          <w:color w:val="auto"/>
        </w:rPr>
      </w:pPr>
      <w:r>
        <w:rPr>
          <w:rFonts w:ascii="Arial" w:cs="Arial" w:eastAsia="Arial" w:hAnsi="Arial"/>
          <w:sz w:val="17"/>
          <w:szCs w:val="17"/>
          <w:color w:val="auto"/>
        </w:rPr>
        <w:t>Subsequent to the 2022 Restructuring, general and administrative expenses generally included costs related to outside auditors, tax professionals, derivative and hedging activity, and other general items related directly to the Company’s operations. Subsequent to the 2024 Restructuring and deconsolidation of Oaktree Capital I, the Company no longer directly incurs costs related to derivative and hedging activity.</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Consolidated Fund Expenses</w:t>
      </w:r>
    </w:p>
    <w:p>
      <w:pPr>
        <w:spacing w:after="0" w:line="112" w:lineRule="exact"/>
        <w:rPr>
          <w:sz w:val="20"/>
          <w:szCs w:val="20"/>
          <w:color w:val="auto"/>
        </w:rPr>
      </w:pPr>
    </w:p>
    <w:p>
      <w:pPr>
        <w:ind w:firstLine="619"/>
        <w:spacing w:after="0" w:line="263" w:lineRule="auto"/>
        <w:rPr>
          <w:sz w:val="20"/>
          <w:szCs w:val="20"/>
          <w:color w:val="auto"/>
        </w:rPr>
      </w:pPr>
      <w:r>
        <w:rPr>
          <w:rFonts w:ascii="Arial" w:cs="Arial" w:eastAsia="Arial" w:hAnsi="Arial"/>
          <w:sz w:val="17"/>
          <w:szCs w:val="17"/>
          <w:color w:val="auto"/>
        </w:rPr>
        <w:t>Consolidated fund expenses consist primarily of costs, expenses and fees that are incurred by, or arise out of the operation and activities of or otherwise are related to, our consolidated funds, including, without limitation, travel expenses, professional fees, research and software expenses, insurance, and other costs associated with administering and supporting those funds. Inasmuch as most of these fund expenses are borne by third-party investors, they reduce the investors’ interests in the consolidated funds and have no impact on net income or loss attributable to the Company.</w:t>
      </w:r>
    </w:p>
    <w:p>
      <w:pPr>
        <w:spacing w:after="0" w:line="200" w:lineRule="exact"/>
        <w:rPr>
          <w:sz w:val="20"/>
          <w:szCs w:val="20"/>
          <w:color w:val="auto"/>
        </w:rPr>
      </w:pPr>
    </w:p>
    <w:p>
      <w:pPr>
        <w:spacing w:after="0" w:line="207" w:lineRule="exact"/>
        <w:rPr>
          <w:sz w:val="20"/>
          <w:szCs w:val="20"/>
          <w:color w:val="auto"/>
        </w:rPr>
      </w:pPr>
    </w:p>
    <w:p>
      <w:pPr>
        <w:ind w:firstLine="619"/>
        <w:spacing w:after="0" w:line="265" w:lineRule="auto"/>
        <w:rPr>
          <w:sz w:val="20"/>
          <w:szCs w:val="20"/>
          <w:color w:val="auto"/>
        </w:rPr>
      </w:pPr>
      <w:r>
        <w:rPr>
          <w:rFonts w:ascii="Arial" w:cs="Arial" w:eastAsia="Arial" w:hAnsi="Arial"/>
          <w:sz w:val="17"/>
          <w:szCs w:val="17"/>
          <w:color w:val="auto"/>
        </w:rPr>
        <w:t>As a result of the 2024 Restructuring, the Company deconsolidated Oaktree Capital I as of July 1, 2024. As such, certain Oaktree funds and CLOs which were consolidated by Oaktree Capital I are no longer consolidated by the Company. The Company continues to consolidate the respective vehicles through which interests are held in Oaktree Opportunities Fund XI, L.P. and Oaktree Opportunities Fund XII, L.P. as the Company remains the primary beneficiary.</w:t>
      </w:r>
    </w:p>
    <w:p>
      <w:pPr>
        <w:spacing w:after="0" w:line="6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Interest Expense</w:t>
      </w:r>
    </w:p>
    <w:p>
      <w:pPr>
        <w:spacing w:after="0" w:line="99" w:lineRule="exact"/>
        <w:rPr>
          <w:sz w:val="20"/>
          <w:szCs w:val="20"/>
          <w:color w:val="auto"/>
        </w:rPr>
      </w:pPr>
    </w:p>
    <w:p>
      <w:pPr>
        <w:ind w:right="140" w:firstLine="619"/>
        <w:spacing w:after="0" w:line="244" w:lineRule="auto"/>
        <w:rPr>
          <w:sz w:val="20"/>
          <w:szCs w:val="20"/>
          <w:color w:val="auto"/>
        </w:rPr>
      </w:pPr>
      <w:r>
        <w:rPr>
          <w:rFonts w:ascii="Arial" w:cs="Arial" w:eastAsia="Arial" w:hAnsi="Arial"/>
          <w:sz w:val="17"/>
          <w:szCs w:val="17"/>
          <w:color w:val="auto"/>
        </w:rPr>
        <w:t>Interest expense has historically primarily reflected the interest expense of the consolidated funds, as well as the interest expense of Oaktree and its operating subsidiaries. Subsequent to the 2022 Restructuring, our financial statements reflected debt obligations, interest expense or related liabilities associated with our operating subsidiary when Oaktree Capital I directly borrowed under Oaktree’s credit agreements, issued private placement notes or entered into another debt arrangement. Subsequent to the 2024 Restructuring, as a result of the deconsolidation of Oaktree Capital I, the Company no longer records interest expense for debt obligations of Oaktree Capital I or funds that were consolidated due to interests held by Oaktree Capital I.</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Other Income (Loss)</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Net Realized Gain (Loss) on Consolidated Funds’ Investments</w:t>
      </w:r>
    </w:p>
    <w:p>
      <w:pPr>
        <w:spacing w:after="0" w:line="163" w:lineRule="exact"/>
        <w:rPr>
          <w:sz w:val="20"/>
          <w:szCs w:val="20"/>
          <w:color w:val="auto"/>
        </w:rPr>
      </w:pPr>
    </w:p>
    <w:p>
      <w:pPr>
        <w:ind w:right="260" w:firstLine="619"/>
        <w:spacing w:after="0" w:line="290" w:lineRule="auto"/>
        <w:rPr>
          <w:sz w:val="20"/>
          <w:szCs w:val="20"/>
          <w:color w:val="auto"/>
        </w:rPr>
      </w:pPr>
      <w:r>
        <w:rPr>
          <w:rFonts w:ascii="Arial" w:cs="Arial" w:eastAsia="Arial" w:hAnsi="Arial"/>
          <w:sz w:val="17"/>
          <w:szCs w:val="17"/>
          <w:color w:val="auto"/>
        </w:rPr>
        <w:t>Net realized gain (loss) on consolidated funds’ investments consists of realized gains and losses arising from dispositions of investments held by Oaktree’s consolidated funds.</w:t>
      </w:r>
    </w:p>
    <w:p>
      <w:pPr>
        <w:spacing w:after="0" w:line="9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Net Change in Unrealized Appreciation (Depreciation) on Consolidated Funds’ Investments</w:t>
      </w:r>
    </w:p>
    <w:p>
      <w:pPr>
        <w:spacing w:after="0" w:line="112" w:lineRule="exact"/>
        <w:rPr>
          <w:sz w:val="20"/>
          <w:szCs w:val="20"/>
          <w:color w:val="auto"/>
        </w:rPr>
      </w:pPr>
    </w:p>
    <w:p>
      <w:pPr>
        <w:jc w:val="both"/>
        <w:ind w:right="520" w:firstLine="619"/>
        <w:spacing w:after="0" w:line="271" w:lineRule="auto"/>
        <w:rPr>
          <w:sz w:val="20"/>
          <w:szCs w:val="20"/>
          <w:color w:val="auto"/>
        </w:rPr>
      </w:pPr>
      <w:r>
        <w:rPr>
          <w:rFonts w:ascii="Arial" w:cs="Arial" w:eastAsia="Arial" w:hAnsi="Arial"/>
          <w:sz w:val="17"/>
          <w:szCs w:val="17"/>
          <w:color w:val="auto"/>
        </w:rPr>
        <w:t>Net change in unrealized appreciation (depreciation) on consolidated funds’ investments reflects both unrealized gains and losses on investments held by Oaktree’s consolidated funds and the reversal upon disposition of investments of unrealized gains and losses previously recognized for those investments.</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961" w:right="339" w:bottom="1440" w:gutter="0" w:footer="0" w:header="0"/>
        </w:sectPr>
      </w:pPr>
    </w:p>
    <w:bookmarkStart w:id="50" w:name="page51"/>
    <w:bookmarkEnd w:id="50"/>
    <w:p>
      <w:pPr>
        <w:spacing w:after="0"/>
        <w:rPr>
          <w:sz w:val="20"/>
          <w:szCs w:val="20"/>
          <w:color w:val="auto"/>
        </w:rPr>
      </w:pPr>
      <w:r>
        <w:rPr>
          <w:rFonts w:ascii="Arial" w:cs="Arial" w:eastAsia="Arial" w:hAnsi="Arial"/>
          <w:sz w:val="17"/>
          <w:szCs w:val="17"/>
          <w:b w:val="1"/>
          <w:bCs w:val="1"/>
          <w:i w:val="1"/>
          <w:iCs w:val="1"/>
          <w:color w:val="auto"/>
        </w:rPr>
        <w:t>Income Taxes</w:t>
      </w:r>
    </w:p>
    <w:p>
      <w:pPr>
        <w:spacing w:after="0" w:line="114" w:lineRule="exact"/>
        <w:rPr>
          <w:sz w:val="20"/>
          <w:szCs w:val="20"/>
          <w:color w:val="auto"/>
        </w:rPr>
      </w:pPr>
    </w:p>
    <w:p>
      <w:pPr>
        <w:ind w:firstLine="619"/>
        <w:spacing w:after="0" w:line="290" w:lineRule="auto"/>
        <w:rPr>
          <w:sz w:val="20"/>
          <w:szCs w:val="20"/>
          <w:color w:val="auto"/>
        </w:rPr>
      </w:pPr>
      <w:r>
        <w:rPr>
          <w:rFonts w:ascii="Arial" w:cs="Arial" w:eastAsia="Arial" w:hAnsi="Arial"/>
          <w:sz w:val="17"/>
          <w:szCs w:val="17"/>
          <w:color w:val="auto"/>
        </w:rPr>
        <w:t>The Company is a publicly traded partnership. Because it satisfies the qualifying income test, it is not required to be treated as a corporation for U.S. federal and state income tax purposes; rather it is taxed as a partnership.</w:t>
      </w:r>
    </w:p>
    <w:p>
      <w:pPr>
        <w:spacing w:after="0" w:line="43" w:lineRule="exact"/>
        <w:rPr>
          <w:sz w:val="20"/>
          <w:szCs w:val="20"/>
          <w:color w:val="auto"/>
        </w:rPr>
      </w:pPr>
    </w:p>
    <w:p>
      <w:pPr>
        <w:ind w:right="20" w:firstLine="619"/>
        <w:spacing w:after="0" w:line="271" w:lineRule="auto"/>
        <w:rPr>
          <w:sz w:val="20"/>
          <w:szCs w:val="20"/>
          <w:color w:val="auto"/>
        </w:rPr>
      </w:pPr>
      <w:r>
        <w:rPr>
          <w:rFonts w:ascii="Arial" w:cs="Arial" w:eastAsia="Arial" w:hAnsi="Arial"/>
          <w:sz w:val="17"/>
          <w:szCs w:val="17"/>
          <w:color w:val="auto"/>
        </w:rPr>
        <w:t>The Company analyzes its tax filing positions for all open tax years in all of the U.S. federal, state and local tax jurisdictions where it is required to file income tax returns. If the Company determines that uncertainties in tax positions exist, a reserve is established. The Company recognizes accrued interest and penalties related to uncertain tax positions within income tax expense in the consolidated statements of operations.</w:t>
      </w:r>
    </w:p>
    <w:p>
      <w:pPr>
        <w:spacing w:after="0" w:line="111" w:lineRule="exact"/>
        <w:rPr>
          <w:sz w:val="20"/>
          <w:szCs w:val="20"/>
          <w:color w:val="auto"/>
        </w:rPr>
      </w:pPr>
    </w:p>
    <w:p>
      <w:pPr>
        <w:jc w:val="both"/>
        <w:ind w:right="300" w:firstLine="619"/>
        <w:spacing w:after="0" w:line="271" w:lineRule="auto"/>
        <w:rPr>
          <w:sz w:val="20"/>
          <w:szCs w:val="20"/>
          <w:color w:val="auto"/>
        </w:rPr>
      </w:pPr>
      <w:r>
        <w:rPr>
          <w:rFonts w:ascii="Arial" w:cs="Arial" w:eastAsia="Arial" w:hAnsi="Arial"/>
          <w:sz w:val="17"/>
          <w:szCs w:val="17"/>
          <w:color w:val="auto"/>
        </w:rPr>
        <w:t>Tax laws are complex and subject to different interpretations by the taxpayer and respective governmental taxing authorities. Significant judgment is required in determining tax expense and in evaluating tax positions, including evaluating uncertainties. The Company reviews its tax positions quarterly and adjusts its tax balances as new information becomes available.</w:t>
      </w:r>
    </w:p>
    <w:p>
      <w:pPr>
        <w:spacing w:after="0" w:line="111" w:lineRule="exact"/>
        <w:rPr>
          <w:sz w:val="20"/>
          <w:szCs w:val="20"/>
          <w:color w:val="auto"/>
        </w:rPr>
      </w:pPr>
    </w:p>
    <w:p>
      <w:pPr>
        <w:ind w:right="220" w:firstLine="619"/>
        <w:spacing w:after="0" w:line="271" w:lineRule="auto"/>
        <w:rPr>
          <w:sz w:val="20"/>
          <w:szCs w:val="20"/>
          <w:color w:val="auto"/>
        </w:rPr>
      </w:pPr>
      <w:r>
        <w:rPr>
          <w:rFonts w:ascii="Arial" w:cs="Arial" w:eastAsia="Arial" w:hAnsi="Arial"/>
          <w:sz w:val="17"/>
          <w:szCs w:val="17"/>
          <w:color w:val="auto"/>
        </w:rPr>
        <w:t>The Oaktree funds are generally not subject to U.S. federal and state income taxes and, consequently, no income tax provision has been made in the accompanying consolidated financial statements because individual partners are responsible for their proportionate share of the taxable income.</w:t>
      </w:r>
    </w:p>
    <w:p>
      <w:pPr>
        <w:spacing w:after="0" w:line="11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Net Income Attributable to Non-controlling Interests</w:t>
      </w:r>
    </w:p>
    <w:p>
      <w:pPr>
        <w:spacing w:after="0" w:line="165" w:lineRule="exact"/>
        <w:rPr>
          <w:sz w:val="20"/>
          <w:szCs w:val="20"/>
          <w:color w:val="auto"/>
        </w:rPr>
      </w:pPr>
    </w:p>
    <w:p>
      <w:pPr>
        <w:ind w:right="40" w:firstLine="619"/>
        <w:spacing w:after="0" w:line="290" w:lineRule="auto"/>
        <w:rPr>
          <w:sz w:val="20"/>
          <w:szCs w:val="20"/>
          <w:color w:val="auto"/>
        </w:rPr>
      </w:pPr>
      <w:r>
        <w:rPr>
          <w:rFonts w:ascii="Arial" w:cs="Arial" w:eastAsia="Arial" w:hAnsi="Arial"/>
          <w:sz w:val="17"/>
          <w:szCs w:val="17"/>
          <w:color w:val="auto"/>
        </w:rPr>
        <w:t>Net income attributable to non-controlling interests represents the ownership interests that third parties hold in entities that are consolidated in our financial statements. These interests fall into two categories:</w:t>
      </w:r>
    </w:p>
    <w:p>
      <w:pPr>
        <w:spacing w:after="0" w:line="159" w:lineRule="exact"/>
        <w:rPr>
          <w:sz w:val="20"/>
          <w:szCs w:val="20"/>
          <w:color w:val="auto"/>
        </w:rPr>
      </w:pPr>
    </w:p>
    <w:p>
      <w:pPr>
        <w:ind w:left="940" w:right="80" w:hanging="279"/>
        <w:spacing w:after="0" w:line="246" w:lineRule="auto"/>
        <w:tabs>
          <w:tab w:leader="none" w:pos="936" w:val="left"/>
        </w:tabs>
        <w:numPr>
          <w:ilvl w:val="0"/>
          <w:numId w:val="22"/>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 xml:space="preserve">Net Income Attributable to Non-controlling Interests in Consolidated Funds. </w:t>
      </w:r>
      <w:r>
        <w:rPr>
          <w:rFonts w:ascii="Arial" w:cs="Arial" w:eastAsia="Arial" w:hAnsi="Arial"/>
          <w:sz w:val="17"/>
          <w:szCs w:val="17"/>
          <w:color w:val="auto"/>
        </w:rPr>
        <w:t>This category represents the economic interests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unaffiliated investors in the consolidated funds. The net income of these interests is primarily driven by the investment performance of the consolidated funds. In comparison to net income, this measure excludes our operating results and other items solely attributable to the Company. Following the 2024 Restructuring, with the deconsolidation of Oaktree Capital I, we no longer reflect the economic interest owned by other investors in the funds consolidated by Oaktree Capital I as noncontrolling interests; and,</w:t>
      </w:r>
    </w:p>
    <w:p>
      <w:pPr>
        <w:spacing w:after="0" w:line="197" w:lineRule="exact"/>
        <w:rPr>
          <w:rFonts w:ascii="Arial" w:cs="Arial" w:eastAsia="Arial" w:hAnsi="Arial"/>
          <w:sz w:val="17"/>
          <w:szCs w:val="17"/>
          <w:b w:val="1"/>
          <w:bCs w:val="1"/>
          <w:i w:val="1"/>
          <w:iCs w:val="1"/>
          <w:color w:val="auto"/>
        </w:rPr>
      </w:pPr>
    </w:p>
    <w:p>
      <w:pPr>
        <w:ind w:left="940" w:right="20" w:hanging="279"/>
        <w:spacing w:after="0" w:line="239" w:lineRule="auto"/>
        <w:tabs>
          <w:tab w:leader="none" w:pos="936" w:val="left"/>
        </w:tabs>
        <w:numPr>
          <w:ilvl w:val="0"/>
          <w:numId w:val="22"/>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Net Income Attributable to Non-controlling Interests in Consolidated Subsidiaries. </w:t>
      </w:r>
      <w:r>
        <w:rPr>
          <w:rFonts w:ascii="Arial" w:cs="Arial" w:eastAsia="Arial" w:hAnsi="Arial"/>
          <w:sz w:val="17"/>
          <w:szCs w:val="17"/>
          <w:color w:val="auto"/>
        </w:rPr>
        <w:t>This category primarily represents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economic interest in the Oaktree Operating Group owned by OCGH and OEP (“OCGH and other non-controlling interest”), as well as the economic interest in certain consolidated subsidiaries held by third parties. Subsequent to the 2022 Restructuring, this category included only the OCGH and other non-controlling interest in Oaktree Capital I. The OCGH and other non-controlling interest was determined at the Oaktree Operating Group level based on the weighted average proportionate share of Oaktree Operating Group units held by OCGH and other unitholders. Inasmuch as the number of outstanding Oaktree Operating Group units corresponded with the total number of outstanding Class A, OCGH and OEP units, changes in the economic interest held by the OCGH and other unitholders were driven by additional issuances of our Class A units and driven by additional issuances of OCGH, OEP and OEP II units, as well as repurchases and forfeitures of, and exchanges between, Class A, OCGH, OEP and OEP II units. Certain of our expenses, such as income tax and related administrative expenses of Brookfield Oaktree Holdings, LLC and the holding companies through which we hold interests in Oaktree Capital I, were solely attributable to the Class A unitholders. Please see note 11 to our consolidated financial statements included elsewhere in this annual report for additional information on the economic interest in the Oaktree Operating Group owned by OCGH. Subsequent to the 2024 Restructuring, we no longer reflect the economic interest owned by OCGH and OEP as noncontrolling interests.</w:t>
      </w:r>
    </w:p>
    <w:p>
      <w:pPr>
        <w:spacing w:after="0" w:line="13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Net Income Attributable to Preferred Unitholders</w:t>
      </w:r>
    </w:p>
    <w:p>
      <w:pPr>
        <w:spacing w:after="0" w:line="165" w:lineRule="exact"/>
        <w:rPr>
          <w:sz w:val="20"/>
          <w:szCs w:val="20"/>
          <w:color w:val="auto"/>
        </w:rPr>
      </w:pPr>
    </w:p>
    <w:p>
      <w:pPr>
        <w:ind w:right="200" w:firstLine="619"/>
        <w:spacing w:after="0" w:line="290" w:lineRule="auto"/>
        <w:rPr>
          <w:sz w:val="20"/>
          <w:szCs w:val="20"/>
          <w:color w:val="auto"/>
        </w:rPr>
      </w:pPr>
      <w:r>
        <w:rPr>
          <w:rFonts w:ascii="Arial" w:cs="Arial" w:eastAsia="Arial" w:hAnsi="Arial"/>
          <w:sz w:val="17"/>
          <w:szCs w:val="17"/>
          <w:color w:val="auto"/>
        </w:rPr>
        <w:t>This category represents distributions declared, if any, on our preferred units. Please see note 11 to our consolidated financial statements for more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961" w:right="339" w:bottom="1440" w:gutter="0" w:footer="0" w:header="0"/>
        </w:sectPr>
      </w:pPr>
    </w:p>
    <w:bookmarkStart w:id="51" w:name="page52"/>
    <w:bookmarkEnd w:id="51"/>
    <w:p>
      <w:pPr>
        <w:spacing w:after="0"/>
        <w:rPr>
          <w:sz w:val="20"/>
          <w:szCs w:val="20"/>
          <w:color w:val="auto"/>
        </w:rPr>
      </w:pPr>
      <w:r>
        <w:rPr>
          <w:rFonts w:ascii="Arial" w:cs="Arial" w:eastAsia="Arial" w:hAnsi="Arial"/>
          <w:sz w:val="17"/>
          <w:szCs w:val="17"/>
          <w:b w:val="1"/>
          <w:bCs w:val="1"/>
          <w:color w:val="auto"/>
        </w:rPr>
        <w:t>GAAP Consolidated Results of Operations</w:t>
      </w:r>
    </w:p>
    <w:p>
      <w:pPr>
        <w:spacing w:after="0" w:line="296" w:lineRule="exact"/>
        <w:rPr>
          <w:sz w:val="20"/>
          <w:szCs w:val="20"/>
          <w:color w:val="auto"/>
        </w:rPr>
      </w:pPr>
    </w:p>
    <w:p>
      <w:pPr>
        <w:ind w:left="500"/>
        <w:spacing w:after="0"/>
        <w:rPr>
          <w:sz w:val="20"/>
          <w:szCs w:val="20"/>
          <w:color w:val="auto"/>
        </w:rPr>
      </w:pPr>
      <w:r>
        <w:rPr>
          <w:rFonts w:ascii="Arial" w:cs="Arial" w:eastAsia="Arial" w:hAnsi="Arial"/>
          <w:sz w:val="17"/>
          <w:szCs w:val="17"/>
          <w:color w:val="auto"/>
        </w:rPr>
        <w:t>The following table sets forth our audited consolidated statements of operations:</w:t>
      </w:r>
    </w:p>
    <w:p>
      <w:pPr>
        <w:spacing w:after="0" w:line="177" w:lineRule="exact"/>
        <w:rPr>
          <w:sz w:val="20"/>
          <w:szCs w:val="20"/>
          <w:color w:val="auto"/>
        </w:rPr>
      </w:pPr>
    </w:p>
    <w:tbl>
      <w:tblPr>
        <w:tblLayout w:type="fixed"/>
        <w:tblInd w:w="20" w:type="dxa"/>
        <w:tblCellMar>
          <w:top w:w="0" w:type="dxa"/>
          <w:left w:w="0" w:type="dxa"/>
          <w:bottom w:w="0" w:type="dxa"/>
          <w:right w:w="0" w:type="dxa"/>
        </w:tblCellMar>
      </w:tblPr>
      <w:tr>
        <w:trPr>
          <w:trHeight w:val="169"/>
        </w:trPr>
        <w:tc>
          <w:tcPr>
            <w:tcW w:w="70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2"/>
                <w:szCs w:val="12"/>
                <w:b w:val="1"/>
                <w:bCs w:val="1"/>
                <w:color w:val="auto"/>
              </w:rPr>
              <w:t>Year Ended December 31,</w:t>
            </w:r>
          </w:p>
        </w:tc>
        <w:tc>
          <w:tcPr>
            <w:tcW w:w="3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70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24"/>
              <w:spacing w:after="0"/>
              <w:rPr>
                <w:sz w:val="20"/>
                <w:szCs w:val="20"/>
                <w:color w:val="auto"/>
              </w:rPr>
            </w:pPr>
            <w:r>
              <w:rPr>
                <w:rFonts w:ascii="Arial" w:cs="Arial" w:eastAsia="Arial" w:hAnsi="Arial"/>
                <w:sz w:val="12"/>
                <w:szCs w:val="12"/>
                <w:b w:val="1"/>
                <w:bCs w:val="1"/>
                <w:color w:val="auto"/>
              </w:rPr>
              <w:t>2025</w:t>
            </w:r>
          </w:p>
        </w:tc>
        <w:tc>
          <w:tcPr>
            <w:tcW w:w="2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223"/>
              <w:spacing w:after="0"/>
              <w:rPr>
                <w:sz w:val="20"/>
                <w:szCs w:val="20"/>
                <w:color w:val="auto"/>
              </w:rPr>
            </w:pPr>
            <w:r>
              <w:rPr>
                <w:rFonts w:ascii="Arial" w:cs="Arial" w:eastAsia="Arial" w:hAnsi="Arial"/>
                <w:sz w:val="12"/>
                <w:szCs w:val="12"/>
                <w:b w:val="1"/>
                <w:bCs w:val="1"/>
                <w:color w:val="auto"/>
              </w:rPr>
              <w:t>2024</w:t>
            </w:r>
          </w:p>
        </w:tc>
        <w:tc>
          <w:tcPr>
            <w:tcW w:w="2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403"/>
              <w:spacing w:after="0"/>
              <w:rPr>
                <w:sz w:val="20"/>
                <w:szCs w:val="20"/>
                <w:color w:val="auto"/>
              </w:rPr>
            </w:pPr>
            <w:r>
              <w:rPr>
                <w:rFonts w:ascii="Arial" w:cs="Arial" w:eastAsia="Arial" w:hAnsi="Arial"/>
                <w:sz w:val="12"/>
                <w:szCs w:val="12"/>
                <w:b w:val="1"/>
                <w:bCs w:val="1"/>
                <w:color w:val="auto"/>
              </w:rPr>
              <w:t>2023</w:t>
            </w:r>
          </w:p>
        </w:tc>
        <w:tc>
          <w:tcPr>
            <w:tcW w:w="0" w:type="dxa"/>
            <w:vAlign w:val="bottom"/>
          </w:tcPr>
          <w:p>
            <w:pPr>
              <w:spacing w:after="0"/>
              <w:rPr>
                <w:sz w:val="1"/>
                <w:szCs w:val="1"/>
                <w:color w:val="auto"/>
              </w:rPr>
            </w:pPr>
          </w:p>
        </w:tc>
      </w:tr>
      <w:tr>
        <w:trPr>
          <w:trHeight w:val="162"/>
        </w:trPr>
        <w:tc>
          <w:tcPr>
            <w:tcW w:w="70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960" w:type="dxa"/>
            <w:vAlign w:val="bottom"/>
            <w:gridSpan w:val="6"/>
          </w:tcPr>
          <w:p>
            <w:pPr>
              <w:jc w:val="center"/>
              <w:ind w:left="524"/>
              <w:spacing w:after="0"/>
              <w:rPr>
                <w:sz w:val="20"/>
                <w:szCs w:val="20"/>
                <w:color w:val="auto"/>
              </w:rPr>
            </w:pPr>
            <w:r>
              <w:rPr>
                <w:rFonts w:ascii="Arial" w:cs="Arial" w:eastAsia="Arial" w:hAnsi="Arial"/>
                <w:sz w:val="12"/>
                <w:szCs w:val="12"/>
                <w:b w:val="1"/>
                <w:bCs w:val="1"/>
                <w:color w:val="auto"/>
              </w:rPr>
              <w:t>(in thousands, except per unit data)</w:t>
            </w: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7060" w:type="dxa"/>
            <w:vAlign w:val="bottom"/>
          </w:tcPr>
          <w:p>
            <w:pPr>
              <w:spacing w:after="0"/>
              <w:rPr>
                <w:sz w:val="20"/>
                <w:szCs w:val="20"/>
                <w:color w:val="auto"/>
              </w:rPr>
            </w:pPr>
            <w:r>
              <w:rPr>
                <w:rFonts w:ascii="Arial" w:cs="Arial" w:eastAsia="Arial" w:hAnsi="Arial"/>
                <w:sz w:val="15"/>
                <w:szCs w:val="15"/>
                <w:color w:val="auto"/>
              </w:rPr>
              <w:t>Revenues:</w:t>
            </w: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7060" w:type="dxa"/>
            <w:vAlign w:val="bottom"/>
          </w:tcPr>
          <w:p>
            <w:pPr>
              <w:ind w:left="300"/>
              <w:spacing w:after="0"/>
              <w:rPr>
                <w:sz w:val="20"/>
                <w:szCs w:val="20"/>
                <w:color w:val="auto"/>
              </w:rPr>
            </w:pPr>
            <w:r>
              <w:rPr>
                <w:rFonts w:ascii="Arial" w:cs="Arial" w:eastAsia="Arial" w:hAnsi="Arial"/>
                <w:sz w:val="15"/>
                <w:szCs w:val="15"/>
                <w:color w:val="auto"/>
              </w:rPr>
              <w:t>Interest and dividend income</w:t>
            </w:r>
          </w:p>
        </w:tc>
        <w:tc>
          <w:tcPr>
            <w:tcW w:w="300" w:type="dxa"/>
            <w:vAlign w:val="bottom"/>
          </w:tcPr>
          <w:p>
            <w:pPr>
              <w:jc w:val="right"/>
              <w:ind w:right="123"/>
              <w:spacing w:after="0"/>
              <w:rPr>
                <w:sz w:val="20"/>
                <w:szCs w:val="20"/>
                <w:color w:val="auto"/>
              </w:rPr>
            </w:pPr>
            <w:r>
              <w:rPr>
                <w:rFonts w:ascii="Arial" w:cs="Arial" w:eastAsia="Arial" w:hAnsi="Arial"/>
                <w:sz w:val="15"/>
                <w:szCs w:val="15"/>
                <w:color w:val="auto"/>
                <w:w w:val="95"/>
              </w:rPr>
              <w:t>$</w:t>
            </w:r>
          </w:p>
        </w:tc>
        <w:tc>
          <w:tcPr>
            <w:tcW w:w="960" w:type="dxa"/>
            <w:vAlign w:val="bottom"/>
          </w:tcPr>
          <w:p>
            <w:pPr>
              <w:jc w:val="right"/>
              <w:ind w:right="4"/>
              <w:spacing w:after="0"/>
              <w:rPr>
                <w:sz w:val="20"/>
                <w:szCs w:val="20"/>
                <w:color w:val="auto"/>
              </w:rPr>
            </w:pPr>
            <w:r>
              <w:rPr>
                <w:rFonts w:ascii="Arial" w:cs="Arial" w:eastAsia="Arial" w:hAnsi="Arial"/>
                <w:sz w:val="15"/>
                <w:szCs w:val="15"/>
                <w:color w:val="auto"/>
              </w:rPr>
              <w:t>483,025</w:t>
            </w:r>
          </w:p>
        </w:tc>
        <w:tc>
          <w:tcPr>
            <w:tcW w:w="500" w:type="dxa"/>
            <w:vAlign w:val="bottom"/>
            <w:gridSpan w:val="2"/>
          </w:tcPr>
          <w:p>
            <w:pPr>
              <w:jc w:val="right"/>
              <w:ind w:right="123"/>
              <w:spacing w:after="0"/>
              <w:rPr>
                <w:sz w:val="20"/>
                <w:szCs w:val="20"/>
                <w:color w:val="auto"/>
              </w:rPr>
            </w:pPr>
            <w:r>
              <w:rPr>
                <w:rFonts w:ascii="Arial" w:cs="Arial" w:eastAsia="Arial" w:hAnsi="Arial"/>
                <w:sz w:val="15"/>
                <w:szCs w:val="15"/>
                <w:color w:val="auto"/>
              </w:rPr>
              <w:t>$</w:t>
            </w:r>
          </w:p>
        </w:tc>
        <w:tc>
          <w:tcPr>
            <w:tcW w:w="940" w:type="dxa"/>
            <w:vAlign w:val="bottom"/>
          </w:tcPr>
          <w:p>
            <w:pPr>
              <w:jc w:val="right"/>
              <w:spacing w:after="0"/>
              <w:rPr>
                <w:sz w:val="20"/>
                <w:szCs w:val="20"/>
                <w:color w:val="auto"/>
              </w:rPr>
            </w:pPr>
            <w:r>
              <w:rPr>
                <w:rFonts w:ascii="Arial" w:cs="Arial" w:eastAsia="Arial" w:hAnsi="Arial"/>
                <w:sz w:val="15"/>
                <w:szCs w:val="15"/>
                <w:color w:val="auto"/>
              </w:rPr>
              <w:t>490,389</w:t>
            </w:r>
          </w:p>
        </w:tc>
        <w:tc>
          <w:tcPr>
            <w:tcW w:w="220" w:type="dxa"/>
            <w:vAlign w:val="bottom"/>
          </w:tcPr>
          <w:p>
            <w:pPr>
              <w:spacing w:after="0"/>
              <w:rPr>
                <w:sz w:val="17"/>
                <w:szCs w:val="17"/>
                <w:color w:val="auto"/>
              </w:rPr>
            </w:pPr>
          </w:p>
        </w:tc>
        <w:tc>
          <w:tcPr>
            <w:tcW w:w="340" w:type="dxa"/>
            <w:vAlign w:val="bottom"/>
          </w:tcPr>
          <w:p>
            <w:pPr>
              <w:jc w:val="right"/>
              <w:ind w:right="163"/>
              <w:spacing w:after="0"/>
              <w:rPr>
                <w:sz w:val="20"/>
                <w:szCs w:val="20"/>
                <w:color w:val="auto"/>
              </w:rPr>
            </w:pPr>
            <w:r>
              <w:rPr>
                <w:rFonts w:ascii="Arial" w:cs="Arial" w:eastAsia="Arial" w:hAnsi="Arial"/>
                <w:sz w:val="15"/>
                <w:szCs w:val="15"/>
                <w:color w:val="auto"/>
                <w:w w:val="95"/>
              </w:rPr>
              <w:t>$</w:t>
            </w:r>
          </w:p>
        </w:tc>
        <w:tc>
          <w:tcPr>
            <w:tcW w:w="900" w:type="dxa"/>
            <w:vAlign w:val="bottom"/>
          </w:tcPr>
          <w:p>
            <w:pPr>
              <w:jc w:val="right"/>
              <w:spacing w:after="0"/>
              <w:rPr>
                <w:sz w:val="20"/>
                <w:szCs w:val="20"/>
                <w:color w:val="auto"/>
              </w:rPr>
            </w:pPr>
            <w:r>
              <w:rPr>
                <w:rFonts w:ascii="Arial" w:cs="Arial" w:eastAsia="Arial" w:hAnsi="Arial"/>
                <w:sz w:val="15"/>
                <w:szCs w:val="15"/>
                <w:color w:val="auto"/>
              </w:rPr>
              <w:t>348,801</w:t>
            </w:r>
          </w:p>
        </w:tc>
        <w:tc>
          <w:tcPr>
            <w:tcW w:w="0" w:type="dxa"/>
            <w:vAlign w:val="bottom"/>
          </w:tcPr>
          <w:p>
            <w:pPr>
              <w:spacing w:after="0"/>
              <w:rPr>
                <w:sz w:val="1"/>
                <w:szCs w:val="1"/>
                <w:color w:val="auto"/>
              </w:rPr>
            </w:pPr>
          </w:p>
        </w:tc>
      </w:tr>
      <w:tr>
        <w:trPr>
          <w:trHeight w:val="206"/>
        </w:trPr>
        <w:tc>
          <w:tcPr>
            <w:tcW w:w="7060" w:type="dxa"/>
            <w:vAlign w:val="bottom"/>
          </w:tcPr>
          <w:p>
            <w:pPr>
              <w:ind w:left="300"/>
              <w:spacing w:after="0"/>
              <w:rPr>
                <w:sz w:val="20"/>
                <w:szCs w:val="20"/>
                <w:color w:val="auto"/>
              </w:rPr>
            </w:pPr>
            <w:r>
              <w:rPr>
                <w:rFonts w:ascii="Arial" w:cs="Arial" w:eastAsia="Arial" w:hAnsi="Arial"/>
                <w:sz w:val="15"/>
                <w:szCs w:val="15"/>
                <w:color w:val="auto"/>
              </w:rPr>
              <w:t>Incentive income</w:t>
            </w:r>
          </w:p>
        </w:tc>
        <w:tc>
          <w:tcPr>
            <w:tcW w:w="300" w:type="dxa"/>
            <w:vAlign w:val="bottom"/>
          </w:tcPr>
          <w:p>
            <w:pPr>
              <w:spacing w:after="0"/>
              <w:rPr>
                <w:sz w:val="17"/>
                <w:szCs w:val="17"/>
                <w:color w:val="auto"/>
              </w:rPr>
            </w:pPr>
          </w:p>
        </w:tc>
        <w:tc>
          <w:tcPr>
            <w:tcW w:w="96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117,529</w:t>
            </w: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267,325</w:t>
            </w:r>
          </w:p>
        </w:tc>
        <w:tc>
          <w:tcPr>
            <w:tcW w:w="0" w:type="dxa"/>
            <w:vAlign w:val="bottom"/>
          </w:tcPr>
          <w:p>
            <w:pPr>
              <w:spacing w:after="0"/>
              <w:rPr>
                <w:sz w:val="1"/>
                <w:szCs w:val="1"/>
                <w:color w:val="auto"/>
              </w:rPr>
            </w:pPr>
          </w:p>
        </w:tc>
      </w:tr>
      <w:tr>
        <w:trPr>
          <w:trHeight w:val="206"/>
        </w:trPr>
        <w:tc>
          <w:tcPr>
            <w:tcW w:w="7060" w:type="dxa"/>
            <w:vAlign w:val="bottom"/>
          </w:tcPr>
          <w:p>
            <w:pPr>
              <w:ind w:left="300"/>
              <w:spacing w:after="0"/>
              <w:rPr>
                <w:sz w:val="20"/>
                <w:szCs w:val="20"/>
                <w:color w:val="auto"/>
              </w:rPr>
            </w:pPr>
            <w:r>
              <w:rPr>
                <w:rFonts w:ascii="Arial" w:cs="Arial" w:eastAsia="Arial" w:hAnsi="Arial"/>
                <w:sz w:val="15"/>
                <w:szCs w:val="15"/>
                <w:color w:val="auto"/>
              </w:rPr>
              <w:t>Investment income</w:t>
            </w: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196,521</w:t>
            </w:r>
          </w:p>
        </w:tc>
        <w:tc>
          <w:tcPr>
            <w:tcW w:w="2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170,032</w:t>
            </w:r>
          </w:p>
        </w:tc>
        <w:tc>
          <w:tcPr>
            <w:tcW w:w="2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72,664</w:t>
            </w:r>
          </w:p>
        </w:tc>
        <w:tc>
          <w:tcPr>
            <w:tcW w:w="0" w:type="dxa"/>
            <w:vAlign w:val="bottom"/>
          </w:tcPr>
          <w:p>
            <w:pPr>
              <w:spacing w:after="0"/>
              <w:rPr>
                <w:sz w:val="1"/>
                <w:szCs w:val="1"/>
                <w:color w:val="auto"/>
              </w:rPr>
            </w:pPr>
          </w:p>
        </w:tc>
      </w:tr>
      <w:tr>
        <w:trPr>
          <w:trHeight w:val="199"/>
        </w:trPr>
        <w:tc>
          <w:tcPr>
            <w:tcW w:w="7060" w:type="dxa"/>
            <w:vAlign w:val="bottom"/>
          </w:tcPr>
          <w:p>
            <w:pPr>
              <w:ind w:left="620"/>
              <w:spacing w:after="0"/>
              <w:rPr>
                <w:sz w:val="20"/>
                <w:szCs w:val="20"/>
                <w:color w:val="auto"/>
              </w:rPr>
            </w:pPr>
            <w:r>
              <w:rPr>
                <w:rFonts w:ascii="Arial" w:cs="Arial" w:eastAsia="Arial" w:hAnsi="Arial"/>
                <w:sz w:val="15"/>
                <w:szCs w:val="15"/>
                <w:color w:val="auto"/>
              </w:rPr>
              <w:t>Total revenues</w:t>
            </w:r>
          </w:p>
        </w:tc>
        <w:tc>
          <w:tcPr>
            <w:tcW w:w="300" w:type="dxa"/>
            <w:vAlign w:val="bottom"/>
          </w:tcPr>
          <w:p>
            <w:pPr>
              <w:spacing w:after="0"/>
              <w:rPr>
                <w:sz w:val="17"/>
                <w:szCs w:val="17"/>
                <w:color w:val="auto"/>
              </w:rPr>
            </w:pPr>
          </w:p>
        </w:tc>
        <w:tc>
          <w:tcPr>
            <w:tcW w:w="960" w:type="dxa"/>
            <w:vAlign w:val="bottom"/>
          </w:tcPr>
          <w:p>
            <w:pPr>
              <w:jc w:val="right"/>
              <w:ind w:right="4"/>
              <w:spacing w:after="0"/>
              <w:rPr>
                <w:sz w:val="20"/>
                <w:szCs w:val="20"/>
                <w:color w:val="auto"/>
              </w:rPr>
            </w:pPr>
            <w:r>
              <w:rPr>
                <w:rFonts w:ascii="Arial" w:cs="Arial" w:eastAsia="Arial" w:hAnsi="Arial"/>
                <w:sz w:val="15"/>
                <w:szCs w:val="15"/>
                <w:color w:val="auto"/>
              </w:rPr>
              <w:t>679,546</w:t>
            </w: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777,950</w:t>
            </w: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688,790</w:t>
            </w:r>
          </w:p>
        </w:tc>
        <w:tc>
          <w:tcPr>
            <w:tcW w:w="0" w:type="dxa"/>
            <w:vAlign w:val="bottom"/>
          </w:tcPr>
          <w:p>
            <w:pPr>
              <w:spacing w:after="0"/>
              <w:rPr>
                <w:sz w:val="1"/>
                <w:szCs w:val="1"/>
                <w:color w:val="auto"/>
              </w:rPr>
            </w:pPr>
          </w:p>
        </w:tc>
      </w:tr>
      <w:tr>
        <w:trPr>
          <w:trHeight w:val="206"/>
        </w:trPr>
        <w:tc>
          <w:tcPr>
            <w:tcW w:w="7060" w:type="dxa"/>
            <w:vAlign w:val="bottom"/>
          </w:tcPr>
          <w:p>
            <w:pPr>
              <w:spacing w:after="0"/>
              <w:rPr>
                <w:sz w:val="20"/>
                <w:szCs w:val="20"/>
                <w:color w:val="auto"/>
              </w:rPr>
            </w:pPr>
            <w:r>
              <w:rPr>
                <w:rFonts w:ascii="Arial" w:cs="Arial" w:eastAsia="Arial" w:hAnsi="Arial"/>
                <w:sz w:val="15"/>
                <w:szCs w:val="15"/>
                <w:color w:val="auto"/>
              </w:rPr>
              <w:t>Expenses:</w:t>
            </w: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7060" w:type="dxa"/>
            <w:vAlign w:val="bottom"/>
          </w:tcPr>
          <w:p>
            <w:pPr>
              <w:ind w:left="300"/>
              <w:spacing w:after="0"/>
              <w:rPr>
                <w:sz w:val="20"/>
                <w:szCs w:val="20"/>
                <w:color w:val="auto"/>
              </w:rPr>
            </w:pPr>
            <w:r>
              <w:rPr>
                <w:rFonts w:ascii="Arial" w:cs="Arial" w:eastAsia="Arial" w:hAnsi="Arial"/>
                <w:sz w:val="15"/>
                <w:szCs w:val="15"/>
                <w:color w:val="auto"/>
              </w:rPr>
              <w:t>Compensation and benefits</w:t>
            </w:r>
          </w:p>
        </w:tc>
        <w:tc>
          <w:tcPr>
            <w:tcW w:w="3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(1,077)</w:t>
            </w: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(1,009)</w:t>
            </w: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(675)</w:t>
            </w:r>
          </w:p>
        </w:tc>
        <w:tc>
          <w:tcPr>
            <w:tcW w:w="0" w:type="dxa"/>
            <w:vAlign w:val="bottom"/>
          </w:tcPr>
          <w:p>
            <w:pPr>
              <w:spacing w:after="0"/>
              <w:rPr>
                <w:sz w:val="1"/>
                <w:szCs w:val="1"/>
                <w:color w:val="auto"/>
              </w:rPr>
            </w:pPr>
          </w:p>
        </w:tc>
      </w:tr>
      <w:tr>
        <w:trPr>
          <w:trHeight w:val="206"/>
        </w:trPr>
        <w:tc>
          <w:tcPr>
            <w:tcW w:w="7060" w:type="dxa"/>
            <w:vAlign w:val="bottom"/>
          </w:tcPr>
          <w:p>
            <w:pPr>
              <w:ind w:left="300"/>
              <w:spacing w:after="0"/>
              <w:rPr>
                <w:sz w:val="20"/>
                <w:szCs w:val="20"/>
                <w:color w:val="auto"/>
              </w:rPr>
            </w:pPr>
            <w:r>
              <w:rPr>
                <w:rFonts w:ascii="Arial" w:cs="Arial" w:eastAsia="Arial" w:hAnsi="Arial"/>
                <w:sz w:val="15"/>
                <w:szCs w:val="15"/>
                <w:color w:val="auto"/>
              </w:rPr>
              <w:t>Incentive income compensation</w:t>
            </w:r>
          </w:p>
        </w:tc>
        <w:tc>
          <w:tcPr>
            <w:tcW w:w="300" w:type="dxa"/>
            <w:vAlign w:val="bottom"/>
          </w:tcPr>
          <w:p>
            <w:pPr>
              <w:spacing w:after="0"/>
              <w:rPr>
                <w:sz w:val="17"/>
                <w:szCs w:val="17"/>
                <w:color w:val="auto"/>
              </w:rPr>
            </w:pPr>
          </w:p>
        </w:tc>
        <w:tc>
          <w:tcPr>
            <w:tcW w:w="96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(22,168)</w:t>
            </w: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(134,837)</w:t>
            </w:r>
          </w:p>
        </w:tc>
        <w:tc>
          <w:tcPr>
            <w:tcW w:w="0" w:type="dxa"/>
            <w:vAlign w:val="bottom"/>
          </w:tcPr>
          <w:p>
            <w:pPr>
              <w:spacing w:after="0"/>
              <w:rPr>
                <w:sz w:val="1"/>
                <w:szCs w:val="1"/>
                <w:color w:val="auto"/>
              </w:rPr>
            </w:pPr>
          </w:p>
        </w:tc>
      </w:tr>
      <w:tr>
        <w:trPr>
          <w:trHeight w:val="206"/>
        </w:trPr>
        <w:tc>
          <w:tcPr>
            <w:tcW w:w="7060" w:type="dxa"/>
            <w:vAlign w:val="bottom"/>
          </w:tcPr>
          <w:p>
            <w:pPr>
              <w:ind w:left="300"/>
              <w:spacing w:after="0"/>
              <w:rPr>
                <w:sz w:val="20"/>
                <w:szCs w:val="20"/>
                <w:color w:val="auto"/>
              </w:rPr>
            </w:pPr>
            <w:r>
              <w:rPr>
                <w:rFonts w:ascii="Arial" w:cs="Arial" w:eastAsia="Arial" w:hAnsi="Arial"/>
                <w:sz w:val="15"/>
                <w:szCs w:val="15"/>
                <w:color w:val="auto"/>
              </w:rPr>
              <w:t>General and administrative</w:t>
            </w:r>
          </w:p>
        </w:tc>
        <w:tc>
          <w:tcPr>
            <w:tcW w:w="3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(3,168)</w:t>
            </w: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(3,182)</w:t>
            </w: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(5,556)</w:t>
            </w:r>
          </w:p>
        </w:tc>
        <w:tc>
          <w:tcPr>
            <w:tcW w:w="0" w:type="dxa"/>
            <w:vAlign w:val="bottom"/>
          </w:tcPr>
          <w:p>
            <w:pPr>
              <w:spacing w:after="0"/>
              <w:rPr>
                <w:sz w:val="1"/>
                <w:szCs w:val="1"/>
                <w:color w:val="auto"/>
              </w:rPr>
            </w:pPr>
          </w:p>
        </w:tc>
      </w:tr>
      <w:tr>
        <w:trPr>
          <w:trHeight w:val="206"/>
        </w:trPr>
        <w:tc>
          <w:tcPr>
            <w:tcW w:w="7060" w:type="dxa"/>
            <w:vAlign w:val="bottom"/>
          </w:tcPr>
          <w:p>
            <w:pPr>
              <w:ind w:left="300"/>
              <w:spacing w:after="0"/>
              <w:rPr>
                <w:sz w:val="20"/>
                <w:szCs w:val="20"/>
                <w:color w:val="auto"/>
              </w:rPr>
            </w:pPr>
            <w:r>
              <w:rPr>
                <w:rFonts w:ascii="Arial" w:cs="Arial" w:eastAsia="Arial" w:hAnsi="Arial"/>
                <w:sz w:val="15"/>
                <w:szCs w:val="15"/>
                <w:color w:val="auto"/>
              </w:rPr>
              <w:t>Consolidated fund expenses</w:t>
            </w:r>
          </w:p>
        </w:tc>
        <w:tc>
          <w:tcPr>
            <w:tcW w:w="3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(84,258)</w:t>
            </w: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(81,066)</w:t>
            </w: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(65,768)</w:t>
            </w:r>
          </w:p>
        </w:tc>
        <w:tc>
          <w:tcPr>
            <w:tcW w:w="0" w:type="dxa"/>
            <w:vAlign w:val="bottom"/>
          </w:tcPr>
          <w:p>
            <w:pPr>
              <w:spacing w:after="0"/>
              <w:rPr>
                <w:sz w:val="1"/>
                <w:szCs w:val="1"/>
                <w:color w:val="auto"/>
              </w:rPr>
            </w:pPr>
          </w:p>
        </w:tc>
      </w:tr>
      <w:tr>
        <w:trPr>
          <w:trHeight w:val="206"/>
        </w:trPr>
        <w:tc>
          <w:tcPr>
            <w:tcW w:w="7060" w:type="dxa"/>
            <w:vAlign w:val="bottom"/>
          </w:tcPr>
          <w:p>
            <w:pPr>
              <w:ind w:left="300"/>
              <w:spacing w:after="0"/>
              <w:rPr>
                <w:sz w:val="20"/>
                <w:szCs w:val="20"/>
                <w:color w:val="auto"/>
              </w:rPr>
            </w:pPr>
            <w:r>
              <w:rPr>
                <w:rFonts w:ascii="Arial" w:cs="Arial" w:eastAsia="Arial" w:hAnsi="Arial"/>
                <w:sz w:val="15"/>
                <w:szCs w:val="15"/>
                <w:color w:val="auto"/>
              </w:rPr>
              <w:t>Interest expense</w:t>
            </w: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(88,648)</w:t>
            </w:r>
          </w:p>
        </w:tc>
        <w:tc>
          <w:tcPr>
            <w:tcW w:w="2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(99,773)</w:t>
            </w:r>
          </w:p>
        </w:tc>
        <w:tc>
          <w:tcPr>
            <w:tcW w:w="2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(50,272)</w:t>
            </w:r>
          </w:p>
        </w:tc>
        <w:tc>
          <w:tcPr>
            <w:tcW w:w="0" w:type="dxa"/>
            <w:vAlign w:val="bottom"/>
          </w:tcPr>
          <w:p>
            <w:pPr>
              <w:spacing w:after="0"/>
              <w:rPr>
                <w:sz w:val="1"/>
                <w:szCs w:val="1"/>
                <w:color w:val="auto"/>
              </w:rPr>
            </w:pPr>
          </w:p>
        </w:tc>
      </w:tr>
      <w:tr>
        <w:trPr>
          <w:trHeight w:val="199"/>
        </w:trPr>
        <w:tc>
          <w:tcPr>
            <w:tcW w:w="7060" w:type="dxa"/>
            <w:vAlign w:val="bottom"/>
          </w:tcPr>
          <w:p>
            <w:pPr>
              <w:ind w:left="620"/>
              <w:spacing w:after="0"/>
              <w:rPr>
                <w:sz w:val="20"/>
                <w:szCs w:val="20"/>
                <w:color w:val="auto"/>
              </w:rPr>
            </w:pPr>
            <w:r>
              <w:rPr>
                <w:rFonts w:ascii="Arial" w:cs="Arial" w:eastAsia="Arial" w:hAnsi="Arial"/>
                <w:sz w:val="15"/>
                <w:szCs w:val="15"/>
                <w:color w:val="auto"/>
              </w:rPr>
              <w:t>Total expenses</w:t>
            </w: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(177,151)</w:t>
            </w:r>
          </w:p>
        </w:tc>
        <w:tc>
          <w:tcPr>
            <w:tcW w:w="2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(207,198)</w:t>
            </w:r>
          </w:p>
        </w:tc>
        <w:tc>
          <w:tcPr>
            <w:tcW w:w="2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(257,108)</w:t>
            </w:r>
          </w:p>
        </w:tc>
        <w:tc>
          <w:tcPr>
            <w:tcW w:w="0" w:type="dxa"/>
            <w:vAlign w:val="bottom"/>
          </w:tcPr>
          <w:p>
            <w:pPr>
              <w:spacing w:after="0"/>
              <w:rPr>
                <w:sz w:val="1"/>
                <w:szCs w:val="1"/>
                <w:color w:val="auto"/>
              </w:rPr>
            </w:pPr>
          </w:p>
        </w:tc>
      </w:tr>
      <w:tr>
        <w:trPr>
          <w:trHeight w:val="199"/>
        </w:trPr>
        <w:tc>
          <w:tcPr>
            <w:tcW w:w="7060" w:type="dxa"/>
            <w:vAlign w:val="bottom"/>
          </w:tcPr>
          <w:p>
            <w:pPr>
              <w:spacing w:after="0"/>
              <w:rPr>
                <w:sz w:val="20"/>
                <w:szCs w:val="20"/>
                <w:color w:val="auto"/>
              </w:rPr>
            </w:pPr>
            <w:r>
              <w:rPr>
                <w:rFonts w:ascii="Arial" w:cs="Arial" w:eastAsia="Arial" w:hAnsi="Arial"/>
                <w:sz w:val="15"/>
                <w:szCs w:val="15"/>
                <w:color w:val="auto"/>
              </w:rPr>
              <w:t>Other income (loss):</w:t>
            </w: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7060" w:type="dxa"/>
            <w:vAlign w:val="bottom"/>
          </w:tcPr>
          <w:p>
            <w:pPr>
              <w:ind w:left="300"/>
              <w:spacing w:after="0"/>
              <w:rPr>
                <w:sz w:val="20"/>
                <w:szCs w:val="20"/>
                <w:color w:val="auto"/>
              </w:rPr>
            </w:pPr>
            <w:r>
              <w:rPr>
                <w:rFonts w:ascii="Arial" w:cs="Arial" w:eastAsia="Arial" w:hAnsi="Arial"/>
                <w:sz w:val="15"/>
                <w:szCs w:val="15"/>
                <w:color w:val="auto"/>
              </w:rPr>
              <w:t>Net realized gain (loss) on consolidated funds’ investments</w:t>
            </w:r>
          </w:p>
        </w:tc>
        <w:tc>
          <w:tcPr>
            <w:tcW w:w="300" w:type="dxa"/>
            <w:vAlign w:val="bottom"/>
          </w:tcPr>
          <w:p>
            <w:pPr>
              <w:spacing w:after="0"/>
              <w:rPr>
                <w:sz w:val="17"/>
                <w:szCs w:val="17"/>
                <w:color w:val="auto"/>
              </w:rPr>
            </w:pPr>
          </w:p>
        </w:tc>
        <w:tc>
          <w:tcPr>
            <w:tcW w:w="960" w:type="dxa"/>
            <w:vAlign w:val="bottom"/>
          </w:tcPr>
          <w:p>
            <w:pPr>
              <w:jc w:val="right"/>
              <w:ind w:right="4"/>
              <w:spacing w:after="0"/>
              <w:rPr>
                <w:sz w:val="20"/>
                <w:szCs w:val="20"/>
                <w:color w:val="auto"/>
              </w:rPr>
            </w:pPr>
            <w:r>
              <w:rPr>
                <w:rFonts w:ascii="Arial" w:cs="Arial" w:eastAsia="Arial" w:hAnsi="Arial"/>
                <w:sz w:val="15"/>
                <w:szCs w:val="15"/>
                <w:color w:val="auto"/>
              </w:rPr>
              <w:t>52,275</w:t>
            </w: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65,644</w:t>
            </w: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79,420</w:t>
            </w:r>
          </w:p>
        </w:tc>
        <w:tc>
          <w:tcPr>
            <w:tcW w:w="0" w:type="dxa"/>
            <w:vAlign w:val="bottom"/>
          </w:tcPr>
          <w:p>
            <w:pPr>
              <w:spacing w:after="0"/>
              <w:rPr>
                <w:sz w:val="1"/>
                <w:szCs w:val="1"/>
                <w:color w:val="auto"/>
              </w:rPr>
            </w:pPr>
          </w:p>
        </w:tc>
      </w:tr>
      <w:tr>
        <w:trPr>
          <w:trHeight w:val="206"/>
        </w:trPr>
        <w:tc>
          <w:tcPr>
            <w:tcW w:w="7060" w:type="dxa"/>
            <w:vAlign w:val="bottom"/>
          </w:tcPr>
          <w:p>
            <w:pPr>
              <w:ind w:left="300"/>
              <w:spacing w:after="0"/>
              <w:rPr>
                <w:sz w:val="20"/>
                <w:szCs w:val="20"/>
                <w:color w:val="auto"/>
              </w:rPr>
            </w:pPr>
            <w:r>
              <w:rPr>
                <w:rFonts w:ascii="Arial" w:cs="Arial" w:eastAsia="Arial" w:hAnsi="Arial"/>
                <w:sz w:val="15"/>
                <w:szCs w:val="15"/>
                <w:color w:val="auto"/>
              </w:rPr>
              <w:t>Net change in unrealized appreciation (depreciation) on consolidated funds’ investments</w:t>
            </w: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(31,455)</w:t>
            </w:r>
          </w:p>
        </w:tc>
        <w:tc>
          <w:tcPr>
            <w:tcW w:w="2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150,666</w:t>
            </w:r>
          </w:p>
        </w:tc>
        <w:tc>
          <w:tcPr>
            <w:tcW w:w="2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29,064</w:t>
            </w:r>
          </w:p>
        </w:tc>
        <w:tc>
          <w:tcPr>
            <w:tcW w:w="0" w:type="dxa"/>
            <w:vAlign w:val="bottom"/>
          </w:tcPr>
          <w:p>
            <w:pPr>
              <w:spacing w:after="0"/>
              <w:rPr>
                <w:sz w:val="1"/>
                <w:szCs w:val="1"/>
                <w:color w:val="auto"/>
              </w:rPr>
            </w:pPr>
          </w:p>
        </w:tc>
      </w:tr>
      <w:tr>
        <w:trPr>
          <w:trHeight w:val="199"/>
        </w:trPr>
        <w:tc>
          <w:tcPr>
            <w:tcW w:w="7060" w:type="dxa"/>
            <w:vAlign w:val="bottom"/>
          </w:tcPr>
          <w:p>
            <w:pPr>
              <w:ind w:left="620"/>
              <w:spacing w:after="0"/>
              <w:rPr>
                <w:sz w:val="20"/>
                <w:szCs w:val="20"/>
                <w:color w:val="auto"/>
              </w:rPr>
            </w:pPr>
            <w:r>
              <w:rPr>
                <w:rFonts w:ascii="Arial" w:cs="Arial" w:eastAsia="Arial" w:hAnsi="Arial"/>
                <w:sz w:val="15"/>
                <w:szCs w:val="15"/>
                <w:color w:val="auto"/>
              </w:rPr>
              <w:t>Total other income (loss)</w:t>
            </w: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20,820</w:t>
            </w:r>
          </w:p>
        </w:tc>
        <w:tc>
          <w:tcPr>
            <w:tcW w:w="2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216,310</w:t>
            </w:r>
          </w:p>
        </w:tc>
        <w:tc>
          <w:tcPr>
            <w:tcW w:w="2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108,484</w:t>
            </w:r>
          </w:p>
        </w:tc>
        <w:tc>
          <w:tcPr>
            <w:tcW w:w="0" w:type="dxa"/>
            <w:vAlign w:val="bottom"/>
          </w:tcPr>
          <w:p>
            <w:pPr>
              <w:spacing w:after="0"/>
              <w:rPr>
                <w:sz w:val="1"/>
                <w:szCs w:val="1"/>
                <w:color w:val="auto"/>
              </w:rPr>
            </w:pPr>
          </w:p>
        </w:tc>
      </w:tr>
      <w:tr>
        <w:trPr>
          <w:trHeight w:val="199"/>
        </w:trPr>
        <w:tc>
          <w:tcPr>
            <w:tcW w:w="7060" w:type="dxa"/>
            <w:vAlign w:val="bottom"/>
          </w:tcPr>
          <w:p>
            <w:pPr>
              <w:spacing w:after="0"/>
              <w:rPr>
                <w:sz w:val="20"/>
                <w:szCs w:val="20"/>
                <w:color w:val="auto"/>
              </w:rPr>
            </w:pPr>
            <w:r>
              <w:rPr>
                <w:rFonts w:ascii="Arial" w:cs="Arial" w:eastAsia="Arial" w:hAnsi="Arial"/>
                <w:sz w:val="15"/>
                <w:szCs w:val="15"/>
                <w:color w:val="auto"/>
              </w:rPr>
              <w:t>Income before income taxes</w:t>
            </w: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523,215</w:t>
            </w:r>
          </w:p>
        </w:tc>
        <w:tc>
          <w:tcPr>
            <w:tcW w:w="2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787,062</w:t>
            </w:r>
          </w:p>
        </w:tc>
        <w:tc>
          <w:tcPr>
            <w:tcW w:w="2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540,166</w:t>
            </w:r>
          </w:p>
        </w:tc>
        <w:tc>
          <w:tcPr>
            <w:tcW w:w="0" w:type="dxa"/>
            <w:vAlign w:val="bottom"/>
          </w:tcPr>
          <w:p>
            <w:pPr>
              <w:spacing w:after="0"/>
              <w:rPr>
                <w:sz w:val="1"/>
                <w:szCs w:val="1"/>
                <w:color w:val="auto"/>
              </w:rPr>
            </w:pPr>
          </w:p>
        </w:tc>
      </w:tr>
      <w:tr>
        <w:trPr>
          <w:trHeight w:val="199"/>
        </w:trPr>
        <w:tc>
          <w:tcPr>
            <w:tcW w:w="7060" w:type="dxa"/>
            <w:vAlign w:val="bottom"/>
          </w:tcPr>
          <w:p>
            <w:pPr>
              <w:ind w:left="300"/>
              <w:spacing w:after="0"/>
              <w:rPr>
                <w:sz w:val="20"/>
                <w:szCs w:val="20"/>
                <w:color w:val="auto"/>
              </w:rPr>
            </w:pPr>
            <w:r>
              <w:rPr>
                <w:rFonts w:ascii="Arial" w:cs="Arial" w:eastAsia="Arial" w:hAnsi="Arial"/>
                <w:sz w:val="15"/>
                <w:szCs w:val="15"/>
                <w:color w:val="auto"/>
              </w:rPr>
              <w:t>Income taxes</w:t>
            </w:r>
          </w:p>
        </w:tc>
        <w:tc>
          <w:tcPr>
            <w:tcW w:w="300" w:type="dxa"/>
            <w:vAlign w:val="bottom"/>
          </w:tcPr>
          <w:p>
            <w:pPr>
              <w:spacing w:after="0"/>
              <w:rPr>
                <w:sz w:val="17"/>
                <w:szCs w:val="17"/>
                <w:color w:val="auto"/>
              </w:rPr>
            </w:pPr>
          </w:p>
        </w:tc>
        <w:tc>
          <w:tcPr>
            <w:tcW w:w="96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3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9"/>
        </w:trPr>
        <w:tc>
          <w:tcPr>
            <w:tcW w:w="7060" w:type="dxa"/>
            <w:vAlign w:val="bottom"/>
          </w:tcPr>
          <w:p>
            <w:pPr>
              <w:spacing w:after="0"/>
              <w:rPr>
                <w:sz w:val="20"/>
                <w:szCs w:val="20"/>
                <w:color w:val="auto"/>
              </w:rPr>
            </w:pPr>
            <w:r>
              <w:rPr>
                <w:rFonts w:ascii="Arial" w:cs="Arial" w:eastAsia="Arial" w:hAnsi="Arial"/>
                <w:sz w:val="15"/>
                <w:szCs w:val="15"/>
                <w:color w:val="auto"/>
              </w:rPr>
              <w:t>Net income</w:t>
            </w:r>
          </w:p>
        </w:tc>
        <w:tc>
          <w:tcPr>
            <w:tcW w:w="30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ind w:right="4"/>
              <w:spacing w:after="0"/>
              <w:rPr>
                <w:sz w:val="20"/>
                <w:szCs w:val="20"/>
                <w:color w:val="auto"/>
              </w:rPr>
            </w:pPr>
            <w:r>
              <w:rPr>
                <w:rFonts w:ascii="Arial" w:cs="Arial" w:eastAsia="Arial" w:hAnsi="Arial"/>
                <w:sz w:val="15"/>
                <w:szCs w:val="15"/>
                <w:color w:val="auto"/>
              </w:rPr>
              <w:t>523,215</w:t>
            </w:r>
          </w:p>
        </w:tc>
        <w:tc>
          <w:tcPr>
            <w:tcW w:w="20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787,062</w:t>
            </w:r>
          </w:p>
        </w:tc>
        <w:tc>
          <w:tcPr>
            <w:tcW w:w="22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540,166</w:t>
            </w:r>
          </w:p>
        </w:tc>
        <w:tc>
          <w:tcPr>
            <w:tcW w:w="0" w:type="dxa"/>
            <w:vAlign w:val="bottom"/>
          </w:tcPr>
          <w:p>
            <w:pPr>
              <w:spacing w:after="0"/>
              <w:rPr>
                <w:sz w:val="1"/>
                <w:szCs w:val="1"/>
                <w:color w:val="auto"/>
              </w:rPr>
            </w:pPr>
          </w:p>
        </w:tc>
      </w:tr>
      <w:tr>
        <w:trPr>
          <w:trHeight w:val="206"/>
        </w:trPr>
        <w:tc>
          <w:tcPr>
            <w:tcW w:w="7060" w:type="dxa"/>
            <w:vAlign w:val="bottom"/>
          </w:tcPr>
          <w:p>
            <w:pPr>
              <w:spacing w:after="0"/>
              <w:rPr>
                <w:sz w:val="20"/>
                <w:szCs w:val="20"/>
                <w:color w:val="auto"/>
              </w:rPr>
            </w:pPr>
            <w:r>
              <w:rPr>
                <w:rFonts w:ascii="Arial" w:cs="Arial" w:eastAsia="Arial" w:hAnsi="Arial"/>
                <w:sz w:val="15"/>
                <w:szCs w:val="15"/>
                <w:color w:val="auto"/>
              </w:rPr>
              <w:t>Less:</w:t>
            </w: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7060" w:type="dxa"/>
            <w:vAlign w:val="bottom"/>
          </w:tcPr>
          <w:p>
            <w:pPr>
              <w:ind w:left="300"/>
              <w:spacing w:after="0"/>
              <w:rPr>
                <w:sz w:val="20"/>
                <w:szCs w:val="20"/>
                <w:color w:val="auto"/>
              </w:rPr>
            </w:pPr>
            <w:r>
              <w:rPr>
                <w:rFonts w:ascii="Arial" w:cs="Arial" w:eastAsia="Arial" w:hAnsi="Arial"/>
                <w:sz w:val="15"/>
                <w:szCs w:val="15"/>
                <w:color w:val="auto"/>
              </w:rPr>
              <w:t>Net income loss attributable to non-controlling interests in consolidated funds</w:t>
            </w:r>
          </w:p>
        </w:tc>
        <w:tc>
          <w:tcPr>
            <w:tcW w:w="3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(272,350)</w:t>
            </w: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(417,901)</w:t>
            </w: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(245,928)</w:t>
            </w:r>
          </w:p>
        </w:tc>
        <w:tc>
          <w:tcPr>
            <w:tcW w:w="0" w:type="dxa"/>
            <w:vAlign w:val="bottom"/>
          </w:tcPr>
          <w:p>
            <w:pPr>
              <w:spacing w:after="0"/>
              <w:rPr>
                <w:sz w:val="1"/>
                <w:szCs w:val="1"/>
                <w:color w:val="auto"/>
              </w:rPr>
            </w:pPr>
          </w:p>
        </w:tc>
      </w:tr>
      <w:tr>
        <w:trPr>
          <w:trHeight w:val="206"/>
        </w:trPr>
        <w:tc>
          <w:tcPr>
            <w:tcW w:w="7060" w:type="dxa"/>
            <w:vAlign w:val="bottom"/>
          </w:tcPr>
          <w:p>
            <w:pPr>
              <w:ind w:left="300"/>
              <w:spacing w:after="0"/>
              <w:rPr>
                <w:sz w:val="20"/>
                <w:szCs w:val="20"/>
                <w:color w:val="auto"/>
              </w:rPr>
            </w:pPr>
            <w:r>
              <w:rPr>
                <w:rFonts w:ascii="Arial" w:cs="Arial" w:eastAsia="Arial" w:hAnsi="Arial"/>
                <w:sz w:val="15"/>
                <w:szCs w:val="15"/>
                <w:color w:val="auto"/>
              </w:rPr>
              <w:t>Net income loss attributable to non-controlling interests in consolidated subsidiaries</w:t>
            </w: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(1,627)</w:t>
            </w:r>
          </w:p>
        </w:tc>
        <w:tc>
          <w:tcPr>
            <w:tcW w:w="2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(61,637)</w:t>
            </w:r>
          </w:p>
        </w:tc>
        <w:tc>
          <w:tcPr>
            <w:tcW w:w="2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(73,061)</w:t>
            </w:r>
          </w:p>
        </w:tc>
        <w:tc>
          <w:tcPr>
            <w:tcW w:w="0" w:type="dxa"/>
            <w:vAlign w:val="bottom"/>
          </w:tcPr>
          <w:p>
            <w:pPr>
              <w:spacing w:after="0"/>
              <w:rPr>
                <w:sz w:val="1"/>
                <w:szCs w:val="1"/>
                <w:color w:val="auto"/>
              </w:rPr>
            </w:pPr>
          </w:p>
        </w:tc>
      </w:tr>
      <w:tr>
        <w:trPr>
          <w:trHeight w:val="199"/>
        </w:trPr>
        <w:tc>
          <w:tcPr>
            <w:tcW w:w="7060" w:type="dxa"/>
            <w:vAlign w:val="bottom"/>
          </w:tcPr>
          <w:p>
            <w:pPr>
              <w:spacing w:after="0"/>
              <w:rPr>
                <w:sz w:val="20"/>
                <w:szCs w:val="20"/>
                <w:color w:val="auto"/>
              </w:rPr>
            </w:pPr>
            <w:r>
              <w:rPr>
                <w:rFonts w:ascii="Arial" w:cs="Arial" w:eastAsia="Arial" w:hAnsi="Arial"/>
                <w:sz w:val="15"/>
                <w:szCs w:val="15"/>
                <w:color w:val="auto"/>
              </w:rPr>
              <w:t>Net income attributable to Brookfield Oaktree Holdings, LLC</w:t>
            </w:r>
          </w:p>
        </w:tc>
        <w:tc>
          <w:tcPr>
            <w:tcW w:w="300" w:type="dxa"/>
            <w:vAlign w:val="bottom"/>
          </w:tcPr>
          <w:p>
            <w:pPr>
              <w:spacing w:after="0"/>
              <w:rPr>
                <w:sz w:val="17"/>
                <w:szCs w:val="17"/>
                <w:color w:val="auto"/>
              </w:rPr>
            </w:pPr>
          </w:p>
        </w:tc>
        <w:tc>
          <w:tcPr>
            <w:tcW w:w="960" w:type="dxa"/>
            <w:vAlign w:val="bottom"/>
          </w:tcPr>
          <w:p>
            <w:pPr>
              <w:jc w:val="right"/>
              <w:ind w:right="4"/>
              <w:spacing w:after="0"/>
              <w:rPr>
                <w:sz w:val="20"/>
                <w:szCs w:val="20"/>
                <w:color w:val="auto"/>
              </w:rPr>
            </w:pPr>
            <w:r>
              <w:rPr>
                <w:rFonts w:ascii="Arial" w:cs="Arial" w:eastAsia="Arial" w:hAnsi="Arial"/>
                <w:sz w:val="15"/>
                <w:szCs w:val="15"/>
                <w:color w:val="auto"/>
              </w:rPr>
              <w:t>249,238</w:t>
            </w: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307,524</w:t>
            </w: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221,177</w:t>
            </w:r>
          </w:p>
        </w:tc>
        <w:tc>
          <w:tcPr>
            <w:tcW w:w="0" w:type="dxa"/>
            <w:vAlign w:val="bottom"/>
          </w:tcPr>
          <w:p>
            <w:pPr>
              <w:spacing w:after="0"/>
              <w:rPr>
                <w:sz w:val="1"/>
                <w:szCs w:val="1"/>
                <w:color w:val="auto"/>
              </w:rPr>
            </w:pPr>
          </w:p>
        </w:tc>
      </w:tr>
      <w:tr>
        <w:trPr>
          <w:trHeight w:val="207"/>
        </w:trPr>
        <w:tc>
          <w:tcPr>
            <w:tcW w:w="7060" w:type="dxa"/>
            <w:vAlign w:val="bottom"/>
          </w:tcPr>
          <w:p>
            <w:pPr>
              <w:ind w:left="300"/>
              <w:spacing w:after="0"/>
              <w:rPr>
                <w:sz w:val="20"/>
                <w:szCs w:val="20"/>
                <w:color w:val="auto"/>
              </w:rPr>
            </w:pPr>
            <w:r>
              <w:rPr>
                <w:rFonts w:ascii="Arial" w:cs="Arial" w:eastAsia="Arial" w:hAnsi="Arial"/>
                <w:sz w:val="15"/>
                <w:szCs w:val="15"/>
                <w:color w:val="auto"/>
              </w:rPr>
              <w:t>Net income attributable to preferred unitholders</w:t>
            </w: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(27,316)</w:t>
            </w:r>
          </w:p>
        </w:tc>
        <w:tc>
          <w:tcPr>
            <w:tcW w:w="2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(27,316)</w:t>
            </w:r>
          </w:p>
        </w:tc>
        <w:tc>
          <w:tcPr>
            <w:tcW w:w="2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(27,316)</w:t>
            </w:r>
          </w:p>
        </w:tc>
        <w:tc>
          <w:tcPr>
            <w:tcW w:w="0" w:type="dxa"/>
            <w:vAlign w:val="bottom"/>
          </w:tcPr>
          <w:p>
            <w:pPr>
              <w:spacing w:after="0"/>
              <w:rPr>
                <w:sz w:val="1"/>
                <w:szCs w:val="1"/>
                <w:color w:val="auto"/>
              </w:rPr>
            </w:pPr>
          </w:p>
        </w:tc>
      </w:tr>
      <w:tr>
        <w:trPr>
          <w:trHeight w:val="200"/>
        </w:trPr>
        <w:tc>
          <w:tcPr>
            <w:tcW w:w="7060" w:type="dxa"/>
            <w:vAlign w:val="bottom"/>
          </w:tcPr>
          <w:p>
            <w:pPr>
              <w:spacing w:after="0"/>
              <w:rPr>
                <w:sz w:val="20"/>
                <w:szCs w:val="20"/>
                <w:color w:val="auto"/>
              </w:rPr>
            </w:pPr>
            <w:r>
              <w:rPr>
                <w:rFonts w:ascii="Arial" w:cs="Arial" w:eastAsia="Arial" w:hAnsi="Arial"/>
                <w:sz w:val="15"/>
                <w:szCs w:val="15"/>
                <w:color w:val="auto"/>
              </w:rPr>
              <w:t>Net income attributable to Brookfield Oaktree Holdings, LLC Class A unitholders</w:t>
            </w:r>
          </w:p>
        </w:tc>
        <w:tc>
          <w:tcPr>
            <w:tcW w:w="300" w:type="dxa"/>
            <w:vAlign w:val="bottom"/>
            <w:tcBorders>
              <w:bottom w:val="single" w:sz="8" w:color="auto"/>
            </w:tcBorders>
          </w:tcPr>
          <w:p>
            <w:pPr>
              <w:jc w:val="right"/>
              <w:ind w:right="123"/>
              <w:spacing w:after="0"/>
              <w:rPr>
                <w:sz w:val="20"/>
                <w:szCs w:val="20"/>
                <w:color w:val="auto"/>
              </w:rPr>
            </w:pPr>
            <w:r>
              <w:rPr>
                <w:rFonts w:ascii="Arial" w:cs="Arial" w:eastAsia="Arial" w:hAnsi="Arial"/>
                <w:sz w:val="15"/>
                <w:szCs w:val="15"/>
                <w:color w:val="auto"/>
                <w:w w:val="95"/>
              </w:rPr>
              <w:t>$</w:t>
            </w:r>
          </w:p>
        </w:tc>
        <w:tc>
          <w:tcPr>
            <w:tcW w:w="9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221,922</w:t>
            </w:r>
          </w:p>
        </w:tc>
        <w:tc>
          <w:tcPr>
            <w:tcW w:w="200" w:type="dxa"/>
            <w:vAlign w:val="bottom"/>
          </w:tcPr>
          <w:p>
            <w:pPr>
              <w:spacing w:after="0"/>
              <w:rPr>
                <w:sz w:val="17"/>
                <w:szCs w:val="17"/>
                <w:color w:val="auto"/>
              </w:rPr>
            </w:pPr>
          </w:p>
        </w:tc>
        <w:tc>
          <w:tcPr>
            <w:tcW w:w="300" w:type="dxa"/>
            <w:vAlign w:val="bottom"/>
            <w:tcBorders>
              <w:bottom w:val="single" w:sz="8" w:color="auto"/>
            </w:tcBorders>
          </w:tcPr>
          <w:p>
            <w:pPr>
              <w:jc w:val="right"/>
              <w:ind w:right="123"/>
              <w:spacing w:after="0"/>
              <w:rPr>
                <w:sz w:val="20"/>
                <w:szCs w:val="20"/>
                <w:color w:val="auto"/>
              </w:rPr>
            </w:pPr>
            <w:r>
              <w:rPr>
                <w:rFonts w:ascii="Arial" w:cs="Arial" w:eastAsia="Arial" w:hAnsi="Arial"/>
                <w:sz w:val="15"/>
                <w:szCs w:val="15"/>
                <w:color w:val="auto"/>
                <w:w w:val="95"/>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280,208</w:t>
            </w:r>
          </w:p>
        </w:tc>
        <w:tc>
          <w:tcPr>
            <w:tcW w:w="220" w:type="dxa"/>
            <w:vAlign w:val="bottom"/>
          </w:tcPr>
          <w:p>
            <w:pPr>
              <w:spacing w:after="0"/>
              <w:rPr>
                <w:sz w:val="17"/>
                <w:szCs w:val="17"/>
                <w:color w:val="auto"/>
              </w:rPr>
            </w:pPr>
          </w:p>
        </w:tc>
        <w:tc>
          <w:tcPr>
            <w:tcW w:w="340" w:type="dxa"/>
            <w:vAlign w:val="bottom"/>
            <w:tcBorders>
              <w:bottom w:val="single" w:sz="8" w:color="auto"/>
            </w:tcBorders>
          </w:tcPr>
          <w:p>
            <w:pPr>
              <w:jc w:val="right"/>
              <w:ind w:right="163"/>
              <w:spacing w:after="0"/>
              <w:rPr>
                <w:sz w:val="20"/>
                <w:szCs w:val="20"/>
                <w:color w:val="auto"/>
              </w:rPr>
            </w:pPr>
            <w:r>
              <w:rPr>
                <w:rFonts w:ascii="Arial" w:cs="Arial" w:eastAsia="Arial" w:hAnsi="Arial"/>
                <w:sz w:val="15"/>
                <w:szCs w:val="15"/>
                <w:color w:val="auto"/>
                <w:w w:val="95"/>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193,861</w:t>
            </w:r>
          </w:p>
        </w:tc>
        <w:tc>
          <w:tcPr>
            <w:tcW w:w="0" w:type="dxa"/>
            <w:vAlign w:val="bottom"/>
          </w:tcPr>
          <w:p>
            <w:pPr>
              <w:spacing w:after="0"/>
              <w:rPr>
                <w:sz w:val="1"/>
                <w:szCs w:val="1"/>
                <w:color w:val="auto"/>
              </w:rPr>
            </w:pPr>
          </w:p>
        </w:tc>
      </w:tr>
      <w:tr>
        <w:trPr>
          <w:trHeight w:val="20"/>
        </w:trPr>
        <w:tc>
          <w:tcPr>
            <w:tcW w:w="70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7"/>
        </w:trPr>
        <w:tc>
          <w:tcPr>
            <w:tcW w:w="7060" w:type="dxa"/>
            <w:vAlign w:val="bottom"/>
          </w:tcPr>
          <w:p>
            <w:pPr>
              <w:spacing w:after="0"/>
              <w:rPr>
                <w:sz w:val="20"/>
                <w:szCs w:val="20"/>
                <w:color w:val="auto"/>
              </w:rPr>
            </w:pPr>
            <w:r>
              <w:rPr>
                <w:rFonts w:ascii="Arial" w:cs="Arial" w:eastAsia="Arial" w:hAnsi="Arial"/>
                <w:sz w:val="15"/>
                <w:szCs w:val="15"/>
                <w:color w:val="auto"/>
              </w:rPr>
              <w:t>Distributions declared per Class A unit</w:t>
            </w:r>
          </w:p>
        </w:tc>
        <w:tc>
          <w:tcPr>
            <w:tcW w:w="300" w:type="dxa"/>
            <w:vAlign w:val="bottom"/>
          </w:tcPr>
          <w:p>
            <w:pPr>
              <w:jc w:val="right"/>
              <w:ind w:right="123"/>
              <w:spacing w:after="0"/>
              <w:rPr>
                <w:sz w:val="20"/>
                <w:szCs w:val="20"/>
                <w:color w:val="auto"/>
              </w:rPr>
            </w:pPr>
            <w:r>
              <w:rPr>
                <w:rFonts w:ascii="Arial" w:cs="Arial" w:eastAsia="Arial" w:hAnsi="Arial"/>
                <w:sz w:val="15"/>
                <w:szCs w:val="15"/>
                <w:color w:val="auto"/>
                <w:w w:val="95"/>
              </w:rPr>
              <w:t>$</w:t>
            </w:r>
          </w:p>
        </w:tc>
        <w:tc>
          <w:tcPr>
            <w:tcW w:w="960" w:type="dxa"/>
            <w:vAlign w:val="bottom"/>
          </w:tcPr>
          <w:p>
            <w:pPr>
              <w:jc w:val="right"/>
              <w:ind w:right="4"/>
              <w:spacing w:after="0"/>
              <w:rPr>
                <w:sz w:val="20"/>
                <w:szCs w:val="20"/>
                <w:color w:val="auto"/>
              </w:rPr>
            </w:pPr>
            <w:r>
              <w:rPr>
                <w:rFonts w:ascii="Arial" w:cs="Arial" w:eastAsia="Arial" w:hAnsi="Arial"/>
                <w:sz w:val="15"/>
                <w:szCs w:val="15"/>
                <w:color w:val="auto"/>
              </w:rPr>
              <w:t>2.10</w:t>
            </w:r>
          </w:p>
        </w:tc>
        <w:tc>
          <w:tcPr>
            <w:tcW w:w="500" w:type="dxa"/>
            <w:vAlign w:val="bottom"/>
            <w:gridSpan w:val="2"/>
          </w:tcPr>
          <w:p>
            <w:pPr>
              <w:jc w:val="right"/>
              <w:ind w:right="123"/>
              <w:spacing w:after="0"/>
              <w:rPr>
                <w:sz w:val="20"/>
                <w:szCs w:val="20"/>
                <w:color w:val="auto"/>
              </w:rPr>
            </w:pPr>
            <w:r>
              <w:rPr>
                <w:rFonts w:ascii="Arial" w:cs="Arial" w:eastAsia="Arial" w:hAnsi="Arial"/>
                <w:sz w:val="15"/>
                <w:szCs w:val="15"/>
                <w:color w:val="auto"/>
              </w:rPr>
              <w:t>$</w:t>
            </w:r>
          </w:p>
        </w:tc>
        <w:tc>
          <w:tcPr>
            <w:tcW w:w="940" w:type="dxa"/>
            <w:vAlign w:val="bottom"/>
          </w:tcPr>
          <w:p>
            <w:pPr>
              <w:jc w:val="right"/>
              <w:spacing w:after="0"/>
              <w:rPr>
                <w:sz w:val="20"/>
                <w:szCs w:val="20"/>
                <w:color w:val="auto"/>
              </w:rPr>
            </w:pPr>
            <w:r>
              <w:rPr>
                <w:rFonts w:ascii="Arial" w:cs="Arial" w:eastAsia="Arial" w:hAnsi="Arial"/>
                <w:sz w:val="15"/>
                <w:szCs w:val="15"/>
                <w:color w:val="auto"/>
              </w:rPr>
              <w:t>2.84</w:t>
            </w:r>
          </w:p>
        </w:tc>
        <w:tc>
          <w:tcPr>
            <w:tcW w:w="220" w:type="dxa"/>
            <w:vAlign w:val="bottom"/>
          </w:tcPr>
          <w:p>
            <w:pPr>
              <w:spacing w:after="0"/>
              <w:rPr>
                <w:sz w:val="24"/>
                <w:szCs w:val="24"/>
                <w:color w:val="auto"/>
              </w:rPr>
            </w:pPr>
          </w:p>
        </w:tc>
        <w:tc>
          <w:tcPr>
            <w:tcW w:w="340" w:type="dxa"/>
            <w:vAlign w:val="bottom"/>
          </w:tcPr>
          <w:p>
            <w:pPr>
              <w:jc w:val="right"/>
              <w:ind w:right="163"/>
              <w:spacing w:after="0"/>
              <w:rPr>
                <w:sz w:val="20"/>
                <w:szCs w:val="20"/>
                <w:color w:val="auto"/>
              </w:rPr>
            </w:pPr>
            <w:r>
              <w:rPr>
                <w:rFonts w:ascii="Arial" w:cs="Arial" w:eastAsia="Arial" w:hAnsi="Arial"/>
                <w:sz w:val="15"/>
                <w:szCs w:val="15"/>
                <w:color w:val="auto"/>
                <w:w w:val="95"/>
              </w:rPr>
              <w:t>$</w:t>
            </w:r>
          </w:p>
        </w:tc>
        <w:tc>
          <w:tcPr>
            <w:tcW w:w="900" w:type="dxa"/>
            <w:vAlign w:val="bottom"/>
          </w:tcPr>
          <w:p>
            <w:pPr>
              <w:jc w:val="right"/>
              <w:spacing w:after="0"/>
              <w:rPr>
                <w:sz w:val="20"/>
                <w:szCs w:val="20"/>
                <w:color w:val="auto"/>
              </w:rPr>
            </w:pPr>
            <w:r>
              <w:rPr>
                <w:rFonts w:ascii="Arial" w:cs="Arial" w:eastAsia="Arial" w:hAnsi="Arial"/>
                <w:sz w:val="15"/>
                <w:szCs w:val="15"/>
                <w:color w:val="auto"/>
              </w:rPr>
              <w:t>1.00</w:t>
            </w:r>
          </w:p>
        </w:tc>
        <w:tc>
          <w:tcPr>
            <w:tcW w:w="0" w:type="dxa"/>
            <w:vAlign w:val="bottom"/>
          </w:tcPr>
          <w:p>
            <w:pPr>
              <w:spacing w:after="0"/>
              <w:rPr>
                <w:sz w:val="1"/>
                <w:szCs w:val="1"/>
                <w:color w:val="auto"/>
              </w:rPr>
            </w:pPr>
          </w:p>
        </w:tc>
      </w:tr>
      <w:tr>
        <w:trPr>
          <w:trHeight w:val="20"/>
        </w:trPr>
        <w:tc>
          <w:tcPr>
            <w:tcW w:w="7060" w:type="dxa"/>
            <w:vAlign w:val="bottom"/>
            <w:vMerge w:val="restart"/>
          </w:tcPr>
          <w:p>
            <w:pPr>
              <w:spacing w:after="0"/>
              <w:rPr>
                <w:sz w:val="20"/>
                <w:szCs w:val="20"/>
                <w:color w:val="auto"/>
              </w:rPr>
            </w:pPr>
            <w:r>
              <w:rPr>
                <w:rFonts w:ascii="Arial" w:cs="Arial" w:eastAsia="Arial" w:hAnsi="Arial"/>
                <w:sz w:val="15"/>
                <w:szCs w:val="15"/>
                <w:color w:val="auto"/>
              </w:rPr>
              <w:t>Net income per Class A unit (basic and diluted):</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06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7060" w:type="dxa"/>
            <w:vAlign w:val="bottom"/>
          </w:tcPr>
          <w:p>
            <w:pPr>
              <w:ind w:left="300"/>
              <w:spacing w:after="0"/>
              <w:rPr>
                <w:sz w:val="20"/>
                <w:szCs w:val="20"/>
                <w:color w:val="auto"/>
              </w:rPr>
            </w:pPr>
            <w:r>
              <w:rPr>
                <w:rFonts w:ascii="Arial" w:cs="Arial" w:eastAsia="Arial" w:hAnsi="Arial"/>
                <w:sz w:val="15"/>
                <w:szCs w:val="15"/>
                <w:color w:val="auto"/>
              </w:rPr>
              <w:t>Net income per Class A unit</w:t>
            </w:r>
          </w:p>
        </w:tc>
        <w:tc>
          <w:tcPr>
            <w:tcW w:w="300" w:type="dxa"/>
            <w:vAlign w:val="bottom"/>
          </w:tcPr>
          <w:p>
            <w:pPr>
              <w:jc w:val="right"/>
              <w:ind w:right="123"/>
              <w:spacing w:after="0"/>
              <w:rPr>
                <w:sz w:val="20"/>
                <w:szCs w:val="20"/>
                <w:color w:val="auto"/>
              </w:rPr>
            </w:pPr>
            <w:r>
              <w:rPr>
                <w:rFonts w:ascii="Arial" w:cs="Arial" w:eastAsia="Arial" w:hAnsi="Arial"/>
                <w:sz w:val="15"/>
                <w:szCs w:val="15"/>
                <w:color w:val="auto"/>
                <w:w w:val="95"/>
              </w:rPr>
              <w:t>$</w:t>
            </w:r>
          </w:p>
        </w:tc>
        <w:tc>
          <w:tcPr>
            <w:tcW w:w="960" w:type="dxa"/>
            <w:vAlign w:val="bottom"/>
          </w:tcPr>
          <w:p>
            <w:pPr>
              <w:jc w:val="right"/>
              <w:ind w:right="4"/>
              <w:spacing w:after="0"/>
              <w:rPr>
                <w:sz w:val="20"/>
                <w:szCs w:val="20"/>
                <w:color w:val="auto"/>
              </w:rPr>
            </w:pPr>
            <w:r>
              <w:rPr>
                <w:rFonts w:ascii="Arial" w:cs="Arial" w:eastAsia="Arial" w:hAnsi="Arial"/>
                <w:sz w:val="15"/>
                <w:szCs w:val="15"/>
                <w:color w:val="auto"/>
              </w:rPr>
              <w:t>1.88</w:t>
            </w:r>
          </w:p>
        </w:tc>
        <w:tc>
          <w:tcPr>
            <w:tcW w:w="500" w:type="dxa"/>
            <w:vAlign w:val="bottom"/>
            <w:gridSpan w:val="2"/>
          </w:tcPr>
          <w:p>
            <w:pPr>
              <w:jc w:val="right"/>
              <w:ind w:right="123"/>
              <w:spacing w:after="0"/>
              <w:rPr>
                <w:sz w:val="20"/>
                <w:szCs w:val="20"/>
                <w:color w:val="auto"/>
              </w:rPr>
            </w:pPr>
            <w:r>
              <w:rPr>
                <w:rFonts w:ascii="Arial" w:cs="Arial" w:eastAsia="Arial" w:hAnsi="Arial"/>
                <w:sz w:val="15"/>
                <w:szCs w:val="15"/>
                <w:color w:val="auto"/>
              </w:rPr>
              <w:t>$</w:t>
            </w:r>
          </w:p>
        </w:tc>
        <w:tc>
          <w:tcPr>
            <w:tcW w:w="940" w:type="dxa"/>
            <w:vAlign w:val="bottom"/>
          </w:tcPr>
          <w:p>
            <w:pPr>
              <w:jc w:val="right"/>
              <w:spacing w:after="0"/>
              <w:rPr>
                <w:sz w:val="20"/>
                <w:szCs w:val="20"/>
                <w:color w:val="auto"/>
              </w:rPr>
            </w:pPr>
            <w:r>
              <w:rPr>
                <w:rFonts w:ascii="Arial" w:cs="Arial" w:eastAsia="Arial" w:hAnsi="Arial"/>
                <w:sz w:val="15"/>
                <w:szCs w:val="15"/>
                <w:color w:val="auto"/>
              </w:rPr>
              <w:t>2.45</w:t>
            </w:r>
          </w:p>
        </w:tc>
        <w:tc>
          <w:tcPr>
            <w:tcW w:w="220" w:type="dxa"/>
            <w:vAlign w:val="bottom"/>
          </w:tcPr>
          <w:p>
            <w:pPr>
              <w:spacing w:after="0"/>
              <w:rPr>
                <w:sz w:val="18"/>
                <w:szCs w:val="18"/>
                <w:color w:val="auto"/>
              </w:rPr>
            </w:pPr>
          </w:p>
        </w:tc>
        <w:tc>
          <w:tcPr>
            <w:tcW w:w="340" w:type="dxa"/>
            <w:vAlign w:val="bottom"/>
          </w:tcPr>
          <w:p>
            <w:pPr>
              <w:jc w:val="right"/>
              <w:ind w:right="163"/>
              <w:spacing w:after="0"/>
              <w:rPr>
                <w:sz w:val="20"/>
                <w:szCs w:val="20"/>
                <w:color w:val="auto"/>
              </w:rPr>
            </w:pPr>
            <w:r>
              <w:rPr>
                <w:rFonts w:ascii="Arial" w:cs="Arial" w:eastAsia="Arial" w:hAnsi="Arial"/>
                <w:sz w:val="15"/>
                <w:szCs w:val="15"/>
                <w:color w:val="auto"/>
                <w:w w:val="95"/>
              </w:rPr>
              <w:t>$</w:t>
            </w:r>
          </w:p>
        </w:tc>
        <w:tc>
          <w:tcPr>
            <w:tcW w:w="900" w:type="dxa"/>
            <w:vAlign w:val="bottom"/>
          </w:tcPr>
          <w:p>
            <w:pPr>
              <w:jc w:val="right"/>
              <w:spacing w:after="0"/>
              <w:rPr>
                <w:sz w:val="20"/>
                <w:szCs w:val="20"/>
                <w:color w:val="auto"/>
              </w:rPr>
            </w:pPr>
            <w:r>
              <w:rPr>
                <w:rFonts w:ascii="Arial" w:cs="Arial" w:eastAsia="Arial" w:hAnsi="Arial"/>
                <w:sz w:val="15"/>
                <w:szCs w:val="15"/>
                <w:color w:val="auto"/>
              </w:rPr>
              <w:t>1.80</w:t>
            </w:r>
          </w:p>
        </w:tc>
        <w:tc>
          <w:tcPr>
            <w:tcW w:w="0" w:type="dxa"/>
            <w:vAlign w:val="bottom"/>
          </w:tcPr>
          <w:p>
            <w:pPr>
              <w:spacing w:after="0"/>
              <w:rPr>
                <w:sz w:val="1"/>
                <w:szCs w:val="1"/>
                <w:color w:val="auto"/>
              </w:rPr>
            </w:pPr>
          </w:p>
        </w:tc>
      </w:tr>
      <w:tr>
        <w:trPr>
          <w:trHeight w:val="20"/>
        </w:trPr>
        <w:tc>
          <w:tcPr>
            <w:tcW w:w="70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7060" w:type="dxa"/>
            <w:vAlign w:val="bottom"/>
          </w:tcPr>
          <w:p>
            <w:pPr>
              <w:ind w:left="300"/>
              <w:spacing w:after="0"/>
              <w:rPr>
                <w:sz w:val="20"/>
                <w:szCs w:val="20"/>
                <w:color w:val="auto"/>
              </w:rPr>
            </w:pPr>
            <w:r>
              <w:rPr>
                <w:rFonts w:ascii="Arial" w:cs="Arial" w:eastAsia="Arial" w:hAnsi="Arial"/>
                <w:sz w:val="15"/>
                <w:szCs w:val="15"/>
                <w:color w:val="auto"/>
              </w:rPr>
              <w:t>Weighted average number of Class A units outstanding</w:t>
            </w: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118,186</w:t>
            </w:r>
          </w:p>
        </w:tc>
        <w:tc>
          <w:tcPr>
            <w:tcW w:w="2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114,452</w:t>
            </w:r>
          </w:p>
        </w:tc>
        <w:tc>
          <w:tcPr>
            <w:tcW w:w="2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107,590</w:t>
            </w:r>
          </w:p>
        </w:tc>
        <w:tc>
          <w:tcPr>
            <w:tcW w:w="0" w:type="dxa"/>
            <w:vAlign w:val="bottom"/>
          </w:tcPr>
          <w:p>
            <w:pPr>
              <w:spacing w:after="0"/>
              <w:rPr>
                <w:sz w:val="1"/>
                <w:szCs w:val="1"/>
                <w:color w:val="auto"/>
              </w:rPr>
            </w:pPr>
          </w:p>
        </w:tc>
      </w:tr>
      <w:tr>
        <w:trPr>
          <w:trHeight w:val="20"/>
        </w:trPr>
        <w:tc>
          <w:tcPr>
            <w:tcW w:w="70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Year Ended December 31, 2025 Compared to Year Ended December 31, 2024</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Revenues</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Interest and Dividend Income</w:t>
      </w:r>
    </w:p>
    <w:p>
      <w:pPr>
        <w:spacing w:after="0" w:line="163" w:lineRule="exact"/>
        <w:rPr>
          <w:sz w:val="20"/>
          <w:szCs w:val="20"/>
          <w:color w:val="auto"/>
        </w:rPr>
      </w:pPr>
    </w:p>
    <w:p>
      <w:pPr>
        <w:ind w:right="80" w:firstLine="619"/>
        <w:spacing w:after="0" w:line="271" w:lineRule="auto"/>
        <w:rPr>
          <w:sz w:val="20"/>
          <w:szCs w:val="20"/>
          <w:color w:val="auto"/>
        </w:rPr>
      </w:pPr>
      <w:r>
        <w:rPr>
          <w:rFonts w:ascii="Arial" w:cs="Arial" w:eastAsia="Arial" w:hAnsi="Arial"/>
          <w:sz w:val="17"/>
          <w:szCs w:val="17"/>
          <w:color w:val="auto"/>
        </w:rPr>
        <w:t>Interest and dividend income decreased $7.4 million, or 1.5%, to $483.0 million for the year ended December 31, 2025, from $490.4 million for the year ended December 31, 2024. The decrease was primarily attributable to the deconsolidation of Oaktree Capital I as a result of the 2024 Restructuring, partially offset by higher income from our investments in Opps XI and Opps XII.</w:t>
      </w: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10" w:right="339" w:bottom="1440" w:gutter="0" w:footer="0" w:header="0"/>
        </w:sectPr>
      </w:pPr>
    </w:p>
    <w:bookmarkStart w:id="52" w:name="page53"/>
    <w:bookmarkEnd w:id="52"/>
    <w:p>
      <w:pPr>
        <w:spacing w:after="0"/>
        <w:rPr>
          <w:sz w:val="20"/>
          <w:szCs w:val="20"/>
          <w:color w:val="auto"/>
        </w:rPr>
      </w:pPr>
      <w:r>
        <w:rPr>
          <w:rFonts w:ascii="Arial" w:cs="Arial" w:eastAsia="Arial" w:hAnsi="Arial"/>
          <w:sz w:val="17"/>
          <w:szCs w:val="17"/>
          <w:i w:val="1"/>
          <w:iCs w:val="1"/>
          <w:color w:val="auto"/>
        </w:rPr>
        <w:t>Incentive Income</w:t>
      </w:r>
    </w:p>
    <w:p>
      <w:pPr>
        <w:spacing w:after="0" w:line="163" w:lineRule="exact"/>
        <w:rPr>
          <w:sz w:val="20"/>
          <w:szCs w:val="20"/>
          <w:color w:val="auto"/>
        </w:rPr>
      </w:pPr>
    </w:p>
    <w:p>
      <w:pPr>
        <w:ind w:left="620"/>
        <w:spacing w:after="0"/>
        <w:rPr>
          <w:sz w:val="20"/>
          <w:szCs w:val="20"/>
          <w:color w:val="auto"/>
        </w:rPr>
      </w:pPr>
      <w:r>
        <w:rPr>
          <w:rFonts w:ascii="Arial" w:cs="Arial" w:eastAsia="Arial" w:hAnsi="Arial"/>
          <w:sz w:val="17"/>
          <w:szCs w:val="17"/>
          <w:color w:val="auto"/>
        </w:rPr>
        <w:t>Subsequent to the 2024 Restructuring, we no longer earn incentive income due to the deconsolidation of Oaktree Capital I.</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Investment Income</w:t>
      </w:r>
    </w:p>
    <w:p>
      <w:pPr>
        <w:spacing w:after="0" w:line="163" w:lineRule="exact"/>
        <w:rPr>
          <w:sz w:val="20"/>
          <w:szCs w:val="20"/>
          <w:color w:val="auto"/>
        </w:rPr>
      </w:pPr>
    </w:p>
    <w:p>
      <w:pPr>
        <w:ind w:left="620"/>
        <w:spacing w:after="0"/>
        <w:rPr>
          <w:sz w:val="20"/>
          <w:szCs w:val="20"/>
          <w:color w:val="auto"/>
        </w:rPr>
      </w:pPr>
      <w:r>
        <w:rPr>
          <w:rFonts w:ascii="Arial" w:cs="Arial" w:eastAsia="Arial" w:hAnsi="Arial"/>
          <w:sz w:val="17"/>
          <w:szCs w:val="17"/>
          <w:color w:val="auto"/>
        </w:rPr>
        <w:t>A summary of investment income is set forth below:</w:t>
      </w:r>
    </w:p>
    <w:p>
      <w:pPr>
        <w:spacing w:after="0" w:line="229" w:lineRule="exact"/>
        <w:rPr>
          <w:sz w:val="20"/>
          <w:szCs w:val="20"/>
          <w:color w:val="auto"/>
        </w:rPr>
      </w:pPr>
    </w:p>
    <w:tbl>
      <w:tblPr>
        <w:tblLayout w:type="fixed"/>
        <w:tblInd w:w="20" w:type="dxa"/>
        <w:tblCellMar>
          <w:top w:w="0" w:type="dxa"/>
          <w:left w:w="0" w:type="dxa"/>
          <w:bottom w:w="0" w:type="dxa"/>
          <w:right w:w="0" w:type="dxa"/>
        </w:tblCellMar>
      </w:tblPr>
      <w:tr>
        <w:trPr>
          <w:trHeight w:val="169"/>
        </w:trPr>
        <w:tc>
          <w:tcPr>
            <w:tcW w:w="7940" w:type="dxa"/>
            <w:vAlign w:val="bottom"/>
          </w:tcPr>
          <w:p>
            <w:pPr>
              <w:spacing w:after="0"/>
              <w:rPr>
                <w:sz w:val="14"/>
                <w:szCs w:val="14"/>
                <w:color w:val="auto"/>
              </w:rPr>
            </w:pPr>
          </w:p>
        </w:tc>
        <w:tc>
          <w:tcPr>
            <w:tcW w:w="2380" w:type="dxa"/>
            <w:vAlign w:val="bottom"/>
            <w:tcBorders>
              <w:bottom w:val="single" w:sz="8" w:color="auto"/>
            </w:tcBorders>
            <w:gridSpan w:val="4"/>
          </w:tcPr>
          <w:p>
            <w:pPr>
              <w:jc w:val="right"/>
              <w:spacing w:after="0"/>
              <w:rPr>
                <w:sz w:val="20"/>
                <w:szCs w:val="20"/>
                <w:color w:val="auto"/>
              </w:rPr>
            </w:pPr>
            <w:r>
              <w:rPr>
                <w:rFonts w:ascii="Arial" w:cs="Arial" w:eastAsia="Arial" w:hAnsi="Arial"/>
                <w:sz w:val="12"/>
                <w:szCs w:val="12"/>
                <w:b w:val="1"/>
                <w:bCs w:val="1"/>
                <w:color w:val="auto"/>
              </w:rPr>
              <w:t>Year Ended December 31,</w:t>
            </w:r>
          </w:p>
        </w:tc>
        <w:tc>
          <w:tcPr>
            <w:tcW w:w="900" w:type="dxa"/>
            <w:vAlign w:val="bottom"/>
            <w:tcBorders>
              <w:bottom w:val="single" w:sz="8" w:color="auto"/>
            </w:tcBorders>
          </w:tcPr>
          <w:p>
            <w:pPr>
              <w:spacing w:after="0"/>
              <w:rPr>
                <w:sz w:val="14"/>
                <w:szCs w:val="14"/>
                <w:color w:val="auto"/>
              </w:rPr>
            </w:pPr>
          </w:p>
        </w:tc>
      </w:tr>
      <w:tr>
        <w:trPr>
          <w:trHeight w:val="162"/>
        </w:trPr>
        <w:tc>
          <w:tcPr>
            <w:tcW w:w="7940" w:type="dxa"/>
            <w:vAlign w:val="bottom"/>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2025</w:t>
            </w:r>
          </w:p>
        </w:tc>
        <w:tc>
          <w:tcPr>
            <w:tcW w:w="6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544"/>
              <w:spacing w:after="0"/>
              <w:rPr>
                <w:sz w:val="20"/>
                <w:szCs w:val="20"/>
                <w:color w:val="auto"/>
              </w:rPr>
            </w:pPr>
            <w:r>
              <w:rPr>
                <w:rFonts w:ascii="Arial" w:cs="Arial" w:eastAsia="Arial" w:hAnsi="Arial"/>
                <w:sz w:val="12"/>
                <w:szCs w:val="12"/>
                <w:b w:val="1"/>
                <w:bCs w:val="1"/>
                <w:color w:val="auto"/>
                <w:w w:val="97"/>
              </w:rPr>
              <w:t>2024</w:t>
            </w:r>
          </w:p>
        </w:tc>
      </w:tr>
      <w:tr>
        <w:trPr>
          <w:trHeight w:val="187"/>
        </w:trPr>
        <w:tc>
          <w:tcPr>
            <w:tcW w:w="7940" w:type="dxa"/>
            <w:vAlign w:val="bottom"/>
          </w:tcPr>
          <w:p>
            <w:pPr>
              <w:spacing w:after="0"/>
              <w:rPr>
                <w:sz w:val="20"/>
                <w:szCs w:val="20"/>
                <w:color w:val="auto"/>
              </w:rPr>
            </w:pPr>
            <w:r>
              <w:rPr>
                <w:rFonts w:ascii="Arial" w:cs="Arial" w:eastAsia="Arial" w:hAnsi="Arial"/>
                <w:sz w:val="15"/>
                <w:szCs w:val="15"/>
                <w:color w:val="auto"/>
              </w:rPr>
              <w:t>Income (loss) from investments in funds:</w:t>
            </w:r>
          </w:p>
        </w:tc>
        <w:tc>
          <w:tcPr>
            <w:tcW w:w="940" w:type="dxa"/>
            <w:vAlign w:val="bottom"/>
          </w:tcPr>
          <w:p>
            <w:pPr>
              <w:spacing w:after="0"/>
              <w:rPr>
                <w:sz w:val="16"/>
                <w:szCs w:val="16"/>
                <w:color w:val="auto"/>
              </w:rPr>
            </w:pPr>
          </w:p>
        </w:tc>
        <w:tc>
          <w:tcPr>
            <w:tcW w:w="1440" w:type="dxa"/>
            <w:vAlign w:val="bottom"/>
            <w:gridSpan w:val="3"/>
          </w:tcPr>
          <w:p>
            <w:pPr>
              <w:jc w:val="right"/>
              <w:ind w:right="243"/>
              <w:spacing w:after="0"/>
              <w:rPr>
                <w:sz w:val="20"/>
                <w:szCs w:val="20"/>
                <w:color w:val="auto"/>
              </w:rPr>
            </w:pPr>
            <w:r>
              <w:rPr>
                <w:rFonts w:ascii="Arial" w:cs="Arial" w:eastAsia="Arial" w:hAnsi="Arial"/>
                <w:sz w:val="12"/>
                <w:szCs w:val="12"/>
                <w:b w:val="1"/>
                <w:bCs w:val="1"/>
                <w:color w:val="auto"/>
              </w:rPr>
              <w:t>(in thousands)</w:t>
            </w:r>
          </w:p>
        </w:tc>
        <w:tc>
          <w:tcPr>
            <w:tcW w:w="900" w:type="dxa"/>
            <w:vAlign w:val="bottom"/>
          </w:tcPr>
          <w:p>
            <w:pPr>
              <w:spacing w:after="0"/>
              <w:rPr>
                <w:sz w:val="16"/>
                <w:szCs w:val="16"/>
                <w:color w:val="auto"/>
              </w:rPr>
            </w:pPr>
          </w:p>
        </w:tc>
      </w:tr>
      <w:tr>
        <w:trPr>
          <w:trHeight w:val="206"/>
        </w:trPr>
        <w:tc>
          <w:tcPr>
            <w:tcW w:w="7940" w:type="dxa"/>
            <w:vAlign w:val="bottom"/>
          </w:tcPr>
          <w:p>
            <w:pPr>
              <w:ind w:left="160"/>
              <w:spacing w:after="0"/>
              <w:rPr>
                <w:sz w:val="20"/>
                <w:szCs w:val="20"/>
                <w:color w:val="auto"/>
              </w:rPr>
            </w:pPr>
            <w:r>
              <w:rPr>
                <w:rFonts w:ascii="Arial" w:cs="Arial" w:eastAsia="Arial" w:hAnsi="Arial"/>
                <w:sz w:val="15"/>
                <w:szCs w:val="15"/>
                <w:color w:val="auto"/>
              </w:rPr>
              <w:t>Oaktree funds:</w:t>
            </w:r>
          </w:p>
        </w:tc>
        <w:tc>
          <w:tcPr>
            <w:tcW w:w="9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6"/>
        </w:trPr>
        <w:tc>
          <w:tcPr>
            <w:tcW w:w="7940" w:type="dxa"/>
            <w:vAlign w:val="bottom"/>
          </w:tcPr>
          <w:p>
            <w:pPr>
              <w:ind w:left="300"/>
              <w:spacing w:after="0"/>
              <w:rPr>
                <w:sz w:val="20"/>
                <w:szCs w:val="20"/>
                <w:color w:val="auto"/>
              </w:rPr>
            </w:pPr>
            <w:r>
              <w:rPr>
                <w:rFonts w:ascii="Arial" w:cs="Arial" w:eastAsia="Arial" w:hAnsi="Arial"/>
                <w:sz w:val="15"/>
                <w:szCs w:val="15"/>
                <w:color w:val="auto"/>
              </w:rPr>
              <w:t>Credit</w:t>
            </w:r>
          </w:p>
        </w:tc>
        <w:tc>
          <w:tcPr>
            <w:tcW w:w="940" w:type="dxa"/>
            <w:vAlign w:val="bottom"/>
          </w:tcPr>
          <w:p>
            <w:pPr>
              <w:jc w:val="right"/>
              <w:ind w:right="771"/>
              <w:spacing w:after="0"/>
              <w:rPr>
                <w:sz w:val="20"/>
                <w:szCs w:val="20"/>
                <w:color w:val="auto"/>
              </w:rPr>
            </w:pPr>
            <w:r>
              <w:rPr>
                <w:rFonts w:ascii="Arial" w:cs="Arial" w:eastAsia="Arial" w:hAnsi="Arial"/>
                <w:sz w:val="15"/>
                <w:szCs w:val="15"/>
                <w:color w:val="auto"/>
                <w:w w:val="95"/>
              </w:rPr>
              <w:t>$</w:t>
            </w:r>
          </w:p>
        </w:tc>
        <w:tc>
          <w:tcPr>
            <w:tcW w:w="640" w:type="dxa"/>
            <w:vAlign w:val="bottom"/>
          </w:tcPr>
          <w:p>
            <w:pPr>
              <w:jc w:val="right"/>
              <w:ind w:right="4"/>
              <w:spacing w:after="0"/>
              <w:rPr>
                <w:sz w:val="20"/>
                <w:szCs w:val="20"/>
                <w:color w:val="auto"/>
              </w:rPr>
            </w:pPr>
            <w:r>
              <w:rPr>
                <w:rFonts w:ascii="Arial" w:cs="Arial" w:eastAsia="Arial" w:hAnsi="Arial"/>
                <w:sz w:val="15"/>
                <w:szCs w:val="15"/>
                <w:color w:val="auto"/>
              </w:rPr>
              <w:t>58,801</w:t>
            </w:r>
          </w:p>
        </w:tc>
        <w:tc>
          <w:tcPr>
            <w:tcW w:w="200" w:type="dxa"/>
            <w:vAlign w:val="bottom"/>
          </w:tcPr>
          <w:p>
            <w:pPr>
              <w:spacing w:after="0"/>
              <w:rPr>
                <w:sz w:val="17"/>
                <w:szCs w:val="17"/>
                <w:color w:val="auto"/>
              </w:rPr>
            </w:pPr>
          </w:p>
        </w:tc>
        <w:tc>
          <w:tcPr>
            <w:tcW w:w="600" w:type="dxa"/>
            <w:vAlign w:val="bottom"/>
          </w:tcPr>
          <w:p>
            <w:pPr>
              <w:jc w:val="right"/>
              <w:ind w:right="423"/>
              <w:spacing w:after="0"/>
              <w:rPr>
                <w:sz w:val="20"/>
                <w:szCs w:val="20"/>
                <w:color w:val="auto"/>
              </w:rPr>
            </w:pPr>
            <w:r>
              <w:rPr>
                <w:rFonts w:ascii="Arial" w:cs="Arial" w:eastAsia="Arial" w:hAnsi="Arial"/>
                <w:sz w:val="15"/>
                <w:szCs w:val="15"/>
                <w:color w:val="auto"/>
                <w:w w:val="95"/>
              </w:rPr>
              <w:t>$</w:t>
            </w:r>
          </w:p>
        </w:tc>
        <w:tc>
          <w:tcPr>
            <w:tcW w:w="900" w:type="dxa"/>
            <w:vAlign w:val="bottom"/>
          </w:tcPr>
          <w:p>
            <w:pPr>
              <w:jc w:val="right"/>
              <w:spacing w:after="0"/>
              <w:rPr>
                <w:sz w:val="20"/>
                <w:szCs w:val="20"/>
                <w:color w:val="auto"/>
              </w:rPr>
            </w:pPr>
            <w:r>
              <w:rPr>
                <w:rFonts w:ascii="Arial" w:cs="Arial" w:eastAsia="Arial" w:hAnsi="Arial"/>
                <w:sz w:val="15"/>
                <w:szCs w:val="15"/>
                <w:color w:val="auto"/>
              </w:rPr>
              <w:t>149,504</w:t>
            </w:r>
          </w:p>
        </w:tc>
      </w:tr>
      <w:tr>
        <w:trPr>
          <w:trHeight w:val="206"/>
        </w:trPr>
        <w:tc>
          <w:tcPr>
            <w:tcW w:w="7940" w:type="dxa"/>
            <w:vAlign w:val="bottom"/>
          </w:tcPr>
          <w:p>
            <w:pPr>
              <w:ind w:left="300"/>
              <w:spacing w:after="0"/>
              <w:rPr>
                <w:sz w:val="20"/>
                <w:szCs w:val="20"/>
                <w:color w:val="auto"/>
              </w:rPr>
            </w:pPr>
            <w:r>
              <w:rPr>
                <w:rFonts w:ascii="Arial" w:cs="Arial" w:eastAsia="Arial" w:hAnsi="Arial"/>
                <w:sz w:val="15"/>
                <w:szCs w:val="15"/>
                <w:color w:val="auto"/>
              </w:rPr>
              <w:t>Equity</w:t>
            </w:r>
          </w:p>
        </w:tc>
        <w:tc>
          <w:tcPr>
            <w:tcW w:w="940" w:type="dxa"/>
            <w:vAlign w:val="bottom"/>
          </w:tcPr>
          <w:p>
            <w:pPr>
              <w:spacing w:after="0"/>
              <w:rPr>
                <w:sz w:val="17"/>
                <w:szCs w:val="17"/>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6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4,105</w:t>
            </w:r>
          </w:p>
        </w:tc>
      </w:tr>
      <w:tr>
        <w:trPr>
          <w:trHeight w:val="206"/>
        </w:trPr>
        <w:tc>
          <w:tcPr>
            <w:tcW w:w="7940" w:type="dxa"/>
            <w:vAlign w:val="bottom"/>
          </w:tcPr>
          <w:p>
            <w:pPr>
              <w:ind w:left="300"/>
              <w:spacing w:after="0"/>
              <w:rPr>
                <w:sz w:val="20"/>
                <w:szCs w:val="20"/>
                <w:color w:val="auto"/>
              </w:rPr>
            </w:pPr>
            <w:r>
              <w:rPr>
                <w:rFonts w:ascii="Arial" w:cs="Arial" w:eastAsia="Arial" w:hAnsi="Arial"/>
                <w:sz w:val="15"/>
                <w:szCs w:val="15"/>
                <w:color w:val="auto"/>
              </w:rPr>
              <w:t>Real Estate</w:t>
            </w:r>
          </w:p>
        </w:tc>
        <w:tc>
          <w:tcPr>
            <w:tcW w:w="940" w:type="dxa"/>
            <w:vAlign w:val="bottom"/>
          </w:tcPr>
          <w:p>
            <w:pPr>
              <w:spacing w:after="0"/>
              <w:rPr>
                <w:sz w:val="17"/>
                <w:szCs w:val="17"/>
                <w:color w:val="auto"/>
              </w:rPr>
            </w:pPr>
          </w:p>
        </w:tc>
        <w:tc>
          <w:tcPr>
            <w:tcW w:w="640" w:type="dxa"/>
            <w:vAlign w:val="bottom"/>
          </w:tcPr>
          <w:p>
            <w:pPr>
              <w:jc w:val="right"/>
              <w:ind w:right="4"/>
              <w:spacing w:after="0"/>
              <w:rPr>
                <w:sz w:val="20"/>
                <w:szCs w:val="20"/>
                <w:color w:val="auto"/>
              </w:rPr>
            </w:pPr>
            <w:r>
              <w:rPr>
                <w:rFonts w:ascii="Arial" w:cs="Arial" w:eastAsia="Arial" w:hAnsi="Arial"/>
                <w:sz w:val="15"/>
                <w:szCs w:val="15"/>
                <w:color w:val="auto"/>
              </w:rPr>
              <w:t>3,132</w:t>
            </w: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(15,420)</w:t>
            </w:r>
          </w:p>
        </w:tc>
      </w:tr>
      <w:tr>
        <w:trPr>
          <w:trHeight w:val="206"/>
        </w:trPr>
        <w:tc>
          <w:tcPr>
            <w:tcW w:w="7940" w:type="dxa"/>
            <w:vAlign w:val="bottom"/>
          </w:tcPr>
          <w:p>
            <w:pPr>
              <w:spacing w:after="0"/>
              <w:rPr>
                <w:sz w:val="20"/>
                <w:szCs w:val="20"/>
                <w:color w:val="auto"/>
              </w:rPr>
            </w:pPr>
            <w:r>
              <w:rPr>
                <w:rFonts w:ascii="Arial" w:cs="Arial" w:eastAsia="Arial" w:hAnsi="Arial"/>
                <w:sz w:val="15"/>
                <w:szCs w:val="15"/>
                <w:color w:val="auto"/>
              </w:rPr>
              <w:t>Non-Oaktree</w:t>
            </w:r>
          </w:p>
        </w:tc>
        <w:tc>
          <w:tcPr>
            <w:tcW w:w="940" w:type="dxa"/>
            <w:vAlign w:val="bottom"/>
          </w:tcPr>
          <w:p>
            <w:pPr>
              <w:spacing w:after="0"/>
              <w:rPr>
                <w:sz w:val="17"/>
                <w:szCs w:val="17"/>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6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9,911</w:t>
            </w:r>
          </w:p>
        </w:tc>
      </w:tr>
      <w:tr>
        <w:trPr>
          <w:trHeight w:val="199"/>
        </w:trPr>
        <w:tc>
          <w:tcPr>
            <w:tcW w:w="7940" w:type="dxa"/>
            <w:vAlign w:val="bottom"/>
          </w:tcPr>
          <w:p>
            <w:pPr>
              <w:spacing w:after="0"/>
              <w:rPr>
                <w:sz w:val="20"/>
                <w:szCs w:val="20"/>
                <w:color w:val="auto"/>
              </w:rPr>
            </w:pPr>
            <w:r>
              <w:rPr>
                <w:rFonts w:ascii="Arial" w:cs="Arial" w:eastAsia="Arial" w:hAnsi="Arial"/>
                <w:sz w:val="15"/>
                <w:szCs w:val="15"/>
                <w:color w:val="auto"/>
              </w:rPr>
              <w:t>Total investment income - Before equity-method investment in Oaktree Capital I</w:t>
            </w:r>
          </w:p>
        </w:tc>
        <w:tc>
          <w:tcPr>
            <w:tcW w:w="94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jc w:val="right"/>
              <w:ind w:right="4"/>
              <w:spacing w:after="0"/>
              <w:rPr>
                <w:sz w:val="20"/>
                <w:szCs w:val="20"/>
                <w:color w:val="auto"/>
              </w:rPr>
            </w:pPr>
            <w:r>
              <w:rPr>
                <w:rFonts w:ascii="Arial" w:cs="Arial" w:eastAsia="Arial" w:hAnsi="Arial"/>
                <w:sz w:val="15"/>
                <w:szCs w:val="15"/>
                <w:color w:val="auto"/>
              </w:rPr>
              <w:t>61,933</w:t>
            </w:r>
          </w:p>
        </w:tc>
        <w:tc>
          <w:tcPr>
            <w:tcW w:w="200" w:type="dxa"/>
            <w:vAlign w:val="bottom"/>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148,100</w:t>
            </w:r>
          </w:p>
        </w:tc>
      </w:tr>
      <w:tr>
        <w:trPr>
          <w:trHeight w:val="206"/>
        </w:trPr>
        <w:tc>
          <w:tcPr>
            <w:tcW w:w="7940" w:type="dxa"/>
            <w:vAlign w:val="bottom"/>
          </w:tcPr>
          <w:p>
            <w:pPr>
              <w:ind w:left="300"/>
              <w:spacing w:after="0"/>
              <w:rPr>
                <w:sz w:val="20"/>
                <w:szCs w:val="20"/>
                <w:color w:val="auto"/>
              </w:rPr>
            </w:pPr>
            <w:r>
              <w:rPr>
                <w:rFonts w:ascii="Arial" w:cs="Arial" w:eastAsia="Arial" w:hAnsi="Arial"/>
                <w:sz w:val="15"/>
                <w:szCs w:val="15"/>
                <w:color w:val="auto"/>
              </w:rPr>
              <w:t>Equity-method investment in Oaktree Capital I</w:t>
            </w:r>
          </w:p>
        </w:tc>
        <w:tc>
          <w:tcPr>
            <w:tcW w:w="9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w w:val="99"/>
              </w:rPr>
              <w:t>192,973</w:t>
            </w:r>
          </w:p>
        </w:tc>
        <w:tc>
          <w:tcPr>
            <w:tcW w:w="200" w:type="dxa"/>
            <w:vAlign w:val="bottom"/>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127,872</w:t>
            </w:r>
          </w:p>
        </w:tc>
      </w:tr>
      <w:tr>
        <w:trPr>
          <w:trHeight w:val="199"/>
        </w:trPr>
        <w:tc>
          <w:tcPr>
            <w:tcW w:w="7940" w:type="dxa"/>
            <w:vAlign w:val="bottom"/>
          </w:tcPr>
          <w:p>
            <w:pPr>
              <w:spacing w:after="0"/>
              <w:rPr>
                <w:sz w:val="20"/>
                <w:szCs w:val="20"/>
                <w:color w:val="auto"/>
              </w:rPr>
            </w:pPr>
            <w:r>
              <w:rPr>
                <w:rFonts w:ascii="Arial" w:cs="Arial" w:eastAsia="Arial" w:hAnsi="Arial"/>
                <w:sz w:val="15"/>
                <w:szCs w:val="15"/>
                <w:color w:val="auto"/>
              </w:rPr>
              <w:t>Total investment income - Oaktree and operating subsidiaries</w:t>
            </w:r>
          </w:p>
        </w:tc>
        <w:tc>
          <w:tcPr>
            <w:tcW w:w="940" w:type="dxa"/>
            <w:vAlign w:val="bottom"/>
          </w:tcPr>
          <w:p>
            <w:pPr>
              <w:spacing w:after="0"/>
              <w:rPr>
                <w:sz w:val="17"/>
                <w:szCs w:val="17"/>
                <w:color w:val="auto"/>
              </w:rPr>
            </w:pPr>
          </w:p>
        </w:tc>
        <w:tc>
          <w:tcPr>
            <w:tcW w:w="640" w:type="dxa"/>
            <w:vAlign w:val="bottom"/>
          </w:tcPr>
          <w:p>
            <w:pPr>
              <w:jc w:val="right"/>
              <w:ind w:right="4"/>
              <w:spacing w:after="0"/>
              <w:rPr>
                <w:sz w:val="20"/>
                <w:szCs w:val="20"/>
                <w:color w:val="auto"/>
              </w:rPr>
            </w:pPr>
            <w:r>
              <w:rPr>
                <w:rFonts w:ascii="Arial" w:cs="Arial" w:eastAsia="Arial" w:hAnsi="Arial"/>
                <w:sz w:val="15"/>
                <w:szCs w:val="15"/>
                <w:color w:val="auto"/>
                <w:w w:val="99"/>
              </w:rPr>
              <w:t>254,906</w:t>
            </w: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275,972</w:t>
            </w:r>
          </w:p>
        </w:tc>
      </w:tr>
      <w:tr>
        <w:trPr>
          <w:trHeight w:val="207"/>
        </w:trPr>
        <w:tc>
          <w:tcPr>
            <w:tcW w:w="7940" w:type="dxa"/>
            <w:vAlign w:val="bottom"/>
          </w:tcPr>
          <w:p>
            <w:pPr>
              <w:ind w:left="300"/>
              <w:spacing w:after="0"/>
              <w:rPr>
                <w:sz w:val="20"/>
                <w:szCs w:val="20"/>
                <w:color w:val="auto"/>
              </w:rPr>
            </w:pPr>
            <w:r>
              <w:rPr>
                <w:rFonts w:ascii="Arial" w:cs="Arial" w:eastAsia="Arial" w:hAnsi="Arial"/>
                <w:sz w:val="15"/>
                <w:szCs w:val="15"/>
                <w:color w:val="auto"/>
              </w:rPr>
              <w:t>Eliminations</w:t>
            </w:r>
          </w:p>
        </w:tc>
        <w:tc>
          <w:tcPr>
            <w:tcW w:w="9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(58,385)</w:t>
            </w:r>
          </w:p>
        </w:tc>
        <w:tc>
          <w:tcPr>
            <w:tcW w:w="200" w:type="dxa"/>
            <w:vAlign w:val="bottom"/>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(105,940)</w:t>
            </w:r>
          </w:p>
        </w:tc>
      </w:tr>
      <w:tr>
        <w:trPr>
          <w:trHeight w:val="200"/>
        </w:trPr>
        <w:tc>
          <w:tcPr>
            <w:tcW w:w="7940" w:type="dxa"/>
            <w:vAlign w:val="bottom"/>
          </w:tcPr>
          <w:p>
            <w:pPr>
              <w:spacing w:after="0"/>
              <w:rPr>
                <w:sz w:val="20"/>
                <w:szCs w:val="20"/>
                <w:color w:val="auto"/>
              </w:rPr>
            </w:pPr>
            <w:r>
              <w:rPr>
                <w:rFonts w:ascii="Arial" w:cs="Arial" w:eastAsia="Arial" w:hAnsi="Arial"/>
                <w:sz w:val="15"/>
                <w:szCs w:val="15"/>
                <w:color w:val="auto"/>
              </w:rPr>
              <w:t>Total investment income</w:t>
            </w:r>
          </w:p>
        </w:tc>
        <w:tc>
          <w:tcPr>
            <w:tcW w:w="940" w:type="dxa"/>
            <w:vAlign w:val="bottom"/>
            <w:tcBorders>
              <w:bottom w:val="single" w:sz="8" w:color="auto"/>
            </w:tcBorders>
          </w:tcPr>
          <w:p>
            <w:pPr>
              <w:jc w:val="right"/>
              <w:ind w:right="771"/>
              <w:spacing w:after="0"/>
              <w:rPr>
                <w:sz w:val="20"/>
                <w:szCs w:val="20"/>
                <w:color w:val="auto"/>
              </w:rPr>
            </w:pPr>
            <w:r>
              <w:rPr>
                <w:rFonts w:ascii="Arial" w:cs="Arial" w:eastAsia="Arial" w:hAnsi="Arial"/>
                <w:sz w:val="15"/>
                <w:szCs w:val="15"/>
                <w:color w:val="auto"/>
                <w:w w:val="95"/>
              </w:rPr>
              <w:t>$</w:t>
            </w:r>
          </w:p>
        </w:tc>
        <w:tc>
          <w:tcPr>
            <w:tcW w:w="64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w w:val="99"/>
              </w:rPr>
              <w:t>196,521</w:t>
            </w:r>
          </w:p>
        </w:tc>
        <w:tc>
          <w:tcPr>
            <w:tcW w:w="200" w:type="dxa"/>
            <w:vAlign w:val="bottom"/>
          </w:tcPr>
          <w:p>
            <w:pPr>
              <w:spacing w:after="0"/>
              <w:rPr>
                <w:sz w:val="17"/>
                <w:szCs w:val="17"/>
                <w:color w:val="auto"/>
              </w:rPr>
            </w:pPr>
          </w:p>
        </w:tc>
        <w:tc>
          <w:tcPr>
            <w:tcW w:w="600" w:type="dxa"/>
            <w:vAlign w:val="bottom"/>
            <w:tcBorders>
              <w:bottom w:val="single" w:sz="8" w:color="auto"/>
            </w:tcBorders>
          </w:tcPr>
          <w:p>
            <w:pPr>
              <w:jc w:val="right"/>
              <w:ind w:right="423"/>
              <w:spacing w:after="0"/>
              <w:rPr>
                <w:sz w:val="20"/>
                <w:szCs w:val="20"/>
                <w:color w:val="auto"/>
              </w:rPr>
            </w:pPr>
            <w:r>
              <w:rPr>
                <w:rFonts w:ascii="Arial" w:cs="Arial" w:eastAsia="Arial" w:hAnsi="Arial"/>
                <w:sz w:val="15"/>
                <w:szCs w:val="15"/>
                <w:color w:val="auto"/>
                <w:w w:val="95"/>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170,032</w:t>
            </w:r>
          </w:p>
        </w:tc>
      </w:tr>
      <w:tr>
        <w:trPr>
          <w:trHeight w:val="20"/>
        </w:trPr>
        <w:tc>
          <w:tcPr>
            <w:tcW w:w="79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28" w:lineRule="exact"/>
        <w:rPr>
          <w:sz w:val="20"/>
          <w:szCs w:val="20"/>
          <w:color w:val="auto"/>
        </w:rPr>
      </w:pPr>
    </w:p>
    <w:p>
      <w:pPr>
        <w:ind w:right="160" w:firstLine="619"/>
        <w:spacing w:after="0" w:line="290" w:lineRule="auto"/>
        <w:rPr>
          <w:sz w:val="20"/>
          <w:szCs w:val="20"/>
          <w:color w:val="auto"/>
        </w:rPr>
      </w:pPr>
      <w:r>
        <w:rPr>
          <w:rFonts w:ascii="Arial" w:cs="Arial" w:eastAsia="Arial" w:hAnsi="Arial"/>
          <w:sz w:val="17"/>
          <w:szCs w:val="17"/>
          <w:color w:val="auto"/>
        </w:rPr>
        <w:t>Investment income increased $26.5 million, or 15.6%, to $196.5 million for the year ended December 31, 2025, from $170.0 million for the year ended December 31, 2024 primarily reflecting the performance of Oaktree Capital I and Brookfield REIT.</w:t>
      </w:r>
    </w:p>
    <w:p>
      <w:pPr>
        <w:spacing w:after="0" w:line="8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Expenses</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Incentive Income Compensation</w:t>
      </w:r>
    </w:p>
    <w:p>
      <w:pPr>
        <w:spacing w:after="0" w:line="151" w:lineRule="exact"/>
        <w:rPr>
          <w:sz w:val="20"/>
          <w:szCs w:val="20"/>
          <w:color w:val="auto"/>
        </w:rPr>
      </w:pPr>
    </w:p>
    <w:p>
      <w:pPr>
        <w:ind w:right="180" w:firstLine="619"/>
        <w:spacing w:after="0" w:line="274" w:lineRule="auto"/>
        <w:rPr>
          <w:sz w:val="20"/>
          <w:szCs w:val="20"/>
          <w:color w:val="auto"/>
        </w:rPr>
      </w:pPr>
      <w:r>
        <w:rPr>
          <w:rFonts w:ascii="Arial" w:cs="Arial" w:eastAsia="Arial" w:hAnsi="Arial"/>
          <w:sz w:val="17"/>
          <w:szCs w:val="17"/>
          <w:color w:val="auto"/>
        </w:rPr>
        <w:t>Subsequent to the 2024 Restructuring, we no longer incur incentive income compensation expense due to the deconsolidation of Oaktree Capital I.</w:t>
      </w:r>
    </w:p>
    <w:p>
      <w:pPr>
        <w:spacing w:after="0" w:line="11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General and Administrative</w:t>
      </w:r>
    </w:p>
    <w:p>
      <w:pPr>
        <w:spacing w:after="0" w:line="163" w:lineRule="exact"/>
        <w:rPr>
          <w:sz w:val="20"/>
          <w:szCs w:val="20"/>
          <w:color w:val="auto"/>
        </w:rPr>
      </w:pPr>
    </w:p>
    <w:p>
      <w:pPr>
        <w:ind w:right="260" w:firstLine="619"/>
        <w:spacing w:after="0" w:line="290" w:lineRule="auto"/>
        <w:rPr>
          <w:sz w:val="20"/>
          <w:szCs w:val="20"/>
          <w:color w:val="auto"/>
        </w:rPr>
      </w:pPr>
      <w:r>
        <w:rPr>
          <w:rFonts w:ascii="Arial" w:cs="Arial" w:eastAsia="Arial" w:hAnsi="Arial"/>
          <w:sz w:val="17"/>
          <w:szCs w:val="17"/>
          <w:color w:val="auto"/>
        </w:rPr>
        <w:t>General and administrative expense was unchanged at $3.2 million for the year ended December 31, 2025, compared to the year ended December 31, 2024.</w:t>
      </w:r>
    </w:p>
    <w:p>
      <w:pPr>
        <w:spacing w:after="0" w:line="9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Consolidated Fund Expenses</w:t>
      </w:r>
    </w:p>
    <w:p>
      <w:pPr>
        <w:spacing w:after="0" w:line="164" w:lineRule="exact"/>
        <w:rPr>
          <w:sz w:val="20"/>
          <w:szCs w:val="20"/>
          <w:color w:val="auto"/>
        </w:rPr>
      </w:pPr>
    </w:p>
    <w:p>
      <w:pPr>
        <w:ind w:right="100" w:firstLine="619"/>
        <w:spacing w:after="0" w:line="271" w:lineRule="auto"/>
        <w:rPr>
          <w:sz w:val="20"/>
          <w:szCs w:val="20"/>
          <w:color w:val="auto"/>
        </w:rPr>
      </w:pPr>
      <w:r>
        <w:rPr>
          <w:rFonts w:ascii="Arial" w:cs="Arial" w:eastAsia="Arial" w:hAnsi="Arial"/>
          <w:sz w:val="17"/>
          <w:szCs w:val="17"/>
          <w:color w:val="auto"/>
        </w:rPr>
        <w:t>Consolidated fund expenses increased $3.2 million, or 3.9%, to $84.3 million for the year ended December 31, 2025, from $81.1 million for the year ended December 31, 2024. The increase is primarily due to higher general costs incurred by Opps XII, partially offset by the deconsolidation of Oaktree Capital I’s consolidated funds following the 2024 Restructuring.</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Interest Expense</w:t>
      </w:r>
    </w:p>
    <w:p>
      <w:pPr>
        <w:spacing w:after="0" w:line="163" w:lineRule="exact"/>
        <w:rPr>
          <w:sz w:val="20"/>
          <w:szCs w:val="20"/>
          <w:color w:val="auto"/>
        </w:rPr>
      </w:pPr>
    </w:p>
    <w:p>
      <w:pPr>
        <w:jc w:val="both"/>
        <w:ind w:right="40" w:firstLine="619"/>
        <w:spacing w:after="0" w:line="271" w:lineRule="auto"/>
        <w:rPr>
          <w:sz w:val="20"/>
          <w:szCs w:val="20"/>
          <w:color w:val="auto"/>
        </w:rPr>
      </w:pPr>
      <w:r>
        <w:rPr>
          <w:rFonts w:ascii="Arial" w:cs="Arial" w:eastAsia="Arial" w:hAnsi="Arial"/>
          <w:sz w:val="17"/>
          <w:szCs w:val="17"/>
          <w:color w:val="auto"/>
        </w:rPr>
        <w:t>Interest expense decreased $11.2 million, or 11.2%, to $88.6 million for the year ended December 31, 2025, from $99.8 million for the year ended December 31, 2024. The decrease is primarily driven by the deconsolidation of Oaktree Capital I and its consolidated funds as a result of the 2024 Restructuring.</w:t>
      </w:r>
    </w:p>
    <w:p>
      <w:pPr>
        <w:spacing w:after="0" w:line="11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Other Income (Loss)</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Net Realized Gain (Loss) on Consolidated Funds’ Investments</w:t>
      </w:r>
    </w:p>
    <w:p>
      <w:pPr>
        <w:spacing w:after="0" w:line="163" w:lineRule="exact"/>
        <w:rPr>
          <w:sz w:val="20"/>
          <w:szCs w:val="20"/>
          <w:color w:val="auto"/>
        </w:rPr>
      </w:pPr>
    </w:p>
    <w:p>
      <w:pPr>
        <w:ind w:right="60" w:firstLine="619"/>
        <w:spacing w:after="0" w:line="271" w:lineRule="auto"/>
        <w:rPr>
          <w:sz w:val="20"/>
          <w:szCs w:val="20"/>
          <w:color w:val="auto"/>
        </w:rPr>
      </w:pPr>
      <w:r>
        <w:rPr>
          <w:rFonts w:ascii="Arial" w:cs="Arial" w:eastAsia="Arial" w:hAnsi="Arial"/>
          <w:sz w:val="17"/>
          <w:szCs w:val="17"/>
          <w:color w:val="auto"/>
        </w:rPr>
        <w:t>Net realized gain on consolidated funds’ investments decreased $13.3 million, to $ 52.3 million for the year ended December 31, 2025, from $65.6 million for the year ended December 31, 2024. The net realized gain during the year ended December 31, 2025 reflects our consolidated funds’ performance on investments sold and the decline is primarily due to Opps XII.</w:t>
      </w: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14" w:right="339" w:bottom="1440" w:gutter="0" w:footer="0" w:header="0"/>
        </w:sectPr>
      </w:pPr>
    </w:p>
    <w:bookmarkStart w:id="53" w:name="page54"/>
    <w:bookmarkEnd w:id="53"/>
    <w:p>
      <w:pPr>
        <w:spacing w:after="0"/>
        <w:rPr>
          <w:sz w:val="20"/>
          <w:szCs w:val="20"/>
          <w:color w:val="auto"/>
        </w:rPr>
      </w:pPr>
      <w:r>
        <w:rPr>
          <w:rFonts w:ascii="Arial" w:cs="Arial" w:eastAsia="Arial" w:hAnsi="Arial"/>
          <w:sz w:val="17"/>
          <w:szCs w:val="17"/>
          <w:i w:val="1"/>
          <w:iCs w:val="1"/>
          <w:color w:val="auto"/>
        </w:rPr>
        <w:t>Net Change in Unrealized Appreciation (Depreciation) on Consolidated Funds’ Investments</w:t>
      </w:r>
    </w:p>
    <w:p>
      <w:pPr>
        <w:spacing w:after="0" w:line="163" w:lineRule="exact"/>
        <w:rPr>
          <w:sz w:val="20"/>
          <w:szCs w:val="20"/>
          <w:color w:val="auto"/>
        </w:rPr>
      </w:pPr>
    </w:p>
    <w:p>
      <w:pPr>
        <w:ind w:firstLine="619"/>
        <w:spacing w:after="0" w:line="262" w:lineRule="auto"/>
        <w:rPr>
          <w:sz w:val="20"/>
          <w:szCs w:val="20"/>
          <w:color w:val="auto"/>
        </w:rPr>
      </w:pPr>
      <w:r>
        <w:rPr>
          <w:rFonts w:ascii="Arial" w:cs="Arial" w:eastAsia="Arial" w:hAnsi="Arial"/>
          <w:sz w:val="17"/>
          <w:szCs w:val="17"/>
          <w:color w:val="auto"/>
        </w:rPr>
        <w:t>The net change in unrealized appreciation (depreciation) on consolidated funds’ investments decreased $182.2 million, to a depreciation of $31.5 million for the year ended December 31, 2025, from an appreciation of $150.7 million for the year ended December 31, 2024. Excluding the impact of the reversal of net realized gain (loss) on consolidated funds’ investments, the net change in unrealized appreciation (depreciation) on consolidated funds’ investments decreased $195.5 million to a net gain of $20.8 million for the year ended December 31, 2025, from a net gain of $216.3 million for the year ended December 31, 2024, primarily resulting from our investments in Opps XI.</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Net (Income) Loss Attributable to Non-controlling Interests in Consolidated Funds</w:t>
      </w:r>
    </w:p>
    <w:p>
      <w:pPr>
        <w:spacing w:after="0" w:line="165" w:lineRule="exact"/>
        <w:rPr>
          <w:sz w:val="20"/>
          <w:szCs w:val="20"/>
          <w:color w:val="auto"/>
        </w:rPr>
      </w:pPr>
    </w:p>
    <w:p>
      <w:pPr>
        <w:ind w:firstLine="619"/>
        <w:spacing w:after="0" w:line="265" w:lineRule="auto"/>
        <w:rPr>
          <w:sz w:val="20"/>
          <w:szCs w:val="20"/>
          <w:color w:val="auto"/>
        </w:rPr>
      </w:pPr>
      <w:r>
        <w:rPr>
          <w:rFonts w:ascii="Arial" w:cs="Arial" w:eastAsia="Arial" w:hAnsi="Arial"/>
          <w:sz w:val="17"/>
          <w:szCs w:val="17"/>
          <w:color w:val="auto"/>
        </w:rPr>
        <w:t>Net (income) loss attributable to non-controlling interests in consolidated funds decreased $ 145.5 million, or 34.8% to net income of $272.4 million for the year ended December 31, 2025, from net income of $417.9 million for the year ended December 31, 2024. The decrease reflected our consolidated funds’ performance attributable to third-party investors in each period. These effects are described in more detail under “—Other Income (Loss)” above.</w:t>
      </w:r>
    </w:p>
    <w:p>
      <w:pPr>
        <w:spacing w:after="0" w:line="11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Net Income (Loss) Attributable to Brookfield Oaktree Holdings, LLC Class A Unitholders</w:t>
      </w:r>
    </w:p>
    <w:p>
      <w:pPr>
        <w:spacing w:after="0" w:line="153" w:lineRule="exact"/>
        <w:rPr>
          <w:sz w:val="20"/>
          <w:szCs w:val="20"/>
          <w:color w:val="auto"/>
        </w:rPr>
      </w:pPr>
    </w:p>
    <w:p>
      <w:pPr>
        <w:ind w:firstLine="619"/>
        <w:spacing w:after="0" w:line="271" w:lineRule="auto"/>
        <w:rPr>
          <w:sz w:val="20"/>
          <w:szCs w:val="20"/>
          <w:color w:val="auto"/>
        </w:rPr>
      </w:pPr>
      <w:r>
        <w:rPr>
          <w:rFonts w:ascii="Arial" w:cs="Arial" w:eastAsia="Arial" w:hAnsi="Arial"/>
          <w:sz w:val="17"/>
          <w:szCs w:val="17"/>
          <w:color w:val="auto"/>
        </w:rPr>
        <w:t>Net income (loss) attributable to Brookfield Oaktree Holdings, LLC Class A unitholders decreased $58.3 million, or 20.8%, to $221.9 million for the year ended December 31, 2025, from $280.2 million for the year ended December 31, 2024, primarily reflecting lower other income related to our consolidated funds. These effects are described in more detail under “— Other Income (Loss)” above.</w:t>
      </w:r>
    </w:p>
    <w:p>
      <w:pPr>
        <w:spacing w:after="0" w:line="200" w:lineRule="exact"/>
        <w:rPr>
          <w:sz w:val="20"/>
          <w:szCs w:val="20"/>
          <w:color w:val="auto"/>
        </w:rPr>
      </w:pPr>
    </w:p>
    <w:p>
      <w:pPr>
        <w:spacing w:after="0" w:line="285"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60"/>
          </w:cols>
          <w:pgMar w:left="320" w:top="1014" w:right="419" w:bottom="1440" w:gutter="0" w:footer="0" w:header="0"/>
        </w:sectPr>
      </w:pPr>
    </w:p>
    <w:bookmarkStart w:id="54" w:name="page55"/>
    <w:bookmarkEnd w:id="54"/>
    <w:p>
      <w:pPr>
        <w:spacing w:after="0"/>
        <w:rPr>
          <w:sz w:val="20"/>
          <w:szCs w:val="20"/>
          <w:color w:val="auto"/>
        </w:rPr>
      </w:pPr>
      <w:r>
        <w:rPr>
          <w:rFonts w:ascii="Arial" w:cs="Arial" w:eastAsia="Arial" w:hAnsi="Arial"/>
          <w:sz w:val="17"/>
          <w:szCs w:val="17"/>
          <w:b w:val="1"/>
          <w:bCs w:val="1"/>
          <w:i w:val="1"/>
          <w:iCs w:val="1"/>
          <w:color w:val="auto"/>
        </w:rPr>
        <w:t>GAAP Statement of Financial Condition</w:t>
      </w:r>
    </w:p>
    <w:p>
      <w:pPr>
        <w:spacing w:after="0" w:line="101" w:lineRule="exact"/>
        <w:rPr>
          <w:sz w:val="20"/>
          <w:szCs w:val="20"/>
          <w:color w:val="auto"/>
        </w:rPr>
      </w:pPr>
    </w:p>
    <w:p>
      <w:pPr>
        <w:ind w:right="80" w:firstLine="619"/>
        <w:spacing w:after="0" w:line="274" w:lineRule="auto"/>
        <w:rPr>
          <w:sz w:val="20"/>
          <w:szCs w:val="20"/>
          <w:color w:val="auto"/>
        </w:rPr>
      </w:pPr>
      <w:r>
        <w:rPr>
          <w:rFonts w:ascii="Arial" w:cs="Arial" w:eastAsia="Arial" w:hAnsi="Arial"/>
          <w:sz w:val="17"/>
          <w:szCs w:val="17"/>
          <w:color w:val="auto"/>
        </w:rPr>
        <w:t>We manage our financial condition without the consolidation of Oaktree funds. Since Oaktree’s founding, Oaktree and, by extension, we have managed our financial condition in a way that builds our capital base and maintains sufficient liquidity for known and anticipated uses of cash.</w:t>
      </w:r>
    </w:p>
    <w:p>
      <w:pPr>
        <w:spacing w:after="0" w:line="108"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following table presents our GAAP consolidating statement of financial condition:</w:t>
      </w:r>
    </w:p>
    <w:p>
      <w:pPr>
        <w:spacing w:after="0" w:line="165" w:lineRule="exact"/>
        <w:rPr>
          <w:sz w:val="20"/>
          <w:szCs w:val="20"/>
          <w:color w:val="auto"/>
        </w:rPr>
      </w:pPr>
    </w:p>
    <w:tbl>
      <w:tblPr>
        <w:tblLayout w:type="fixed"/>
        <w:tblInd w:w="20" w:type="dxa"/>
        <w:tblCellMar>
          <w:top w:w="0" w:type="dxa"/>
          <w:left w:w="0" w:type="dxa"/>
          <w:bottom w:w="0" w:type="dxa"/>
          <w:right w:w="0" w:type="dxa"/>
        </w:tblCellMar>
      </w:tblPr>
      <w:tr>
        <w:trPr>
          <w:trHeight w:val="169"/>
        </w:trPr>
        <w:tc>
          <w:tcPr>
            <w:tcW w:w="52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820" w:type="dxa"/>
            <w:vAlign w:val="bottom"/>
            <w:tcBorders>
              <w:bottom w:val="single" w:sz="8" w:color="auto"/>
            </w:tcBorders>
            <w:gridSpan w:val="5"/>
          </w:tcPr>
          <w:p>
            <w:pPr>
              <w:ind w:left="400"/>
              <w:spacing w:after="0"/>
              <w:rPr>
                <w:sz w:val="20"/>
                <w:szCs w:val="20"/>
                <w:color w:val="auto"/>
              </w:rPr>
            </w:pPr>
            <w:r>
              <w:rPr>
                <w:rFonts w:ascii="Arial" w:cs="Arial" w:eastAsia="Arial" w:hAnsi="Arial"/>
                <w:sz w:val="12"/>
                <w:szCs w:val="12"/>
                <w:b w:val="1"/>
                <w:bCs w:val="1"/>
                <w:color w:val="auto"/>
              </w:rPr>
              <w:t>As of December 31, 2025</w:t>
            </w:r>
          </w:p>
        </w:tc>
        <w:tc>
          <w:tcPr>
            <w:tcW w:w="1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3"/>
        </w:trPr>
        <w:tc>
          <w:tcPr>
            <w:tcW w:w="5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360" w:type="dxa"/>
            <w:vAlign w:val="bottom"/>
            <w:gridSpan w:val="2"/>
          </w:tcPr>
          <w:p>
            <w:pPr>
              <w:jc w:val="center"/>
              <w:ind w:right="500"/>
              <w:spacing w:after="0" w:line="113" w:lineRule="exact"/>
              <w:rPr>
                <w:sz w:val="20"/>
                <w:szCs w:val="20"/>
                <w:color w:val="auto"/>
              </w:rPr>
            </w:pPr>
            <w:r>
              <w:rPr>
                <w:rFonts w:ascii="Arial" w:cs="Arial" w:eastAsia="Arial" w:hAnsi="Arial"/>
                <w:sz w:val="12"/>
                <w:szCs w:val="12"/>
                <w:b w:val="1"/>
                <w:bCs w:val="1"/>
                <w:color w:val="auto"/>
              </w:rPr>
              <w:t>Oaktree and</w:t>
            </w:r>
          </w:p>
        </w:tc>
        <w:tc>
          <w:tcPr>
            <w:tcW w:w="300" w:type="dxa"/>
            <w:vAlign w:val="bottom"/>
          </w:tcPr>
          <w:p>
            <w:pPr>
              <w:spacing w:after="0"/>
              <w:rPr>
                <w:sz w:val="9"/>
                <w:szCs w:val="9"/>
                <w:color w:val="auto"/>
              </w:rPr>
            </w:pPr>
          </w:p>
        </w:tc>
        <w:tc>
          <w:tcPr>
            <w:tcW w:w="960" w:type="dxa"/>
            <w:vAlign w:val="bottom"/>
          </w:tcPr>
          <w:p>
            <w:pPr>
              <w:spacing w:after="0"/>
              <w:rPr>
                <w:sz w:val="9"/>
                <w:szCs w:val="9"/>
                <w:color w:val="auto"/>
              </w:rPr>
            </w:pPr>
          </w:p>
        </w:tc>
        <w:tc>
          <w:tcPr>
            <w:tcW w:w="300" w:type="dxa"/>
            <w:vAlign w:val="bottom"/>
          </w:tcPr>
          <w:p>
            <w:pPr>
              <w:spacing w:after="0"/>
              <w:rPr>
                <w:sz w:val="9"/>
                <w:szCs w:val="9"/>
                <w:color w:val="auto"/>
              </w:rPr>
            </w:pPr>
          </w:p>
        </w:tc>
        <w:tc>
          <w:tcPr>
            <w:tcW w:w="280" w:type="dxa"/>
            <w:vAlign w:val="bottom"/>
          </w:tcPr>
          <w:p>
            <w:pPr>
              <w:spacing w:after="0"/>
              <w:rPr>
                <w:sz w:val="9"/>
                <w:szCs w:val="9"/>
                <w:color w:val="auto"/>
              </w:rPr>
            </w:pPr>
          </w:p>
        </w:tc>
        <w:tc>
          <w:tcPr>
            <w:tcW w:w="9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6"/>
        </w:trPr>
        <w:tc>
          <w:tcPr>
            <w:tcW w:w="5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360" w:type="dxa"/>
            <w:vAlign w:val="bottom"/>
            <w:gridSpan w:val="2"/>
          </w:tcPr>
          <w:p>
            <w:pPr>
              <w:jc w:val="center"/>
              <w:ind w:right="480"/>
              <w:spacing w:after="0" w:line="116" w:lineRule="exact"/>
              <w:rPr>
                <w:sz w:val="20"/>
                <w:szCs w:val="20"/>
                <w:color w:val="auto"/>
              </w:rPr>
            </w:pPr>
            <w:r>
              <w:rPr>
                <w:rFonts w:ascii="Arial" w:cs="Arial" w:eastAsia="Arial" w:hAnsi="Arial"/>
                <w:sz w:val="12"/>
                <w:szCs w:val="12"/>
                <w:b w:val="1"/>
                <w:bCs w:val="1"/>
                <w:color w:val="auto"/>
                <w:w w:val="98"/>
              </w:rPr>
              <w:t>Operating</w:t>
            </w:r>
          </w:p>
        </w:tc>
        <w:tc>
          <w:tcPr>
            <w:tcW w:w="156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Consolidated Funds</w:t>
            </w:r>
          </w:p>
        </w:tc>
        <w:tc>
          <w:tcPr>
            <w:tcW w:w="280" w:type="dxa"/>
            <w:vAlign w:val="bottom"/>
          </w:tcPr>
          <w:p>
            <w:pPr>
              <w:spacing w:after="0"/>
              <w:rPr>
                <w:sz w:val="10"/>
                <w:szCs w:val="10"/>
                <w:color w:val="auto"/>
              </w:rPr>
            </w:pPr>
          </w:p>
        </w:tc>
        <w:tc>
          <w:tcPr>
            <w:tcW w:w="12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Eliminations</w:t>
            </w:r>
          </w:p>
        </w:tc>
        <w:tc>
          <w:tcPr>
            <w:tcW w:w="180" w:type="dxa"/>
            <w:vAlign w:val="bottom"/>
          </w:tcPr>
          <w:p>
            <w:pPr>
              <w:spacing w:after="0"/>
              <w:rPr>
                <w:sz w:val="10"/>
                <w:szCs w:val="10"/>
                <w:color w:val="auto"/>
              </w:rPr>
            </w:pPr>
          </w:p>
        </w:tc>
        <w:tc>
          <w:tcPr>
            <w:tcW w:w="1080" w:type="dxa"/>
            <w:vAlign w:val="bottom"/>
            <w:vMerge w:val="restart"/>
          </w:tcPr>
          <w:p>
            <w:pPr>
              <w:jc w:val="right"/>
              <w:ind w:right="164"/>
              <w:spacing w:after="0"/>
              <w:rPr>
                <w:sz w:val="20"/>
                <w:szCs w:val="20"/>
                <w:color w:val="auto"/>
              </w:rPr>
            </w:pPr>
            <w:r>
              <w:rPr>
                <w:rFonts w:ascii="Arial" w:cs="Arial" w:eastAsia="Arial" w:hAnsi="Arial"/>
                <w:sz w:val="12"/>
                <w:szCs w:val="12"/>
                <w:b w:val="1"/>
                <w:bCs w:val="1"/>
                <w:color w:val="auto"/>
              </w:rPr>
              <w:t>Consolidated</w:t>
            </w:r>
          </w:p>
        </w:tc>
        <w:tc>
          <w:tcPr>
            <w:tcW w:w="0" w:type="dxa"/>
            <w:vAlign w:val="bottom"/>
          </w:tcPr>
          <w:p>
            <w:pPr>
              <w:spacing w:after="0"/>
              <w:rPr>
                <w:sz w:val="1"/>
                <w:szCs w:val="1"/>
                <w:color w:val="auto"/>
              </w:rPr>
            </w:pPr>
          </w:p>
        </w:tc>
      </w:tr>
      <w:tr>
        <w:trPr>
          <w:trHeight w:val="177"/>
        </w:trPr>
        <w:tc>
          <w:tcPr>
            <w:tcW w:w="52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2"/>
          </w:tcPr>
          <w:p>
            <w:pPr>
              <w:jc w:val="center"/>
              <w:ind w:right="480"/>
              <w:spacing w:after="0"/>
              <w:rPr>
                <w:sz w:val="20"/>
                <w:szCs w:val="20"/>
                <w:color w:val="auto"/>
              </w:rPr>
            </w:pPr>
            <w:r>
              <w:rPr>
                <w:rFonts w:ascii="Arial" w:cs="Arial" w:eastAsia="Arial" w:hAnsi="Arial"/>
                <w:sz w:val="12"/>
                <w:szCs w:val="12"/>
                <w:b w:val="1"/>
                <w:bCs w:val="1"/>
                <w:color w:val="auto"/>
              </w:rPr>
              <w:t>Subsidiaries</w:t>
            </w:r>
          </w:p>
        </w:tc>
        <w:tc>
          <w:tcPr>
            <w:tcW w:w="1560" w:type="dxa"/>
            <w:vAlign w:val="bottom"/>
            <w:tcBorders>
              <w:bottom w:val="single" w:sz="8" w:color="auto"/>
            </w:tcBorders>
            <w:gridSpan w:val="3"/>
            <w:vMerge w:val="continue"/>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gridSpan w:val="2"/>
            <w:vMerge w:val="continue"/>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5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40" w:type="dxa"/>
            <w:vAlign w:val="bottom"/>
            <w:gridSpan w:val="3"/>
          </w:tcPr>
          <w:p>
            <w:pPr>
              <w:jc w:val="right"/>
              <w:spacing w:after="0"/>
              <w:rPr>
                <w:sz w:val="20"/>
                <w:szCs w:val="20"/>
                <w:color w:val="auto"/>
              </w:rPr>
            </w:pPr>
            <w:r>
              <w:rPr>
                <w:rFonts w:ascii="Arial" w:cs="Arial" w:eastAsia="Arial" w:hAnsi="Arial"/>
                <w:sz w:val="12"/>
                <w:szCs w:val="12"/>
                <w:b w:val="1"/>
                <w:bCs w:val="1"/>
                <w:color w:val="auto"/>
              </w:rPr>
              <w:t>(in thousands)</w:t>
            </w:r>
          </w:p>
        </w:tc>
        <w:tc>
          <w:tcPr>
            <w:tcW w:w="9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5240" w:type="dxa"/>
            <w:vAlign w:val="bottom"/>
          </w:tcPr>
          <w:p>
            <w:pPr>
              <w:spacing w:after="0"/>
              <w:rPr>
                <w:sz w:val="20"/>
                <w:szCs w:val="20"/>
                <w:color w:val="auto"/>
              </w:rPr>
            </w:pPr>
            <w:r>
              <w:rPr>
                <w:rFonts w:ascii="Arial" w:cs="Arial" w:eastAsia="Arial" w:hAnsi="Arial"/>
                <w:sz w:val="15"/>
                <w:szCs w:val="15"/>
                <w:b w:val="1"/>
                <w:bCs w:val="1"/>
                <w:color w:val="auto"/>
              </w:rPr>
              <w:t>Assets:</w:t>
            </w: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5240" w:type="dxa"/>
            <w:vAlign w:val="bottom"/>
          </w:tcPr>
          <w:p>
            <w:pPr>
              <w:spacing w:after="0"/>
              <w:rPr>
                <w:sz w:val="20"/>
                <w:szCs w:val="20"/>
                <w:color w:val="auto"/>
              </w:rPr>
            </w:pPr>
            <w:r>
              <w:rPr>
                <w:rFonts w:ascii="Arial" w:cs="Arial" w:eastAsia="Arial" w:hAnsi="Arial"/>
                <w:sz w:val="15"/>
                <w:szCs w:val="15"/>
                <w:color w:val="auto"/>
              </w:rPr>
              <w:t>Cash and cash-equivalents</w:t>
            </w:r>
          </w:p>
        </w:tc>
        <w:tc>
          <w:tcPr>
            <w:tcW w:w="200" w:type="dxa"/>
            <w:vAlign w:val="bottom"/>
          </w:tcPr>
          <w:p>
            <w:pPr>
              <w:jc w:val="right"/>
              <w:ind w:right="23"/>
              <w:spacing w:after="0"/>
              <w:rPr>
                <w:sz w:val="20"/>
                <w:szCs w:val="20"/>
                <w:color w:val="auto"/>
              </w:rPr>
            </w:pPr>
            <w:r>
              <w:rPr>
                <w:rFonts w:ascii="Arial" w:cs="Arial" w:eastAsia="Arial" w:hAnsi="Arial"/>
                <w:sz w:val="15"/>
                <w:szCs w:val="15"/>
                <w:color w:val="auto"/>
                <w:w w:val="95"/>
              </w:rPr>
              <w:t>$</w:t>
            </w:r>
          </w:p>
        </w:tc>
        <w:tc>
          <w:tcPr>
            <w:tcW w:w="1060" w:type="dxa"/>
            <w:vAlign w:val="bottom"/>
          </w:tcPr>
          <w:p>
            <w:pPr>
              <w:jc w:val="right"/>
              <w:spacing w:after="0"/>
              <w:rPr>
                <w:sz w:val="20"/>
                <w:szCs w:val="20"/>
                <w:color w:val="auto"/>
              </w:rPr>
            </w:pPr>
            <w:r>
              <w:rPr>
                <w:rFonts w:ascii="Arial" w:cs="Arial" w:eastAsia="Arial" w:hAnsi="Arial"/>
                <w:sz w:val="15"/>
                <w:szCs w:val="15"/>
                <w:color w:val="auto"/>
              </w:rPr>
              <w:t>6,766</w:t>
            </w:r>
          </w:p>
        </w:tc>
        <w:tc>
          <w:tcPr>
            <w:tcW w:w="300" w:type="dxa"/>
            <w:vAlign w:val="bottom"/>
          </w:tcPr>
          <w:p>
            <w:pPr>
              <w:spacing w:after="0"/>
              <w:rPr>
                <w:sz w:val="17"/>
                <w:szCs w:val="17"/>
                <w:color w:val="auto"/>
              </w:rPr>
            </w:pPr>
          </w:p>
        </w:tc>
        <w:tc>
          <w:tcPr>
            <w:tcW w:w="300" w:type="dxa"/>
            <w:vAlign w:val="bottom"/>
          </w:tcPr>
          <w:p>
            <w:pPr>
              <w:jc w:val="right"/>
              <w:ind w:right="126"/>
              <w:spacing w:after="0"/>
              <w:rPr>
                <w:sz w:val="20"/>
                <w:szCs w:val="20"/>
                <w:color w:val="auto"/>
              </w:rPr>
            </w:pPr>
            <w:r>
              <w:rPr>
                <w:rFonts w:ascii="Arial" w:cs="Arial" w:eastAsia="Arial" w:hAnsi="Arial"/>
                <w:sz w:val="15"/>
                <w:szCs w:val="15"/>
                <w:color w:val="auto"/>
                <w:w w:val="95"/>
              </w:rPr>
              <w:t>$</w:t>
            </w:r>
          </w:p>
        </w:tc>
        <w:tc>
          <w:tcPr>
            <w:tcW w:w="1260" w:type="dxa"/>
            <w:vAlign w:val="bottom"/>
            <w:gridSpan w:val="2"/>
          </w:tcPr>
          <w:p>
            <w:pPr>
              <w:jc w:val="right"/>
              <w:ind w:right="360"/>
              <w:spacing w:after="0"/>
              <w:rPr>
                <w:sz w:val="20"/>
                <w:szCs w:val="20"/>
                <w:color w:val="auto"/>
              </w:rPr>
            </w:pPr>
            <w:r>
              <w:rPr>
                <w:rFonts w:ascii="Arial" w:cs="Arial" w:eastAsia="Arial" w:hAnsi="Arial"/>
                <w:sz w:val="15"/>
                <w:szCs w:val="15"/>
                <w:color w:val="auto"/>
              </w:rPr>
              <w:t>—</w:t>
            </w:r>
          </w:p>
        </w:tc>
        <w:tc>
          <w:tcPr>
            <w:tcW w:w="280" w:type="dxa"/>
            <w:vAlign w:val="bottom"/>
          </w:tcPr>
          <w:p>
            <w:pPr>
              <w:jc w:val="right"/>
              <w:ind w:right="103"/>
              <w:spacing w:after="0"/>
              <w:rPr>
                <w:sz w:val="20"/>
                <w:szCs w:val="20"/>
                <w:color w:val="auto"/>
              </w:rPr>
            </w:pPr>
            <w:r>
              <w:rPr>
                <w:rFonts w:ascii="Arial" w:cs="Arial" w:eastAsia="Arial" w:hAnsi="Arial"/>
                <w:sz w:val="15"/>
                <w:szCs w:val="15"/>
                <w:color w:val="auto"/>
                <w:w w:val="95"/>
              </w:rPr>
              <w:t>$</w:t>
            </w:r>
          </w:p>
        </w:tc>
        <w:tc>
          <w:tcPr>
            <w:tcW w:w="1280" w:type="dxa"/>
            <w:vAlign w:val="bottom"/>
            <w:gridSpan w:val="2"/>
          </w:tcPr>
          <w:p>
            <w:pPr>
              <w:jc w:val="right"/>
              <w:ind w:right="360"/>
              <w:spacing w:after="0"/>
              <w:rPr>
                <w:sz w:val="20"/>
                <w:szCs w:val="20"/>
                <w:color w:val="auto"/>
              </w:rPr>
            </w:pPr>
            <w:r>
              <w:rPr>
                <w:rFonts w:ascii="Arial" w:cs="Arial" w:eastAsia="Arial" w:hAnsi="Arial"/>
                <w:sz w:val="15"/>
                <w:szCs w:val="15"/>
                <w:color w:val="auto"/>
              </w:rPr>
              <w:t>—</w:t>
            </w:r>
          </w:p>
        </w:tc>
        <w:tc>
          <w:tcPr>
            <w:tcW w:w="180" w:type="dxa"/>
            <w:vAlign w:val="bottom"/>
          </w:tcPr>
          <w:p>
            <w:pPr>
              <w:jc w:val="right"/>
              <w:ind w:right="3"/>
              <w:spacing w:after="0"/>
              <w:rPr>
                <w:sz w:val="20"/>
                <w:szCs w:val="20"/>
                <w:color w:val="auto"/>
              </w:rPr>
            </w:pPr>
            <w:r>
              <w:rPr>
                <w:rFonts w:ascii="Arial" w:cs="Arial" w:eastAsia="Arial" w:hAnsi="Arial"/>
                <w:sz w:val="15"/>
                <w:szCs w:val="15"/>
                <w:color w:val="auto"/>
                <w:w w:val="95"/>
              </w:rPr>
              <w:t>$</w:t>
            </w:r>
          </w:p>
        </w:tc>
        <w:tc>
          <w:tcPr>
            <w:tcW w:w="1080" w:type="dxa"/>
            <w:vAlign w:val="bottom"/>
          </w:tcPr>
          <w:p>
            <w:pPr>
              <w:jc w:val="right"/>
              <w:spacing w:after="0"/>
              <w:rPr>
                <w:sz w:val="20"/>
                <w:szCs w:val="20"/>
                <w:color w:val="auto"/>
              </w:rPr>
            </w:pPr>
            <w:r>
              <w:rPr>
                <w:rFonts w:ascii="Arial" w:cs="Arial" w:eastAsia="Arial" w:hAnsi="Arial"/>
                <w:sz w:val="15"/>
                <w:szCs w:val="15"/>
                <w:color w:val="auto"/>
              </w:rPr>
              <w:t>6,766</w:t>
            </w:r>
          </w:p>
        </w:tc>
        <w:tc>
          <w:tcPr>
            <w:tcW w:w="0" w:type="dxa"/>
            <w:vAlign w:val="bottom"/>
          </w:tcPr>
          <w:p>
            <w:pPr>
              <w:spacing w:after="0"/>
              <w:rPr>
                <w:sz w:val="1"/>
                <w:szCs w:val="1"/>
                <w:color w:val="auto"/>
              </w:rPr>
            </w:pPr>
          </w:p>
        </w:tc>
      </w:tr>
      <w:tr>
        <w:trPr>
          <w:trHeight w:val="206"/>
        </w:trPr>
        <w:tc>
          <w:tcPr>
            <w:tcW w:w="5240" w:type="dxa"/>
            <w:vAlign w:val="bottom"/>
          </w:tcPr>
          <w:p>
            <w:pPr>
              <w:spacing w:after="0"/>
              <w:rPr>
                <w:sz w:val="20"/>
                <w:szCs w:val="20"/>
                <w:color w:val="auto"/>
              </w:rPr>
            </w:pPr>
            <w:r>
              <w:rPr>
                <w:rFonts w:ascii="Arial" w:cs="Arial" w:eastAsia="Arial" w:hAnsi="Arial"/>
                <w:sz w:val="15"/>
                <w:szCs w:val="15"/>
                <w:color w:val="auto"/>
              </w:rPr>
              <w:t>Corporate investments</w:t>
            </w:r>
          </w:p>
        </w:tc>
        <w:tc>
          <w:tcPr>
            <w:tcW w:w="2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2,225,411</w:t>
            </w: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60" w:type="dxa"/>
            <w:vAlign w:val="bottom"/>
            <w:gridSpan w:val="2"/>
          </w:tcPr>
          <w:p>
            <w:pPr>
              <w:jc w:val="right"/>
              <w:ind w:right="360"/>
              <w:spacing w:after="0"/>
              <w:rPr>
                <w:sz w:val="20"/>
                <w:szCs w:val="20"/>
                <w:color w:val="auto"/>
              </w:rPr>
            </w:pPr>
            <w:r>
              <w:rPr>
                <w:rFonts w:ascii="Arial" w:cs="Arial" w:eastAsia="Arial" w:hAnsi="Arial"/>
                <w:sz w:val="15"/>
                <w:szCs w:val="15"/>
                <w:color w:val="auto"/>
              </w:rPr>
              <w:t>—</w:t>
            </w: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(794,638)</w:t>
            </w: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1,430,773</w:t>
            </w:r>
          </w:p>
        </w:tc>
        <w:tc>
          <w:tcPr>
            <w:tcW w:w="0" w:type="dxa"/>
            <w:vAlign w:val="bottom"/>
          </w:tcPr>
          <w:p>
            <w:pPr>
              <w:spacing w:after="0"/>
              <w:rPr>
                <w:sz w:val="1"/>
                <w:szCs w:val="1"/>
                <w:color w:val="auto"/>
              </w:rPr>
            </w:pPr>
          </w:p>
        </w:tc>
      </w:tr>
      <w:tr>
        <w:trPr>
          <w:trHeight w:val="206"/>
        </w:trPr>
        <w:tc>
          <w:tcPr>
            <w:tcW w:w="5240" w:type="dxa"/>
            <w:vAlign w:val="bottom"/>
          </w:tcPr>
          <w:p>
            <w:pPr>
              <w:spacing w:after="0"/>
              <w:rPr>
                <w:sz w:val="20"/>
                <w:szCs w:val="20"/>
                <w:color w:val="auto"/>
              </w:rPr>
            </w:pPr>
            <w:r>
              <w:rPr>
                <w:rFonts w:ascii="Arial" w:cs="Arial" w:eastAsia="Arial" w:hAnsi="Arial"/>
                <w:sz w:val="15"/>
                <w:szCs w:val="15"/>
                <w:color w:val="auto"/>
              </w:rPr>
              <w:t>Receivables and other assets</w:t>
            </w:r>
          </w:p>
        </w:tc>
        <w:tc>
          <w:tcPr>
            <w:tcW w:w="2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32,599</w:t>
            </w: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60" w:type="dxa"/>
            <w:vAlign w:val="bottom"/>
            <w:gridSpan w:val="2"/>
          </w:tcPr>
          <w:p>
            <w:pPr>
              <w:jc w:val="right"/>
              <w:ind w:right="360"/>
              <w:spacing w:after="0"/>
              <w:rPr>
                <w:sz w:val="20"/>
                <w:szCs w:val="20"/>
                <w:color w:val="auto"/>
              </w:rPr>
            </w:pPr>
            <w:r>
              <w:rPr>
                <w:rFonts w:ascii="Arial" w:cs="Arial" w:eastAsia="Arial" w:hAnsi="Arial"/>
                <w:sz w:val="15"/>
                <w:szCs w:val="15"/>
                <w:color w:val="auto"/>
              </w:rPr>
              <w:t>—</w:t>
            </w:r>
          </w:p>
        </w:tc>
        <w:tc>
          <w:tcPr>
            <w:tcW w:w="280" w:type="dxa"/>
            <w:vAlign w:val="bottom"/>
          </w:tcPr>
          <w:p>
            <w:pPr>
              <w:spacing w:after="0"/>
              <w:rPr>
                <w:sz w:val="17"/>
                <w:szCs w:val="17"/>
                <w:color w:val="auto"/>
              </w:rPr>
            </w:pPr>
          </w:p>
        </w:tc>
        <w:tc>
          <w:tcPr>
            <w:tcW w:w="1280" w:type="dxa"/>
            <w:vAlign w:val="bottom"/>
            <w:gridSpan w:val="2"/>
          </w:tcPr>
          <w:p>
            <w:pPr>
              <w:jc w:val="right"/>
              <w:ind w:right="36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32,599</w:t>
            </w:r>
          </w:p>
        </w:tc>
        <w:tc>
          <w:tcPr>
            <w:tcW w:w="0" w:type="dxa"/>
            <w:vAlign w:val="bottom"/>
          </w:tcPr>
          <w:p>
            <w:pPr>
              <w:spacing w:after="0"/>
              <w:rPr>
                <w:sz w:val="1"/>
                <w:szCs w:val="1"/>
                <w:color w:val="auto"/>
              </w:rPr>
            </w:pPr>
          </w:p>
        </w:tc>
      </w:tr>
      <w:tr>
        <w:trPr>
          <w:trHeight w:val="207"/>
        </w:trPr>
        <w:tc>
          <w:tcPr>
            <w:tcW w:w="5240" w:type="dxa"/>
            <w:vAlign w:val="bottom"/>
          </w:tcPr>
          <w:p>
            <w:pPr>
              <w:spacing w:after="0"/>
              <w:rPr>
                <w:sz w:val="20"/>
                <w:szCs w:val="20"/>
                <w:color w:val="auto"/>
              </w:rPr>
            </w:pPr>
            <w:r>
              <w:rPr>
                <w:rFonts w:ascii="Arial" w:cs="Arial" w:eastAsia="Arial" w:hAnsi="Arial"/>
                <w:sz w:val="15"/>
                <w:szCs w:val="15"/>
                <w:color w:val="auto"/>
              </w:rPr>
              <w:t>Assets of consolidated funds</w:t>
            </w:r>
          </w:p>
        </w:tc>
        <w:tc>
          <w:tcPr>
            <w:tcW w:w="200" w:type="dxa"/>
            <w:vAlign w:val="bottom"/>
          </w:tcPr>
          <w:p>
            <w:pPr>
              <w:spacing w:after="0"/>
              <w:rPr>
                <w:sz w:val="18"/>
                <w:szCs w:val="18"/>
                <w:color w:val="auto"/>
              </w:rPr>
            </w:pPr>
          </w:p>
        </w:tc>
        <w:tc>
          <w:tcPr>
            <w:tcW w:w="1360" w:type="dxa"/>
            <w:vAlign w:val="bottom"/>
            <w:gridSpan w:val="2"/>
          </w:tcPr>
          <w:p>
            <w:pPr>
              <w:jc w:val="right"/>
              <w:ind w:right="360"/>
              <w:spacing w:after="0"/>
              <w:rPr>
                <w:sz w:val="20"/>
                <w:szCs w:val="20"/>
                <w:color w:val="auto"/>
              </w:rPr>
            </w:pPr>
            <w:r>
              <w:rPr>
                <w:rFonts w:ascii="Arial" w:cs="Arial" w:eastAsia="Arial" w:hAnsi="Arial"/>
                <w:sz w:val="15"/>
                <w:szCs w:val="15"/>
                <w:color w:val="auto"/>
              </w:rPr>
              <w:t>—</w:t>
            </w: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5,330,174</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gridSpan w:val="2"/>
          </w:tcPr>
          <w:p>
            <w:pPr>
              <w:jc w:val="right"/>
              <w:ind w:right="36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5,330,174</w:t>
            </w:r>
          </w:p>
        </w:tc>
        <w:tc>
          <w:tcPr>
            <w:tcW w:w="0" w:type="dxa"/>
            <w:vAlign w:val="bottom"/>
          </w:tcPr>
          <w:p>
            <w:pPr>
              <w:spacing w:after="0"/>
              <w:rPr>
                <w:sz w:val="1"/>
                <w:szCs w:val="1"/>
                <w:color w:val="auto"/>
              </w:rPr>
            </w:pPr>
          </w:p>
        </w:tc>
      </w:tr>
      <w:tr>
        <w:trPr>
          <w:trHeight w:val="200"/>
        </w:trPr>
        <w:tc>
          <w:tcPr>
            <w:tcW w:w="5240" w:type="dxa"/>
            <w:vAlign w:val="bottom"/>
          </w:tcPr>
          <w:p>
            <w:pPr>
              <w:ind w:left="300"/>
              <w:spacing w:after="0"/>
              <w:rPr>
                <w:sz w:val="20"/>
                <w:szCs w:val="20"/>
                <w:color w:val="auto"/>
              </w:rPr>
            </w:pPr>
            <w:r>
              <w:rPr>
                <w:rFonts w:ascii="Arial" w:cs="Arial" w:eastAsia="Arial" w:hAnsi="Arial"/>
                <w:sz w:val="15"/>
                <w:szCs w:val="15"/>
                <w:color w:val="auto"/>
              </w:rPr>
              <w:t>Total assets</w:t>
            </w:r>
          </w:p>
        </w:tc>
        <w:tc>
          <w:tcPr>
            <w:tcW w:w="20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5"/>
                <w:szCs w:val="15"/>
                <w:color w:val="auto"/>
                <w:w w:val="95"/>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2,264,776</w:t>
            </w:r>
          </w:p>
        </w:tc>
        <w:tc>
          <w:tcPr>
            <w:tcW w:w="300" w:type="dxa"/>
            <w:vAlign w:val="bottom"/>
          </w:tcPr>
          <w:p>
            <w:pPr>
              <w:spacing w:after="0"/>
              <w:rPr>
                <w:sz w:val="17"/>
                <w:szCs w:val="17"/>
                <w:color w:val="auto"/>
              </w:rPr>
            </w:pPr>
          </w:p>
        </w:tc>
        <w:tc>
          <w:tcPr>
            <w:tcW w:w="300" w:type="dxa"/>
            <w:vAlign w:val="bottom"/>
            <w:tcBorders>
              <w:top w:val="single" w:sz="8" w:color="auto"/>
              <w:bottom w:val="single" w:sz="8" w:color="auto"/>
            </w:tcBorders>
          </w:tcPr>
          <w:p>
            <w:pPr>
              <w:jc w:val="right"/>
              <w:ind w:right="126"/>
              <w:spacing w:after="0"/>
              <w:rPr>
                <w:sz w:val="20"/>
                <w:szCs w:val="20"/>
                <w:color w:val="auto"/>
              </w:rPr>
            </w:pPr>
            <w:r>
              <w:rPr>
                <w:rFonts w:ascii="Arial" w:cs="Arial" w:eastAsia="Arial" w:hAnsi="Arial"/>
                <w:sz w:val="15"/>
                <w:szCs w:val="15"/>
                <w:color w:val="auto"/>
                <w:w w:val="95"/>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5,330,174</w:t>
            </w:r>
          </w:p>
        </w:tc>
        <w:tc>
          <w:tcPr>
            <w:tcW w:w="300" w:type="dxa"/>
            <w:vAlign w:val="bottom"/>
          </w:tcPr>
          <w:p>
            <w:pPr>
              <w:spacing w:after="0"/>
              <w:rPr>
                <w:sz w:val="17"/>
                <w:szCs w:val="17"/>
                <w:color w:val="auto"/>
              </w:rPr>
            </w:pPr>
          </w:p>
        </w:tc>
        <w:tc>
          <w:tcPr>
            <w:tcW w:w="280" w:type="dxa"/>
            <w:vAlign w:val="bottom"/>
            <w:tcBorders>
              <w:top w:val="single" w:sz="8" w:color="auto"/>
              <w:bottom w:val="single" w:sz="8" w:color="auto"/>
            </w:tcBorders>
          </w:tcPr>
          <w:p>
            <w:pPr>
              <w:jc w:val="right"/>
              <w:ind w:right="103"/>
              <w:spacing w:after="0"/>
              <w:rPr>
                <w:sz w:val="20"/>
                <w:szCs w:val="20"/>
                <w:color w:val="auto"/>
              </w:rPr>
            </w:pPr>
            <w:r>
              <w:rPr>
                <w:rFonts w:ascii="Arial" w:cs="Arial" w:eastAsia="Arial" w:hAnsi="Arial"/>
                <w:sz w:val="15"/>
                <w:szCs w:val="15"/>
                <w:color w:val="auto"/>
                <w:w w:val="95"/>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(794,638)</w:t>
            </w:r>
          </w:p>
        </w:tc>
        <w:tc>
          <w:tcPr>
            <w:tcW w:w="3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5"/>
                <w:szCs w:val="15"/>
                <w:color w:val="auto"/>
                <w:w w:val="95"/>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6,800,312</w:t>
            </w:r>
          </w:p>
        </w:tc>
        <w:tc>
          <w:tcPr>
            <w:tcW w:w="0" w:type="dxa"/>
            <w:vAlign w:val="bottom"/>
          </w:tcPr>
          <w:p>
            <w:pPr>
              <w:spacing w:after="0"/>
              <w:rPr>
                <w:sz w:val="1"/>
                <w:szCs w:val="1"/>
                <w:color w:val="auto"/>
              </w:rPr>
            </w:pPr>
          </w:p>
        </w:tc>
      </w:tr>
      <w:tr>
        <w:trPr>
          <w:trHeight w:val="20"/>
        </w:trPr>
        <w:tc>
          <w:tcPr>
            <w:tcW w:w="5240" w:type="dxa"/>
            <w:vAlign w:val="bottom"/>
            <w:vMerge w:val="restart"/>
          </w:tcPr>
          <w:p>
            <w:pPr>
              <w:spacing w:after="0"/>
              <w:rPr>
                <w:sz w:val="20"/>
                <w:szCs w:val="20"/>
                <w:color w:val="auto"/>
              </w:rPr>
            </w:pPr>
            <w:r>
              <w:rPr>
                <w:rFonts w:ascii="Arial" w:cs="Arial" w:eastAsia="Arial" w:hAnsi="Arial"/>
                <w:sz w:val="15"/>
                <w:szCs w:val="15"/>
                <w:b w:val="1"/>
                <w:bCs w:val="1"/>
                <w:color w:val="auto"/>
              </w:rPr>
              <w:t>Liabilities and Capital:</w:t>
            </w: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524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5240" w:type="dxa"/>
            <w:vAlign w:val="bottom"/>
          </w:tcPr>
          <w:p>
            <w:pPr>
              <w:spacing w:after="0"/>
              <w:rPr>
                <w:sz w:val="20"/>
                <w:szCs w:val="20"/>
                <w:color w:val="auto"/>
              </w:rPr>
            </w:pPr>
            <w:r>
              <w:rPr>
                <w:rFonts w:ascii="Arial" w:cs="Arial" w:eastAsia="Arial" w:hAnsi="Arial"/>
                <w:sz w:val="15"/>
                <w:szCs w:val="15"/>
                <w:color w:val="auto"/>
              </w:rPr>
              <w:t>Liabilities:</w:t>
            </w: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240" w:type="dxa"/>
            <w:vAlign w:val="bottom"/>
          </w:tcPr>
          <w:p>
            <w:pPr>
              <w:ind w:left="300"/>
              <w:spacing w:after="0"/>
              <w:rPr>
                <w:sz w:val="20"/>
                <w:szCs w:val="20"/>
                <w:color w:val="auto"/>
              </w:rPr>
            </w:pPr>
            <w:r>
              <w:rPr>
                <w:rFonts w:ascii="Arial" w:cs="Arial" w:eastAsia="Arial" w:hAnsi="Arial"/>
                <w:sz w:val="15"/>
                <w:szCs w:val="15"/>
                <w:color w:val="auto"/>
              </w:rPr>
              <w:t>Accounts payable and accrued expenses</w:t>
            </w:r>
          </w:p>
        </w:tc>
        <w:tc>
          <w:tcPr>
            <w:tcW w:w="200" w:type="dxa"/>
            <w:vAlign w:val="bottom"/>
          </w:tcPr>
          <w:p>
            <w:pPr>
              <w:jc w:val="right"/>
              <w:ind w:right="23"/>
              <w:spacing w:after="0"/>
              <w:rPr>
                <w:sz w:val="20"/>
                <w:szCs w:val="20"/>
                <w:color w:val="auto"/>
              </w:rPr>
            </w:pPr>
            <w:r>
              <w:rPr>
                <w:rFonts w:ascii="Arial" w:cs="Arial" w:eastAsia="Arial" w:hAnsi="Arial"/>
                <w:sz w:val="15"/>
                <w:szCs w:val="15"/>
                <w:color w:val="auto"/>
                <w:w w:val="95"/>
              </w:rPr>
              <w:t>$</w:t>
            </w:r>
          </w:p>
        </w:tc>
        <w:tc>
          <w:tcPr>
            <w:tcW w:w="1060" w:type="dxa"/>
            <w:vAlign w:val="bottom"/>
          </w:tcPr>
          <w:p>
            <w:pPr>
              <w:jc w:val="right"/>
              <w:spacing w:after="0"/>
              <w:rPr>
                <w:sz w:val="20"/>
                <w:szCs w:val="20"/>
                <w:color w:val="auto"/>
              </w:rPr>
            </w:pPr>
            <w:r>
              <w:rPr>
                <w:rFonts w:ascii="Arial" w:cs="Arial" w:eastAsia="Arial" w:hAnsi="Arial"/>
                <w:sz w:val="15"/>
                <w:szCs w:val="15"/>
                <w:color w:val="auto"/>
              </w:rPr>
              <w:t>554</w:t>
            </w:r>
          </w:p>
        </w:tc>
        <w:tc>
          <w:tcPr>
            <w:tcW w:w="300" w:type="dxa"/>
            <w:vAlign w:val="bottom"/>
          </w:tcPr>
          <w:p>
            <w:pPr>
              <w:spacing w:after="0"/>
              <w:rPr>
                <w:sz w:val="17"/>
                <w:szCs w:val="17"/>
                <w:color w:val="auto"/>
              </w:rPr>
            </w:pPr>
          </w:p>
        </w:tc>
        <w:tc>
          <w:tcPr>
            <w:tcW w:w="300" w:type="dxa"/>
            <w:vAlign w:val="bottom"/>
          </w:tcPr>
          <w:p>
            <w:pPr>
              <w:jc w:val="right"/>
              <w:ind w:right="126"/>
              <w:spacing w:after="0"/>
              <w:rPr>
                <w:sz w:val="20"/>
                <w:szCs w:val="20"/>
                <w:color w:val="auto"/>
              </w:rPr>
            </w:pPr>
            <w:r>
              <w:rPr>
                <w:rFonts w:ascii="Arial" w:cs="Arial" w:eastAsia="Arial" w:hAnsi="Arial"/>
                <w:sz w:val="15"/>
                <w:szCs w:val="15"/>
                <w:color w:val="auto"/>
                <w:w w:val="95"/>
              </w:rPr>
              <w:t>$</w:t>
            </w:r>
          </w:p>
        </w:tc>
        <w:tc>
          <w:tcPr>
            <w:tcW w:w="1260" w:type="dxa"/>
            <w:vAlign w:val="bottom"/>
            <w:gridSpan w:val="2"/>
          </w:tcPr>
          <w:p>
            <w:pPr>
              <w:jc w:val="right"/>
              <w:ind w:right="360"/>
              <w:spacing w:after="0"/>
              <w:rPr>
                <w:sz w:val="20"/>
                <w:szCs w:val="20"/>
                <w:color w:val="auto"/>
              </w:rPr>
            </w:pPr>
            <w:r>
              <w:rPr>
                <w:rFonts w:ascii="Arial" w:cs="Arial" w:eastAsia="Arial" w:hAnsi="Arial"/>
                <w:sz w:val="15"/>
                <w:szCs w:val="15"/>
                <w:color w:val="auto"/>
              </w:rPr>
              <w:t>—</w:t>
            </w:r>
          </w:p>
        </w:tc>
        <w:tc>
          <w:tcPr>
            <w:tcW w:w="280" w:type="dxa"/>
            <w:vAlign w:val="bottom"/>
          </w:tcPr>
          <w:p>
            <w:pPr>
              <w:jc w:val="right"/>
              <w:ind w:right="103"/>
              <w:spacing w:after="0"/>
              <w:rPr>
                <w:sz w:val="20"/>
                <w:szCs w:val="20"/>
                <w:color w:val="auto"/>
              </w:rPr>
            </w:pPr>
            <w:r>
              <w:rPr>
                <w:rFonts w:ascii="Arial" w:cs="Arial" w:eastAsia="Arial" w:hAnsi="Arial"/>
                <w:sz w:val="15"/>
                <w:szCs w:val="15"/>
                <w:color w:val="auto"/>
                <w:w w:val="95"/>
              </w:rPr>
              <w:t>$</w:t>
            </w:r>
          </w:p>
        </w:tc>
        <w:tc>
          <w:tcPr>
            <w:tcW w:w="1280" w:type="dxa"/>
            <w:vAlign w:val="bottom"/>
            <w:gridSpan w:val="2"/>
          </w:tcPr>
          <w:p>
            <w:pPr>
              <w:jc w:val="right"/>
              <w:ind w:right="360"/>
              <w:spacing w:after="0"/>
              <w:rPr>
                <w:sz w:val="20"/>
                <w:szCs w:val="20"/>
                <w:color w:val="auto"/>
              </w:rPr>
            </w:pPr>
            <w:r>
              <w:rPr>
                <w:rFonts w:ascii="Arial" w:cs="Arial" w:eastAsia="Arial" w:hAnsi="Arial"/>
                <w:sz w:val="15"/>
                <w:szCs w:val="15"/>
                <w:color w:val="auto"/>
              </w:rPr>
              <w:t>—</w:t>
            </w:r>
          </w:p>
        </w:tc>
        <w:tc>
          <w:tcPr>
            <w:tcW w:w="180" w:type="dxa"/>
            <w:vAlign w:val="bottom"/>
          </w:tcPr>
          <w:p>
            <w:pPr>
              <w:jc w:val="right"/>
              <w:ind w:right="3"/>
              <w:spacing w:after="0"/>
              <w:rPr>
                <w:sz w:val="20"/>
                <w:szCs w:val="20"/>
                <w:color w:val="auto"/>
              </w:rPr>
            </w:pPr>
            <w:r>
              <w:rPr>
                <w:rFonts w:ascii="Arial" w:cs="Arial" w:eastAsia="Arial" w:hAnsi="Arial"/>
                <w:sz w:val="15"/>
                <w:szCs w:val="15"/>
                <w:color w:val="auto"/>
                <w:w w:val="95"/>
              </w:rPr>
              <w:t>$</w:t>
            </w:r>
          </w:p>
        </w:tc>
        <w:tc>
          <w:tcPr>
            <w:tcW w:w="1080" w:type="dxa"/>
            <w:vAlign w:val="bottom"/>
          </w:tcPr>
          <w:p>
            <w:pPr>
              <w:jc w:val="right"/>
              <w:spacing w:after="0"/>
              <w:rPr>
                <w:sz w:val="20"/>
                <w:szCs w:val="20"/>
                <w:color w:val="auto"/>
              </w:rPr>
            </w:pPr>
            <w:r>
              <w:rPr>
                <w:rFonts w:ascii="Arial" w:cs="Arial" w:eastAsia="Arial" w:hAnsi="Arial"/>
                <w:sz w:val="15"/>
                <w:szCs w:val="15"/>
                <w:color w:val="auto"/>
              </w:rPr>
              <w:t>554</w:t>
            </w:r>
          </w:p>
        </w:tc>
        <w:tc>
          <w:tcPr>
            <w:tcW w:w="0" w:type="dxa"/>
            <w:vAlign w:val="bottom"/>
          </w:tcPr>
          <w:p>
            <w:pPr>
              <w:spacing w:after="0"/>
              <w:rPr>
                <w:sz w:val="1"/>
                <w:szCs w:val="1"/>
                <w:color w:val="auto"/>
              </w:rPr>
            </w:pPr>
          </w:p>
        </w:tc>
      </w:tr>
      <w:tr>
        <w:trPr>
          <w:trHeight w:val="206"/>
        </w:trPr>
        <w:tc>
          <w:tcPr>
            <w:tcW w:w="5240" w:type="dxa"/>
            <w:vAlign w:val="bottom"/>
          </w:tcPr>
          <w:p>
            <w:pPr>
              <w:ind w:left="300"/>
              <w:spacing w:after="0"/>
              <w:rPr>
                <w:sz w:val="20"/>
                <w:szCs w:val="20"/>
                <w:color w:val="auto"/>
              </w:rPr>
            </w:pPr>
            <w:r>
              <w:rPr>
                <w:rFonts w:ascii="Arial" w:cs="Arial" w:eastAsia="Arial" w:hAnsi="Arial"/>
                <w:sz w:val="15"/>
                <w:szCs w:val="15"/>
                <w:color w:val="auto"/>
              </w:rPr>
              <w:t>Liabilities of consolidated funds</w:t>
            </w:r>
          </w:p>
        </w:tc>
        <w:tc>
          <w:tcPr>
            <w:tcW w:w="2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3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1,463,925</w:t>
            </w:r>
          </w:p>
        </w:tc>
        <w:tc>
          <w:tcPr>
            <w:tcW w:w="3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3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1,463,925</w:t>
            </w:r>
          </w:p>
        </w:tc>
        <w:tc>
          <w:tcPr>
            <w:tcW w:w="0" w:type="dxa"/>
            <w:vAlign w:val="bottom"/>
          </w:tcPr>
          <w:p>
            <w:pPr>
              <w:spacing w:after="0"/>
              <w:rPr>
                <w:sz w:val="1"/>
                <w:szCs w:val="1"/>
                <w:color w:val="auto"/>
              </w:rPr>
            </w:pPr>
          </w:p>
        </w:tc>
      </w:tr>
      <w:tr>
        <w:trPr>
          <w:trHeight w:val="199"/>
        </w:trPr>
        <w:tc>
          <w:tcPr>
            <w:tcW w:w="5240" w:type="dxa"/>
            <w:vAlign w:val="bottom"/>
          </w:tcPr>
          <w:p>
            <w:pPr>
              <w:ind w:left="620"/>
              <w:spacing w:after="0"/>
              <w:rPr>
                <w:sz w:val="20"/>
                <w:szCs w:val="20"/>
                <w:color w:val="auto"/>
              </w:rPr>
            </w:pPr>
            <w:r>
              <w:rPr>
                <w:rFonts w:ascii="Arial" w:cs="Arial" w:eastAsia="Arial" w:hAnsi="Arial"/>
                <w:sz w:val="15"/>
                <w:szCs w:val="15"/>
                <w:color w:val="auto"/>
              </w:rPr>
              <w:t>Total liabilities</w:t>
            </w:r>
          </w:p>
        </w:tc>
        <w:tc>
          <w:tcPr>
            <w:tcW w:w="2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554</w:t>
            </w:r>
          </w:p>
        </w:tc>
        <w:tc>
          <w:tcPr>
            <w:tcW w:w="3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1,463,925</w:t>
            </w:r>
          </w:p>
        </w:tc>
        <w:tc>
          <w:tcPr>
            <w:tcW w:w="3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3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1,464,479</w:t>
            </w:r>
          </w:p>
        </w:tc>
        <w:tc>
          <w:tcPr>
            <w:tcW w:w="0" w:type="dxa"/>
            <w:vAlign w:val="bottom"/>
          </w:tcPr>
          <w:p>
            <w:pPr>
              <w:spacing w:after="0"/>
              <w:rPr>
                <w:sz w:val="1"/>
                <w:szCs w:val="1"/>
                <w:color w:val="auto"/>
              </w:rPr>
            </w:pPr>
          </w:p>
        </w:tc>
      </w:tr>
      <w:tr>
        <w:trPr>
          <w:trHeight w:val="199"/>
        </w:trPr>
        <w:tc>
          <w:tcPr>
            <w:tcW w:w="5240" w:type="dxa"/>
            <w:vAlign w:val="bottom"/>
          </w:tcPr>
          <w:p>
            <w:pPr>
              <w:spacing w:after="0"/>
              <w:rPr>
                <w:sz w:val="20"/>
                <w:szCs w:val="20"/>
                <w:color w:val="auto"/>
              </w:rPr>
            </w:pPr>
            <w:r>
              <w:rPr>
                <w:rFonts w:ascii="Arial" w:cs="Arial" w:eastAsia="Arial" w:hAnsi="Arial"/>
                <w:sz w:val="15"/>
                <w:szCs w:val="15"/>
                <w:color w:val="auto"/>
              </w:rPr>
              <w:t>Non-controlling redeemable interests in consolidated funds</w:t>
            </w:r>
          </w:p>
        </w:tc>
        <w:tc>
          <w:tcPr>
            <w:tcW w:w="200" w:type="dxa"/>
            <w:vAlign w:val="bottom"/>
          </w:tcPr>
          <w:p>
            <w:pPr>
              <w:spacing w:after="0"/>
              <w:rPr>
                <w:sz w:val="17"/>
                <w:szCs w:val="17"/>
                <w:color w:val="auto"/>
              </w:rPr>
            </w:pPr>
          </w:p>
        </w:tc>
        <w:tc>
          <w:tcPr>
            <w:tcW w:w="1360" w:type="dxa"/>
            <w:vAlign w:val="bottom"/>
            <w:gridSpan w:val="2"/>
          </w:tcPr>
          <w:p>
            <w:pPr>
              <w:jc w:val="right"/>
              <w:ind w:right="360"/>
              <w:spacing w:after="0"/>
              <w:rPr>
                <w:sz w:val="20"/>
                <w:szCs w:val="20"/>
                <w:color w:val="auto"/>
              </w:rPr>
            </w:pPr>
            <w:r>
              <w:rPr>
                <w:rFonts w:ascii="Arial" w:cs="Arial" w:eastAsia="Arial" w:hAnsi="Arial"/>
                <w:sz w:val="15"/>
                <w:szCs w:val="15"/>
                <w:color w:val="auto"/>
              </w:rPr>
              <w:t>—</w:t>
            </w:r>
          </w:p>
        </w:tc>
        <w:tc>
          <w:tcPr>
            <w:tcW w:w="300" w:type="dxa"/>
            <w:vAlign w:val="bottom"/>
          </w:tcPr>
          <w:p>
            <w:pPr>
              <w:spacing w:after="0"/>
              <w:rPr>
                <w:sz w:val="17"/>
                <w:szCs w:val="17"/>
                <w:color w:val="auto"/>
              </w:rPr>
            </w:pPr>
          </w:p>
        </w:tc>
        <w:tc>
          <w:tcPr>
            <w:tcW w:w="1260" w:type="dxa"/>
            <w:vAlign w:val="bottom"/>
            <w:gridSpan w:val="2"/>
          </w:tcPr>
          <w:p>
            <w:pPr>
              <w:jc w:val="right"/>
              <w:ind w:right="360"/>
              <w:spacing w:after="0"/>
              <w:rPr>
                <w:sz w:val="20"/>
                <w:szCs w:val="20"/>
                <w:color w:val="auto"/>
              </w:rPr>
            </w:pPr>
            <w:r>
              <w:rPr>
                <w:rFonts w:ascii="Arial" w:cs="Arial" w:eastAsia="Arial" w:hAnsi="Arial"/>
                <w:sz w:val="15"/>
                <w:szCs w:val="15"/>
                <w:color w:val="auto"/>
              </w:rPr>
              <w:t>—</w:t>
            </w: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3,071,611</w:t>
            </w: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3,071,611</w:t>
            </w:r>
          </w:p>
        </w:tc>
        <w:tc>
          <w:tcPr>
            <w:tcW w:w="0" w:type="dxa"/>
            <w:vAlign w:val="bottom"/>
          </w:tcPr>
          <w:p>
            <w:pPr>
              <w:spacing w:after="0"/>
              <w:rPr>
                <w:sz w:val="1"/>
                <w:szCs w:val="1"/>
                <w:color w:val="auto"/>
              </w:rPr>
            </w:pPr>
          </w:p>
        </w:tc>
      </w:tr>
      <w:tr>
        <w:trPr>
          <w:trHeight w:val="206"/>
        </w:trPr>
        <w:tc>
          <w:tcPr>
            <w:tcW w:w="5240" w:type="dxa"/>
            <w:vAlign w:val="bottom"/>
          </w:tcPr>
          <w:p>
            <w:pPr>
              <w:spacing w:after="0"/>
              <w:rPr>
                <w:sz w:val="20"/>
                <w:szCs w:val="20"/>
                <w:color w:val="auto"/>
              </w:rPr>
            </w:pPr>
            <w:r>
              <w:rPr>
                <w:rFonts w:ascii="Arial" w:cs="Arial" w:eastAsia="Arial" w:hAnsi="Arial"/>
                <w:sz w:val="15"/>
                <w:szCs w:val="15"/>
                <w:color w:val="auto"/>
              </w:rPr>
              <w:t>Capital:</w:t>
            </w: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240" w:type="dxa"/>
            <w:vAlign w:val="bottom"/>
          </w:tcPr>
          <w:p>
            <w:pPr>
              <w:ind w:left="300"/>
              <w:spacing w:after="0"/>
              <w:rPr>
                <w:sz w:val="20"/>
                <w:szCs w:val="20"/>
                <w:color w:val="auto"/>
              </w:rPr>
            </w:pPr>
            <w:r>
              <w:rPr>
                <w:rFonts w:ascii="Arial" w:cs="Arial" w:eastAsia="Arial" w:hAnsi="Arial"/>
                <w:sz w:val="15"/>
                <w:szCs w:val="15"/>
                <w:color w:val="auto"/>
              </w:rPr>
              <w:t>Capital attributable to BOH preferred unitholders</w:t>
            </w:r>
          </w:p>
        </w:tc>
        <w:tc>
          <w:tcPr>
            <w:tcW w:w="2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400,584</w:t>
            </w: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60" w:type="dxa"/>
            <w:vAlign w:val="bottom"/>
            <w:gridSpan w:val="2"/>
          </w:tcPr>
          <w:p>
            <w:pPr>
              <w:jc w:val="right"/>
              <w:ind w:right="360"/>
              <w:spacing w:after="0"/>
              <w:rPr>
                <w:sz w:val="20"/>
                <w:szCs w:val="20"/>
                <w:color w:val="auto"/>
              </w:rPr>
            </w:pPr>
            <w:r>
              <w:rPr>
                <w:rFonts w:ascii="Arial" w:cs="Arial" w:eastAsia="Arial" w:hAnsi="Arial"/>
                <w:sz w:val="15"/>
                <w:szCs w:val="15"/>
                <w:color w:val="auto"/>
              </w:rPr>
              <w:t>—</w:t>
            </w:r>
          </w:p>
        </w:tc>
        <w:tc>
          <w:tcPr>
            <w:tcW w:w="280" w:type="dxa"/>
            <w:vAlign w:val="bottom"/>
          </w:tcPr>
          <w:p>
            <w:pPr>
              <w:spacing w:after="0"/>
              <w:rPr>
                <w:sz w:val="17"/>
                <w:szCs w:val="17"/>
                <w:color w:val="auto"/>
              </w:rPr>
            </w:pPr>
          </w:p>
        </w:tc>
        <w:tc>
          <w:tcPr>
            <w:tcW w:w="1280" w:type="dxa"/>
            <w:vAlign w:val="bottom"/>
            <w:gridSpan w:val="2"/>
          </w:tcPr>
          <w:p>
            <w:pPr>
              <w:jc w:val="right"/>
              <w:ind w:right="36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400,584</w:t>
            </w:r>
          </w:p>
        </w:tc>
        <w:tc>
          <w:tcPr>
            <w:tcW w:w="0" w:type="dxa"/>
            <w:vAlign w:val="bottom"/>
          </w:tcPr>
          <w:p>
            <w:pPr>
              <w:spacing w:after="0"/>
              <w:rPr>
                <w:sz w:val="1"/>
                <w:szCs w:val="1"/>
                <w:color w:val="auto"/>
              </w:rPr>
            </w:pPr>
          </w:p>
        </w:tc>
      </w:tr>
      <w:tr>
        <w:trPr>
          <w:trHeight w:val="206"/>
        </w:trPr>
        <w:tc>
          <w:tcPr>
            <w:tcW w:w="5240" w:type="dxa"/>
            <w:vAlign w:val="bottom"/>
          </w:tcPr>
          <w:p>
            <w:pPr>
              <w:ind w:left="300"/>
              <w:spacing w:after="0"/>
              <w:rPr>
                <w:sz w:val="20"/>
                <w:szCs w:val="20"/>
                <w:color w:val="auto"/>
              </w:rPr>
            </w:pPr>
            <w:r>
              <w:rPr>
                <w:rFonts w:ascii="Arial" w:cs="Arial" w:eastAsia="Arial" w:hAnsi="Arial"/>
                <w:sz w:val="15"/>
                <w:szCs w:val="15"/>
                <w:color w:val="auto"/>
              </w:rPr>
              <w:t>Capital attributable to BOH Class A unitholders</w:t>
            </w:r>
          </w:p>
        </w:tc>
        <w:tc>
          <w:tcPr>
            <w:tcW w:w="2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1,854,246</w:t>
            </w: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588,032</w:t>
            </w: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(588,032)</w:t>
            </w: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1,854,246</w:t>
            </w:r>
          </w:p>
        </w:tc>
        <w:tc>
          <w:tcPr>
            <w:tcW w:w="0" w:type="dxa"/>
            <w:vAlign w:val="bottom"/>
          </w:tcPr>
          <w:p>
            <w:pPr>
              <w:spacing w:after="0"/>
              <w:rPr>
                <w:sz w:val="1"/>
                <w:szCs w:val="1"/>
                <w:color w:val="auto"/>
              </w:rPr>
            </w:pPr>
          </w:p>
        </w:tc>
      </w:tr>
      <w:tr>
        <w:trPr>
          <w:trHeight w:val="206"/>
        </w:trPr>
        <w:tc>
          <w:tcPr>
            <w:tcW w:w="5240" w:type="dxa"/>
            <w:vAlign w:val="bottom"/>
          </w:tcPr>
          <w:p>
            <w:pPr>
              <w:ind w:left="300"/>
              <w:spacing w:after="0"/>
              <w:rPr>
                <w:sz w:val="20"/>
                <w:szCs w:val="20"/>
                <w:color w:val="auto"/>
              </w:rPr>
            </w:pPr>
            <w:r>
              <w:rPr>
                <w:rFonts w:ascii="Arial" w:cs="Arial" w:eastAsia="Arial" w:hAnsi="Arial"/>
                <w:sz w:val="15"/>
                <w:szCs w:val="15"/>
                <w:color w:val="auto"/>
              </w:rPr>
              <w:t>Non-controlling interest in consolidated subsidiaries</w:t>
            </w:r>
          </w:p>
        </w:tc>
        <w:tc>
          <w:tcPr>
            <w:tcW w:w="2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9,392</w:t>
            </w: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206,606</w:t>
            </w: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(206,606)</w:t>
            </w: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9,392</w:t>
            </w:r>
          </w:p>
        </w:tc>
        <w:tc>
          <w:tcPr>
            <w:tcW w:w="0" w:type="dxa"/>
            <w:vAlign w:val="bottom"/>
          </w:tcPr>
          <w:p>
            <w:pPr>
              <w:spacing w:after="0"/>
              <w:rPr>
                <w:sz w:val="1"/>
                <w:szCs w:val="1"/>
                <w:color w:val="auto"/>
              </w:rPr>
            </w:pPr>
          </w:p>
        </w:tc>
      </w:tr>
      <w:tr>
        <w:trPr>
          <w:trHeight w:val="206"/>
        </w:trPr>
        <w:tc>
          <w:tcPr>
            <w:tcW w:w="5240" w:type="dxa"/>
            <w:vAlign w:val="bottom"/>
          </w:tcPr>
          <w:p>
            <w:pPr>
              <w:ind w:left="300"/>
              <w:spacing w:after="0"/>
              <w:rPr>
                <w:sz w:val="20"/>
                <w:szCs w:val="20"/>
                <w:color w:val="auto"/>
              </w:rPr>
            </w:pPr>
            <w:r>
              <w:rPr>
                <w:rFonts w:ascii="Arial" w:cs="Arial" w:eastAsia="Arial" w:hAnsi="Arial"/>
                <w:sz w:val="15"/>
                <w:szCs w:val="15"/>
                <w:color w:val="auto"/>
              </w:rPr>
              <w:t>Non-controlling interest in consolidated funds</w:t>
            </w:r>
          </w:p>
        </w:tc>
        <w:tc>
          <w:tcPr>
            <w:tcW w:w="200" w:type="dxa"/>
            <w:vAlign w:val="bottom"/>
          </w:tcPr>
          <w:p>
            <w:pPr>
              <w:spacing w:after="0"/>
              <w:rPr>
                <w:sz w:val="17"/>
                <w:szCs w:val="17"/>
                <w:color w:val="auto"/>
              </w:rPr>
            </w:pPr>
          </w:p>
        </w:tc>
        <w:tc>
          <w:tcPr>
            <w:tcW w:w="1360" w:type="dxa"/>
            <w:vAlign w:val="bottom"/>
            <w:gridSpan w:val="2"/>
          </w:tcPr>
          <w:p>
            <w:pPr>
              <w:jc w:val="right"/>
              <w:ind w:right="360"/>
              <w:spacing w:after="0"/>
              <w:rPr>
                <w:sz w:val="20"/>
                <w:szCs w:val="20"/>
                <w:color w:val="auto"/>
              </w:rPr>
            </w:pPr>
            <w:r>
              <w:rPr>
                <w:rFonts w:ascii="Arial" w:cs="Arial" w:eastAsia="Arial" w:hAnsi="Arial"/>
                <w:sz w:val="15"/>
                <w:szCs w:val="15"/>
                <w:color w:val="auto"/>
              </w:rPr>
              <w:t>—</w:t>
            </w:r>
          </w:p>
        </w:tc>
        <w:tc>
          <w:tcPr>
            <w:tcW w:w="3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3,071,611</w:t>
            </w: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(3,071,611)</w:t>
            </w: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0"/>
        </w:trPr>
        <w:tc>
          <w:tcPr>
            <w:tcW w:w="5240" w:type="dxa"/>
            <w:vAlign w:val="bottom"/>
          </w:tcPr>
          <w:p>
            <w:pPr>
              <w:ind w:left="620"/>
              <w:spacing w:after="0"/>
              <w:rPr>
                <w:sz w:val="20"/>
                <w:szCs w:val="20"/>
                <w:color w:val="auto"/>
              </w:rPr>
            </w:pPr>
            <w:r>
              <w:rPr>
                <w:rFonts w:ascii="Arial" w:cs="Arial" w:eastAsia="Arial" w:hAnsi="Arial"/>
                <w:sz w:val="15"/>
                <w:szCs w:val="15"/>
                <w:color w:val="auto"/>
              </w:rPr>
              <w:t>Total capital</w:t>
            </w:r>
          </w:p>
        </w:tc>
        <w:tc>
          <w:tcPr>
            <w:tcW w:w="20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2,264,222</w:t>
            </w:r>
          </w:p>
        </w:tc>
        <w:tc>
          <w:tcPr>
            <w:tcW w:w="300" w:type="dxa"/>
            <w:vAlign w:val="bottom"/>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3,866,249</w:t>
            </w:r>
          </w:p>
        </w:tc>
        <w:tc>
          <w:tcPr>
            <w:tcW w:w="300" w:type="dxa"/>
            <w:vAlign w:val="bottom"/>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(3,866,249)</w:t>
            </w:r>
          </w:p>
        </w:tc>
        <w:tc>
          <w:tcPr>
            <w:tcW w:w="300" w:type="dxa"/>
            <w:vAlign w:val="bottom"/>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2,264,222</w:t>
            </w:r>
          </w:p>
        </w:tc>
        <w:tc>
          <w:tcPr>
            <w:tcW w:w="0" w:type="dxa"/>
            <w:vAlign w:val="bottom"/>
          </w:tcPr>
          <w:p>
            <w:pPr>
              <w:spacing w:after="0"/>
              <w:rPr>
                <w:sz w:val="1"/>
                <w:szCs w:val="1"/>
                <w:color w:val="auto"/>
              </w:rPr>
            </w:pPr>
          </w:p>
        </w:tc>
      </w:tr>
      <w:tr>
        <w:trPr>
          <w:trHeight w:val="200"/>
        </w:trPr>
        <w:tc>
          <w:tcPr>
            <w:tcW w:w="5240" w:type="dxa"/>
            <w:vAlign w:val="bottom"/>
          </w:tcPr>
          <w:p>
            <w:pPr>
              <w:ind w:left="620"/>
              <w:spacing w:after="0"/>
              <w:rPr>
                <w:sz w:val="20"/>
                <w:szCs w:val="20"/>
                <w:color w:val="auto"/>
              </w:rPr>
            </w:pPr>
            <w:r>
              <w:rPr>
                <w:rFonts w:ascii="Arial" w:cs="Arial" w:eastAsia="Arial" w:hAnsi="Arial"/>
                <w:sz w:val="15"/>
                <w:szCs w:val="15"/>
                <w:color w:val="auto"/>
              </w:rPr>
              <w:t>Total liabilities and capital</w:t>
            </w:r>
          </w:p>
        </w:tc>
        <w:tc>
          <w:tcPr>
            <w:tcW w:w="20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w w:val="95"/>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2,264,776</w:t>
            </w:r>
          </w:p>
        </w:tc>
        <w:tc>
          <w:tcPr>
            <w:tcW w:w="300" w:type="dxa"/>
            <w:vAlign w:val="bottom"/>
          </w:tcPr>
          <w:p>
            <w:pPr>
              <w:spacing w:after="0"/>
              <w:rPr>
                <w:sz w:val="17"/>
                <w:szCs w:val="17"/>
                <w:color w:val="auto"/>
              </w:rPr>
            </w:pPr>
          </w:p>
        </w:tc>
        <w:tc>
          <w:tcPr>
            <w:tcW w:w="300" w:type="dxa"/>
            <w:vAlign w:val="bottom"/>
            <w:tcBorders>
              <w:bottom w:val="single" w:sz="8" w:color="auto"/>
            </w:tcBorders>
          </w:tcPr>
          <w:p>
            <w:pPr>
              <w:jc w:val="right"/>
              <w:ind w:right="126"/>
              <w:spacing w:after="0"/>
              <w:rPr>
                <w:sz w:val="20"/>
                <w:szCs w:val="20"/>
                <w:color w:val="auto"/>
              </w:rPr>
            </w:pPr>
            <w:r>
              <w:rPr>
                <w:rFonts w:ascii="Arial" w:cs="Arial" w:eastAsia="Arial" w:hAnsi="Arial"/>
                <w:sz w:val="15"/>
                <w:szCs w:val="15"/>
                <w:color w:val="auto"/>
                <w:w w:val="95"/>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5,330,174</w:t>
            </w:r>
          </w:p>
        </w:tc>
        <w:tc>
          <w:tcPr>
            <w:tcW w:w="300" w:type="dxa"/>
            <w:vAlign w:val="bottom"/>
          </w:tcPr>
          <w:p>
            <w:pPr>
              <w:spacing w:after="0"/>
              <w:rPr>
                <w:sz w:val="17"/>
                <w:szCs w:val="17"/>
                <w:color w:val="auto"/>
              </w:rPr>
            </w:pPr>
          </w:p>
        </w:tc>
        <w:tc>
          <w:tcPr>
            <w:tcW w:w="280" w:type="dxa"/>
            <w:vAlign w:val="bottom"/>
            <w:tcBorders>
              <w:bottom w:val="single" w:sz="8" w:color="auto"/>
            </w:tcBorders>
          </w:tcPr>
          <w:p>
            <w:pPr>
              <w:jc w:val="right"/>
              <w:ind w:right="103"/>
              <w:spacing w:after="0"/>
              <w:rPr>
                <w:sz w:val="20"/>
                <w:szCs w:val="20"/>
                <w:color w:val="auto"/>
              </w:rPr>
            </w:pPr>
            <w:r>
              <w:rPr>
                <w:rFonts w:ascii="Arial" w:cs="Arial" w:eastAsia="Arial" w:hAnsi="Arial"/>
                <w:sz w:val="15"/>
                <w:szCs w:val="15"/>
                <w:color w:val="auto"/>
                <w:w w:val="95"/>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(794,638)</w:t>
            </w:r>
          </w:p>
        </w:tc>
        <w:tc>
          <w:tcPr>
            <w:tcW w:w="300" w:type="dxa"/>
            <w:vAlign w:val="bottom"/>
          </w:tcPr>
          <w:p>
            <w:pPr>
              <w:spacing w:after="0"/>
              <w:rPr>
                <w:sz w:val="17"/>
                <w:szCs w:val="17"/>
                <w:color w:val="auto"/>
              </w:rPr>
            </w:pPr>
          </w:p>
        </w:tc>
        <w:tc>
          <w:tcPr>
            <w:tcW w:w="18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w w:val="95"/>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6,800,312</w:t>
            </w: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Corporate Investments</w:t>
      </w:r>
    </w:p>
    <w:p>
      <w:pPr>
        <w:spacing w:after="0" w:line="113" w:lineRule="exact"/>
        <w:rPr>
          <w:sz w:val="20"/>
          <w:szCs w:val="20"/>
          <w:color w:val="auto"/>
        </w:rPr>
      </w:pPr>
    </w:p>
    <w:tbl>
      <w:tblPr>
        <w:tblLayout w:type="fixed"/>
        <w:tblInd w:w="20" w:type="dxa"/>
        <w:tblCellMar>
          <w:top w:w="0" w:type="dxa"/>
          <w:left w:w="0" w:type="dxa"/>
          <w:bottom w:w="0" w:type="dxa"/>
          <w:right w:w="0" w:type="dxa"/>
        </w:tblCellMar>
      </w:tblPr>
      <w:tr>
        <w:trPr>
          <w:trHeight w:val="169"/>
        </w:trPr>
        <w:tc>
          <w:tcPr>
            <w:tcW w:w="83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3"/>
          </w:tcPr>
          <w:p>
            <w:pPr>
              <w:jc w:val="right"/>
              <w:spacing w:after="0"/>
              <w:rPr>
                <w:sz w:val="20"/>
                <w:szCs w:val="20"/>
                <w:color w:val="auto"/>
              </w:rPr>
            </w:pPr>
            <w:r>
              <w:rPr>
                <w:rFonts w:ascii="Arial" w:cs="Arial" w:eastAsia="Arial" w:hAnsi="Arial"/>
                <w:sz w:val="12"/>
                <w:szCs w:val="12"/>
                <w:b w:val="1"/>
                <w:bCs w:val="1"/>
                <w:color w:val="auto"/>
              </w:rPr>
              <w:t>As of December 31,</w:t>
            </w:r>
          </w:p>
        </w:tc>
        <w:tc>
          <w:tcPr>
            <w:tcW w:w="800" w:type="dxa"/>
            <w:vAlign w:val="bottom"/>
            <w:tcBorders>
              <w:bottom w:val="single" w:sz="8" w:color="auto"/>
            </w:tcBorders>
          </w:tcPr>
          <w:p>
            <w:pPr>
              <w:spacing w:after="0"/>
              <w:rPr>
                <w:sz w:val="14"/>
                <w:szCs w:val="14"/>
                <w:color w:val="auto"/>
              </w:rPr>
            </w:pPr>
          </w:p>
        </w:tc>
      </w:tr>
      <w:tr>
        <w:trPr>
          <w:trHeight w:val="163"/>
        </w:trPr>
        <w:tc>
          <w:tcPr>
            <w:tcW w:w="83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428"/>
              <w:spacing w:after="0"/>
              <w:rPr>
                <w:sz w:val="20"/>
                <w:szCs w:val="20"/>
                <w:color w:val="auto"/>
              </w:rPr>
            </w:pPr>
            <w:r>
              <w:rPr>
                <w:rFonts w:ascii="Arial" w:cs="Arial" w:eastAsia="Arial" w:hAnsi="Arial"/>
                <w:sz w:val="12"/>
                <w:szCs w:val="12"/>
                <w:b w:val="1"/>
                <w:bCs w:val="1"/>
                <w:color w:val="auto"/>
              </w:rPr>
              <w:t>2025</w:t>
            </w:r>
          </w:p>
        </w:tc>
        <w:tc>
          <w:tcPr>
            <w:tcW w:w="3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425"/>
              <w:spacing w:after="0"/>
              <w:rPr>
                <w:sz w:val="20"/>
                <w:szCs w:val="20"/>
                <w:color w:val="auto"/>
              </w:rPr>
            </w:pPr>
            <w:r>
              <w:rPr>
                <w:rFonts w:ascii="Arial" w:cs="Arial" w:eastAsia="Arial" w:hAnsi="Arial"/>
                <w:sz w:val="12"/>
                <w:szCs w:val="12"/>
                <w:b w:val="1"/>
                <w:bCs w:val="1"/>
                <w:color w:val="auto"/>
              </w:rPr>
              <w:t>2024</w:t>
            </w:r>
          </w:p>
        </w:tc>
      </w:tr>
      <w:tr>
        <w:trPr>
          <w:trHeight w:val="159"/>
        </w:trPr>
        <w:tc>
          <w:tcPr>
            <w:tcW w:w="83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720" w:type="dxa"/>
            <w:vAlign w:val="bottom"/>
            <w:gridSpan w:val="3"/>
          </w:tcPr>
          <w:p>
            <w:pPr>
              <w:jc w:val="right"/>
              <w:ind w:right="123"/>
              <w:spacing w:after="0"/>
              <w:rPr>
                <w:sz w:val="20"/>
                <w:szCs w:val="20"/>
                <w:color w:val="auto"/>
              </w:rPr>
            </w:pPr>
            <w:r>
              <w:rPr>
                <w:rFonts w:ascii="Arial" w:cs="Arial" w:eastAsia="Arial" w:hAnsi="Arial"/>
                <w:sz w:val="12"/>
                <w:szCs w:val="12"/>
                <w:b w:val="1"/>
                <w:bCs w:val="1"/>
                <w:color w:val="auto"/>
              </w:rPr>
              <w:t>(in thousands)</w:t>
            </w:r>
          </w:p>
        </w:tc>
        <w:tc>
          <w:tcPr>
            <w:tcW w:w="800" w:type="dxa"/>
            <w:vAlign w:val="bottom"/>
          </w:tcPr>
          <w:p>
            <w:pPr>
              <w:spacing w:after="0"/>
              <w:rPr>
                <w:sz w:val="13"/>
                <w:szCs w:val="13"/>
                <w:color w:val="auto"/>
              </w:rPr>
            </w:pPr>
          </w:p>
        </w:tc>
      </w:tr>
      <w:tr>
        <w:trPr>
          <w:trHeight w:val="207"/>
        </w:trPr>
        <w:tc>
          <w:tcPr>
            <w:tcW w:w="8360" w:type="dxa"/>
            <w:vAlign w:val="bottom"/>
          </w:tcPr>
          <w:p>
            <w:pPr>
              <w:spacing w:after="0"/>
              <w:rPr>
                <w:sz w:val="20"/>
                <w:szCs w:val="20"/>
                <w:color w:val="auto"/>
              </w:rPr>
            </w:pPr>
            <w:r>
              <w:rPr>
                <w:rFonts w:ascii="Arial" w:cs="Arial" w:eastAsia="Arial" w:hAnsi="Arial"/>
                <w:sz w:val="15"/>
                <w:szCs w:val="15"/>
                <w:color w:val="auto"/>
              </w:rPr>
              <w:t>Oaktree funds:</w:t>
            </w: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06"/>
        </w:trPr>
        <w:tc>
          <w:tcPr>
            <w:tcW w:w="8360" w:type="dxa"/>
            <w:vAlign w:val="bottom"/>
          </w:tcPr>
          <w:p>
            <w:pPr>
              <w:ind w:left="300"/>
              <w:spacing w:after="0"/>
              <w:rPr>
                <w:sz w:val="20"/>
                <w:szCs w:val="20"/>
                <w:color w:val="auto"/>
              </w:rPr>
            </w:pPr>
            <w:r>
              <w:rPr>
                <w:rFonts w:ascii="Arial" w:cs="Arial" w:eastAsia="Arial" w:hAnsi="Arial"/>
                <w:sz w:val="15"/>
                <w:szCs w:val="15"/>
                <w:color w:val="auto"/>
              </w:rPr>
              <w:t>Credit</w:t>
            </w:r>
          </w:p>
        </w:tc>
        <w:tc>
          <w:tcPr>
            <w:tcW w:w="300" w:type="dxa"/>
            <w:vAlign w:val="bottom"/>
          </w:tcPr>
          <w:p>
            <w:pPr>
              <w:jc w:val="right"/>
              <w:ind w:right="123"/>
              <w:spacing w:after="0"/>
              <w:rPr>
                <w:sz w:val="20"/>
                <w:szCs w:val="20"/>
                <w:color w:val="auto"/>
              </w:rPr>
            </w:pPr>
            <w:r>
              <w:rPr>
                <w:rFonts w:ascii="Arial" w:cs="Arial" w:eastAsia="Arial" w:hAnsi="Arial"/>
                <w:sz w:val="15"/>
                <w:szCs w:val="15"/>
                <w:color w:val="auto"/>
                <w:w w:val="95"/>
              </w:rPr>
              <w:t>$</w:t>
            </w:r>
          </w:p>
        </w:tc>
        <w:tc>
          <w:tcPr>
            <w:tcW w:w="960" w:type="dxa"/>
            <w:vAlign w:val="bottom"/>
          </w:tcPr>
          <w:p>
            <w:pPr>
              <w:jc w:val="right"/>
              <w:spacing w:after="0"/>
              <w:rPr>
                <w:sz w:val="20"/>
                <w:szCs w:val="20"/>
                <w:color w:val="auto"/>
              </w:rPr>
            </w:pPr>
            <w:r>
              <w:rPr>
                <w:rFonts w:ascii="Arial" w:cs="Arial" w:eastAsia="Arial" w:hAnsi="Arial"/>
                <w:sz w:val="15"/>
                <w:szCs w:val="15"/>
                <w:color w:val="auto"/>
              </w:rPr>
              <w:t>799,483</w:t>
            </w:r>
          </w:p>
        </w:tc>
        <w:tc>
          <w:tcPr>
            <w:tcW w:w="300" w:type="dxa"/>
            <w:vAlign w:val="bottom"/>
          </w:tcPr>
          <w:p>
            <w:pPr>
              <w:spacing w:after="0"/>
              <w:rPr>
                <w:sz w:val="17"/>
                <w:szCs w:val="17"/>
                <w:color w:val="auto"/>
              </w:rPr>
            </w:pPr>
          </w:p>
        </w:tc>
        <w:tc>
          <w:tcPr>
            <w:tcW w:w="460" w:type="dxa"/>
            <w:vAlign w:val="bottom"/>
          </w:tcPr>
          <w:p>
            <w:pPr>
              <w:jc w:val="right"/>
              <w:ind w:right="283"/>
              <w:spacing w:after="0"/>
              <w:rPr>
                <w:sz w:val="20"/>
                <w:szCs w:val="20"/>
                <w:color w:val="auto"/>
              </w:rPr>
            </w:pPr>
            <w:r>
              <w:rPr>
                <w:rFonts w:ascii="Arial" w:cs="Arial" w:eastAsia="Arial" w:hAnsi="Arial"/>
                <w:sz w:val="15"/>
                <w:szCs w:val="15"/>
                <w:color w:val="auto"/>
                <w:w w:val="95"/>
              </w:rPr>
              <w:t>$</w:t>
            </w:r>
          </w:p>
        </w:tc>
        <w:tc>
          <w:tcPr>
            <w:tcW w:w="800" w:type="dxa"/>
            <w:vAlign w:val="bottom"/>
          </w:tcPr>
          <w:p>
            <w:pPr>
              <w:jc w:val="right"/>
              <w:spacing w:after="0"/>
              <w:rPr>
                <w:sz w:val="20"/>
                <w:szCs w:val="20"/>
                <w:color w:val="auto"/>
              </w:rPr>
            </w:pPr>
            <w:r>
              <w:rPr>
                <w:rFonts w:ascii="Arial" w:cs="Arial" w:eastAsia="Arial" w:hAnsi="Arial"/>
                <w:sz w:val="15"/>
                <w:szCs w:val="15"/>
                <w:color w:val="auto"/>
              </w:rPr>
              <w:t>852,425</w:t>
            </w:r>
          </w:p>
        </w:tc>
      </w:tr>
      <w:tr>
        <w:trPr>
          <w:trHeight w:val="206"/>
        </w:trPr>
        <w:tc>
          <w:tcPr>
            <w:tcW w:w="8360" w:type="dxa"/>
            <w:vAlign w:val="bottom"/>
          </w:tcPr>
          <w:p>
            <w:pPr>
              <w:ind w:left="300"/>
              <w:spacing w:after="0"/>
              <w:rPr>
                <w:sz w:val="20"/>
                <w:szCs w:val="20"/>
                <w:color w:val="auto"/>
              </w:rPr>
            </w:pPr>
            <w:r>
              <w:rPr>
                <w:rFonts w:ascii="Arial" w:cs="Arial" w:eastAsia="Arial" w:hAnsi="Arial"/>
                <w:sz w:val="15"/>
                <w:szCs w:val="15"/>
                <w:color w:val="auto"/>
              </w:rPr>
              <w:t>Real Estate</w:t>
            </w: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310,956</w:t>
            </w:r>
          </w:p>
        </w:tc>
        <w:tc>
          <w:tcPr>
            <w:tcW w:w="30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307,824</w:t>
            </w:r>
          </w:p>
        </w:tc>
      </w:tr>
      <w:tr>
        <w:trPr>
          <w:trHeight w:val="199"/>
        </w:trPr>
        <w:tc>
          <w:tcPr>
            <w:tcW w:w="8360" w:type="dxa"/>
            <w:vAlign w:val="bottom"/>
          </w:tcPr>
          <w:p>
            <w:pPr>
              <w:spacing w:after="0"/>
              <w:rPr>
                <w:sz w:val="20"/>
                <w:szCs w:val="20"/>
                <w:color w:val="auto"/>
              </w:rPr>
            </w:pPr>
            <w:r>
              <w:rPr>
                <w:rFonts w:ascii="Arial" w:cs="Arial" w:eastAsia="Arial" w:hAnsi="Arial"/>
                <w:sz w:val="15"/>
                <w:szCs w:val="15"/>
                <w:color w:val="auto"/>
              </w:rPr>
              <w:t>Total corporate investments – Before equity-method Investment in Oaktree Capital I</w:t>
            </w:r>
          </w:p>
        </w:tc>
        <w:tc>
          <w:tcPr>
            <w:tcW w:w="3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1,110,439</w:t>
            </w:r>
          </w:p>
        </w:tc>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1,160,249</w:t>
            </w:r>
          </w:p>
        </w:tc>
      </w:tr>
      <w:tr>
        <w:trPr>
          <w:trHeight w:val="206"/>
        </w:trPr>
        <w:tc>
          <w:tcPr>
            <w:tcW w:w="8360" w:type="dxa"/>
            <w:vAlign w:val="bottom"/>
          </w:tcPr>
          <w:p>
            <w:pPr>
              <w:ind w:left="160"/>
              <w:spacing w:after="0"/>
              <w:rPr>
                <w:sz w:val="20"/>
                <w:szCs w:val="20"/>
                <w:color w:val="auto"/>
              </w:rPr>
            </w:pPr>
            <w:r>
              <w:rPr>
                <w:rFonts w:ascii="Arial" w:cs="Arial" w:eastAsia="Arial" w:hAnsi="Arial"/>
                <w:sz w:val="15"/>
                <w:szCs w:val="15"/>
                <w:color w:val="auto"/>
              </w:rPr>
              <w:t>Equity-method Investment in Oaktree Capital I</w:t>
            </w: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1,114,972</w:t>
            </w:r>
          </w:p>
        </w:tc>
        <w:tc>
          <w:tcPr>
            <w:tcW w:w="30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1,203,005</w:t>
            </w:r>
          </w:p>
        </w:tc>
      </w:tr>
      <w:tr>
        <w:trPr>
          <w:trHeight w:val="199"/>
        </w:trPr>
        <w:tc>
          <w:tcPr>
            <w:tcW w:w="8360" w:type="dxa"/>
            <w:vAlign w:val="bottom"/>
          </w:tcPr>
          <w:p>
            <w:pPr>
              <w:spacing w:after="0"/>
              <w:rPr>
                <w:sz w:val="20"/>
                <w:szCs w:val="20"/>
                <w:color w:val="auto"/>
              </w:rPr>
            </w:pPr>
            <w:r>
              <w:rPr>
                <w:rFonts w:ascii="Arial" w:cs="Arial" w:eastAsia="Arial" w:hAnsi="Arial"/>
                <w:sz w:val="15"/>
                <w:szCs w:val="15"/>
                <w:color w:val="auto"/>
              </w:rPr>
              <w:t>Total corporate investments – Oaktree and operating subsidiaries</w:t>
            </w:r>
          </w:p>
        </w:tc>
        <w:tc>
          <w:tcPr>
            <w:tcW w:w="3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2,225,411</w:t>
            </w:r>
          </w:p>
        </w:tc>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2,363,254</w:t>
            </w:r>
          </w:p>
        </w:tc>
      </w:tr>
      <w:tr>
        <w:trPr>
          <w:trHeight w:val="207"/>
        </w:trPr>
        <w:tc>
          <w:tcPr>
            <w:tcW w:w="8360" w:type="dxa"/>
            <w:vAlign w:val="bottom"/>
          </w:tcPr>
          <w:p>
            <w:pPr>
              <w:ind w:left="160"/>
              <w:spacing w:after="0"/>
              <w:rPr>
                <w:sz w:val="20"/>
                <w:szCs w:val="20"/>
                <w:color w:val="auto"/>
              </w:rPr>
            </w:pPr>
            <w:r>
              <w:rPr>
                <w:rFonts w:ascii="Arial" w:cs="Arial" w:eastAsia="Arial" w:hAnsi="Arial"/>
                <w:sz w:val="15"/>
                <w:szCs w:val="15"/>
                <w:color w:val="auto"/>
              </w:rPr>
              <w:t>Eliminations</w:t>
            </w: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(794,638)</w:t>
            </w:r>
          </w:p>
        </w:tc>
        <w:tc>
          <w:tcPr>
            <w:tcW w:w="30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(842,994)</w:t>
            </w:r>
          </w:p>
        </w:tc>
      </w:tr>
      <w:tr>
        <w:trPr>
          <w:trHeight w:val="200"/>
        </w:trPr>
        <w:tc>
          <w:tcPr>
            <w:tcW w:w="8360" w:type="dxa"/>
            <w:vAlign w:val="bottom"/>
          </w:tcPr>
          <w:p>
            <w:pPr>
              <w:spacing w:after="0"/>
              <w:rPr>
                <w:sz w:val="20"/>
                <w:szCs w:val="20"/>
                <w:color w:val="auto"/>
              </w:rPr>
            </w:pPr>
            <w:r>
              <w:rPr>
                <w:rFonts w:ascii="Arial" w:cs="Arial" w:eastAsia="Arial" w:hAnsi="Arial"/>
                <w:sz w:val="15"/>
                <w:szCs w:val="15"/>
                <w:color w:val="auto"/>
              </w:rPr>
              <w:t>Total corporate investments – Consolidated</w:t>
            </w:r>
          </w:p>
        </w:tc>
        <w:tc>
          <w:tcPr>
            <w:tcW w:w="300" w:type="dxa"/>
            <w:vAlign w:val="bottom"/>
            <w:tcBorders>
              <w:bottom w:val="single" w:sz="8" w:color="auto"/>
            </w:tcBorders>
          </w:tcPr>
          <w:p>
            <w:pPr>
              <w:jc w:val="right"/>
              <w:ind w:right="123"/>
              <w:spacing w:after="0"/>
              <w:rPr>
                <w:sz w:val="20"/>
                <w:szCs w:val="20"/>
                <w:color w:val="auto"/>
              </w:rPr>
            </w:pPr>
            <w:r>
              <w:rPr>
                <w:rFonts w:ascii="Arial" w:cs="Arial" w:eastAsia="Arial" w:hAnsi="Arial"/>
                <w:sz w:val="15"/>
                <w:szCs w:val="15"/>
                <w:color w:val="auto"/>
                <w:w w:val="95"/>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1,430,773</w:t>
            </w:r>
          </w:p>
        </w:tc>
        <w:tc>
          <w:tcPr>
            <w:tcW w:w="300" w:type="dxa"/>
            <w:vAlign w:val="bottom"/>
          </w:tcPr>
          <w:p>
            <w:pPr>
              <w:spacing w:after="0"/>
              <w:rPr>
                <w:sz w:val="17"/>
                <w:szCs w:val="17"/>
                <w:color w:val="auto"/>
              </w:rPr>
            </w:pPr>
          </w:p>
        </w:tc>
        <w:tc>
          <w:tcPr>
            <w:tcW w:w="460" w:type="dxa"/>
            <w:vAlign w:val="bottom"/>
            <w:tcBorders>
              <w:bottom w:val="single" w:sz="8" w:color="auto"/>
            </w:tcBorders>
          </w:tcPr>
          <w:p>
            <w:pPr>
              <w:jc w:val="right"/>
              <w:ind w:right="283"/>
              <w:spacing w:after="0"/>
              <w:rPr>
                <w:sz w:val="20"/>
                <w:szCs w:val="20"/>
                <w:color w:val="auto"/>
              </w:rPr>
            </w:pPr>
            <w:r>
              <w:rPr>
                <w:rFonts w:ascii="Arial" w:cs="Arial" w:eastAsia="Arial" w:hAnsi="Arial"/>
                <w:sz w:val="15"/>
                <w:szCs w:val="15"/>
                <w:color w:val="auto"/>
                <w:w w:val="95"/>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1,520,260</w:t>
            </w:r>
          </w:p>
        </w:tc>
      </w:tr>
      <w:tr>
        <w:trPr>
          <w:trHeight w:val="20"/>
        </w:trPr>
        <w:tc>
          <w:tcPr>
            <w:tcW w:w="83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Liquidity and Capital Resources</w:t>
      </w:r>
    </w:p>
    <w:p>
      <w:pPr>
        <w:spacing w:after="0" w:line="167" w:lineRule="exact"/>
        <w:rPr>
          <w:sz w:val="20"/>
          <w:szCs w:val="20"/>
          <w:color w:val="auto"/>
        </w:rPr>
      </w:pPr>
    </w:p>
    <w:p>
      <w:pPr>
        <w:ind w:firstLine="619"/>
        <w:spacing w:after="0" w:line="258" w:lineRule="auto"/>
        <w:rPr>
          <w:sz w:val="20"/>
          <w:szCs w:val="20"/>
          <w:color w:val="auto"/>
        </w:rPr>
      </w:pPr>
      <w:r>
        <w:rPr>
          <w:rFonts w:ascii="Arial" w:cs="Arial" w:eastAsia="Arial" w:hAnsi="Arial"/>
          <w:sz w:val="17"/>
          <w:szCs w:val="17"/>
          <w:color w:val="auto"/>
        </w:rPr>
        <w:t>We manage our liquidity and capital requirements by focusing on our cash flows before the consolidation of Oaktree funds and the effect of normal changes in short-term assets and liabilities. Prior to the 2024 Restructuring, our primary cash flow activities on an unconsolidated basis involved (a) generating cash flow from operations, (b) generating realized income and return of principal from investment activities, including strategic investments in certain third parties, (c) funding capital commitments that we have made to Oaktree funds, (d) funding our growth initiatives,</w:t>
      </w:r>
    </w:p>
    <w:p>
      <w:pPr>
        <w:spacing w:after="0" w:line="1" w:lineRule="exact"/>
        <w:rPr>
          <w:sz w:val="20"/>
          <w:szCs w:val="20"/>
          <w:color w:val="auto"/>
        </w:rPr>
      </w:pPr>
    </w:p>
    <w:p>
      <w:pPr>
        <w:ind w:left="5520" w:right="3740" w:hanging="5517"/>
        <w:spacing w:after="0" w:line="919" w:lineRule="auto"/>
        <w:tabs>
          <w:tab w:leader="none" w:pos="252" w:val="left"/>
        </w:tabs>
        <w:numPr>
          <w:ilvl w:val="0"/>
          <w:numId w:val="23"/>
        </w:numPr>
        <w:rPr>
          <w:rFonts w:ascii="Arial" w:cs="Arial" w:eastAsia="Arial" w:hAnsi="Arial"/>
          <w:sz w:val="17"/>
          <w:szCs w:val="17"/>
          <w:color w:val="auto"/>
        </w:rPr>
      </w:pPr>
      <w:r>
        <w:rPr>
          <w:rFonts w:ascii="Arial" w:cs="Arial" w:eastAsia="Arial" w:hAnsi="Arial"/>
          <w:sz w:val="17"/>
          <w:szCs w:val="17"/>
          <w:color w:val="auto"/>
        </w:rPr>
        <w:t>distributing cash flow to our Class A unitholders and to OCGH and OEP, (f) borrowings, interest 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-299085</wp:posOffset>
            </wp:positionV>
            <wp:extent cx="7164070"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961" w:right="359" w:bottom="1440" w:gutter="0" w:footer="0" w:header="0"/>
        </w:sectPr>
      </w:pPr>
    </w:p>
    <w:bookmarkStart w:id="55" w:name="page56"/>
    <w:bookmarkEnd w:id="55"/>
    <w:p>
      <w:pPr>
        <w:ind w:right="80"/>
        <w:spacing w:after="0" w:line="259" w:lineRule="auto"/>
        <w:rPr>
          <w:sz w:val="20"/>
          <w:szCs w:val="20"/>
          <w:color w:val="auto"/>
        </w:rPr>
      </w:pPr>
      <w:r>
        <w:rPr>
          <w:rFonts w:ascii="Arial" w:cs="Arial" w:eastAsia="Arial" w:hAnsi="Arial"/>
          <w:sz w:val="17"/>
          <w:szCs w:val="17"/>
          <w:color w:val="auto"/>
        </w:rPr>
        <w:t>payments and repayments under credit agreements, our senior notes and other borrowing arrangements, and (g) issuances of, and distributions made on, our preferred units. Subsequent to the 2024 Restructuring, our primary cash flow activities on an unconsolidated basis involve (a) generating realized income and return of principal from investment activities, (b) funding capital commitments that we have made to Oaktree funds,</w:t>
      </w:r>
    </w:p>
    <w:p>
      <w:pPr>
        <w:spacing w:after="0" w:line="2" w:lineRule="exact"/>
        <w:rPr>
          <w:sz w:val="20"/>
          <w:szCs w:val="20"/>
          <w:color w:val="auto"/>
        </w:rPr>
      </w:pPr>
    </w:p>
    <w:p>
      <w:pPr>
        <w:ind w:right="20" w:firstLine="3"/>
        <w:spacing w:after="0" w:line="261" w:lineRule="auto"/>
        <w:tabs>
          <w:tab w:leader="none" w:pos="248" w:val="left"/>
        </w:tabs>
        <w:numPr>
          <w:ilvl w:val="0"/>
          <w:numId w:val="24"/>
        </w:numPr>
        <w:rPr>
          <w:rFonts w:ascii="Arial" w:cs="Arial" w:eastAsia="Arial" w:hAnsi="Arial"/>
          <w:sz w:val="17"/>
          <w:szCs w:val="17"/>
          <w:color w:val="auto"/>
        </w:rPr>
      </w:pPr>
      <w:r>
        <w:rPr>
          <w:rFonts w:ascii="Arial" w:cs="Arial" w:eastAsia="Arial" w:hAnsi="Arial"/>
          <w:sz w:val="17"/>
          <w:szCs w:val="17"/>
          <w:color w:val="auto"/>
        </w:rPr>
        <w:t>distributing cash flow to our Class A unitholders, (d) issuances of, and distributions made on, our preferred units, and (e) equity contribution from the investors of the Company to fulfill certain contractual capital commitments to its subsidiaries. As of December 31, 2025, the Company on an unconsolidated basis had $6.8 million of cash and cash equivalents.</w:t>
      </w:r>
    </w:p>
    <w:p>
      <w:pPr>
        <w:spacing w:after="0" w:line="107" w:lineRule="exact"/>
        <w:rPr>
          <w:sz w:val="20"/>
          <w:szCs w:val="20"/>
          <w:color w:val="auto"/>
        </w:rPr>
      </w:pPr>
    </w:p>
    <w:p>
      <w:pPr>
        <w:ind w:right="60" w:firstLine="619"/>
        <w:spacing w:after="0" w:line="243" w:lineRule="auto"/>
        <w:rPr>
          <w:sz w:val="20"/>
          <w:szCs w:val="20"/>
          <w:color w:val="auto"/>
        </w:rPr>
      </w:pPr>
      <w:r>
        <w:rPr>
          <w:rFonts w:ascii="Arial" w:cs="Arial" w:eastAsia="Arial" w:hAnsi="Arial"/>
          <w:sz w:val="17"/>
          <w:szCs w:val="17"/>
          <w:color w:val="auto"/>
        </w:rPr>
        <w:t>Ongoing sources of cash include distributions from our equity method corporate investments. We primarily use distributions from our corporate investments to pay compensation and related expenses, service fees under the Services Agreement with OCM and distributions. Subject to applicable law and certain consent rights contained in our operating agreement, pursuant to a covenant in our operating agreement Oaktree plans to cause its operating group entities to distribute, on a quarterly basis, at least 85% of its adjusted distributable earnings, as defined in our operating agreement, and we plan to distribute amounts we receive in respect of such distributions, less any tax and tax receivable obligations, to holders of our Class A units. Distributions from each Oaktree Operating Group entity may not be proportionate to its share of adjusted distributable earnings.</w:t>
      </w:r>
    </w:p>
    <w:p>
      <w:pPr>
        <w:spacing w:after="0" w:line="321" w:lineRule="exact"/>
        <w:rPr>
          <w:sz w:val="20"/>
          <w:szCs w:val="20"/>
          <w:color w:val="auto"/>
        </w:rPr>
      </w:pPr>
    </w:p>
    <w:p>
      <w:pPr>
        <w:ind w:right="100" w:firstLine="619"/>
        <w:spacing w:after="0" w:line="265" w:lineRule="auto"/>
        <w:rPr>
          <w:sz w:val="20"/>
          <w:szCs w:val="20"/>
          <w:color w:val="auto"/>
        </w:rPr>
      </w:pPr>
      <w:r>
        <w:rPr>
          <w:rFonts w:ascii="Arial" w:cs="Arial" w:eastAsia="Arial" w:hAnsi="Arial"/>
          <w:sz w:val="17"/>
          <w:szCs w:val="17"/>
          <w:color w:val="auto"/>
        </w:rPr>
        <w:t>Distributions on the preferred units are discretionary and non-cumulative. We may redeem, at our option, out of funds legally available, at any time, in whole or in part, the Series A preferred units or the Series B preferred units, at a price of $25.00 per preferred unit plus declared and unpaid distributions to, but excluding, the redemption date, without payment of any undeclared distributions. Holders of the preferred units have no right to require the redemption of the preferred units.</w:t>
      </w:r>
    </w:p>
    <w:p>
      <w:pPr>
        <w:spacing w:after="0" w:line="104" w:lineRule="exact"/>
        <w:rPr>
          <w:sz w:val="20"/>
          <w:szCs w:val="20"/>
          <w:color w:val="auto"/>
        </w:rPr>
      </w:pPr>
    </w:p>
    <w:p>
      <w:pPr>
        <w:ind w:right="20" w:firstLine="619"/>
        <w:spacing w:after="0" w:line="242" w:lineRule="auto"/>
        <w:rPr>
          <w:sz w:val="20"/>
          <w:szCs w:val="20"/>
          <w:color w:val="auto"/>
        </w:rPr>
      </w:pPr>
      <w:r>
        <w:rPr>
          <w:rFonts w:ascii="Arial" w:cs="Arial" w:eastAsia="Arial" w:hAnsi="Arial"/>
          <w:sz w:val="17"/>
          <w:szCs w:val="17"/>
          <w:color w:val="auto"/>
        </w:rPr>
        <w:t>We have subscribed for a limited partner interest in, and made a capital commitment of, $750.0 million to Oaktree Opportunities Fund XI, L.P., a parallel investment vehicle thereof or a feeder fund in respect of one of the foregoing (such limited partner interest, the “Opps XI Investment” and such fund entities collectively, “Opps XI”). In order to fund the Opps XI Investment, our sole Class A unitholder, or one of its affiliates, will contribute cash as a capital contribution (the “Opps XI Investment Cash”) as and to the extent required to satisfy our obligations to Opps XI. We will use the Opps XI Investment Cash solely to fund the Opps XI Investment and satisfy our obligations in respect of Opps XI. Distributions from the Opps XI Investment are intended for the benefit of the Class A unitholder, subject to applicable law. Our preferred unitholders should not rely on distributions received by us in respect of the Company’s Opps XI Investment for payment of distributions on or redemption of the preferred units. As of December 31, 2025, $637.5 million of the $750.0 million capital commitment was funded. $346.8 million of the investment interest was pledged as collateral for two non-recourse credit facilities of an affiliate. The potential exposure is limited to the pledged interests.</w:t>
      </w:r>
    </w:p>
    <w:p>
      <w:pPr>
        <w:spacing w:after="0" w:line="121" w:lineRule="exact"/>
        <w:rPr>
          <w:sz w:val="20"/>
          <w:szCs w:val="20"/>
          <w:color w:val="auto"/>
        </w:rPr>
      </w:pPr>
    </w:p>
    <w:p>
      <w:pPr>
        <w:ind w:firstLine="619"/>
        <w:spacing w:after="0" w:line="243" w:lineRule="auto"/>
        <w:rPr>
          <w:sz w:val="20"/>
          <w:szCs w:val="20"/>
          <w:color w:val="auto"/>
        </w:rPr>
      </w:pPr>
      <w:r>
        <w:rPr>
          <w:rFonts w:ascii="Arial" w:cs="Arial" w:eastAsia="Arial" w:hAnsi="Arial"/>
          <w:sz w:val="17"/>
          <w:szCs w:val="17"/>
          <w:color w:val="auto"/>
        </w:rPr>
        <w:t>We have subscribed for a limited partner interest in, and made a capital commitment of, $796.2 million to Oaktree Opportunities Fund XII, L.P., a parallel investment vehicle thereof or a feeder fund in respect of one of the foregoing (such limited partner interest, the “Opps XII Investment” and such fund entities collectively, “Opps XII”). In order to fund the Opps XII Investment, our sole Class A unitholder, or one of its affiliates, will</w:t>
      </w:r>
    </w:p>
    <w:p>
      <w:pPr>
        <w:spacing w:after="0" w:line="2" w:lineRule="exact"/>
        <w:rPr>
          <w:sz w:val="20"/>
          <w:szCs w:val="20"/>
          <w:color w:val="auto"/>
        </w:rPr>
      </w:pPr>
    </w:p>
    <w:p>
      <w:pPr>
        <w:ind w:right="200"/>
        <w:spacing w:after="0" w:line="229" w:lineRule="auto"/>
        <w:rPr>
          <w:sz w:val="20"/>
          <w:szCs w:val="20"/>
          <w:color w:val="auto"/>
        </w:rPr>
      </w:pPr>
      <w:r>
        <w:rPr>
          <w:rFonts w:ascii="Arial" w:cs="Arial" w:eastAsia="Arial" w:hAnsi="Arial"/>
          <w:sz w:val="17"/>
          <w:szCs w:val="17"/>
          <w:color w:val="auto"/>
        </w:rPr>
        <w:t>contribute cash as a capital contribution (the “Opps XII Investment Cash”) as and to the extent required to satisfy our obligations to Opps XII. We will use the Opps XII Investment Cash solely to fund the Opps XII Investment and satisfy our obligations in respect of Opps XII. Distributions from</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the Opps XII Investment are intended for the benefit of the Class A unitholder, subject to applicable law. Our preferred unitholders should not rely on</w:t>
      </w:r>
    </w:p>
    <w:p>
      <w:pPr>
        <w:spacing w:after="0" w:line="5" w:lineRule="exact"/>
        <w:rPr>
          <w:sz w:val="20"/>
          <w:szCs w:val="20"/>
          <w:color w:val="auto"/>
        </w:rPr>
      </w:pPr>
    </w:p>
    <w:p>
      <w:pPr>
        <w:ind w:right="100"/>
        <w:spacing w:after="0" w:line="241" w:lineRule="auto"/>
        <w:rPr>
          <w:sz w:val="20"/>
          <w:szCs w:val="20"/>
          <w:color w:val="auto"/>
        </w:rPr>
      </w:pPr>
      <w:r>
        <w:rPr>
          <w:rFonts w:ascii="Arial" w:cs="Arial" w:eastAsia="Arial" w:hAnsi="Arial"/>
          <w:sz w:val="17"/>
          <w:szCs w:val="17"/>
          <w:color w:val="auto"/>
        </w:rPr>
        <w:t>distributions received by us in respect of the Company’s Opps XII Investment for payment of distributions on or redemption of the preferred units</w:t>
      </w:r>
      <w:r>
        <w:rPr>
          <w:rFonts w:ascii="Arial" w:cs="Arial" w:eastAsia="Arial" w:hAnsi="Arial"/>
          <w:sz w:val="20"/>
          <w:szCs w:val="20"/>
          <w:color w:val="008080"/>
        </w:rPr>
        <w:t>.</w:t>
      </w:r>
      <w:r>
        <w:rPr>
          <w:rFonts w:ascii="Arial" w:cs="Arial" w:eastAsia="Arial" w:hAnsi="Arial"/>
          <w:sz w:val="17"/>
          <w:szCs w:val="17"/>
          <w:color w:val="auto"/>
        </w:rPr>
        <w:t xml:space="preserve"> As of December 31, 2025, the Company has funded in the aggregate $218.9 million of the $796.2 million capital commitment. $ 102.0 million of the investment interest was pledged as collateral for one non-recourse credit facility of an affiliate. The potential exposure is limited to the pledged interests.</w:t>
      </w:r>
    </w:p>
    <w:p>
      <w:pPr>
        <w:spacing w:after="0" w:line="136" w:lineRule="exact"/>
        <w:rPr>
          <w:sz w:val="20"/>
          <w:szCs w:val="20"/>
          <w:color w:val="auto"/>
        </w:rPr>
      </w:pPr>
    </w:p>
    <w:p>
      <w:pPr>
        <w:ind w:right="80" w:firstLine="619"/>
        <w:spacing w:after="0" w:line="249" w:lineRule="auto"/>
        <w:rPr>
          <w:sz w:val="20"/>
          <w:szCs w:val="20"/>
          <w:color w:val="auto"/>
        </w:rPr>
      </w:pPr>
      <w:r>
        <w:rPr>
          <w:rFonts w:ascii="Arial" w:cs="Arial" w:eastAsia="Arial" w:hAnsi="Arial"/>
          <w:sz w:val="17"/>
          <w:szCs w:val="17"/>
          <w:color w:val="auto"/>
        </w:rPr>
        <w:t>On June 27, 2023, the Company entered into a contribution agreement (the “Treasury Contribution Agreement”) with Brookfield Corporate Treasury Ltd. (“Treasury”). Treasury holds all of the outstanding Class A units of the Company. Pursuant to the Treasury Contribution Agreement, Treasury agreed to contribute to the Company an amount (the “Contributed Amount”) equal to the value of BUSI II GP-C LLC, BUSI II-C L.P., BUSI</w:t>
      </w:r>
    </w:p>
    <w:p>
      <w:pPr>
        <w:spacing w:after="0" w:line="1" w:lineRule="exact"/>
        <w:rPr>
          <w:sz w:val="20"/>
          <w:szCs w:val="20"/>
          <w:color w:val="auto"/>
        </w:rPr>
      </w:pPr>
    </w:p>
    <w:p>
      <w:pPr>
        <w:ind w:right="40" w:firstLine="3"/>
        <w:spacing w:after="0" w:line="251" w:lineRule="auto"/>
        <w:tabs>
          <w:tab w:leader="none" w:pos="143" w:val="left"/>
        </w:tabs>
        <w:numPr>
          <w:ilvl w:val="0"/>
          <w:numId w:val="25"/>
        </w:numPr>
        <w:rPr>
          <w:rFonts w:ascii="Arial" w:cs="Arial" w:eastAsia="Arial" w:hAnsi="Arial"/>
          <w:sz w:val="17"/>
          <w:szCs w:val="17"/>
          <w:color w:val="auto"/>
        </w:rPr>
      </w:pPr>
      <w:r>
        <w:rPr>
          <w:rFonts w:ascii="Arial" w:cs="Arial" w:eastAsia="Arial" w:hAnsi="Arial"/>
          <w:sz w:val="17"/>
          <w:szCs w:val="17"/>
          <w:color w:val="auto"/>
        </w:rPr>
        <w:t>SLP-GP LLC and Brookfield REIT OP Special Limited Partner L.P. (collectively, and together with any additional entities that may become direct or indirect subsidiaries of NTR (as defined below) and that beneficially own shares of Brookfield REIT (as defined below), the “REIT Entities”), including their indirect ownership in Brookfield Real Estate Income Trust Inc., a Maryland corporation (“Brookfield REIT”), as of June 30, 2023, and the Company agreed to contribute the Contributed Amount to OCG NTR Holdings, LLC, a wholly owned subsidiary of the Company (“NTR”), in connection with the Company’s indirect acquisition (the “Acquisition”) of 100% of the interests in the REIT Entities. An amount of $307.0 million in respect of the Contributed Amount was contributed to the Company on June 27, 2023 (the “Purchase Price”) and a true-up contribution of $13.9 million was made on July 31, 2023 (the “True-Up Payment”). Also on June 27, 2023, the Company entered into a contribution agreement (the “NTR Contribution Agreement”)</w:t>
      </w: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012" w:right="359" w:bottom="1440" w:gutter="0" w:footer="0" w:header="0"/>
        </w:sectPr>
      </w:pPr>
    </w:p>
    <w:bookmarkStart w:id="56" w:name="page57"/>
    <w:bookmarkEnd w:id="56"/>
    <w:p>
      <w:pPr>
        <w:ind w:right="160"/>
        <w:spacing w:after="0" w:line="255" w:lineRule="auto"/>
        <w:rPr>
          <w:sz w:val="20"/>
          <w:szCs w:val="20"/>
          <w:color w:val="auto"/>
        </w:rPr>
      </w:pPr>
      <w:r>
        <w:rPr>
          <w:rFonts w:ascii="Arial" w:cs="Arial" w:eastAsia="Arial" w:hAnsi="Arial"/>
          <w:sz w:val="17"/>
          <w:szCs w:val="17"/>
          <w:color w:val="auto"/>
        </w:rPr>
        <w:t>with NTR whereby the Company contributed the Purchase Price to NTR and agreed to make a contribution in an amount equal to the True-Up Payment to NTR, and NTR agreed to use the Contributed Amount in connection with the Acquisition. On June 29, 2023, NTR entered into an agreement of purchase and sale (the “Agreement of Purchase and Sale”) to effect the Acquisition, whereby NTR acquired 100% of the interests in the REIT Entities from BUSI II NTR Sub LLC in exchange for cash. The Acquisition was completed on June 30, 2023.</w:t>
      </w:r>
    </w:p>
    <w:p>
      <w:pPr>
        <w:spacing w:after="0" w:line="110" w:lineRule="exact"/>
        <w:rPr>
          <w:sz w:val="20"/>
          <w:szCs w:val="20"/>
          <w:color w:val="auto"/>
        </w:rPr>
      </w:pPr>
    </w:p>
    <w:p>
      <w:pPr>
        <w:ind w:left="620"/>
        <w:spacing w:after="0"/>
        <w:rPr>
          <w:sz w:val="20"/>
          <w:szCs w:val="20"/>
          <w:color w:val="auto"/>
        </w:rPr>
      </w:pPr>
      <w:r>
        <w:rPr>
          <w:rFonts w:ascii="Arial" w:cs="Arial" w:eastAsia="Arial" w:hAnsi="Arial"/>
          <w:sz w:val="17"/>
          <w:szCs w:val="17"/>
          <w:color w:val="auto"/>
        </w:rPr>
        <w:t>As of December 31, 2025, the carrying value of the REIT Entities included in corporate investments was $311.0 million.</w:t>
      </w:r>
    </w:p>
    <w:p>
      <w:pPr>
        <w:spacing w:after="0" w:line="165" w:lineRule="exact"/>
        <w:rPr>
          <w:sz w:val="20"/>
          <w:szCs w:val="20"/>
          <w:color w:val="auto"/>
        </w:rPr>
      </w:pPr>
    </w:p>
    <w:p>
      <w:pPr>
        <w:ind w:right="20" w:firstLine="619"/>
        <w:spacing w:after="0" w:line="245" w:lineRule="auto"/>
        <w:rPr>
          <w:sz w:val="20"/>
          <w:szCs w:val="20"/>
          <w:color w:val="auto"/>
        </w:rPr>
      </w:pPr>
      <w:r>
        <w:rPr>
          <w:rFonts w:ascii="Arial" w:cs="Arial" w:eastAsia="Arial" w:hAnsi="Arial"/>
          <w:sz w:val="17"/>
          <w:szCs w:val="17"/>
          <w:color w:val="auto"/>
        </w:rPr>
        <w:t>In connection with the Acquisition, on June 29, 2023, the Company entered into a letter agreement (the “Restructuring Letter Agreement”) with Treasury whereby, among other things, the Company agreed that, notwithstanding any provision of the operating agreement of the Company to the contrary, Treasury will have the right, in its sole and absolute discretion, to make up to $200.0 million of additional capital contributions to the Company to be utilized in connection with the Company’s indirect ownership of Brookfield REIT or any other matters with respect to the operations of NTR and the REIT Entities, and no vote, approval or other authorization will be required in connection with such additional capital contributions. Also on June 29, 2023, the Company entered into a letter agreement (the “Indemnification Letter Agreement”) with BP US REIT LLC (“BP US”) whereby, among other things, BP US agrees to defend, indemnify and hold harmless the Company, its members and the Company’s and such members’ respective officers, directors, employees, agents, successors, and assigns from any third-party claims brought against any of them related to the ownership, management or ongoing operating of the REIT Entities, and any subsidiaries thereof.</w:t>
      </w:r>
    </w:p>
    <w:p>
      <w:pPr>
        <w:spacing w:after="0" w:line="13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Consolidated Cash Flows</w:t>
      </w:r>
    </w:p>
    <w:p>
      <w:pPr>
        <w:spacing w:after="0" w:line="165" w:lineRule="exact"/>
        <w:rPr>
          <w:sz w:val="20"/>
          <w:szCs w:val="20"/>
          <w:color w:val="auto"/>
        </w:rPr>
      </w:pPr>
    </w:p>
    <w:p>
      <w:pPr>
        <w:ind w:right="260" w:firstLine="619"/>
        <w:spacing w:after="0" w:line="265" w:lineRule="auto"/>
        <w:rPr>
          <w:sz w:val="20"/>
          <w:szCs w:val="20"/>
          <w:color w:val="auto"/>
        </w:rPr>
      </w:pPr>
      <w:r>
        <w:rPr>
          <w:rFonts w:ascii="Arial" w:cs="Arial" w:eastAsia="Arial" w:hAnsi="Arial"/>
          <w:sz w:val="17"/>
          <w:szCs w:val="17"/>
          <w:color w:val="auto"/>
        </w:rPr>
        <w:t>The accompanying consolidated statements of cash flows include our consolidated funds, despite the fact that we typically have only a minority economic interest in those funds. The assets of consolidated funds, on a gross basis, are larger than the assets of our business and, accordingly, have a substantial effect on the cash flows reflected in our consolidated statements of cash flows. The primary cash flow activities of our consolidated funds involve:</w:t>
      </w:r>
    </w:p>
    <w:p>
      <w:pPr>
        <w:spacing w:after="0" w:line="116" w:lineRule="exact"/>
        <w:rPr>
          <w:sz w:val="20"/>
          <w:szCs w:val="20"/>
          <w:color w:val="auto"/>
        </w:rPr>
      </w:pPr>
    </w:p>
    <w:p>
      <w:pPr>
        <w:ind w:left="780" w:hanging="158"/>
        <w:spacing w:after="0"/>
        <w:tabs>
          <w:tab w:leader="none" w:pos="780" w:val="left"/>
        </w:tabs>
        <w:numPr>
          <w:ilvl w:val="0"/>
          <w:numId w:val="26"/>
        </w:numPr>
        <w:rPr>
          <w:rFonts w:ascii="Times New Roman" w:cs="Times New Roman" w:eastAsia="Times New Roman" w:hAnsi="Times New Roman"/>
          <w:sz w:val="17"/>
          <w:szCs w:val="17"/>
          <w:color w:val="auto"/>
        </w:rPr>
      </w:pPr>
      <w:r>
        <w:rPr>
          <w:rFonts w:ascii="Arial" w:cs="Arial" w:eastAsia="Arial" w:hAnsi="Arial"/>
          <w:sz w:val="17"/>
          <w:szCs w:val="17"/>
          <w:color w:val="auto"/>
        </w:rPr>
        <w:t>raising capital from third-party investors;</w:t>
      </w:r>
    </w:p>
    <w:p>
      <w:pPr>
        <w:spacing w:after="0" w:line="164" w:lineRule="exact"/>
        <w:rPr>
          <w:rFonts w:ascii="Times New Roman" w:cs="Times New Roman" w:eastAsia="Times New Roman" w:hAnsi="Times New Roman"/>
          <w:sz w:val="17"/>
          <w:szCs w:val="17"/>
          <w:color w:val="auto"/>
        </w:rPr>
      </w:pPr>
    </w:p>
    <w:p>
      <w:pPr>
        <w:ind w:left="780" w:hanging="158"/>
        <w:spacing w:after="0"/>
        <w:tabs>
          <w:tab w:leader="none" w:pos="780" w:val="left"/>
        </w:tabs>
        <w:numPr>
          <w:ilvl w:val="0"/>
          <w:numId w:val="26"/>
        </w:numPr>
        <w:rPr>
          <w:rFonts w:ascii="Times New Roman" w:cs="Times New Roman" w:eastAsia="Times New Roman" w:hAnsi="Times New Roman"/>
          <w:sz w:val="17"/>
          <w:szCs w:val="17"/>
          <w:color w:val="auto"/>
        </w:rPr>
      </w:pPr>
      <w:r>
        <w:rPr>
          <w:rFonts w:ascii="Arial" w:cs="Arial" w:eastAsia="Arial" w:hAnsi="Arial"/>
          <w:sz w:val="17"/>
          <w:szCs w:val="17"/>
          <w:color w:val="auto"/>
        </w:rPr>
        <w:t>using the capital provided by us and third-party investors to fund investments and operating expenses;</w:t>
      </w:r>
    </w:p>
    <w:p>
      <w:pPr>
        <w:spacing w:after="0" w:line="164" w:lineRule="exact"/>
        <w:rPr>
          <w:rFonts w:ascii="Times New Roman" w:cs="Times New Roman" w:eastAsia="Times New Roman" w:hAnsi="Times New Roman"/>
          <w:sz w:val="17"/>
          <w:szCs w:val="17"/>
          <w:color w:val="auto"/>
        </w:rPr>
      </w:pPr>
    </w:p>
    <w:p>
      <w:pPr>
        <w:ind w:left="780" w:hanging="158"/>
        <w:spacing w:after="0"/>
        <w:tabs>
          <w:tab w:leader="none" w:pos="780" w:val="left"/>
        </w:tabs>
        <w:numPr>
          <w:ilvl w:val="0"/>
          <w:numId w:val="26"/>
        </w:numPr>
        <w:rPr>
          <w:rFonts w:ascii="Times New Roman" w:cs="Times New Roman" w:eastAsia="Times New Roman" w:hAnsi="Times New Roman"/>
          <w:sz w:val="17"/>
          <w:szCs w:val="17"/>
          <w:color w:val="auto"/>
        </w:rPr>
      </w:pPr>
      <w:r>
        <w:rPr>
          <w:rFonts w:ascii="Arial" w:cs="Arial" w:eastAsia="Arial" w:hAnsi="Arial"/>
          <w:sz w:val="17"/>
          <w:szCs w:val="17"/>
          <w:color w:val="auto"/>
        </w:rPr>
        <w:t>financing certain investments with indebtedness;</w:t>
      </w:r>
    </w:p>
    <w:p>
      <w:pPr>
        <w:spacing w:after="0" w:line="164" w:lineRule="exact"/>
        <w:rPr>
          <w:rFonts w:ascii="Times New Roman" w:cs="Times New Roman" w:eastAsia="Times New Roman" w:hAnsi="Times New Roman"/>
          <w:sz w:val="17"/>
          <w:szCs w:val="17"/>
          <w:color w:val="auto"/>
        </w:rPr>
      </w:pPr>
    </w:p>
    <w:p>
      <w:pPr>
        <w:ind w:left="780" w:hanging="158"/>
        <w:spacing w:after="0"/>
        <w:tabs>
          <w:tab w:leader="none" w:pos="780" w:val="left"/>
        </w:tabs>
        <w:numPr>
          <w:ilvl w:val="0"/>
          <w:numId w:val="26"/>
        </w:numPr>
        <w:rPr>
          <w:rFonts w:ascii="Times New Roman" w:cs="Times New Roman" w:eastAsia="Times New Roman" w:hAnsi="Times New Roman"/>
          <w:sz w:val="17"/>
          <w:szCs w:val="17"/>
          <w:color w:val="auto"/>
        </w:rPr>
      </w:pPr>
      <w:r>
        <w:rPr>
          <w:rFonts w:ascii="Arial" w:cs="Arial" w:eastAsia="Arial" w:hAnsi="Arial"/>
          <w:sz w:val="17"/>
          <w:szCs w:val="17"/>
          <w:color w:val="auto"/>
        </w:rPr>
        <w:t>generating cash flows through the realization of investments, as well as the collection of interest and dividend income; and</w:t>
      </w:r>
    </w:p>
    <w:p>
      <w:pPr>
        <w:spacing w:after="0" w:line="164" w:lineRule="exact"/>
        <w:rPr>
          <w:rFonts w:ascii="Times New Roman" w:cs="Times New Roman" w:eastAsia="Times New Roman" w:hAnsi="Times New Roman"/>
          <w:sz w:val="17"/>
          <w:szCs w:val="17"/>
          <w:color w:val="auto"/>
        </w:rPr>
      </w:pPr>
    </w:p>
    <w:p>
      <w:pPr>
        <w:ind w:left="780" w:hanging="158"/>
        <w:spacing w:after="0"/>
        <w:tabs>
          <w:tab w:leader="none" w:pos="780" w:val="left"/>
        </w:tabs>
        <w:numPr>
          <w:ilvl w:val="0"/>
          <w:numId w:val="26"/>
        </w:numPr>
        <w:rPr>
          <w:rFonts w:ascii="Times New Roman" w:cs="Times New Roman" w:eastAsia="Times New Roman" w:hAnsi="Times New Roman"/>
          <w:sz w:val="17"/>
          <w:szCs w:val="17"/>
          <w:color w:val="auto"/>
        </w:rPr>
      </w:pPr>
      <w:r>
        <w:rPr>
          <w:rFonts w:ascii="Arial" w:cs="Arial" w:eastAsia="Arial" w:hAnsi="Arial"/>
          <w:sz w:val="17"/>
          <w:szCs w:val="17"/>
          <w:color w:val="auto"/>
        </w:rPr>
        <w:t>distributing net cash flows to fund investors and to us.</w:t>
      </w:r>
    </w:p>
    <w:p>
      <w:pPr>
        <w:spacing w:after="0" w:line="152" w:lineRule="exact"/>
        <w:rPr>
          <w:sz w:val="20"/>
          <w:szCs w:val="20"/>
          <w:color w:val="auto"/>
        </w:rPr>
      </w:pPr>
    </w:p>
    <w:p>
      <w:pPr>
        <w:ind w:left="620"/>
        <w:spacing w:after="0"/>
        <w:rPr>
          <w:sz w:val="20"/>
          <w:szCs w:val="20"/>
          <w:color w:val="auto"/>
        </w:rPr>
      </w:pPr>
      <w:r>
        <w:rPr>
          <w:rFonts w:ascii="Arial" w:cs="Arial" w:eastAsia="Arial" w:hAnsi="Arial"/>
          <w:sz w:val="17"/>
          <w:szCs w:val="17"/>
          <w:color w:val="auto"/>
        </w:rPr>
        <w:t>Because our consolidated funds are either treated as investment companies for accounting purposes or represent CLOs whose primary</w:t>
      </w:r>
    </w:p>
    <w:p>
      <w:pPr>
        <w:spacing w:after="0" w:line="14" w:lineRule="exact"/>
        <w:rPr>
          <w:sz w:val="20"/>
          <w:szCs w:val="20"/>
          <w:color w:val="auto"/>
        </w:rPr>
      </w:pPr>
    </w:p>
    <w:p>
      <w:pPr>
        <w:ind w:right="40"/>
        <w:spacing w:after="0" w:line="229" w:lineRule="auto"/>
        <w:rPr>
          <w:sz w:val="20"/>
          <w:szCs w:val="20"/>
          <w:color w:val="auto"/>
        </w:rPr>
      </w:pPr>
      <w:r>
        <w:rPr>
          <w:rFonts w:ascii="Arial" w:cs="Arial" w:eastAsia="Arial" w:hAnsi="Arial"/>
          <w:sz w:val="17"/>
          <w:szCs w:val="17"/>
          <w:color w:val="auto"/>
        </w:rPr>
        <w:t>operations are investing activities, their investing cash flow amounts are included in our cash flows from operations. We believe that we and each of the consolidated funds has sufficient access to cash to fund our and their respective operations in the near term. Subsequent to the 2022</w:t>
      </w:r>
    </w:p>
    <w:p>
      <w:pPr>
        <w:spacing w:after="0" w:line="1" w:lineRule="exact"/>
        <w:rPr>
          <w:sz w:val="20"/>
          <w:szCs w:val="20"/>
          <w:color w:val="auto"/>
        </w:rPr>
      </w:pPr>
    </w:p>
    <w:p>
      <w:pPr>
        <w:ind w:right="460"/>
        <w:spacing w:after="0" w:line="246" w:lineRule="auto"/>
        <w:rPr>
          <w:sz w:val="20"/>
          <w:szCs w:val="20"/>
          <w:color w:val="auto"/>
        </w:rPr>
      </w:pPr>
      <w:r>
        <w:rPr>
          <w:rFonts w:ascii="Arial" w:cs="Arial" w:eastAsia="Arial" w:hAnsi="Arial"/>
          <w:sz w:val="17"/>
          <w:szCs w:val="17"/>
          <w:color w:val="auto"/>
        </w:rPr>
        <w:t>Restructuring, the Company no longer consolidates CLOs whose direct ownership interests are held by OCM Cayman. As a result of the 2024 Restructuring, the Company no longer consolidates Oaktree Capital I, and the cash inflows and outflows related to Oaktree Capital I are now presented under the investing activities of the Company’s cash flow.</w:t>
      </w:r>
    </w:p>
    <w:p>
      <w:pPr>
        <w:spacing w:after="0" w:line="131" w:lineRule="exact"/>
        <w:rPr>
          <w:sz w:val="20"/>
          <w:szCs w:val="20"/>
          <w:color w:val="auto"/>
        </w:rPr>
      </w:pPr>
    </w:p>
    <w:p>
      <w:pPr>
        <w:ind w:left="620"/>
        <w:spacing w:after="0"/>
        <w:rPr>
          <w:sz w:val="20"/>
          <w:szCs w:val="20"/>
          <w:color w:val="auto"/>
        </w:rPr>
      </w:pPr>
      <w:r>
        <w:rPr>
          <w:rFonts w:ascii="Arial" w:cs="Arial" w:eastAsia="Arial" w:hAnsi="Arial"/>
          <w:sz w:val="17"/>
          <w:szCs w:val="17"/>
          <w:color w:val="auto"/>
        </w:rPr>
        <w:t>Significant amounts from our consolidated statements of cash flows for the years ended December 31, 2025, 2024 and 2023 are discussed</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color w:val="auto"/>
        </w:rPr>
        <w:t>below.</w:t>
      </w:r>
    </w:p>
    <w:p>
      <w:pPr>
        <w:spacing w:after="0" w:line="15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Operating Activities</w:t>
      </w:r>
    </w:p>
    <w:p>
      <w:pPr>
        <w:spacing w:after="0" w:line="163" w:lineRule="exact"/>
        <w:rPr>
          <w:sz w:val="20"/>
          <w:szCs w:val="20"/>
          <w:color w:val="auto"/>
        </w:rPr>
      </w:pPr>
    </w:p>
    <w:p>
      <w:pPr>
        <w:ind w:firstLine="619"/>
        <w:spacing w:after="0" w:line="271" w:lineRule="auto"/>
        <w:rPr>
          <w:sz w:val="20"/>
          <w:szCs w:val="20"/>
          <w:color w:val="auto"/>
        </w:rPr>
      </w:pPr>
      <w:r>
        <w:rPr>
          <w:rFonts w:ascii="Arial" w:cs="Arial" w:eastAsia="Arial" w:hAnsi="Arial"/>
          <w:sz w:val="17"/>
          <w:szCs w:val="17"/>
          <w:color w:val="auto"/>
        </w:rPr>
        <w:t>Operating activities provided $0.5 billion of cash in 2025 and used $0.5 billion and $0.7 billion of cash in 2024 and 2023, respectively. These amounts principally reflected net income, purchases of securities, net of non-cash adjustments, and net realized and unrealized (gain) loss from consolidated fund investments in each of the respective periods as well as net purchases of securities of the consolidated funds.</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Investing Activities</w:t>
      </w:r>
    </w:p>
    <w:p>
      <w:pPr>
        <w:spacing w:after="0" w:line="163" w:lineRule="exact"/>
        <w:rPr>
          <w:sz w:val="20"/>
          <w:szCs w:val="20"/>
          <w:color w:val="auto"/>
        </w:rPr>
      </w:pPr>
    </w:p>
    <w:p>
      <w:pPr>
        <w:ind w:right="60" w:firstLine="619"/>
        <w:spacing w:after="0" w:line="271" w:lineRule="auto"/>
        <w:rPr>
          <w:sz w:val="20"/>
          <w:szCs w:val="20"/>
          <w:color w:val="auto"/>
        </w:rPr>
      </w:pPr>
      <w:r>
        <w:rPr>
          <w:rFonts w:ascii="Arial" w:cs="Arial" w:eastAsia="Arial" w:hAnsi="Arial"/>
          <w:sz w:val="17"/>
          <w:szCs w:val="17"/>
          <w:color w:val="auto"/>
        </w:rPr>
        <w:t>Investing activities provided $66.1 million of cash in 2025 and used $1.1 million and $366.6 million of cash in 2024 and 2023, respectively. No cash was invested in corporate investments in funds and companies in 2025. Corporate investments in funds and companies were $34.9 million and $488.3 million in 2024 and 2023,</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57" w:name="page58"/>
    <w:bookmarkEnd w:id="57"/>
    <w:p>
      <w:pPr>
        <w:ind w:right="240"/>
        <w:spacing w:after="0" w:line="290" w:lineRule="auto"/>
        <w:rPr>
          <w:sz w:val="20"/>
          <w:szCs w:val="20"/>
          <w:color w:val="auto"/>
        </w:rPr>
      </w:pPr>
      <w:r>
        <w:rPr>
          <w:rFonts w:ascii="Arial" w:cs="Arial" w:eastAsia="Arial" w:hAnsi="Arial"/>
          <w:sz w:val="17"/>
          <w:szCs w:val="17"/>
          <w:color w:val="auto"/>
        </w:rPr>
        <w:t>respectively. Distributions and proceeds from corporate investments in funds and companies of $66.1 million, $203.8 million and $121.6 million in 2025, 2024 and 2023, respectively.</w:t>
      </w:r>
    </w:p>
    <w:p>
      <w:pPr>
        <w:spacing w:after="0" w:line="9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Financing Activities</w:t>
      </w:r>
    </w:p>
    <w:p>
      <w:pPr>
        <w:spacing w:after="0" w:line="163" w:lineRule="exact"/>
        <w:rPr>
          <w:sz w:val="20"/>
          <w:szCs w:val="20"/>
          <w:color w:val="auto"/>
        </w:rPr>
      </w:pPr>
    </w:p>
    <w:p>
      <w:pPr>
        <w:ind w:right="300" w:firstLine="619"/>
        <w:spacing w:after="0" w:line="260" w:lineRule="auto"/>
        <w:rPr>
          <w:sz w:val="20"/>
          <w:szCs w:val="20"/>
          <w:color w:val="auto"/>
        </w:rPr>
      </w:pPr>
      <w:r>
        <w:rPr>
          <w:rFonts w:ascii="Arial" w:cs="Arial" w:eastAsia="Arial" w:hAnsi="Arial"/>
          <w:sz w:val="17"/>
          <w:szCs w:val="17"/>
          <w:color w:val="auto"/>
        </w:rPr>
        <w:t>Financing activities used $0.8 billion of cash in 2025 and provided $0.8 billion and $1.3 billion of cash in 2024 and 2023, respectively. Financing activities included: (a) net distributions from non-controlling interests in consolidated funds of $0.3 billion and $0.2 billion in 2025 and 2024, respectively, and net contributions of $ 0.9 billion in 2023; (b) net repayments of credit facilities of the consolidated funds of $0.2 billion and $48.9 million in 2025 and 2023, respectively, and borrowings of $1.3 billion in 2024; (c) distributions to unitholders of $0.5 billion, $0.4 billion and $0.2 billion in 2025, 2024 and 2023, respectively; and (d) net capital contributions of $0.1 billion, $0.1 billion and $0.6 billion in 2025, 2024 and 2023, respectively.</w:t>
      </w:r>
    </w:p>
    <w:p>
      <w:pPr>
        <w:spacing w:after="0" w:line="12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Future Sources and Uses of Liquidity</w:t>
      </w:r>
    </w:p>
    <w:p>
      <w:pPr>
        <w:spacing w:after="0" w:line="165" w:lineRule="exact"/>
        <w:rPr>
          <w:sz w:val="20"/>
          <w:szCs w:val="20"/>
          <w:color w:val="auto"/>
        </w:rPr>
      </w:pPr>
    </w:p>
    <w:p>
      <w:pPr>
        <w:ind w:firstLine="619"/>
        <w:spacing w:after="0" w:line="260" w:lineRule="auto"/>
        <w:rPr>
          <w:sz w:val="20"/>
          <w:szCs w:val="20"/>
          <w:color w:val="auto"/>
        </w:rPr>
      </w:pPr>
      <w:r>
        <w:rPr>
          <w:rFonts w:ascii="Arial" w:cs="Arial" w:eastAsia="Arial" w:hAnsi="Arial"/>
          <w:sz w:val="17"/>
          <w:szCs w:val="17"/>
          <w:color w:val="auto"/>
        </w:rPr>
        <w:t>We expect to continue to make distributions to our preferred unitholders in accordance with their contractual terms and our Class A unitholders pursuant to our distribution policy for our common units as described in our operating agreement. In the future, subject to our operating agreement we may also issue additional units or debt and other equity securities with the objective of increasing our available capital. In addition, we may, from time to time, repurchase our preferred units in open market or privately negotiated purchases or otherwise, redeem our preferred units pursuant to the terms of their respective governing documents, or repurchase OCGH, OEP or OEP II units. The distributions from our corporate investments, including the distributions from the equity investment in Oaktree Capital I, also provide the Company with ongoing cash inflow.</w:t>
      </w:r>
    </w:p>
    <w:p>
      <w:pPr>
        <w:spacing w:after="0" w:line="122" w:lineRule="exact"/>
        <w:rPr>
          <w:sz w:val="20"/>
          <w:szCs w:val="20"/>
          <w:color w:val="auto"/>
        </w:rPr>
      </w:pPr>
    </w:p>
    <w:p>
      <w:pPr>
        <w:ind w:right="520" w:firstLine="619"/>
        <w:spacing w:after="0" w:line="290" w:lineRule="auto"/>
        <w:rPr>
          <w:sz w:val="20"/>
          <w:szCs w:val="20"/>
          <w:color w:val="auto"/>
        </w:rPr>
      </w:pPr>
      <w:r>
        <w:rPr>
          <w:rFonts w:ascii="Arial" w:cs="Arial" w:eastAsia="Arial" w:hAnsi="Arial"/>
          <w:sz w:val="17"/>
          <w:szCs w:val="17"/>
          <w:color w:val="auto"/>
        </w:rPr>
        <w:t>We believe that the sources of liquidity described above will be sufficient to fund our working capital requirements for at least the next twelve months.</w:t>
      </w:r>
    </w:p>
    <w:p>
      <w:pPr>
        <w:spacing w:after="0" w:line="9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Preferred Unit Issuances</w:t>
      </w:r>
    </w:p>
    <w:p>
      <w:pPr>
        <w:spacing w:after="0" w:line="163" w:lineRule="exact"/>
        <w:rPr>
          <w:sz w:val="20"/>
          <w:szCs w:val="20"/>
          <w:color w:val="auto"/>
        </w:rPr>
      </w:pPr>
    </w:p>
    <w:p>
      <w:pPr>
        <w:ind w:right="40" w:firstLine="619"/>
        <w:spacing w:after="0" w:line="265" w:lineRule="auto"/>
        <w:rPr>
          <w:sz w:val="20"/>
          <w:szCs w:val="20"/>
          <w:color w:val="auto"/>
        </w:rPr>
      </w:pPr>
      <w:r>
        <w:rPr>
          <w:rFonts w:ascii="Arial" w:cs="Arial" w:eastAsia="Arial" w:hAnsi="Arial"/>
          <w:sz w:val="17"/>
          <w:szCs w:val="17"/>
          <w:color w:val="auto"/>
        </w:rPr>
        <w:t>On May 17, 2018, we issued 7,200,000 of our 6.625% Series A preferred units representing limited liability company interests with a liquidation preference of $25.00 per unit. The issuance resulted in $173.7 million in net proceeds to us. Distributions on the Series A preferred units, when and if declared by the board of directors of Oaktree, will be paid quarterly on March 15, June 15, September 15 and December 15 of each year. Distributions on the Series A preferred units are non-cumulative.</w:t>
      </w:r>
    </w:p>
    <w:p>
      <w:pPr>
        <w:spacing w:after="0" w:line="116" w:lineRule="exact"/>
        <w:rPr>
          <w:sz w:val="20"/>
          <w:szCs w:val="20"/>
          <w:color w:val="auto"/>
        </w:rPr>
      </w:pPr>
    </w:p>
    <w:p>
      <w:pPr>
        <w:ind w:right="40" w:firstLine="619"/>
        <w:spacing w:after="0" w:line="265" w:lineRule="auto"/>
        <w:rPr>
          <w:sz w:val="20"/>
          <w:szCs w:val="20"/>
          <w:color w:val="auto"/>
        </w:rPr>
      </w:pPr>
      <w:r>
        <w:rPr>
          <w:rFonts w:ascii="Arial" w:cs="Arial" w:eastAsia="Arial" w:hAnsi="Arial"/>
          <w:sz w:val="17"/>
          <w:szCs w:val="17"/>
          <w:color w:val="auto"/>
        </w:rPr>
        <w:t>On August 9, 2018, we issued 9,400,000 of our 6.550% Series B preferred units representing limited liability company interests with a liquidation preference of $25.00 per unit. The issuance resulted in $226.9 million in net proceeds to us. Distributions on the Series B preferred units, when and if declared by the board of directors of Oaktree, will be paid quarterly on March 15, June 15, September 15 and December 15 of each year. Distributions on the Series B preferred units are non-cumulative.</w:t>
      </w:r>
    </w:p>
    <w:p>
      <w:pPr>
        <w:spacing w:after="0" w:line="116" w:lineRule="exact"/>
        <w:rPr>
          <w:sz w:val="20"/>
          <w:szCs w:val="20"/>
          <w:color w:val="auto"/>
        </w:rPr>
      </w:pPr>
    </w:p>
    <w:p>
      <w:pPr>
        <w:ind w:right="80" w:firstLine="619"/>
        <w:spacing w:after="0" w:line="262" w:lineRule="auto"/>
        <w:rPr>
          <w:sz w:val="20"/>
          <w:szCs w:val="20"/>
          <w:color w:val="auto"/>
        </w:rPr>
      </w:pPr>
      <w:r>
        <w:rPr>
          <w:rFonts w:ascii="Arial" w:cs="Arial" w:eastAsia="Arial" w:hAnsi="Arial"/>
          <w:sz w:val="17"/>
          <w:szCs w:val="17"/>
          <w:color w:val="auto"/>
        </w:rPr>
        <w:t>Unless distributions have been declared and paid or declared and set apart for payment on the preferred units for a quarterly distribution period, during the remainder of that distribution period we may not repurchase any common units or any other units that are junior in rank, as to the payment of distributions, to the preferred units and we may not declare or pay or set apart payment for distributions on any common units or junior units for the remainder of that distribution period, other than certain Permitted Distributions (as defined in the unit designation related to the applicable preferred units (each, the “Preferred Unit Designation”)).</w:t>
      </w:r>
    </w:p>
    <w:p>
      <w:pPr>
        <w:spacing w:after="0" w:line="119" w:lineRule="exact"/>
        <w:rPr>
          <w:sz w:val="20"/>
          <w:szCs w:val="20"/>
          <w:color w:val="auto"/>
        </w:rPr>
      </w:pPr>
    </w:p>
    <w:p>
      <w:pPr>
        <w:ind w:right="300" w:firstLine="619"/>
        <w:spacing w:after="0" w:line="271" w:lineRule="auto"/>
        <w:rPr>
          <w:sz w:val="20"/>
          <w:szCs w:val="20"/>
          <w:color w:val="auto"/>
        </w:rPr>
      </w:pPr>
      <w:r>
        <w:rPr>
          <w:rFonts w:ascii="Arial" w:cs="Arial" w:eastAsia="Arial" w:hAnsi="Arial"/>
          <w:sz w:val="17"/>
          <w:szCs w:val="17"/>
          <w:color w:val="auto"/>
        </w:rPr>
        <w:t>We may redeem, at our option, out of funds legally available, at any time, in whole or in part, the Series A preferred units or the Series B preferred units, at a price of $25.00 per preferred unit plus declared and unpaid distributions to, but excluding, the redemption date, without payment of any undeclared distributions. Holders of the preferred units have no right to require the redemption of the preferred units.</w:t>
      </w:r>
    </w:p>
    <w:p>
      <w:pPr>
        <w:spacing w:after="0" w:line="111" w:lineRule="exact"/>
        <w:rPr>
          <w:sz w:val="20"/>
          <w:szCs w:val="20"/>
          <w:color w:val="auto"/>
        </w:rPr>
      </w:pPr>
    </w:p>
    <w:p>
      <w:pPr>
        <w:jc w:val="both"/>
        <w:ind w:right="280" w:firstLine="619"/>
        <w:spacing w:after="0" w:line="271" w:lineRule="auto"/>
        <w:rPr>
          <w:sz w:val="20"/>
          <w:szCs w:val="20"/>
          <w:color w:val="auto"/>
        </w:rPr>
      </w:pPr>
      <w:r>
        <w:rPr>
          <w:rFonts w:ascii="Arial" w:cs="Arial" w:eastAsia="Arial" w:hAnsi="Arial"/>
          <w:sz w:val="17"/>
          <w:szCs w:val="17"/>
          <w:color w:val="auto"/>
        </w:rPr>
        <w:t>The preferred units are not convertible into Class A units or any other class or series of our interests or any other security. Holders of the preferred units do not have any of the voting rights given to holders of our Class A units, except that holders of the preferred units are entitled to certain voting rights under certain conditions.</w:t>
      </w: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58" w:name="page59"/>
    <w:bookmarkEnd w:id="58"/>
    <w:p>
      <w:pPr>
        <w:spacing w:after="0"/>
        <w:rPr>
          <w:sz w:val="20"/>
          <w:szCs w:val="20"/>
          <w:color w:val="auto"/>
        </w:rPr>
      </w:pPr>
      <w:r>
        <w:rPr>
          <w:rFonts w:ascii="Arial" w:cs="Arial" w:eastAsia="Arial" w:hAnsi="Arial"/>
          <w:sz w:val="17"/>
          <w:szCs w:val="17"/>
          <w:b w:val="1"/>
          <w:bCs w:val="1"/>
          <w:color w:val="auto"/>
        </w:rPr>
        <w:t>Contractual Obligations, Commitments and Contingencies</w:t>
      </w:r>
    </w:p>
    <w:p>
      <w:pPr>
        <w:spacing w:after="0" w:line="90" w:lineRule="exact"/>
        <w:rPr>
          <w:sz w:val="20"/>
          <w:szCs w:val="20"/>
          <w:color w:val="auto"/>
        </w:rPr>
      </w:pPr>
    </w:p>
    <w:p>
      <w:pPr>
        <w:ind w:right="660" w:firstLine="619"/>
        <w:spacing w:after="0" w:line="290" w:lineRule="auto"/>
        <w:rPr>
          <w:sz w:val="20"/>
          <w:szCs w:val="20"/>
          <w:color w:val="auto"/>
        </w:rPr>
      </w:pPr>
      <w:r>
        <w:rPr>
          <w:rFonts w:ascii="Arial" w:cs="Arial" w:eastAsia="Arial" w:hAnsi="Arial"/>
          <w:sz w:val="17"/>
          <w:szCs w:val="17"/>
          <w:color w:val="auto"/>
        </w:rPr>
        <w:t>In the ordinary course of business, we and our consolidated funds enter into contractual arrangements that may require future cash payments. The following table sets forth information related to anticipated future cash payments as of December 31, 2025:</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60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446"/>
              <w:spacing w:after="0"/>
              <w:rPr>
                <w:sz w:val="20"/>
                <w:szCs w:val="20"/>
                <w:color w:val="auto"/>
              </w:rPr>
            </w:pPr>
            <w:r>
              <w:rPr>
                <w:rFonts w:ascii="Arial" w:cs="Arial" w:eastAsia="Arial" w:hAnsi="Arial"/>
                <w:sz w:val="12"/>
                <w:szCs w:val="12"/>
                <w:b w:val="1"/>
                <w:bCs w:val="1"/>
                <w:color w:val="auto"/>
              </w:rPr>
              <w:t>2026</w:t>
            </w:r>
          </w:p>
        </w:tc>
        <w:tc>
          <w:tcPr>
            <w:tcW w:w="2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ind w:left="120"/>
              <w:spacing w:after="0"/>
              <w:rPr>
                <w:sz w:val="20"/>
                <w:szCs w:val="20"/>
                <w:color w:val="auto"/>
              </w:rPr>
            </w:pPr>
            <w:r>
              <w:rPr>
                <w:rFonts w:ascii="Arial" w:cs="Arial" w:eastAsia="Arial" w:hAnsi="Arial"/>
                <w:sz w:val="12"/>
                <w:szCs w:val="12"/>
                <w:b w:val="1"/>
                <w:bCs w:val="1"/>
                <w:color w:val="auto"/>
              </w:rPr>
              <w:t>2027-2028</w:t>
            </w:r>
          </w:p>
        </w:tc>
        <w:tc>
          <w:tcPr>
            <w:tcW w:w="2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ind w:left="140"/>
              <w:spacing w:after="0"/>
              <w:rPr>
                <w:sz w:val="20"/>
                <w:szCs w:val="20"/>
                <w:color w:val="auto"/>
              </w:rPr>
            </w:pPr>
            <w:r>
              <w:rPr>
                <w:rFonts w:ascii="Arial" w:cs="Arial" w:eastAsia="Arial" w:hAnsi="Arial"/>
                <w:sz w:val="12"/>
                <w:szCs w:val="12"/>
                <w:b w:val="1"/>
                <w:bCs w:val="1"/>
                <w:color w:val="auto"/>
              </w:rPr>
              <w:t>2029-2030</w:t>
            </w:r>
          </w:p>
        </w:tc>
        <w:tc>
          <w:tcPr>
            <w:tcW w:w="2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Thereafter</w:t>
            </w:r>
          </w:p>
        </w:tc>
        <w:tc>
          <w:tcPr>
            <w:tcW w:w="3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506"/>
              <w:spacing w:after="0"/>
              <w:rPr>
                <w:sz w:val="20"/>
                <w:szCs w:val="20"/>
                <w:color w:val="auto"/>
              </w:rPr>
            </w:pPr>
            <w:r>
              <w:rPr>
                <w:rFonts w:ascii="Arial" w:cs="Arial" w:eastAsia="Arial" w:hAnsi="Arial"/>
                <w:sz w:val="12"/>
                <w:szCs w:val="12"/>
                <w:b w:val="1"/>
                <w:bCs w:val="1"/>
                <w:color w:val="auto"/>
              </w:rPr>
              <w:t>Total</w:t>
            </w:r>
          </w:p>
        </w:tc>
      </w:tr>
      <w:tr>
        <w:trPr>
          <w:trHeight w:val="162"/>
        </w:trPr>
        <w:tc>
          <w:tcPr>
            <w:tcW w:w="60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gridSpan w:val="2"/>
          </w:tcPr>
          <w:p>
            <w:pPr>
              <w:ind w:left="120"/>
              <w:spacing w:after="0"/>
              <w:rPr>
                <w:sz w:val="20"/>
                <w:szCs w:val="20"/>
                <w:color w:val="auto"/>
              </w:rPr>
            </w:pPr>
            <w:r>
              <w:rPr>
                <w:rFonts w:ascii="Arial" w:cs="Arial" w:eastAsia="Arial" w:hAnsi="Arial"/>
                <w:sz w:val="12"/>
                <w:szCs w:val="12"/>
                <w:b w:val="1"/>
                <w:bCs w:val="1"/>
                <w:color w:val="auto"/>
              </w:rPr>
              <w:t>(in thousands)</w:t>
            </w: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98"/>
        </w:trPr>
        <w:tc>
          <w:tcPr>
            <w:tcW w:w="3840" w:type="dxa"/>
            <w:vAlign w:val="bottom"/>
            <w:gridSpan w:val="2"/>
          </w:tcPr>
          <w:p>
            <w:pPr>
              <w:ind w:left="20"/>
              <w:spacing w:after="0"/>
              <w:rPr>
                <w:sz w:val="20"/>
                <w:szCs w:val="20"/>
                <w:color w:val="auto"/>
              </w:rPr>
            </w:pPr>
            <w:r>
              <w:rPr>
                <w:rFonts w:ascii="Arial" w:cs="Arial" w:eastAsia="Arial" w:hAnsi="Arial"/>
                <w:sz w:val="15"/>
                <w:szCs w:val="15"/>
                <w:b w:val="1"/>
                <w:bCs w:val="1"/>
                <w:color w:val="auto"/>
              </w:rPr>
              <w:t>Oaktree and Operating Subsidiaries:</w:t>
            </w:r>
          </w:p>
        </w:tc>
        <w:tc>
          <w:tcPr>
            <w:tcW w:w="3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17"/>
        </w:trPr>
        <w:tc>
          <w:tcPr>
            <w:tcW w:w="3840" w:type="dxa"/>
            <w:vAlign w:val="bottom"/>
            <w:gridSpan w:val="2"/>
          </w:tcPr>
          <w:p>
            <w:pPr>
              <w:ind w:left="20"/>
              <w:spacing w:after="0" w:line="217" w:lineRule="exact"/>
              <w:rPr>
                <w:sz w:val="20"/>
                <w:szCs w:val="20"/>
                <w:color w:val="auto"/>
              </w:rPr>
            </w:pPr>
            <w:r>
              <w:rPr>
                <w:rFonts w:ascii="Arial" w:cs="Arial" w:eastAsia="Arial" w:hAnsi="Arial"/>
                <w:sz w:val="15"/>
                <w:szCs w:val="15"/>
                <w:color w:val="auto"/>
              </w:rPr>
              <w:t xml:space="preserve">BOH limited partner commitments to Oaktree funds </w:t>
            </w:r>
            <w:r>
              <w:rPr>
                <w:rFonts w:ascii="Arial" w:cs="Arial" w:eastAsia="Arial" w:hAnsi="Arial"/>
                <w:sz w:val="20"/>
                <w:szCs w:val="20"/>
                <w:color w:val="auto"/>
                <w:vertAlign w:val="superscript"/>
              </w:rPr>
              <w:t>(1)</w:t>
            </w:r>
          </w:p>
        </w:tc>
        <w:tc>
          <w:tcPr>
            <w:tcW w:w="3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rPr>
              <w:t>689,758</w:t>
            </w:r>
          </w:p>
        </w:tc>
        <w:tc>
          <w:tcPr>
            <w:tcW w:w="2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ind w:left="820"/>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ind w:left="86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ind w:left="8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8"/>
                <w:szCs w:val="18"/>
                <w:color w:val="auto"/>
              </w:rPr>
            </w:pPr>
          </w:p>
        </w:tc>
        <w:tc>
          <w:tcPr>
            <w:tcW w:w="340" w:type="dxa"/>
            <w:vAlign w:val="bottom"/>
            <w:tcBorders>
              <w:bottom w:val="single" w:sz="8" w:color="auto"/>
            </w:tcBorders>
          </w:tcPr>
          <w:p>
            <w:pPr>
              <w:jc w:val="right"/>
              <w:ind w:right="163"/>
              <w:spacing w:after="0"/>
              <w:rPr>
                <w:sz w:val="20"/>
                <w:szCs w:val="20"/>
                <w:color w:val="auto"/>
              </w:rPr>
            </w:pPr>
            <w:r>
              <w:rPr>
                <w:rFonts w:ascii="Arial" w:cs="Arial" w:eastAsia="Arial" w:hAnsi="Arial"/>
                <w:sz w:val="15"/>
                <w:szCs w:val="15"/>
                <w:color w:val="auto"/>
                <w:w w:val="95"/>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689,758</w:t>
            </w:r>
          </w:p>
        </w:tc>
      </w:tr>
      <w:tr>
        <w:trPr>
          <w:trHeight w:val="198"/>
        </w:trPr>
        <w:tc>
          <w:tcPr>
            <w:tcW w:w="3840" w:type="dxa"/>
            <w:vAlign w:val="bottom"/>
            <w:gridSpan w:val="2"/>
          </w:tcPr>
          <w:p>
            <w:pPr>
              <w:ind w:left="320"/>
              <w:spacing w:after="0"/>
              <w:rPr>
                <w:sz w:val="20"/>
                <w:szCs w:val="20"/>
                <w:color w:val="auto"/>
              </w:rPr>
            </w:pPr>
            <w:r>
              <w:rPr>
                <w:rFonts w:ascii="Arial" w:cs="Arial" w:eastAsia="Arial" w:hAnsi="Arial"/>
                <w:sz w:val="15"/>
                <w:szCs w:val="15"/>
                <w:color w:val="auto"/>
              </w:rPr>
              <w:t>Subtotal</w:t>
            </w:r>
          </w:p>
        </w:tc>
        <w:tc>
          <w:tcPr>
            <w:tcW w:w="320" w:type="dxa"/>
            <w:vAlign w:val="bottom"/>
          </w:tcPr>
          <w:p>
            <w:pPr>
              <w:spacing w:after="0"/>
              <w:rPr>
                <w:sz w:val="17"/>
                <w:szCs w:val="17"/>
                <w:color w:val="auto"/>
              </w:rPr>
            </w:pPr>
          </w:p>
        </w:tc>
        <w:tc>
          <w:tcPr>
            <w:tcW w:w="980" w:type="dxa"/>
            <w:vAlign w:val="bottom"/>
          </w:tcPr>
          <w:p>
            <w:pPr>
              <w:jc w:val="right"/>
              <w:ind w:right="6"/>
              <w:spacing w:after="0"/>
              <w:rPr>
                <w:sz w:val="20"/>
                <w:szCs w:val="20"/>
                <w:color w:val="auto"/>
              </w:rPr>
            </w:pPr>
            <w:r>
              <w:rPr>
                <w:rFonts w:ascii="Arial" w:cs="Arial" w:eastAsia="Arial" w:hAnsi="Arial"/>
                <w:sz w:val="15"/>
                <w:szCs w:val="15"/>
                <w:color w:val="auto"/>
              </w:rPr>
              <w:t>689,758</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gridSpan w:val="2"/>
          </w:tcPr>
          <w:p>
            <w:pPr>
              <w:ind w:left="82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7"/>
                <w:szCs w:val="17"/>
                <w:color w:val="auto"/>
              </w:rPr>
            </w:pPr>
          </w:p>
        </w:tc>
        <w:tc>
          <w:tcPr>
            <w:tcW w:w="1280" w:type="dxa"/>
            <w:vAlign w:val="bottom"/>
            <w:gridSpan w:val="2"/>
          </w:tcPr>
          <w:p>
            <w:pPr>
              <w:ind w:left="860"/>
              <w:spacing w:after="0"/>
              <w:rPr>
                <w:sz w:val="20"/>
                <w:szCs w:val="20"/>
                <w:color w:val="auto"/>
              </w:rPr>
            </w:pPr>
            <w:r>
              <w:rPr>
                <w:rFonts w:ascii="Arial" w:cs="Arial" w:eastAsia="Arial" w:hAnsi="Arial"/>
                <w:sz w:val="15"/>
                <w:szCs w:val="15"/>
                <w:color w:val="auto"/>
              </w:rPr>
              <w:t>—</w:t>
            </w:r>
          </w:p>
        </w:tc>
        <w:tc>
          <w:tcPr>
            <w:tcW w:w="1000" w:type="dxa"/>
            <w:vAlign w:val="bottom"/>
          </w:tcPr>
          <w:p>
            <w:pPr>
              <w:spacing w:after="0"/>
              <w:rPr>
                <w:sz w:val="17"/>
                <w:szCs w:val="17"/>
                <w:color w:val="auto"/>
              </w:rPr>
            </w:pPr>
          </w:p>
        </w:tc>
        <w:tc>
          <w:tcPr>
            <w:tcW w:w="500" w:type="dxa"/>
            <w:vAlign w:val="bottom"/>
            <w:gridSpan w:val="2"/>
          </w:tcPr>
          <w:p>
            <w:pPr>
              <w:ind w:left="80"/>
              <w:spacing w:after="0"/>
              <w:rPr>
                <w:sz w:val="20"/>
                <w:szCs w:val="20"/>
                <w:color w:val="auto"/>
              </w:rPr>
            </w:pPr>
            <w:r>
              <w:rPr>
                <w:rFonts w:ascii="Arial" w:cs="Arial" w:eastAsia="Arial" w:hAnsi="Arial"/>
                <w:sz w:val="15"/>
                <w:szCs w:val="15"/>
                <w:color w:val="auto"/>
              </w:rPr>
              <w:t>—</w:t>
            </w: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689,758</w:t>
            </w:r>
          </w:p>
        </w:tc>
      </w:tr>
      <w:tr>
        <w:trPr>
          <w:trHeight w:val="209"/>
        </w:trPr>
        <w:tc>
          <w:tcPr>
            <w:tcW w:w="3840" w:type="dxa"/>
            <w:vAlign w:val="bottom"/>
            <w:gridSpan w:val="2"/>
          </w:tcPr>
          <w:p>
            <w:pPr>
              <w:ind w:left="20"/>
              <w:spacing w:after="0"/>
              <w:rPr>
                <w:sz w:val="20"/>
                <w:szCs w:val="20"/>
                <w:color w:val="auto"/>
              </w:rPr>
            </w:pPr>
            <w:r>
              <w:rPr>
                <w:rFonts w:ascii="Arial" w:cs="Arial" w:eastAsia="Arial" w:hAnsi="Arial"/>
                <w:sz w:val="15"/>
                <w:szCs w:val="15"/>
                <w:b w:val="1"/>
                <w:bCs w:val="1"/>
                <w:color w:val="auto"/>
              </w:rPr>
              <w:t>Consolidated Funds:</w:t>
            </w:r>
          </w:p>
        </w:tc>
        <w:tc>
          <w:tcPr>
            <w:tcW w:w="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195"/>
        </w:trPr>
        <w:tc>
          <w:tcPr>
            <w:tcW w:w="3840" w:type="dxa"/>
            <w:vAlign w:val="bottom"/>
            <w:gridSpan w:val="2"/>
          </w:tcPr>
          <w:p>
            <w:pPr>
              <w:ind w:left="20"/>
              <w:spacing w:after="0"/>
              <w:rPr>
                <w:sz w:val="20"/>
                <w:szCs w:val="20"/>
                <w:color w:val="auto"/>
              </w:rPr>
            </w:pPr>
            <w:r>
              <w:rPr>
                <w:rFonts w:ascii="Arial" w:cs="Arial" w:eastAsia="Arial" w:hAnsi="Arial"/>
                <w:sz w:val="15"/>
                <w:szCs w:val="15"/>
                <w:color w:val="auto"/>
              </w:rPr>
              <w:t>Debt obligations payable</w:t>
            </w:r>
          </w:p>
        </w:tc>
        <w:tc>
          <w:tcPr>
            <w:tcW w:w="320" w:type="dxa"/>
            <w:vAlign w:val="bottom"/>
          </w:tcPr>
          <w:p>
            <w:pPr>
              <w:spacing w:after="0"/>
              <w:rPr>
                <w:sz w:val="16"/>
                <w:szCs w:val="16"/>
                <w:color w:val="auto"/>
              </w:rPr>
            </w:pPr>
          </w:p>
        </w:tc>
        <w:tc>
          <w:tcPr>
            <w:tcW w:w="980" w:type="dxa"/>
            <w:vAlign w:val="bottom"/>
          </w:tcPr>
          <w:p>
            <w:pPr>
              <w:jc w:val="right"/>
              <w:ind w:right="6"/>
              <w:spacing w:after="0"/>
              <w:rPr>
                <w:sz w:val="20"/>
                <w:szCs w:val="20"/>
                <w:color w:val="auto"/>
              </w:rPr>
            </w:pPr>
            <w:r>
              <w:rPr>
                <w:rFonts w:ascii="Arial" w:cs="Arial" w:eastAsia="Arial" w:hAnsi="Arial"/>
                <w:sz w:val="15"/>
                <w:szCs w:val="15"/>
                <w:color w:val="auto"/>
              </w:rPr>
              <w:t>1,320,795</w:t>
            </w: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gridSpan w:val="2"/>
          </w:tcPr>
          <w:p>
            <w:pPr>
              <w:ind w:left="82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6"/>
                <w:szCs w:val="16"/>
                <w:color w:val="auto"/>
              </w:rPr>
            </w:pPr>
          </w:p>
        </w:tc>
        <w:tc>
          <w:tcPr>
            <w:tcW w:w="1280" w:type="dxa"/>
            <w:vAlign w:val="bottom"/>
            <w:gridSpan w:val="2"/>
          </w:tcPr>
          <w:p>
            <w:pPr>
              <w:ind w:left="860"/>
              <w:spacing w:after="0"/>
              <w:rPr>
                <w:sz w:val="20"/>
                <w:szCs w:val="20"/>
                <w:color w:val="auto"/>
              </w:rPr>
            </w:pPr>
            <w:r>
              <w:rPr>
                <w:rFonts w:ascii="Arial" w:cs="Arial" w:eastAsia="Arial" w:hAnsi="Arial"/>
                <w:sz w:val="15"/>
                <w:szCs w:val="15"/>
                <w:color w:val="auto"/>
              </w:rPr>
              <w:t>—</w:t>
            </w:r>
          </w:p>
        </w:tc>
        <w:tc>
          <w:tcPr>
            <w:tcW w:w="1000" w:type="dxa"/>
            <w:vAlign w:val="bottom"/>
          </w:tcPr>
          <w:p>
            <w:pPr>
              <w:spacing w:after="0"/>
              <w:rPr>
                <w:sz w:val="16"/>
                <w:szCs w:val="16"/>
                <w:color w:val="auto"/>
              </w:rPr>
            </w:pPr>
          </w:p>
        </w:tc>
        <w:tc>
          <w:tcPr>
            <w:tcW w:w="500" w:type="dxa"/>
            <w:vAlign w:val="bottom"/>
            <w:gridSpan w:val="2"/>
          </w:tcPr>
          <w:p>
            <w:pPr>
              <w:ind w:left="80"/>
              <w:spacing w:after="0"/>
              <w:rPr>
                <w:sz w:val="20"/>
                <w:szCs w:val="20"/>
                <w:color w:val="auto"/>
              </w:rPr>
            </w:pPr>
            <w:r>
              <w:rPr>
                <w:rFonts w:ascii="Arial" w:cs="Arial" w:eastAsia="Arial" w:hAnsi="Arial"/>
                <w:sz w:val="15"/>
                <w:szCs w:val="15"/>
                <w:color w:val="auto"/>
              </w:rPr>
              <w:t>—</w:t>
            </w: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1,320,795</w:t>
            </w:r>
          </w:p>
        </w:tc>
      </w:tr>
      <w:tr>
        <w:trPr>
          <w:trHeight w:val="217"/>
        </w:trPr>
        <w:tc>
          <w:tcPr>
            <w:tcW w:w="3840" w:type="dxa"/>
            <w:vAlign w:val="bottom"/>
            <w:gridSpan w:val="2"/>
          </w:tcPr>
          <w:p>
            <w:pPr>
              <w:ind w:left="20"/>
              <w:spacing w:after="0" w:line="217" w:lineRule="exact"/>
              <w:rPr>
                <w:sz w:val="20"/>
                <w:szCs w:val="20"/>
                <w:color w:val="auto"/>
              </w:rPr>
            </w:pPr>
            <w:r>
              <w:rPr>
                <w:rFonts w:ascii="Arial" w:cs="Arial" w:eastAsia="Arial" w:hAnsi="Arial"/>
                <w:sz w:val="15"/>
                <w:szCs w:val="15"/>
                <w:color w:val="auto"/>
              </w:rPr>
              <w:t xml:space="preserve">Interest obligations on debt </w:t>
            </w:r>
            <w:r>
              <w:rPr>
                <w:rFonts w:ascii="Arial" w:cs="Arial" w:eastAsia="Arial" w:hAnsi="Arial"/>
                <w:sz w:val="20"/>
                <w:szCs w:val="20"/>
                <w:color w:val="auto"/>
                <w:vertAlign w:val="superscript"/>
              </w:rPr>
              <w:t>(2)</w:t>
            </w:r>
          </w:p>
        </w:tc>
        <w:tc>
          <w:tcPr>
            <w:tcW w:w="3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rPr>
              <w:t>35,447</w:t>
            </w:r>
          </w:p>
        </w:tc>
        <w:tc>
          <w:tcPr>
            <w:tcW w:w="2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ind w:left="820"/>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ind w:left="86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ind w:left="8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35,447</w:t>
            </w:r>
          </w:p>
        </w:tc>
      </w:tr>
      <w:tr>
        <w:trPr>
          <w:trHeight w:val="199"/>
        </w:trPr>
        <w:tc>
          <w:tcPr>
            <w:tcW w:w="3840" w:type="dxa"/>
            <w:vAlign w:val="bottom"/>
            <w:gridSpan w:val="2"/>
          </w:tcPr>
          <w:p>
            <w:pPr>
              <w:ind w:left="320"/>
              <w:spacing w:after="0"/>
              <w:rPr>
                <w:sz w:val="20"/>
                <w:szCs w:val="20"/>
                <w:color w:val="auto"/>
              </w:rPr>
            </w:pPr>
            <w:r>
              <w:rPr>
                <w:rFonts w:ascii="Arial" w:cs="Arial" w:eastAsia="Arial" w:hAnsi="Arial"/>
                <w:sz w:val="15"/>
                <w:szCs w:val="15"/>
                <w:color w:val="auto"/>
              </w:rPr>
              <w:t>Total</w:t>
            </w:r>
          </w:p>
        </w:tc>
        <w:tc>
          <w:tcPr>
            <w:tcW w:w="320" w:type="dxa"/>
            <w:vAlign w:val="bottom"/>
          </w:tcPr>
          <w:p>
            <w:pPr>
              <w:jc w:val="right"/>
              <w:ind w:right="143"/>
              <w:spacing w:after="0"/>
              <w:rPr>
                <w:sz w:val="20"/>
                <w:szCs w:val="20"/>
                <w:color w:val="auto"/>
              </w:rPr>
            </w:pPr>
            <w:r>
              <w:rPr>
                <w:rFonts w:ascii="Arial" w:cs="Arial" w:eastAsia="Arial" w:hAnsi="Arial"/>
                <w:sz w:val="15"/>
                <w:szCs w:val="15"/>
                <w:color w:val="auto"/>
                <w:w w:val="95"/>
              </w:rPr>
              <w:t>$</w:t>
            </w:r>
          </w:p>
        </w:tc>
        <w:tc>
          <w:tcPr>
            <w:tcW w:w="980" w:type="dxa"/>
            <w:vAlign w:val="bottom"/>
          </w:tcPr>
          <w:p>
            <w:pPr>
              <w:jc w:val="right"/>
              <w:ind w:right="6"/>
              <w:spacing w:after="0"/>
              <w:rPr>
                <w:sz w:val="20"/>
                <w:szCs w:val="20"/>
                <w:color w:val="auto"/>
              </w:rPr>
            </w:pPr>
            <w:r>
              <w:rPr>
                <w:rFonts w:ascii="Arial" w:cs="Arial" w:eastAsia="Arial" w:hAnsi="Arial"/>
                <w:sz w:val="15"/>
                <w:szCs w:val="15"/>
                <w:color w:val="auto"/>
              </w:rPr>
              <w:t>2,046,000</w:t>
            </w:r>
          </w:p>
        </w:tc>
        <w:tc>
          <w:tcPr>
            <w:tcW w:w="200" w:type="dxa"/>
            <w:vAlign w:val="bottom"/>
          </w:tcPr>
          <w:p>
            <w:pPr>
              <w:spacing w:after="0"/>
              <w:rPr>
                <w:sz w:val="17"/>
                <w:szCs w:val="17"/>
                <w:color w:val="auto"/>
              </w:rPr>
            </w:pPr>
          </w:p>
        </w:tc>
        <w:tc>
          <w:tcPr>
            <w:tcW w:w="220" w:type="dxa"/>
            <w:vAlign w:val="bottom"/>
          </w:tcPr>
          <w:p>
            <w:pPr>
              <w:jc w:val="right"/>
              <w:ind w:right="43"/>
              <w:spacing w:after="0"/>
              <w:rPr>
                <w:sz w:val="20"/>
                <w:szCs w:val="20"/>
                <w:color w:val="auto"/>
              </w:rPr>
            </w:pPr>
            <w:r>
              <w:rPr>
                <w:rFonts w:ascii="Arial" w:cs="Arial" w:eastAsia="Arial" w:hAnsi="Arial"/>
                <w:sz w:val="15"/>
                <w:szCs w:val="15"/>
                <w:color w:val="auto"/>
                <w:w w:val="95"/>
              </w:rPr>
              <w:t>$</w:t>
            </w:r>
          </w:p>
        </w:tc>
        <w:tc>
          <w:tcPr>
            <w:tcW w:w="1260" w:type="dxa"/>
            <w:vAlign w:val="bottom"/>
            <w:gridSpan w:val="2"/>
          </w:tcPr>
          <w:p>
            <w:pPr>
              <w:ind w:left="820"/>
              <w:spacing w:after="0"/>
              <w:rPr>
                <w:sz w:val="20"/>
                <w:szCs w:val="20"/>
                <w:color w:val="auto"/>
              </w:rPr>
            </w:pPr>
            <w:r>
              <w:rPr>
                <w:rFonts w:ascii="Arial" w:cs="Arial" w:eastAsia="Arial" w:hAnsi="Arial"/>
                <w:sz w:val="15"/>
                <w:szCs w:val="15"/>
                <w:color w:val="auto"/>
              </w:rPr>
              <w:t>—</w:t>
            </w:r>
          </w:p>
        </w:tc>
        <w:tc>
          <w:tcPr>
            <w:tcW w:w="200" w:type="dxa"/>
            <w:vAlign w:val="bottom"/>
          </w:tcPr>
          <w:p>
            <w:pPr>
              <w:jc w:val="right"/>
              <w:ind w:right="23"/>
              <w:spacing w:after="0"/>
              <w:rPr>
                <w:sz w:val="20"/>
                <w:szCs w:val="20"/>
                <w:color w:val="auto"/>
              </w:rPr>
            </w:pPr>
            <w:r>
              <w:rPr>
                <w:rFonts w:ascii="Arial" w:cs="Arial" w:eastAsia="Arial" w:hAnsi="Arial"/>
                <w:sz w:val="15"/>
                <w:szCs w:val="15"/>
                <w:color w:val="auto"/>
                <w:w w:val="95"/>
              </w:rPr>
              <w:t>$</w:t>
            </w:r>
          </w:p>
        </w:tc>
        <w:tc>
          <w:tcPr>
            <w:tcW w:w="1280" w:type="dxa"/>
            <w:vAlign w:val="bottom"/>
            <w:gridSpan w:val="2"/>
          </w:tcPr>
          <w:p>
            <w:pPr>
              <w:ind w:left="860"/>
              <w:spacing w:after="0"/>
              <w:rPr>
                <w:sz w:val="20"/>
                <w:szCs w:val="20"/>
                <w:color w:val="auto"/>
              </w:rPr>
            </w:pPr>
            <w:r>
              <w:rPr>
                <w:rFonts w:ascii="Arial" w:cs="Arial" w:eastAsia="Arial" w:hAnsi="Arial"/>
                <w:sz w:val="15"/>
                <w:szCs w:val="15"/>
                <w:color w:val="auto"/>
              </w:rPr>
              <w:t>—</w:t>
            </w:r>
          </w:p>
        </w:tc>
        <w:tc>
          <w:tcPr>
            <w:tcW w:w="1000" w:type="dxa"/>
            <w:vAlign w:val="bottom"/>
          </w:tcPr>
          <w:p>
            <w:pPr>
              <w:jc w:val="right"/>
              <w:ind w:right="831"/>
              <w:spacing w:after="0"/>
              <w:rPr>
                <w:sz w:val="20"/>
                <w:szCs w:val="20"/>
                <w:color w:val="auto"/>
              </w:rPr>
            </w:pPr>
            <w:r>
              <w:rPr>
                <w:rFonts w:ascii="Arial" w:cs="Arial" w:eastAsia="Arial" w:hAnsi="Arial"/>
                <w:sz w:val="15"/>
                <w:szCs w:val="15"/>
                <w:color w:val="auto"/>
                <w:w w:val="95"/>
              </w:rPr>
              <w:t>$</w:t>
            </w:r>
          </w:p>
        </w:tc>
        <w:tc>
          <w:tcPr>
            <w:tcW w:w="500" w:type="dxa"/>
            <w:vAlign w:val="bottom"/>
            <w:gridSpan w:val="2"/>
          </w:tcPr>
          <w:p>
            <w:pPr>
              <w:ind w:left="80"/>
              <w:spacing w:after="0"/>
              <w:rPr>
                <w:sz w:val="20"/>
                <w:szCs w:val="20"/>
                <w:color w:val="auto"/>
              </w:rPr>
            </w:pPr>
            <w:r>
              <w:rPr>
                <w:rFonts w:ascii="Arial" w:cs="Arial" w:eastAsia="Arial" w:hAnsi="Arial"/>
                <w:sz w:val="15"/>
                <w:szCs w:val="15"/>
                <w:color w:val="auto"/>
              </w:rPr>
              <w:t>—</w:t>
            </w:r>
          </w:p>
        </w:tc>
        <w:tc>
          <w:tcPr>
            <w:tcW w:w="340" w:type="dxa"/>
            <w:vAlign w:val="bottom"/>
          </w:tcPr>
          <w:p>
            <w:pPr>
              <w:jc w:val="right"/>
              <w:ind w:right="163"/>
              <w:spacing w:after="0"/>
              <w:rPr>
                <w:sz w:val="20"/>
                <w:szCs w:val="20"/>
                <w:color w:val="auto"/>
              </w:rPr>
            </w:pPr>
            <w:r>
              <w:rPr>
                <w:rFonts w:ascii="Arial" w:cs="Arial" w:eastAsia="Arial" w:hAnsi="Arial"/>
                <w:sz w:val="15"/>
                <w:szCs w:val="15"/>
                <w:color w:val="auto"/>
                <w:w w:val="95"/>
              </w:rPr>
              <w:t>$</w:t>
            </w:r>
          </w:p>
        </w:tc>
        <w:tc>
          <w:tcPr>
            <w:tcW w:w="1100" w:type="dxa"/>
            <w:vAlign w:val="bottom"/>
          </w:tcPr>
          <w:p>
            <w:pPr>
              <w:jc w:val="right"/>
              <w:spacing w:after="0"/>
              <w:rPr>
                <w:sz w:val="20"/>
                <w:szCs w:val="20"/>
                <w:color w:val="auto"/>
              </w:rPr>
            </w:pPr>
            <w:r>
              <w:rPr>
                <w:rFonts w:ascii="Arial" w:cs="Arial" w:eastAsia="Arial" w:hAnsi="Arial"/>
                <w:sz w:val="15"/>
                <w:szCs w:val="15"/>
                <w:color w:val="auto"/>
              </w:rPr>
              <w:t>2,046,000</w:t>
            </w:r>
          </w:p>
        </w:tc>
      </w:tr>
      <w:tr>
        <w:trPr>
          <w:trHeight w:val="20"/>
        </w:trPr>
        <w:tc>
          <w:tcPr>
            <w:tcW w:w="60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r>
        <w:trPr>
          <w:trHeight w:val="146"/>
        </w:trPr>
        <w:tc>
          <w:tcPr>
            <w:tcW w:w="600" w:type="dxa"/>
            <w:vAlign w:val="bottom"/>
            <w:tcBorders>
              <w:bottom w:val="single" w:sz="8" w:color="auto"/>
            </w:tcBorders>
          </w:tcPr>
          <w:p>
            <w:pPr>
              <w:spacing w:after="0"/>
              <w:rPr>
                <w:sz w:val="12"/>
                <w:szCs w:val="12"/>
                <w:color w:val="auto"/>
              </w:rPr>
            </w:pPr>
          </w:p>
        </w:tc>
        <w:tc>
          <w:tcPr>
            <w:tcW w:w="3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00" w:type="dxa"/>
            <w:vAlign w:val="bottom"/>
          </w:tcPr>
          <w:p>
            <w:pPr>
              <w:spacing w:after="0"/>
              <w:rPr>
                <w:sz w:val="12"/>
                <w:szCs w:val="12"/>
                <w:color w:val="auto"/>
              </w:rPr>
            </w:pPr>
          </w:p>
        </w:tc>
      </w:tr>
    </w:tbl>
    <w:p>
      <w:pPr>
        <w:spacing w:after="0" w:line="117" w:lineRule="exact"/>
        <w:rPr>
          <w:sz w:val="20"/>
          <w:szCs w:val="20"/>
          <w:color w:val="auto"/>
        </w:rPr>
      </w:pPr>
    </w:p>
    <w:p>
      <w:pPr>
        <w:ind w:left="380" w:right="300" w:hanging="377"/>
        <w:spacing w:after="0" w:line="258" w:lineRule="auto"/>
        <w:tabs>
          <w:tab w:leader="none" w:pos="225" w:val="left"/>
        </w:tabs>
        <w:numPr>
          <w:ilvl w:val="0"/>
          <w:numId w:val="27"/>
        </w:numPr>
        <w:rPr>
          <w:rFonts w:ascii="Arial" w:cs="Arial" w:eastAsia="Arial" w:hAnsi="Arial"/>
          <w:sz w:val="15"/>
          <w:szCs w:val="15"/>
          <w:color w:val="auto"/>
        </w:rPr>
      </w:pPr>
      <w:r>
        <w:rPr>
          <w:rFonts w:ascii="Arial" w:cs="Arial" w:eastAsia="Arial" w:hAnsi="Arial"/>
          <w:sz w:val="15"/>
          <w:szCs w:val="15"/>
          <w:color w:val="auto"/>
        </w:rPr>
        <w:t>These obligations represent commitments by us to provide limited partner capital funding to our funds. These amounts are generally due on demand and are therefore presented in the 2026 column. Capital commitments are generally expected to be called over a period of several years.</w:t>
      </w:r>
    </w:p>
    <w:p>
      <w:pPr>
        <w:ind w:left="380" w:right="520" w:hanging="377"/>
        <w:spacing w:after="0" w:line="280" w:lineRule="auto"/>
        <w:tabs>
          <w:tab w:leader="none" w:pos="337" w:val="left"/>
        </w:tabs>
        <w:numPr>
          <w:ilvl w:val="0"/>
          <w:numId w:val="27"/>
        </w:numPr>
        <w:rPr>
          <w:rFonts w:ascii="Arial" w:cs="Arial" w:eastAsia="Arial" w:hAnsi="Arial"/>
          <w:sz w:val="15"/>
          <w:szCs w:val="15"/>
          <w:color w:val="auto"/>
        </w:rPr>
      </w:pPr>
      <w:r>
        <w:rPr>
          <w:rFonts w:ascii="Arial" w:cs="Arial" w:eastAsia="Arial" w:hAnsi="Arial"/>
          <w:sz w:val="15"/>
          <w:szCs w:val="15"/>
          <w:color w:val="auto"/>
        </w:rPr>
        <w:t>Interest obligations include accrued interest on outstanding indebtedness. Where applicable, current interest rates are applied to estimate future interest obligations on variable-rate debt.</w:t>
      </w:r>
    </w:p>
    <w:p>
      <w:pPr>
        <w:spacing w:after="0" w:line="111" w:lineRule="exact"/>
        <w:rPr>
          <w:sz w:val="20"/>
          <w:szCs w:val="20"/>
          <w:color w:val="auto"/>
        </w:rPr>
      </w:pPr>
    </w:p>
    <w:p>
      <w:pPr>
        <w:ind w:right="20" w:firstLine="619"/>
        <w:spacing w:after="0" w:line="265" w:lineRule="auto"/>
        <w:rPr>
          <w:sz w:val="20"/>
          <w:szCs w:val="20"/>
          <w:color w:val="auto"/>
        </w:rPr>
      </w:pPr>
      <w:r>
        <w:rPr>
          <w:rFonts w:ascii="Arial" w:cs="Arial" w:eastAsia="Arial" w:hAnsi="Arial"/>
          <w:sz w:val="17"/>
          <w:szCs w:val="17"/>
          <w:color w:val="auto"/>
        </w:rPr>
        <w:t>In some of Oaktree’s service contracts or management agreements, Oaktree has agreed to indemnify third-party service providers or separate account clients under certain circumstances. The terms of the indemnities vary from contract to contract and the amount of indemnification liability, if any, cannot be determined and has neither been included in the above table nor recorded in our consolidated financial statements as of December 31, 2025.</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Off-Balance Sheet Arrangements</w:t>
      </w:r>
    </w:p>
    <w:p>
      <w:pPr>
        <w:spacing w:after="0" w:line="14" w:lineRule="exact"/>
        <w:rPr>
          <w:sz w:val="20"/>
          <w:szCs w:val="20"/>
          <w:color w:val="auto"/>
        </w:rPr>
      </w:pPr>
    </w:p>
    <w:p>
      <w:pPr>
        <w:ind w:left="620"/>
        <w:spacing w:after="0"/>
        <w:rPr>
          <w:sz w:val="20"/>
          <w:szCs w:val="20"/>
          <w:color w:val="auto"/>
        </w:rPr>
      </w:pPr>
      <w:r>
        <w:rPr>
          <w:rFonts w:ascii="Arial" w:cs="Arial" w:eastAsia="Arial" w:hAnsi="Arial"/>
          <w:sz w:val="17"/>
          <w:szCs w:val="17"/>
          <w:color w:val="auto"/>
        </w:rPr>
        <w:t>Please see note 14 to our consolidated financial statements included elsewhere in this annual report for information on our commitments</w:t>
      </w:r>
    </w:p>
    <w:p>
      <w:pPr>
        <w:ind w:right="120"/>
        <w:spacing w:after="0" w:line="239" w:lineRule="auto"/>
        <w:rPr>
          <w:sz w:val="20"/>
          <w:szCs w:val="20"/>
          <w:color w:val="auto"/>
        </w:rPr>
      </w:pPr>
      <w:r>
        <w:rPr>
          <w:rFonts w:ascii="Arial" w:cs="Arial" w:eastAsia="Arial" w:hAnsi="Arial"/>
          <w:sz w:val="17"/>
          <w:szCs w:val="17"/>
          <w:color w:val="auto"/>
        </w:rPr>
        <w:t>and contingencies and notes 9 and 15 for information on our joint and several liability as co-obligors on certain debt obligations with affiliates of the Company prior to the 2024 Restructuring.</w:t>
      </w:r>
    </w:p>
    <w:p>
      <w:pPr>
        <w:spacing w:after="0" w:line="13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Critical Accounting Estimates</w:t>
      </w:r>
    </w:p>
    <w:p>
      <w:pPr>
        <w:spacing w:after="0" w:line="155" w:lineRule="exact"/>
        <w:rPr>
          <w:sz w:val="20"/>
          <w:szCs w:val="20"/>
          <w:color w:val="auto"/>
        </w:rPr>
      </w:pPr>
    </w:p>
    <w:p>
      <w:pPr>
        <w:ind w:firstLine="619"/>
        <w:spacing w:after="0" w:line="242" w:lineRule="auto"/>
        <w:rPr>
          <w:sz w:val="20"/>
          <w:szCs w:val="20"/>
          <w:color w:val="auto"/>
        </w:rPr>
      </w:pPr>
      <w:r>
        <w:rPr>
          <w:rFonts w:ascii="Arial" w:cs="Arial" w:eastAsia="Arial" w:hAnsi="Arial"/>
          <w:sz w:val="17"/>
          <w:szCs w:val="17"/>
          <w:color w:val="auto"/>
        </w:rPr>
        <w:t>We prepare our consolidated financial statements in accordance with GAAP. In applying many of these accounting principles, we need to make assumptions, estimates or judgments that affect the reported amounts of assets, liabilities, revenues and expenses in our consolidated financial statements. We base our estimates and judgments on historical experience and other assumptions that we believe are reasonable under the circumstances. These assumptions, estimates or judgments, however, are both subjective and subject to change, and actual results may differ from our assumptions and estimates. If actual amounts are ultimately different from our estimates, the revisions are included in our results of operations for the period in which the actual amounts become known. We believe our critical accounting policies could potentially produce materially different results if we were to change underlying assumptions, estimates or judgments. Our most significant assumptions and estimates are related to the valuation of our corporate investments and the investments of our consolidated funds. For a summary of our significant accounting policies and estimates, please see the notes to our consolidated financial statements included elsewhere in this annual report.</w:t>
      </w:r>
    </w:p>
    <w:p>
      <w:pPr>
        <w:spacing w:after="0" w:line="13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Recent Accounting Developments</w:t>
      </w:r>
    </w:p>
    <w:p>
      <w:pPr>
        <w:spacing w:after="0" w:line="88" w:lineRule="exact"/>
        <w:rPr>
          <w:sz w:val="20"/>
          <w:szCs w:val="20"/>
          <w:color w:val="auto"/>
        </w:rPr>
      </w:pPr>
    </w:p>
    <w:p>
      <w:pPr>
        <w:ind w:right="660" w:firstLine="619"/>
        <w:spacing w:after="0" w:line="290" w:lineRule="auto"/>
        <w:rPr>
          <w:sz w:val="20"/>
          <w:szCs w:val="20"/>
          <w:color w:val="auto"/>
        </w:rPr>
      </w:pPr>
      <w:r>
        <w:rPr>
          <w:rFonts w:ascii="Arial" w:cs="Arial" w:eastAsia="Arial" w:hAnsi="Arial"/>
          <w:sz w:val="17"/>
          <w:szCs w:val="17"/>
          <w:color w:val="auto"/>
        </w:rPr>
        <w:t>Please see note 2 to our consolidated financial statements included elsewhere in this annual report for information regarding recent accounting developments.</w:t>
      </w: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10" w:right="339" w:bottom="1440" w:gutter="0" w:footer="0" w:header="0"/>
        </w:sectPr>
      </w:pPr>
    </w:p>
    <w:bookmarkStart w:id="59" w:name="page60"/>
    <w:bookmarkEnd w:id="59"/>
    <w:p>
      <w:pPr>
        <w:spacing w:after="0"/>
        <w:rPr>
          <w:sz w:val="20"/>
          <w:szCs w:val="20"/>
          <w:color w:val="auto"/>
        </w:rPr>
      </w:pPr>
      <w:r>
        <w:rPr>
          <w:rFonts w:ascii="Arial" w:cs="Arial" w:eastAsia="Arial" w:hAnsi="Arial"/>
          <w:sz w:val="17"/>
          <w:szCs w:val="17"/>
          <w:b w:val="1"/>
          <w:bCs w:val="1"/>
          <w:color w:val="auto"/>
        </w:rPr>
        <w:t>Item 7A. Quantitative and Qualitative Disclosures About Market Risk</w:t>
      </w:r>
    </w:p>
    <w:p>
      <w:pPr>
        <w:spacing w:after="0" w:line="168" w:lineRule="exact"/>
        <w:rPr>
          <w:sz w:val="20"/>
          <w:szCs w:val="20"/>
          <w:color w:val="auto"/>
        </w:rPr>
      </w:pPr>
    </w:p>
    <w:p>
      <w:pPr>
        <w:ind w:right="220" w:firstLine="619"/>
        <w:spacing w:after="0" w:line="262" w:lineRule="auto"/>
        <w:rPr>
          <w:sz w:val="20"/>
          <w:szCs w:val="20"/>
          <w:color w:val="auto"/>
        </w:rPr>
      </w:pPr>
      <w:r>
        <w:rPr>
          <w:rFonts w:ascii="Arial" w:cs="Arial" w:eastAsia="Arial" w:hAnsi="Arial"/>
          <w:sz w:val="17"/>
          <w:szCs w:val="17"/>
          <w:color w:val="auto"/>
        </w:rPr>
        <w:t>In the normal course of business, we are exposed, directly or indirectly through our investments, to a broad range of risks inherent in the financial markets in which we participate, including price risk, interest-rate risk, access to and cost of financing risk, liquidity risk, counterparty risk and foreign exchange-rate risk. Potentially negative effects of these risks may be mitigated to a certain extent by those aspects of Oaktree’s investment approach, investment strategies, fundraising practices or other business activities that are designed to benefit, either in relative or absolute terms, from periods of economic weakness, tighter credit or financial market dislocations.</w:t>
      </w:r>
    </w:p>
    <w:p>
      <w:pPr>
        <w:spacing w:after="0" w:line="119" w:lineRule="exact"/>
        <w:rPr>
          <w:sz w:val="20"/>
          <w:szCs w:val="20"/>
          <w:color w:val="auto"/>
        </w:rPr>
      </w:pPr>
    </w:p>
    <w:p>
      <w:pPr>
        <w:ind w:right="180" w:firstLine="619"/>
        <w:spacing w:after="0" w:line="265" w:lineRule="auto"/>
        <w:rPr>
          <w:sz w:val="20"/>
          <w:szCs w:val="20"/>
          <w:color w:val="auto"/>
        </w:rPr>
      </w:pPr>
      <w:r>
        <w:rPr>
          <w:rFonts w:ascii="Arial" w:cs="Arial" w:eastAsia="Arial" w:hAnsi="Arial"/>
          <w:sz w:val="17"/>
          <w:szCs w:val="17"/>
          <w:color w:val="auto"/>
        </w:rPr>
        <w:t>Our predominant exposure to market risk is related to our investments in Oaktree and Brookfield funds and our economic interest in Oaktree Capital I, which holds a general partner interest in certain Oaktree funds. The fair value of the financial assets and liabilities held by the funds, in which we are invested may fluctuate in response to changes in, among many factors, the fair value of securities, foreign-exchange rates, commodities prices and interest rates.</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Price Risk</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Impact on Net Change in Unrealized Appreciation (Depreciation) on Consolidated Funds’ Investments</w:t>
      </w:r>
    </w:p>
    <w:p>
      <w:pPr>
        <w:spacing w:after="0" w:line="153" w:lineRule="exact"/>
        <w:rPr>
          <w:sz w:val="20"/>
          <w:szCs w:val="20"/>
          <w:color w:val="auto"/>
        </w:rPr>
      </w:pPr>
    </w:p>
    <w:p>
      <w:pPr>
        <w:ind w:firstLine="619"/>
        <w:spacing w:after="0" w:line="249" w:lineRule="auto"/>
        <w:rPr>
          <w:sz w:val="20"/>
          <w:szCs w:val="20"/>
          <w:color w:val="auto"/>
        </w:rPr>
      </w:pPr>
      <w:r>
        <w:rPr>
          <w:rFonts w:ascii="Arial" w:cs="Arial" w:eastAsia="Arial" w:hAnsi="Arial"/>
          <w:sz w:val="17"/>
          <w:szCs w:val="17"/>
          <w:color w:val="auto"/>
        </w:rPr>
        <w:t>As of December 31, 2025, we had investments at fair value of $5.0 billion related to our consolidated funds. We estimate that a 10% decline in market values would result in a decrease in unrealized appreciation (depreciation) on the consolidated funds’ investments of $501.3 million. Of this decline, approximately $101.8 million would impact net income attributable to BOH Class A unitholders, with the remainder attributable to non-controlling interests.</w:t>
      </w:r>
    </w:p>
    <w:p>
      <w:pPr>
        <w:spacing w:after="0" w:line="13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Impact on Investment Income</w:t>
      </w:r>
    </w:p>
    <w:p>
      <w:pPr>
        <w:spacing w:after="0" w:line="75" w:lineRule="exact"/>
        <w:rPr>
          <w:sz w:val="20"/>
          <w:szCs w:val="20"/>
          <w:color w:val="auto"/>
        </w:rPr>
      </w:pPr>
    </w:p>
    <w:p>
      <w:pPr>
        <w:ind w:left="620"/>
        <w:spacing w:after="0"/>
        <w:rPr>
          <w:sz w:val="20"/>
          <w:szCs w:val="20"/>
          <w:color w:val="auto"/>
        </w:rPr>
      </w:pPr>
      <w:r>
        <w:rPr>
          <w:rFonts w:ascii="Arial" w:cs="Arial" w:eastAsia="Arial" w:hAnsi="Arial"/>
          <w:sz w:val="17"/>
          <w:szCs w:val="17"/>
          <w:color w:val="auto"/>
        </w:rPr>
        <w:t>Investment income or loss arises from our pro-rata share of income or loss from our investments. This income is directly affected by</w:t>
      </w:r>
    </w:p>
    <w:p>
      <w:pPr>
        <w:spacing w:after="0" w:line="12" w:lineRule="exact"/>
        <w:rPr>
          <w:sz w:val="20"/>
          <w:szCs w:val="20"/>
          <w:color w:val="auto"/>
        </w:rPr>
      </w:pPr>
    </w:p>
    <w:p>
      <w:pPr>
        <w:spacing w:after="0"/>
        <w:rPr>
          <w:sz w:val="20"/>
          <w:szCs w:val="20"/>
          <w:color w:val="auto"/>
        </w:rPr>
      </w:pPr>
      <w:r>
        <w:rPr>
          <w:rFonts w:ascii="Arial" w:cs="Arial" w:eastAsia="Arial" w:hAnsi="Arial"/>
          <w:sz w:val="17"/>
          <w:szCs w:val="17"/>
          <w:color w:val="auto"/>
        </w:rPr>
        <w:t>changes in market risk factors. Based on investments held by our equity method investments as of December 31, 2025, a 10% decline in fair values</w:t>
      </w:r>
    </w:p>
    <w:p>
      <w:pPr>
        <w:ind w:right="180"/>
        <w:spacing w:after="0" w:line="229" w:lineRule="auto"/>
        <w:rPr>
          <w:sz w:val="20"/>
          <w:szCs w:val="20"/>
          <w:color w:val="auto"/>
        </w:rPr>
      </w:pPr>
      <w:r>
        <w:rPr>
          <w:rFonts w:ascii="Arial" w:cs="Arial" w:eastAsia="Arial" w:hAnsi="Arial"/>
          <w:sz w:val="17"/>
          <w:szCs w:val="17"/>
          <w:color w:val="auto"/>
        </w:rPr>
        <w:t>of the investments held by Oaktree Capital I and Brookfield REIT would result in a $159.5 million decrease in the amount of investment income. These estimated effects are without regard to a number of factors that would be expected to increase or decrease the magnitude of the change to</w:t>
      </w:r>
    </w:p>
    <w:p>
      <w:pPr>
        <w:spacing w:after="0" w:line="1" w:lineRule="exact"/>
        <w:rPr>
          <w:sz w:val="20"/>
          <w:szCs w:val="20"/>
          <w:color w:val="auto"/>
        </w:rPr>
      </w:pPr>
    </w:p>
    <w:p>
      <w:pPr>
        <w:ind w:right="2040"/>
        <w:spacing w:after="0" w:line="456" w:lineRule="auto"/>
        <w:rPr>
          <w:sz w:val="20"/>
          <w:szCs w:val="20"/>
          <w:color w:val="auto"/>
        </w:rPr>
      </w:pPr>
      <w:r>
        <w:rPr>
          <w:rFonts w:ascii="Arial" w:cs="Arial" w:eastAsia="Arial" w:hAnsi="Arial"/>
          <w:sz w:val="17"/>
          <w:szCs w:val="17"/>
          <w:color w:val="auto"/>
        </w:rPr>
        <w:t xml:space="preserve">degrees that are not readily quantifiable, such as the timing of fund flows or the timing of new investments or realizations. </w:t>
      </w:r>
      <w:r>
        <w:rPr>
          <w:rFonts w:ascii="Arial" w:cs="Arial" w:eastAsia="Arial" w:hAnsi="Arial"/>
          <w:sz w:val="17"/>
          <w:szCs w:val="17"/>
          <w:b w:val="1"/>
          <w:bCs w:val="1"/>
          <w:color w:val="auto"/>
        </w:rPr>
        <w:t>Exchange-rate Risk</w:t>
      </w:r>
    </w:p>
    <w:p>
      <w:pPr>
        <w:spacing w:after="0" w:line="92" w:lineRule="exact"/>
        <w:rPr>
          <w:sz w:val="20"/>
          <w:szCs w:val="20"/>
          <w:color w:val="auto"/>
        </w:rPr>
      </w:pPr>
    </w:p>
    <w:p>
      <w:pPr>
        <w:ind w:right="20" w:firstLine="619"/>
        <w:spacing w:after="0" w:line="246" w:lineRule="auto"/>
        <w:rPr>
          <w:sz w:val="20"/>
          <w:szCs w:val="20"/>
          <w:color w:val="auto"/>
        </w:rPr>
      </w:pPr>
      <w:r>
        <w:rPr>
          <w:rFonts w:ascii="Arial" w:cs="Arial" w:eastAsia="Arial" w:hAnsi="Arial"/>
          <w:sz w:val="17"/>
          <w:szCs w:val="17"/>
          <w:color w:val="auto"/>
        </w:rPr>
        <w:t>Subsequent to the 2022 Restructuring and the deconsolidation of OCM Cayman, we no longer have foreign subsidiaries and the associated exchange rate risk related to those operations. At any point in time, some of the investments held by the funds we are directly and indirectly invested in may be denominated in non-U.S. dollar currencies on an unhedged basis. Changes in currency rates could affect our revenues with respect to such fund investments; however, the degree of impact is not readily determinable because of the many indirect effects that currency movements may have on individual investments.</w:t>
      </w:r>
    </w:p>
    <w:p>
      <w:pPr>
        <w:spacing w:after="0" w:line="13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Credit Risk</w:t>
      </w:r>
    </w:p>
    <w:p>
      <w:pPr>
        <w:spacing w:after="0" w:line="167" w:lineRule="exact"/>
        <w:rPr>
          <w:sz w:val="20"/>
          <w:szCs w:val="20"/>
          <w:color w:val="auto"/>
        </w:rPr>
      </w:pPr>
    </w:p>
    <w:p>
      <w:pPr>
        <w:ind w:right="80" w:firstLine="619"/>
        <w:spacing w:after="0" w:line="262" w:lineRule="auto"/>
        <w:rPr>
          <w:sz w:val="20"/>
          <w:szCs w:val="20"/>
          <w:color w:val="auto"/>
        </w:rPr>
      </w:pPr>
      <w:r>
        <w:rPr>
          <w:rFonts w:ascii="Arial" w:cs="Arial" w:eastAsia="Arial" w:hAnsi="Arial"/>
          <w:sz w:val="17"/>
          <w:szCs w:val="17"/>
          <w:color w:val="auto"/>
        </w:rPr>
        <w:t>We are party to agreements providing for various financial services and transactions that contain an element of risk in the event that the counterparties are unable to meet the terms of such agreements. In such agreements, we depend on the respective counterparty to make payment or otherwise perform. We generally endeavor to minimize our risk of exposure by limiting to reputable financial institutions the counterparties with which we enter into financial transactions. In other circumstances, availability of financing from financial institutions may be uncertain due to market events, and we may not be able to access these financing markets.</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Interest-rate Risk</w:t>
      </w:r>
    </w:p>
    <w:p>
      <w:pPr>
        <w:spacing w:after="0" w:line="167" w:lineRule="exact"/>
        <w:rPr>
          <w:sz w:val="20"/>
          <w:szCs w:val="20"/>
          <w:color w:val="auto"/>
        </w:rPr>
      </w:pPr>
    </w:p>
    <w:p>
      <w:pPr>
        <w:ind w:left="620"/>
        <w:spacing w:after="0"/>
        <w:rPr>
          <w:sz w:val="20"/>
          <w:szCs w:val="20"/>
          <w:color w:val="auto"/>
        </w:rPr>
      </w:pPr>
      <w:r>
        <w:rPr>
          <w:rFonts w:ascii="Arial" w:cs="Arial" w:eastAsia="Arial" w:hAnsi="Arial"/>
          <w:sz w:val="17"/>
          <w:szCs w:val="17"/>
          <w:color w:val="auto"/>
        </w:rPr>
        <w:t>As of December 31, 2025, the Company prior to consolidation of funds had no debt obligations outstanding.</w:t>
      </w:r>
    </w:p>
    <w:p>
      <w:pPr>
        <w:spacing w:after="0" w:line="153" w:lineRule="exact"/>
        <w:rPr>
          <w:sz w:val="20"/>
          <w:szCs w:val="20"/>
          <w:color w:val="auto"/>
        </w:rPr>
      </w:pPr>
    </w:p>
    <w:p>
      <w:pPr>
        <w:ind w:right="300" w:firstLine="619"/>
        <w:spacing w:after="0" w:line="246" w:lineRule="auto"/>
        <w:rPr>
          <w:sz w:val="20"/>
          <w:szCs w:val="20"/>
          <w:color w:val="auto"/>
        </w:rPr>
      </w:pPr>
      <w:r>
        <w:rPr>
          <w:rFonts w:ascii="Arial" w:cs="Arial" w:eastAsia="Arial" w:hAnsi="Arial"/>
          <w:sz w:val="17"/>
          <w:szCs w:val="17"/>
          <w:color w:val="auto"/>
        </w:rPr>
        <w:t>Our consolidated funds have debt obligations, most of which accrue interest at variable rates. Changes in these rates would affect the amount of interest payments that our funds would have to make, impacting future earnings and cash flows. As of December 31, 2025, the consolidated funds had $1.3 billion of principal or par value, as applicable, outstanding under these debt obligations. We estimate that interest expense relating to variable-rate debt would increase on an annualized basis by $13.2 million in the event interest rates were to increase by 100 basis points.</w:t>
      </w: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10" w:right="339" w:bottom="1440" w:gutter="0" w:footer="0" w:header="0"/>
        </w:sectPr>
      </w:pPr>
    </w:p>
    <w:bookmarkStart w:id="60" w:name="page61"/>
    <w:bookmarkEnd w:id="60"/>
    <w:p>
      <w:pPr>
        <w:ind w:firstLine="619"/>
        <w:spacing w:after="0" w:line="262" w:lineRule="auto"/>
        <w:rPr>
          <w:sz w:val="20"/>
          <w:szCs w:val="20"/>
          <w:color w:val="auto"/>
        </w:rPr>
      </w:pPr>
      <w:r>
        <w:rPr>
          <w:rFonts w:ascii="Arial" w:cs="Arial" w:eastAsia="Arial" w:hAnsi="Arial"/>
          <w:sz w:val="17"/>
          <w:szCs w:val="17"/>
          <w:color w:val="auto"/>
        </w:rPr>
        <w:t>We are also subject to interest-rate risk through the securities we hold in our consolidated funds. A 100-basis point increase in interest rates would be expected to negatively affect prices of securities that accrue interest income at fixed rates and therefore negatively impact the net change in unrealized appreciation (depreciation) on consolidated funds’ investments. The actual impact is dependent on the average duration of such holdings. Conversely, securities that accrue interest at variable rates would be expected to benefit from a 100-basis point increase in interest rates because these securities would generate higher levels of current income and therefore positively impact interest and dividend income.</w:t>
      </w:r>
    </w:p>
    <w:p>
      <w:pPr>
        <w:spacing w:after="0" w:line="200" w:lineRule="exact"/>
        <w:rPr>
          <w:sz w:val="20"/>
          <w:szCs w:val="20"/>
          <w:color w:val="auto"/>
        </w:rPr>
      </w:pPr>
    </w:p>
    <w:p>
      <w:pPr>
        <w:spacing w:after="0" w:line="29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012" w:right="359" w:bottom="1440" w:gutter="0" w:footer="0" w:header="0"/>
        </w:sectPr>
      </w:pPr>
    </w:p>
    <w:bookmarkStart w:id="61" w:name="page62"/>
    <w:bookmarkEnd w:id="61"/>
    <w:tbl>
      <w:tblPr>
        <w:tblLayout w:type="fixed"/>
        <w:tblInd w:w="0" w:type="dxa"/>
        <w:tblCellMar>
          <w:top w:w="0" w:type="dxa"/>
          <w:left w:w="0" w:type="dxa"/>
          <w:bottom w:w="0" w:type="dxa"/>
          <w:right w:w="0" w:type="dxa"/>
        </w:tblCellMar>
      </w:tblPr>
      <w:tr>
        <w:trPr>
          <w:trHeight w:val="238"/>
        </w:trPr>
        <w:tc>
          <w:tcPr>
            <w:tcW w:w="10160" w:type="dxa"/>
            <w:vAlign w:val="bottom"/>
          </w:tcPr>
          <w:p>
            <w:pPr>
              <w:spacing w:after="0"/>
              <w:rPr>
                <w:sz w:val="20"/>
                <w:szCs w:val="20"/>
                <w:color w:val="auto"/>
              </w:rPr>
            </w:pPr>
            <w:r>
              <w:rPr>
                <w:rFonts w:ascii="Arial" w:cs="Arial" w:eastAsia="Arial" w:hAnsi="Arial"/>
                <w:sz w:val="17"/>
                <w:szCs w:val="17"/>
                <w:b w:val="1"/>
                <w:bCs w:val="1"/>
                <w:color w:val="auto"/>
              </w:rPr>
              <w:t>Item 8. Financial Statements and Supplementary Data</w:t>
            </w:r>
          </w:p>
        </w:tc>
        <w:tc>
          <w:tcPr>
            <w:tcW w:w="400" w:type="dxa"/>
            <w:vAlign w:val="bottom"/>
          </w:tcPr>
          <w:p>
            <w:pPr>
              <w:spacing w:after="0"/>
              <w:rPr>
                <w:sz w:val="20"/>
                <w:szCs w:val="20"/>
                <w:color w:val="auto"/>
              </w:rPr>
            </w:pPr>
          </w:p>
        </w:tc>
      </w:tr>
      <w:tr>
        <w:trPr>
          <w:trHeight w:val="529"/>
        </w:trPr>
        <w:tc>
          <w:tcPr>
            <w:tcW w:w="10160" w:type="dxa"/>
            <w:vAlign w:val="bottom"/>
          </w:tcPr>
          <w:p>
            <w:pPr>
              <w:spacing w:after="0"/>
              <w:rPr>
                <w:sz w:val="20"/>
                <w:szCs w:val="20"/>
                <w:color w:val="auto"/>
              </w:rPr>
            </w:pPr>
            <w:r>
              <w:rPr>
                <w:rFonts w:ascii="Arial" w:cs="Arial" w:eastAsia="Arial" w:hAnsi="Arial"/>
                <w:sz w:val="17"/>
                <w:szCs w:val="17"/>
                <w:b w:val="1"/>
                <w:bCs w:val="1"/>
                <w:color w:val="auto"/>
              </w:rPr>
              <w:t>INDEX TO FINANCIAL STATEMENTS</w:t>
            </w:r>
          </w:p>
        </w:tc>
        <w:tc>
          <w:tcPr>
            <w:tcW w:w="400" w:type="dxa"/>
            <w:vAlign w:val="bottom"/>
          </w:tcPr>
          <w:p>
            <w:pPr>
              <w:spacing w:after="0"/>
              <w:rPr>
                <w:sz w:val="24"/>
                <w:szCs w:val="24"/>
                <w:color w:val="auto"/>
              </w:rPr>
            </w:pPr>
          </w:p>
        </w:tc>
      </w:tr>
      <w:tr>
        <w:trPr>
          <w:trHeight w:val="284"/>
        </w:trPr>
        <w:tc>
          <w:tcPr>
            <w:tcW w:w="10160" w:type="dxa"/>
            <w:vAlign w:val="bottom"/>
          </w:tcPr>
          <w:p>
            <w:pPr>
              <w:ind w:left="20"/>
              <w:spacing w:after="0"/>
              <w:rPr>
                <w:sz w:val="20"/>
                <w:szCs w:val="20"/>
                <w:color w:val="auto"/>
              </w:rPr>
            </w:pPr>
            <w:r>
              <w:rPr>
                <w:rFonts w:ascii="Arial" w:cs="Arial" w:eastAsia="Arial" w:hAnsi="Arial"/>
                <w:sz w:val="17"/>
                <w:szCs w:val="17"/>
                <w:b w:val="1"/>
                <w:bCs w:val="1"/>
                <w:color w:val="auto"/>
              </w:rPr>
              <w:t>Audited Consolidated Financial Statements:</w:t>
            </w:r>
          </w:p>
        </w:tc>
        <w:tc>
          <w:tcPr>
            <w:tcW w:w="40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w w:val="93"/>
              </w:rPr>
              <w:t>Page</w:t>
            </w:r>
          </w:p>
        </w:tc>
      </w:tr>
      <w:tr>
        <w:trPr>
          <w:trHeight w:val="234"/>
        </w:trPr>
        <w:tc>
          <w:tcPr>
            <w:tcW w:w="10160" w:type="dxa"/>
            <w:vAlign w:val="bottom"/>
          </w:tcPr>
          <w:p>
            <w:pPr>
              <w:ind w:left="20"/>
              <w:spacing w:after="0"/>
              <w:rPr>
                <w:sz w:val="20"/>
                <w:szCs w:val="20"/>
                <w:color w:val="auto"/>
              </w:rPr>
            </w:pPr>
            <w:r>
              <w:rPr>
                <w:rFonts w:ascii="Arial" w:cs="Arial" w:eastAsia="Arial" w:hAnsi="Arial"/>
                <w:sz w:val="17"/>
                <w:szCs w:val="17"/>
                <w:color w:val="0000FF"/>
              </w:rPr>
              <w:t xml:space="preserve">Report of Independent Registered Public Accounting Firm </w:t>
            </w:r>
            <w:r>
              <w:rPr>
                <w:rFonts w:ascii="Arial" w:cs="Arial" w:eastAsia="Arial" w:hAnsi="Arial"/>
                <w:sz w:val="17"/>
                <w:szCs w:val="17"/>
                <w:color w:val="000000"/>
              </w:rPr>
              <w:t>(PCAOB ID: 42)</w:t>
            </w:r>
          </w:p>
        </w:tc>
        <w:tc>
          <w:tcPr>
            <w:tcW w:w="400" w:type="dxa"/>
            <w:vAlign w:val="bottom"/>
          </w:tcPr>
          <w:p>
            <w:pPr>
              <w:spacing w:after="0"/>
              <w:rPr>
                <w:sz w:val="20"/>
                <w:szCs w:val="20"/>
                <w:color w:val="auto"/>
              </w:rPr>
            </w:pPr>
            <w:r>
              <w:rPr>
                <w:rFonts w:ascii="Arial" w:cs="Arial" w:eastAsia="Arial" w:hAnsi="Arial"/>
                <w:sz w:val="17"/>
                <w:szCs w:val="17"/>
                <w:color w:val="0000FF"/>
              </w:rPr>
              <w:t>63</w:t>
            </w:r>
          </w:p>
        </w:tc>
      </w:tr>
      <w:tr>
        <w:trPr>
          <w:trHeight w:val="219"/>
        </w:trPr>
        <w:tc>
          <w:tcPr>
            <w:tcW w:w="10160" w:type="dxa"/>
            <w:vAlign w:val="bottom"/>
          </w:tcPr>
          <w:p>
            <w:pPr>
              <w:ind w:left="20"/>
              <w:spacing w:after="0"/>
              <w:rPr>
                <w:sz w:val="20"/>
                <w:szCs w:val="20"/>
                <w:color w:val="auto"/>
              </w:rPr>
            </w:pPr>
            <w:r>
              <w:rPr>
                <w:rFonts w:ascii="Arial" w:cs="Arial" w:eastAsia="Arial" w:hAnsi="Arial"/>
                <w:sz w:val="17"/>
                <w:szCs w:val="17"/>
                <w:color w:val="0000FF"/>
              </w:rPr>
              <w:t>Consolidated Statements of Financial Condition as of December 31, 2025 and 2024</w:t>
            </w:r>
          </w:p>
        </w:tc>
        <w:tc>
          <w:tcPr>
            <w:tcW w:w="400" w:type="dxa"/>
            <w:vAlign w:val="bottom"/>
          </w:tcPr>
          <w:p>
            <w:pPr>
              <w:spacing w:after="0"/>
              <w:rPr>
                <w:sz w:val="20"/>
                <w:szCs w:val="20"/>
                <w:color w:val="auto"/>
              </w:rPr>
            </w:pPr>
            <w:r>
              <w:rPr>
                <w:rFonts w:ascii="Arial" w:cs="Arial" w:eastAsia="Arial" w:hAnsi="Arial"/>
                <w:sz w:val="17"/>
                <w:szCs w:val="17"/>
                <w:color w:val="0000FF"/>
              </w:rPr>
              <w:t>65</w:t>
            </w:r>
          </w:p>
        </w:tc>
      </w:tr>
      <w:tr>
        <w:trPr>
          <w:trHeight w:val="219"/>
        </w:trPr>
        <w:tc>
          <w:tcPr>
            <w:tcW w:w="10160" w:type="dxa"/>
            <w:vAlign w:val="bottom"/>
          </w:tcPr>
          <w:p>
            <w:pPr>
              <w:ind w:left="20"/>
              <w:spacing w:after="0"/>
              <w:rPr>
                <w:sz w:val="20"/>
                <w:szCs w:val="20"/>
                <w:color w:val="auto"/>
              </w:rPr>
            </w:pPr>
            <w:r>
              <w:rPr>
                <w:rFonts w:ascii="Arial" w:cs="Arial" w:eastAsia="Arial" w:hAnsi="Arial"/>
                <w:sz w:val="17"/>
                <w:szCs w:val="17"/>
                <w:color w:val="0000FF"/>
              </w:rPr>
              <w:t>Consolidated Statements of Operations for the Years Ended December 31, 2025, 2024 and 2023</w:t>
            </w:r>
          </w:p>
        </w:tc>
        <w:tc>
          <w:tcPr>
            <w:tcW w:w="400" w:type="dxa"/>
            <w:vAlign w:val="bottom"/>
          </w:tcPr>
          <w:p>
            <w:pPr>
              <w:spacing w:after="0"/>
              <w:rPr>
                <w:sz w:val="20"/>
                <w:szCs w:val="20"/>
                <w:color w:val="auto"/>
              </w:rPr>
            </w:pPr>
            <w:r>
              <w:rPr>
                <w:rFonts w:ascii="Arial" w:cs="Arial" w:eastAsia="Arial" w:hAnsi="Arial"/>
                <w:sz w:val="17"/>
                <w:szCs w:val="17"/>
                <w:color w:val="0000FF"/>
              </w:rPr>
              <w:t>66</w:t>
            </w:r>
          </w:p>
        </w:tc>
      </w:tr>
      <w:tr>
        <w:trPr>
          <w:trHeight w:val="219"/>
        </w:trPr>
        <w:tc>
          <w:tcPr>
            <w:tcW w:w="10160" w:type="dxa"/>
            <w:vAlign w:val="bottom"/>
          </w:tcPr>
          <w:p>
            <w:pPr>
              <w:ind w:left="20"/>
              <w:spacing w:after="0"/>
              <w:rPr>
                <w:sz w:val="20"/>
                <w:szCs w:val="20"/>
                <w:color w:val="auto"/>
              </w:rPr>
            </w:pPr>
            <w:r>
              <w:rPr>
                <w:rFonts w:ascii="Arial" w:cs="Arial" w:eastAsia="Arial" w:hAnsi="Arial"/>
                <w:sz w:val="17"/>
                <w:szCs w:val="17"/>
                <w:color w:val="0000FF"/>
              </w:rPr>
              <w:t>Consolidated Statements of Comprehensive Income for the Years Ended December 31, 2025, 2024 and 2023</w:t>
            </w:r>
          </w:p>
        </w:tc>
        <w:tc>
          <w:tcPr>
            <w:tcW w:w="400" w:type="dxa"/>
            <w:vAlign w:val="bottom"/>
          </w:tcPr>
          <w:p>
            <w:pPr>
              <w:spacing w:after="0"/>
              <w:rPr>
                <w:sz w:val="20"/>
                <w:szCs w:val="20"/>
                <w:color w:val="auto"/>
              </w:rPr>
            </w:pPr>
            <w:r>
              <w:rPr>
                <w:rFonts w:ascii="Arial" w:cs="Arial" w:eastAsia="Arial" w:hAnsi="Arial"/>
                <w:sz w:val="17"/>
                <w:szCs w:val="17"/>
                <w:color w:val="0000FF"/>
              </w:rPr>
              <w:t>67</w:t>
            </w:r>
          </w:p>
        </w:tc>
      </w:tr>
      <w:tr>
        <w:trPr>
          <w:trHeight w:val="219"/>
        </w:trPr>
        <w:tc>
          <w:tcPr>
            <w:tcW w:w="10160" w:type="dxa"/>
            <w:vAlign w:val="bottom"/>
          </w:tcPr>
          <w:p>
            <w:pPr>
              <w:ind w:left="20"/>
              <w:spacing w:after="0"/>
              <w:rPr>
                <w:sz w:val="20"/>
                <w:szCs w:val="20"/>
                <w:color w:val="auto"/>
              </w:rPr>
            </w:pPr>
            <w:r>
              <w:rPr>
                <w:rFonts w:ascii="Arial" w:cs="Arial" w:eastAsia="Arial" w:hAnsi="Arial"/>
                <w:sz w:val="17"/>
                <w:szCs w:val="17"/>
                <w:color w:val="0000FF"/>
              </w:rPr>
              <w:t>Consolidated Statements of Cash Flows for the Years Ended December 31, 2025, 2024 and 2023</w:t>
            </w:r>
          </w:p>
        </w:tc>
        <w:tc>
          <w:tcPr>
            <w:tcW w:w="400" w:type="dxa"/>
            <w:vAlign w:val="bottom"/>
          </w:tcPr>
          <w:p>
            <w:pPr>
              <w:spacing w:after="0"/>
              <w:rPr>
                <w:sz w:val="20"/>
                <w:szCs w:val="20"/>
                <w:color w:val="auto"/>
              </w:rPr>
            </w:pPr>
            <w:r>
              <w:rPr>
                <w:rFonts w:ascii="Arial" w:cs="Arial" w:eastAsia="Arial" w:hAnsi="Arial"/>
                <w:sz w:val="17"/>
                <w:szCs w:val="17"/>
                <w:color w:val="0000FF"/>
              </w:rPr>
              <w:t>68</w:t>
            </w:r>
          </w:p>
        </w:tc>
      </w:tr>
      <w:tr>
        <w:trPr>
          <w:trHeight w:val="219"/>
        </w:trPr>
        <w:tc>
          <w:tcPr>
            <w:tcW w:w="10160" w:type="dxa"/>
            <w:vAlign w:val="bottom"/>
          </w:tcPr>
          <w:p>
            <w:pPr>
              <w:ind w:left="20"/>
              <w:spacing w:after="0"/>
              <w:rPr>
                <w:sz w:val="20"/>
                <w:szCs w:val="20"/>
                <w:color w:val="auto"/>
              </w:rPr>
            </w:pPr>
            <w:r>
              <w:rPr>
                <w:rFonts w:ascii="Arial" w:cs="Arial" w:eastAsia="Arial" w:hAnsi="Arial"/>
                <w:sz w:val="17"/>
                <w:szCs w:val="17"/>
                <w:color w:val="0000FF"/>
              </w:rPr>
              <w:t>Consolidated Statements of Changes in Unitholders’ Capital for the Years Ended December 31, 2025, 2024 and 2023</w:t>
            </w:r>
          </w:p>
        </w:tc>
        <w:tc>
          <w:tcPr>
            <w:tcW w:w="400" w:type="dxa"/>
            <w:vAlign w:val="bottom"/>
          </w:tcPr>
          <w:p>
            <w:pPr>
              <w:spacing w:after="0"/>
              <w:rPr>
                <w:sz w:val="20"/>
                <w:szCs w:val="20"/>
                <w:color w:val="auto"/>
              </w:rPr>
            </w:pPr>
            <w:r>
              <w:rPr>
                <w:rFonts w:ascii="Arial" w:cs="Arial" w:eastAsia="Arial" w:hAnsi="Arial"/>
                <w:sz w:val="17"/>
                <w:szCs w:val="17"/>
                <w:color w:val="0000FF"/>
              </w:rPr>
              <w:t>70</w:t>
            </w:r>
          </w:p>
        </w:tc>
      </w:tr>
      <w:tr>
        <w:trPr>
          <w:trHeight w:val="226"/>
        </w:trPr>
        <w:tc>
          <w:tcPr>
            <w:tcW w:w="10160" w:type="dxa"/>
            <w:vAlign w:val="bottom"/>
          </w:tcPr>
          <w:p>
            <w:pPr>
              <w:ind w:left="20"/>
              <w:spacing w:after="0"/>
              <w:rPr>
                <w:sz w:val="20"/>
                <w:szCs w:val="20"/>
                <w:color w:val="auto"/>
              </w:rPr>
            </w:pPr>
            <w:r>
              <w:rPr>
                <w:rFonts w:ascii="Arial" w:cs="Arial" w:eastAsia="Arial" w:hAnsi="Arial"/>
                <w:sz w:val="17"/>
                <w:szCs w:val="17"/>
                <w:color w:val="0000FF"/>
              </w:rPr>
              <w:t>Notes to Consolidated Financial Statements</w:t>
            </w:r>
          </w:p>
        </w:tc>
        <w:tc>
          <w:tcPr>
            <w:tcW w:w="400" w:type="dxa"/>
            <w:vAlign w:val="bottom"/>
          </w:tcPr>
          <w:p>
            <w:pPr>
              <w:spacing w:after="0"/>
              <w:rPr>
                <w:sz w:val="20"/>
                <w:szCs w:val="20"/>
                <w:color w:val="auto"/>
              </w:rPr>
            </w:pPr>
            <w:r>
              <w:rPr>
                <w:rFonts w:ascii="Arial" w:cs="Arial" w:eastAsia="Arial" w:hAnsi="Arial"/>
                <w:sz w:val="17"/>
                <w:szCs w:val="17"/>
                <w:color w:val="0000FF"/>
              </w:rPr>
              <w:t>71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5520"/>
        <w:spacing w:after="0"/>
        <w:rPr>
          <w:sz w:val="20"/>
          <w:szCs w:val="20"/>
          <w:color w:val="auto"/>
        </w:rPr>
      </w:pPr>
      <w:r>
        <w:rPr>
          <w:rFonts w:ascii="Arial" w:cs="Arial" w:eastAsia="Arial" w:hAnsi="Arial"/>
          <w:sz w:val="17"/>
          <w:szCs w:val="17"/>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0560"/>
          </w:cols>
          <w:pgMar w:left="320" w:top="894" w:right="1019" w:bottom="1440" w:gutter="0" w:footer="0" w:header="0"/>
        </w:sectPr>
      </w:pPr>
    </w:p>
    <w:bookmarkStart w:id="62" w:name="page63"/>
    <w:bookmarkEnd w:id="62"/>
    <w:p>
      <w:pPr>
        <w:jc w:val="center"/>
        <w:spacing w:after="0"/>
        <w:rPr>
          <w:sz w:val="20"/>
          <w:szCs w:val="20"/>
          <w:color w:val="auto"/>
        </w:rPr>
      </w:pPr>
      <w:r>
        <w:rPr>
          <w:rFonts w:ascii="Arial" w:cs="Arial" w:eastAsia="Arial" w:hAnsi="Arial"/>
          <w:sz w:val="17"/>
          <w:szCs w:val="17"/>
          <w:b w:val="1"/>
          <w:bCs w:val="1"/>
          <w:color w:val="auto"/>
        </w:rPr>
        <w:t>Report of Independent Registered Public Accounting Firm</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7"/>
          <w:szCs w:val="17"/>
          <w:color w:val="auto"/>
        </w:rPr>
        <w:t>To the Unitholders and the Board of Directors of Brookfield Oaktree Holdings, LLC</w:t>
      </w:r>
    </w:p>
    <w:p>
      <w:pPr>
        <w:spacing w:after="0" w:line="24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Opinion on the Financial Statements</w:t>
      </w:r>
    </w:p>
    <w:p>
      <w:pPr>
        <w:spacing w:after="0" w:line="232" w:lineRule="exact"/>
        <w:rPr>
          <w:sz w:val="20"/>
          <w:szCs w:val="20"/>
          <w:color w:val="auto"/>
        </w:rPr>
      </w:pPr>
    </w:p>
    <w:p>
      <w:pPr>
        <w:jc w:val="both"/>
        <w:spacing w:after="0" w:line="249" w:lineRule="auto"/>
        <w:rPr>
          <w:sz w:val="20"/>
          <w:szCs w:val="20"/>
          <w:color w:val="auto"/>
        </w:rPr>
      </w:pPr>
      <w:r>
        <w:rPr>
          <w:rFonts w:ascii="Arial" w:cs="Arial" w:eastAsia="Arial" w:hAnsi="Arial"/>
          <w:sz w:val="17"/>
          <w:szCs w:val="17"/>
          <w:color w:val="auto"/>
        </w:rPr>
        <w:t>We have audited the accompanying consolidated statements of financial condition of Brookfield Oaktree Holdings, LLC (the Company) as of December 31, 2025 and 2024, and the related consolidated statements of operations, comprehensive income (loss), cash flows and changes in unitholders’ capital for each of the three years in the period ended December 31, 2025, and the related notes (collectively referred to as the “consolidated financial statements”).</w:t>
      </w:r>
    </w:p>
    <w:p>
      <w:pPr>
        <w:spacing w:after="0" w:line="194" w:lineRule="exact"/>
        <w:rPr>
          <w:sz w:val="20"/>
          <w:szCs w:val="20"/>
          <w:color w:val="auto"/>
        </w:rPr>
      </w:pPr>
    </w:p>
    <w:p>
      <w:pPr>
        <w:spacing w:after="0"/>
        <w:rPr>
          <w:sz w:val="20"/>
          <w:szCs w:val="20"/>
          <w:color w:val="auto"/>
        </w:rPr>
      </w:pPr>
      <w:r>
        <w:rPr>
          <w:rFonts w:ascii="Arial" w:cs="Arial" w:eastAsia="Arial" w:hAnsi="Arial"/>
          <w:sz w:val="17"/>
          <w:szCs w:val="17"/>
          <w:color w:val="auto"/>
        </w:rPr>
        <w:t>In our opinion, the consolidated financial statements present fairly, in all material respects, the financial position of the Company at December 31,</w:t>
      </w:r>
    </w:p>
    <w:p>
      <w:pPr>
        <w:spacing w:after="0" w:line="14" w:lineRule="exact"/>
        <w:rPr>
          <w:sz w:val="20"/>
          <w:szCs w:val="20"/>
          <w:color w:val="auto"/>
        </w:rPr>
      </w:pPr>
    </w:p>
    <w:p>
      <w:pPr>
        <w:jc w:val="both"/>
        <w:spacing w:after="0" w:line="239" w:lineRule="auto"/>
        <w:rPr>
          <w:sz w:val="20"/>
          <w:szCs w:val="20"/>
          <w:color w:val="auto"/>
        </w:rPr>
      </w:pPr>
      <w:r>
        <w:rPr>
          <w:rFonts w:ascii="Arial" w:cs="Arial" w:eastAsia="Arial" w:hAnsi="Arial"/>
          <w:sz w:val="17"/>
          <w:szCs w:val="17"/>
          <w:color w:val="auto"/>
        </w:rPr>
        <w:t>2025 and 2024, and the results of its operations and its cash flows for each of the three years in the period ended December 31, 2025, in conformity with U.S. generally accepted accounting principles.</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Basis for Opinion</w:t>
      </w:r>
    </w:p>
    <w:p>
      <w:pPr>
        <w:spacing w:after="0" w:line="232" w:lineRule="exact"/>
        <w:rPr>
          <w:sz w:val="20"/>
          <w:szCs w:val="20"/>
          <w:color w:val="auto"/>
        </w:rPr>
      </w:pPr>
    </w:p>
    <w:p>
      <w:pPr>
        <w:jc w:val="both"/>
        <w:spacing w:after="0" w:line="249" w:lineRule="auto"/>
        <w:rPr>
          <w:sz w:val="20"/>
          <w:szCs w:val="20"/>
          <w:color w:val="auto"/>
        </w:rPr>
      </w:pPr>
      <w:r>
        <w:rPr>
          <w:rFonts w:ascii="Arial" w:cs="Arial" w:eastAsia="Arial" w:hAnsi="Arial"/>
          <w:sz w:val="17"/>
          <w:szCs w:val="17"/>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94" w:lineRule="exact"/>
        <w:rPr>
          <w:sz w:val="20"/>
          <w:szCs w:val="20"/>
          <w:color w:val="auto"/>
        </w:rPr>
      </w:pPr>
    </w:p>
    <w:p>
      <w:pPr>
        <w:jc w:val="both"/>
        <w:spacing w:after="0" w:line="246"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97" w:lineRule="exact"/>
        <w:rPr>
          <w:sz w:val="20"/>
          <w:szCs w:val="20"/>
          <w:color w:val="auto"/>
        </w:rPr>
      </w:pPr>
    </w:p>
    <w:p>
      <w:pPr>
        <w:jc w:val="both"/>
        <w:spacing w:after="0" w:line="247" w:lineRule="auto"/>
        <w:rPr>
          <w:sz w:val="20"/>
          <w:szCs w:val="20"/>
          <w:color w:val="auto"/>
        </w:rPr>
      </w:pPr>
      <w:r>
        <w:rPr>
          <w:rFonts w:ascii="Arial" w:cs="Arial" w:eastAsia="Arial" w:hAnsi="Arial"/>
          <w:sz w:val="17"/>
          <w:szCs w:val="17"/>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w:t>
      </w:r>
    </w:p>
    <w:p>
      <w:pPr>
        <w:jc w:val="both"/>
        <w:spacing w:after="0" w:line="229" w:lineRule="auto"/>
        <w:rPr>
          <w:sz w:val="20"/>
          <w:szCs w:val="20"/>
          <w:color w:val="auto"/>
        </w:rPr>
      </w:pPr>
      <w:r>
        <w:rPr>
          <w:rFonts w:ascii="Arial" w:cs="Arial" w:eastAsia="Arial" w:hAnsi="Arial"/>
          <w:sz w:val="17"/>
          <w:szCs w:val="17"/>
          <w:color w:val="auto"/>
        </w:rPr>
        <w:t>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our opinion.</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Critical Audit Matter</w:t>
      </w:r>
    </w:p>
    <w:p>
      <w:pPr>
        <w:spacing w:after="0" w:line="206" w:lineRule="exact"/>
        <w:rPr>
          <w:sz w:val="20"/>
          <w:szCs w:val="20"/>
          <w:color w:val="auto"/>
        </w:rPr>
      </w:pPr>
    </w:p>
    <w:p>
      <w:pPr>
        <w:jc w:val="both"/>
        <w:spacing w:after="0" w:line="247" w:lineRule="auto"/>
        <w:rPr>
          <w:sz w:val="20"/>
          <w:szCs w:val="20"/>
          <w:color w:val="auto"/>
        </w:rPr>
      </w:pPr>
      <w:r>
        <w:rPr>
          <w:rFonts w:ascii="Arial" w:cs="Arial" w:eastAsia="Arial" w:hAnsi="Arial"/>
          <w:sz w:val="17"/>
          <w:szCs w:val="17"/>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w:t>
      </w:r>
    </w:p>
    <w:p>
      <w:pPr>
        <w:jc w:val="both"/>
        <w:ind w:firstLine="3"/>
        <w:spacing w:after="0" w:line="246" w:lineRule="auto"/>
        <w:tabs>
          <w:tab w:leader="none" w:pos="269" w:val="left"/>
        </w:tabs>
        <w:numPr>
          <w:ilvl w:val="0"/>
          <w:numId w:val="28"/>
        </w:numPr>
        <w:rPr>
          <w:rFonts w:ascii="Arial" w:cs="Arial" w:eastAsia="Arial" w:hAnsi="Arial"/>
          <w:sz w:val="17"/>
          <w:szCs w:val="17"/>
          <w:color w:val="auto"/>
        </w:rPr>
      </w:pPr>
      <w:r>
        <w:rPr>
          <w:rFonts w:ascii="Arial" w:cs="Arial" w:eastAsia="Arial" w:hAnsi="Arial"/>
          <w:sz w:val="17"/>
          <w:szCs w:val="17"/>
          <w:color w:val="auto"/>
        </w:rPr>
        <w:t>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6" w:right="339" w:bottom="1440" w:gutter="0" w:footer="0" w:header="0"/>
        </w:sectPr>
      </w:pPr>
    </w:p>
    <w:bookmarkStart w:id="63" w:name="page64"/>
    <w:bookmarkEnd w:id="63"/>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540" w:right="100"/>
        <w:spacing w:after="0"/>
        <w:rPr>
          <w:sz w:val="20"/>
          <w:szCs w:val="20"/>
          <w:color w:val="auto"/>
        </w:rPr>
      </w:pPr>
      <w:r>
        <w:rPr>
          <w:rFonts w:ascii="Arial" w:cs="Arial" w:eastAsia="Arial" w:hAnsi="Arial"/>
          <w:sz w:val="17"/>
          <w:szCs w:val="17"/>
          <w:i w:val="1"/>
          <w:iCs w:val="1"/>
          <w:color w:val="auto"/>
        </w:rPr>
        <w:t>Description of the Matter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540"/>
        <w:spacing w:after="0"/>
        <w:rPr>
          <w:sz w:val="20"/>
          <w:szCs w:val="20"/>
          <w:color w:val="auto"/>
        </w:rPr>
      </w:pPr>
      <w:r>
        <w:rPr>
          <w:rFonts w:ascii="Arial" w:cs="Arial" w:eastAsia="Arial" w:hAnsi="Arial"/>
          <w:sz w:val="17"/>
          <w:szCs w:val="17"/>
          <w:i w:val="1"/>
          <w:iCs w:val="1"/>
          <w:color w:val="auto"/>
        </w:rPr>
        <w:t>How We</w:t>
      </w:r>
    </w:p>
    <w:p>
      <w:pPr>
        <w:ind w:left="540"/>
        <w:spacing w:after="0" w:line="205" w:lineRule="auto"/>
        <w:rPr>
          <w:sz w:val="20"/>
          <w:szCs w:val="20"/>
          <w:color w:val="auto"/>
        </w:rPr>
      </w:pPr>
      <w:r>
        <w:rPr>
          <w:rFonts w:ascii="Arial" w:cs="Arial" w:eastAsia="Arial" w:hAnsi="Arial"/>
          <w:sz w:val="17"/>
          <w:szCs w:val="17"/>
          <w:i w:val="1"/>
          <w:iCs w:val="1"/>
          <w:color w:val="auto"/>
        </w:rPr>
        <w:t>Addressed the</w:t>
      </w:r>
    </w:p>
    <w:p>
      <w:pPr>
        <w:spacing w:after="0" w:line="1" w:lineRule="exact"/>
        <w:rPr>
          <w:sz w:val="20"/>
          <w:szCs w:val="20"/>
          <w:color w:val="auto"/>
        </w:rPr>
      </w:pPr>
    </w:p>
    <w:p>
      <w:pPr>
        <w:ind w:left="540"/>
        <w:spacing w:after="0"/>
        <w:rPr>
          <w:sz w:val="20"/>
          <w:szCs w:val="20"/>
          <w:color w:val="auto"/>
        </w:rPr>
      </w:pPr>
      <w:r>
        <w:rPr>
          <w:rFonts w:ascii="Arial" w:cs="Arial" w:eastAsia="Arial" w:hAnsi="Arial"/>
          <w:sz w:val="17"/>
          <w:szCs w:val="17"/>
          <w:i w:val="1"/>
          <w:iCs w:val="1"/>
          <w:color w:val="auto"/>
        </w:rPr>
        <w:t>Matter in Our Audit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b w:val="1"/>
          <w:bCs w:val="1"/>
          <w:i w:val="1"/>
          <w:iCs w:val="1"/>
          <w:color w:val="auto"/>
        </w:rPr>
        <w:t>Valuation of investments which utilize significant unobservable inputs</w:t>
      </w:r>
    </w:p>
    <w:p>
      <w:pPr>
        <w:spacing w:after="0" w:line="200" w:lineRule="exact"/>
        <w:rPr>
          <w:sz w:val="20"/>
          <w:szCs w:val="20"/>
          <w:color w:val="auto"/>
        </w:rPr>
      </w:pPr>
    </w:p>
    <w:p>
      <w:pPr>
        <w:spacing w:after="0" w:line="262" w:lineRule="exact"/>
        <w:rPr>
          <w:sz w:val="20"/>
          <w:szCs w:val="20"/>
          <w:color w:val="auto"/>
        </w:rPr>
      </w:pPr>
    </w:p>
    <w:p>
      <w:pPr>
        <w:jc w:val="both"/>
        <w:ind w:right="20"/>
        <w:spacing w:after="0" w:line="265" w:lineRule="auto"/>
        <w:rPr>
          <w:sz w:val="20"/>
          <w:szCs w:val="20"/>
          <w:color w:val="auto"/>
        </w:rPr>
      </w:pPr>
      <w:r>
        <w:rPr>
          <w:rFonts w:ascii="Arial" w:cs="Arial" w:eastAsia="Arial" w:hAnsi="Arial"/>
          <w:sz w:val="17"/>
          <w:szCs w:val="17"/>
          <w:color w:val="auto"/>
        </w:rPr>
        <w:t>At December 31, 2025, the Company’s investments included $4.4 billion of investments of consolidated funds, at fair value, categorized as Level III within the fair value hierarchy. The fair value of these fund investments is determined by management using the valuation techniques and significant unobservable inputs described in Notes 2 and 6 to the consolidated financial statements.</w:t>
      </w:r>
    </w:p>
    <w:p>
      <w:pPr>
        <w:spacing w:after="0" w:line="168" w:lineRule="exact"/>
        <w:rPr>
          <w:sz w:val="20"/>
          <w:szCs w:val="20"/>
          <w:color w:val="auto"/>
        </w:rPr>
      </w:pPr>
    </w:p>
    <w:p>
      <w:pPr>
        <w:jc w:val="both"/>
        <w:ind w:right="20"/>
        <w:spacing w:after="0" w:line="265" w:lineRule="auto"/>
        <w:rPr>
          <w:sz w:val="20"/>
          <w:szCs w:val="20"/>
          <w:color w:val="auto"/>
        </w:rPr>
      </w:pPr>
      <w:r>
        <w:rPr>
          <w:rFonts w:ascii="Arial" w:cs="Arial" w:eastAsia="Arial" w:hAnsi="Arial"/>
          <w:sz w:val="17"/>
          <w:szCs w:val="17"/>
          <w:color w:val="auto"/>
        </w:rPr>
        <w:t>Auditing the fair value of the Company’s fund investments categorized as Level III within the fair value hierarchy was complex and involved a high degree of subjectivity due to estimation uncertainty resulting from the unobservable nature of the inputs used in the valuations and the limited number of comparable market transactions for the same or similar investments.</w:t>
      </w:r>
    </w:p>
    <w:p>
      <w:pPr>
        <w:spacing w:after="0" w:line="22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obtained an understanding, evaluated the design and tested the operating effectiveness of controls over the Company’s investment valuation process, including management's assessment of the significant inputs and estimates used in the fair value measurements.</w:t>
      </w:r>
    </w:p>
    <w:p>
      <w:pPr>
        <w:spacing w:after="0" w:line="163" w:lineRule="exact"/>
        <w:rPr>
          <w:sz w:val="20"/>
          <w:szCs w:val="20"/>
          <w:color w:val="auto"/>
        </w:rPr>
      </w:pPr>
    </w:p>
    <w:p>
      <w:pPr>
        <w:jc w:val="both"/>
        <w:ind w:right="20"/>
        <w:spacing w:after="0" w:line="290" w:lineRule="auto"/>
        <w:rPr>
          <w:sz w:val="20"/>
          <w:szCs w:val="20"/>
          <w:color w:val="auto"/>
        </w:rPr>
      </w:pPr>
      <w:r>
        <w:rPr>
          <w:rFonts w:ascii="Arial" w:cs="Arial" w:eastAsia="Arial" w:hAnsi="Arial"/>
          <w:sz w:val="17"/>
          <w:szCs w:val="17"/>
          <w:color w:val="auto"/>
        </w:rPr>
        <w:t>We performed the following procedures, among others, for a sample of the Company’s fund investments categorized as Level III:</w:t>
      </w:r>
    </w:p>
    <w:p>
      <w:pPr>
        <w:spacing w:after="0" w:line="146"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We tested the mathematical accuracy of the Company’s valuation models and agreed the values in the models to the Company’s books and records. We evaluated the valuation techniques used by the Company and considered the consistency in application of the valuation techniques to each subject investment and investment class. We evaluated the reasonableness of significant unobservable inputs by comparing the inputs used by the Company against third-party sources such as recent trades, market indexes or other market data, evaluated the consistency of forecasted cash flows with historical operating results and trends and assessed the appropriateness of management’s determination of comparable companies. Where applicable, we utilized our internal valuation specialists to assist with these procedures, including developing an independent range of inputs that we compared to the inputs selected by management or an independent fair value estimate that we compared to the Company’s fair value estimate. We considered other information obtained through the audit that corroborated or contradicted the Company’s inputs or fair value measurements. We also reviewed subsequent events and transactions, including sales of investments subsequent to the balance sheet date, and considered whether they corroborated or contradicted the Company’s year-end valuations.</w:t>
      </w:r>
    </w:p>
    <w:p>
      <w:pPr>
        <w:spacing w:after="0" w:line="200" w:lineRule="exact"/>
        <w:rPr>
          <w:sz w:val="20"/>
          <w:szCs w:val="20"/>
          <w:color w:val="auto"/>
        </w:rPr>
      </w:pPr>
    </w:p>
    <w:p>
      <w:pPr>
        <w:sectPr>
          <w:pgSz w:w="11900" w:h="16838" w:orient="portrait"/>
          <w:cols w:equalWidth="0" w:num="2">
            <w:col w:w="1980" w:space="380"/>
            <w:col w:w="8320"/>
          </w:cols>
          <w:pgMar w:left="320" w:top="999" w:right="8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7"/>
          <w:szCs w:val="17"/>
          <w:color w:val="auto"/>
        </w:rPr>
        <w:t>/s/ Ernst &amp; Young LLP</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color w:val="auto"/>
        </w:rPr>
        <w:t>We have served as the Company’s auditor since 2016.</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color w:val="auto"/>
        </w:rPr>
        <w:t>Los Angeles, California</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color w:val="auto"/>
        </w:rPr>
        <w:t>March 24,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right"/>
        <w:ind w:right="4960"/>
        <w:spacing w:after="0"/>
        <w:rPr>
          <w:sz w:val="20"/>
          <w:szCs w:val="20"/>
          <w:color w:val="auto"/>
        </w:rPr>
      </w:pPr>
      <w:r>
        <w:rPr>
          <w:rFonts w:ascii="Arial" w:cs="Arial" w:eastAsia="Arial" w:hAnsi="Arial"/>
          <w:sz w:val="17"/>
          <w:szCs w:val="17"/>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0680"/>
          </w:cols>
          <w:pgMar w:left="320" w:top="999" w:right="899" w:bottom="1440" w:gutter="0" w:footer="0" w:header="0"/>
          <w:type w:val="continuous"/>
        </w:sectPr>
      </w:pPr>
    </w:p>
    <w:bookmarkStart w:id="64" w:name="page65"/>
    <w:bookmarkEnd w:id="64"/>
    <w:p>
      <w:pPr>
        <w:jc w:val="center"/>
        <w:ind w:right="40"/>
        <w:spacing w:after="0"/>
        <w:rPr>
          <w:sz w:val="20"/>
          <w:szCs w:val="20"/>
          <w:color w:val="auto"/>
        </w:rPr>
      </w:pPr>
      <w:r>
        <w:rPr>
          <w:rFonts w:ascii="Arial" w:cs="Arial" w:eastAsia="Arial" w:hAnsi="Arial"/>
          <w:sz w:val="17"/>
          <w:szCs w:val="17"/>
          <w:b w:val="1"/>
          <w:bCs w:val="1"/>
          <w:color w:val="auto"/>
        </w:rPr>
        <w:t>Brookfield Oaktree Holdings, LLC</w:t>
      </w:r>
    </w:p>
    <w:p>
      <w:pPr>
        <w:spacing w:after="0" w:line="3"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Consolidated Statements of Financial Condition</w:t>
      </w:r>
    </w:p>
    <w:p>
      <w:pPr>
        <w:spacing w:after="0" w:line="11"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 in thousands)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82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3"/>
          </w:tcPr>
          <w:p>
            <w:pPr>
              <w:jc w:val="right"/>
              <w:spacing w:after="0"/>
              <w:rPr>
                <w:sz w:val="20"/>
                <w:szCs w:val="20"/>
                <w:color w:val="auto"/>
              </w:rPr>
            </w:pPr>
            <w:r>
              <w:rPr>
                <w:rFonts w:ascii="Arial" w:cs="Arial" w:eastAsia="Arial" w:hAnsi="Arial"/>
                <w:sz w:val="12"/>
                <w:szCs w:val="12"/>
                <w:b w:val="1"/>
                <w:bCs w:val="1"/>
                <w:color w:val="auto"/>
              </w:rPr>
              <w:t>As of December 31,</w:t>
            </w:r>
          </w:p>
        </w:tc>
        <w:tc>
          <w:tcPr>
            <w:tcW w:w="9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2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512"/>
              <w:spacing w:after="0"/>
              <w:rPr>
                <w:sz w:val="20"/>
                <w:szCs w:val="20"/>
                <w:color w:val="auto"/>
              </w:rPr>
            </w:pPr>
            <w:r>
              <w:rPr>
                <w:rFonts w:ascii="Arial" w:cs="Arial" w:eastAsia="Arial" w:hAnsi="Arial"/>
                <w:sz w:val="12"/>
                <w:szCs w:val="12"/>
                <w:b w:val="1"/>
                <w:bCs w:val="1"/>
                <w:color w:val="auto"/>
              </w:rPr>
              <w:t>2025</w:t>
            </w:r>
          </w:p>
        </w:tc>
        <w:tc>
          <w:tcPr>
            <w:tcW w:w="20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512"/>
              <w:spacing w:after="0"/>
              <w:rPr>
                <w:sz w:val="20"/>
                <w:szCs w:val="20"/>
                <w:color w:val="auto"/>
              </w:rPr>
            </w:pPr>
            <w:r>
              <w:rPr>
                <w:rFonts w:ascii="Arial" w:cs="Arial" w:eastAsia="Arial" w:hAnsi="Arial"/>
                <w:sz w:val="12"/>
                <w:szCs w:val="12"/>
                <w:b w:val="1"/>
                <w:bCs w:val="1"/>
                <w:color w:val="auto"/>
              </w:rPr>
              <w:t>2024</w:t>
            </w:r>
          </w:p>
        </w:tc>
        <w:tc>
          <w:tcPr>
            <w:tcW w:w="0" w:type="dxa"/>
            <w:vAlign w:val="bottom"/>
          </w:tcPr>
          <w:p>
            <w:pPr>
              <w:spacing w:after="0"/>
              <w:rPr>
                <w:sz w:val="1"/>
                <w:szCs w:val="1"/>
                <w:color w:val="auto"/>
              </w:rPr>
            </w:pPr>
          </w:p>
        </w:tc>
      </w:tr>
      <w:tr>
        <w:trPr>
          <w:trHeight w:val="175"/>
        </w:trPr>
        <w:tc>
          <w:tcPr>
            <w:tcW w:w="8200" w:type="dxa"/>
            <w:vAlign w:val="bottom"/>
          </w:tcPr>
          <w:p>
            <w:pPr>
              <w:spacing w:after="0"/>
              <w:rPr>
                <w:sz w:val="20"/>
                <w:szCs w:val="20"/>
                <w:color w:val="auto"/>
              </w:rPr>
            </w:pPr>
            <w:r>
              <w:rPr>
                <w:rFonts w:ascii="Arial" w:cs="Arial" w:eastAsia="Arial" w:hAnsi="Arial"/>
                <w:sz w:val="14"/>
                <w:szCs w:val="14"/>
                <w:b w:val="1"/>
                <w:bCs w:val="1"/>
                <w:color w:val="auto"/>
              </w:rPr>
              <w:t>Assets</w:t>
            </w: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8200" w:type="dxa"/>
            <w:vAlign w:val="bottom"/>
          </w:tcPr>
          <w:p>
            <w:pPr>
              <w:spacing w:after="0"/>
              <w:rPr>
                <w:sz w:val="20"/>
                <w:szCs w:val="20"/>
                <w:color w:val="auto"/>
              </w:rPr>
            </w:pPr>
            <w:r>
              <w:rPr>
                <w:rFonts w:ascii="Arial" w:cs="Arial" w:eastAsia="Arial" w:hAnsi="Arial"/>
                <w:sz w:val="14"/>
                <w:szCs w:val="14"/>
                <w:color w:val="auto"/>
              </w:rPr>
              <w:t>Cash and cash-equivalents</w:t>
            </w:r>
          </w:p>
        </w:tc>
        <w:tc>
          <w:tcPr>
            <w:tcW w:w="320" w:type="dxa"/>
            <w:vAlign w:val="bottom"/>
          </w:tcPr>
          <w:p>
            <w:pPr>
              <w:jc w:val="right"/>
              <w:ind w:right="171"/>
              <w:spacing w:after="0"/>
              <w:rPr>
                <w:sz w:val="20"/>
                <w:szCs w:val="20"/>
                <w:color w:val="auto"/>
              </w:rPr>
            </w:pPr>
            <w:r>
              <w:rPr>
                <w:rFonts w:ascii="Arial" w:cs="Arial" w:eastAsia="Arial" w:hAnsi="Arial"/>
                <w:sz w:val="14"/>
                <w:szCs w:val="14"/>
                <w:color w:val="auto"/>
                <w:w w:val="76"/>
              </w:rPr>
              <w:t>$</w:t>
            </w:r>
          </w:p>
        </w:tc>
        <w:tc>
          <w:tcPr>
            <w:tcW w:w="1080" w:type="dxa"/>
            <w:vAlign w:val="bottom"/>
          </w:tcPr>
          <w:p>
            <w:pPr>
              <w:jc w:val="right"/>
              <w:ind w:right="12"/>
              <w:spacing w:after="0"/>
              <w:rPr>
                <w:sz w:val="20"/>
                <w:szCs w:val="20"/>
                <w:color w:val="auto"/>
              </w:rPr>
            </w:pPr>
            <w:r>
              <w:rPr>
                <w:rFonts w:ascii="Arial" w:cs="Arial" w:eastAsia="Arial" w:hAnsi="Arial"/>
                <w:sz w:val="14"/>
                <w:szCs w:val="14"/>
                <w:color w:val="auto"/>
              </w:rPr>
              <w:t>6,766</w:t>
            </w:r>
          </w:p>
        </w:tc>
        <w:tc>
          <w:tcPr>
            <w:tcW w:w="200" w:type="dxa"/>
            <w:vAlign w:val="bottom"/>
          </w:tcPr>
          <w:p>
            <w:pPr>
              <w:spacing w:after="0"/>
              <w:rPr>
                <w:sz w:val="16"/>
                <w:szCs w:val="16"/>
                <w:color w:val="auto"/>
              </w:rPr>
            </w:pPr>
          </w:p>
        </w:tc>
        <w:tc>
          <w:tcPr>
            <w:tcW w:w="500" w:type="dxa"/>
            <w:vAlign w:val="bottom"/>
          </w:tcPr>
          <w:p>
            <w:pPr>
              <w:jc w:val="right"/>
              <w:ind w:right="351"/>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ind w:right="12"/>
              <w:spacing w:after="0"/>
              <w:rPr>
                <w:sz w:val="20"/>
                <w:szCs w:val="20"/>
                <w:color w:val="auto"/>
              </w:rPr>
            </w:pPr>
            <w:r>
              <w:rPr>
                <w:rFonts w:ascii="Arial" w:cs="Arial" w:eastAsia="Arial" w:hAnsi="Arial"/>
                <w:sz w:val="14"/>
                <w:szCs w:val="14"/>
                <w:color w:val="auto"/>
              </w:rPr>
              <w:t>22,303</w:t>
            </w:r>
          </w:p>
        </w:tc>
        <w:tc>
          <w:tcPr>
            <w:tcW w:w="0" w:type="dxa"/>
            <w:vAlign w:val="bottom"/>
          </w:tcPr>
          <w:p>
            <w:pPr>
              <w:spacing w:after="0"/>
              <w:rPr>
                <w:sz w:val="1"/>
                <w:szCs w:val="1"/>
                <w:color w:val="auto"/>
              </w:rPr>
            </w:pPr>
          </w:p>
        </w:tc>
      </w:tr>
      <w:tr>
        <w:trPr>
          <w:trHeight w:val="193"/>
        </w:trPr>
        <w:tc>
          <w:tcPr>
            <w:tcW w:w="8200" w:type="dxa"/>
            <w:vAlign w:val="bottom"/>
          </w:tcPr>
          <w:p>
            <w:pPr>
              <w:spacing w:after="0"/>
              <w:rPr>
                <w:sz w:val="20"/>
                <w:szCs w:val="20"/>
                <w:color w:val="auto"/>
              </w:rPr>
            </w:pPr>
            <w:r>
              <w:rPr>
                <w:rFonts w:ascii="Arial" w:cs="Arial" w:eastAsia="Arial" w:hAnsi="Arial"/>
                <w:sz w:val="14"/>
                <w:szCs w:val="14"/>
                <w:color w:val="auto"/>
              </w:rPr>
              <w:t>Corporate investments (includes $310,956 and $307,825 measured at fair value as of December 31, 2025 and 2024, respectively)</w:t>
            </w:r>
          </w:p>
        </w:tc>
        <w:tc>
          <w:tcPr>
            <w:tcW w:w="320" w:type="dxa"/>
            <w:vAlign w:val="bottom"/>
          </w:tcPr>
          <w:p>
            <w:pPr>
              <w:spacing w:after="0"/>
              <w:rPr>
                <w:sz w:val="16"/>
                <w:szCs w:val="16"/>
                <w:color w:val="auto"/>
              </w:rPr>
            </w:pPr>
          </w:p>
        </w:tc>
        <w:tc>
          <w:tcPr>
            <w:tcW w:w="1080" w:type="dxa"/>
            <w:vAlign w:val="bottom"/>
          </w:tcPr>
          <w:p>
            <w:pPr>
              <w:jc w:val="right"/>
              <w:ind w:right="12"/>
              <w:spacing w:after="0"/>
              <w:rPr>
                <w:sz w:val="20"/>
                <w:szCs w:val="20"/>
                <w:color w:val="auto"/>
              </w:rPr>
            </w:pPr>
            <w:r>
              <w:rPr>
                <w:rFonts w:ascii="Arial" w:cs="Arial" w:eastAsia="Arial" w:hAnsi="Arial"/>
                <w:sz w:val="14"/>
                <w:szCs w:val="14"/>
                <w:color w:val="auto"/>
              </w:rPr>
              <w:t>1,430,773</w:t>
            </w:r>
          </w:p>
        </w:tc>
        <w:tc>
          <w:tcPr>
            <w:tcW w:w="2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00" w:type="dxa"/>
            <w:vAlign w:val="bottom"/>
          </w:tcPr>
          <w:p>
            <w:pPr>
              <w:jc w:val="right"/>
              <w:ind w:right="12"/>
              <w:spacing w:after="0"/>
              <w:rPr>
                <w:sz w:val="20"/>
                <w:szCs w:val="20"/>
                <w:color w:val="auto"/>
              </w:rPr>
            </w:pPr>
            <w:r>
              <w:rPr>
                <w:rFonts w:ascii="Arial" w:cs="Arial" w:eastAsia="Arial" w:hAnsi="Arial"/>
                <w:sz w:val="14"/>
                <w:szCs w:val="14"/>
                <w:color w:val="auto"/>
              </w:rPr>
              <w:t>1,520,260</w:t>
            </w:r>
          </w:p>
        </w:tc>
        <w:tc>
          <w:tcPr>
            <w:tcW w:w="0" w:type="dxa"/>
            <w:vAlign w:val="bottom"/>
          </w:tcPr>
          <w:p>
            <w:pPr>
              <w:spacing w:after="0"/>
              <w:rPr>
                <w:sz w:val="1"/>
                <w:szCs w:val="1"/>
                <w:color w:val="auto"/>
              </w:rPr>
            </w:pPr>
          </w:p>
        </w:tc>
      </w:tr>
      <w:tr>
        <w:trPr>
          <w:trHeight w:val="193"/>
        </w:trPr>
        <w:tc>
          <w:tcPr>
            <w:tcW w:w="8200" w:type="dxa"/>
            <w:vAlign w:val="bottom"/>
          </w:tcPr>
          <w:p>
            <w:pPr>
              <w:spacing w:after="0"/>
              <w:rPr>
                <w:sz w:val="20"/>
                <w:szCs w:val="20"/>
                <w:color w:val="auto"/>
              </w:rPr>
            </w:pPr>
            <w:r>
              <w:rPr>
                <w:rFonts w:ascii="Arial" w:cs="Arial" w:eastAsia="Arial" w:hAnsi="Arial"/>
                <w:sz w:val="14"/>
                <w:szCs w:val="14"/>
                <w:color w:val="auto"/>
              </w:rPr>
              <w:t>Due from affiliates</w:t>
            </w:r>
          </w:p>
        </w:tc>
        <w:tc>
          <w:tcPr>
            <w:tcW w:w="320" w:type="dxa"/>
            <w:vAlign w:val="bottom"/>
          </w:tcPr>
          <w:p>
            <w:pPr>
              <w:spacing w:after="0"/>
              <w:rPr>
                <w:sz w:val="16"/>
                <w:szCs w:val="16"/>
                <w:color w:val="auto"/>
              </w:rPr>
            </w:pPr>
          </w:p>
        </w:tc>
        <w:tc>
          <w:tcPr>
            <w:tcW w:w="1080" w:type="dxa"/>
            <w:vAlign w:val="bottom"/>
          </w:tcPr>
          <w:p>
            <w:pPr>
              <w:jc w:val="right"/>
              <w:ind w:right="12"/>
              <w:spacing w:after="0"/>
              <w:rPr>
                <w:sz w:val="20"/>
                <w:szCs w:val="20"/>
                <w:color w:val="auto"/>
              </w:rPr>
            </w:pPr>
            <w:r>
              <w:rPr>
                <w:rFonts w:ascii="Arial" w:cs="Arial" w:eastAsia="Arial" w:hAnsi="Arial"/>
                <w:sz w:val="14"/>
                <w:szCs w:val="14"/>
                <w:color w:val="auto"/>
              </w:rPr>
              <w:t>551</w:t>
            </w:r>
          </w:p>
        </w:tc>
        <w:tc>
          <w:tcPr>
            <w:tcW w:w="2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00" w:type="dxa"/>
            <w:vAlign w:val="bottom"/>
          </w:tcPr>
          <w:p>
            <w:pPr>
              <w:jc w:val="right"/>
              <w:ind w:right="12"/>
              <w:spacing w:after="0"/>
              <w:rPr>
                <w:sz w:val="20"/>
                <w:szCs w:val="20"/>
                <w:color w:val="auto"/>
              </w:rPr>
            </w:pPr>
            <w:r>
              <w:rPr>
                <w:rFonts w:ascii="Arial" w:cs="Arial" w:eastAsia="Arial" w:hAnsi="Arial"/>
                <w:sz w:val="14"/>
                <w:szCs w:val="14"/>
                <w:color w:val="auto"/>
              </w:rPr>
              <w:t>227</w:t>
            </w:r>
          </w:p>
        </w:tc>
        <w:tc>
          <w:tcPr>
            <w:tcW w:w="0" w:type="dxa"/>
            <w:vAlign w:val="bottom"/>
          </w:tcPr>
          <w:p>
            <w:pPr>
              <w:spacing w:after="0"/>
              <w:rPr>
                <w:sz w:val="1"/>
                <w:szCs w:val="1"/>
                <w:color w:val="auto"/>
              </w:rPr>
            </w:pPr>
          </w:p>
        </w:tc>
      </w:tr>
      <w:tr>
        <w:trPr>
          <w:trHeight w:val="193"/>
        </w:trPr>
        <w:tc>
          <w:tcPr>
            <w:tcW w:w="8200" w:type="dxa"/>
            <w:vAlign w:val="bottom"/>
          </w:tcPr>
          <w:p>
            <w:pPr>
              <w:spacing w:after="0"/>
              <w:rPr>
                <w:sz w:val="20"/>
                <w:szCs w:val="20"/>
                <w:color w:val="auto"/>
              </w:rPr>
            </w:pPr>
            <w:r>
              <w:rPr>
                <w:rFonts w:ascii="Arial" w:cs="Arial" w:eastAsia="Arial" w:hAnsi="Arial"/>
                <w:sz w:val="14"/>
                <w:szCs w:val="14"/>
                <w:color w:val="auto"/>
              </w:rPr>
              <w:t>Other assets</w:t>
            </w:r>
          </w:p>
        </w:tc>
        <w:tc>
          <w:tcPr>
            <w:tcW w:w="320" w:type="dxa"/>
            <w:vAlign w:val="bottom"/>
          </w:tcPr>
          <w:p>
            <w:pPr>
              <w:spacing w:after="0"/>
              <w:rPr>
                <w:sz w:val="16"/>
                <w:szCs w:val="16"/>
                <w:color w:val="auto"/>
              </w:rPr>
            </w:pPr>
          </w:p>
        </w:tc>
        <w:tc>
          <w:tcPr>
            <w:tcW w:w="1080" w:type="dxa"/>
            <w:vAlign w:val="bottom"/>
          </w:tcPr>
          <w:p>
            <w:pPr>
              <w:jc w:val="right"/>
              <w:ind w:right="12"/>
              <w:spacing w:after="0"/>
              <w:rPr>
                <w:sz w:val="20"/>
                <w:szCs w:val="20"/>
                <w:color w:val="auto"/>
              </w:rPr>
            </w:pPr>
            <w:r>
              <w:rPr>
                <w:rFonts w:ascii="Arial" w:cs="Arial" w:eastAsia="Arial" w:hAnsi="Arial"/>
                <w:sz w:val="14"/>
                <w:szCs w:val="14"/>
                <w:color w:val="auto"/>
              </w:rPr>
              <w:t>32,048</w:t>
            </w:r>
          </w:p>
        </w:tc>
        <w:tc>
          <w:tcPr>
            <w:tcW w:w="2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00" w:type="dxa"/>
            <w:vAlign w:val="bottom"/>
          </w:tcPr>
          <w:p>
            <w:pPr>
              <w:jc w:val="right"/>
              <w:ind w:right="12"/>
              <w:spacing w:after="0"/>
              <w:rPr>
                <w:sz w:val="20"/>
                <w:szCs w:val="20"/>
                <w:color w:val="auto"/>
              </w:rPr>
            </w:pPr>
            <w:r>
              <w:rPr>
                <w:rFonts w:ascii="Arial" w:cs="Arial" w:eastAsia="Arial" w:hAnsi="Arial"/>
                <w:sz w:val="14"/>
                <w:szCs w:val="14"/>
                <w:color w:val="auto"/>
              </w:rPr>
              <w:t>16,728</w:t>
            </w:r>
          </w:p>
        </w:tc>
        <w:tc>
          <w:tcPr>
            <w:tcW w:w="0" w:type="dxa"/>
            <w:vAlign w:val="bottom"/>
          </w:tcPr>
          <w:p>
            <w:pPr>
              <w:spacing w:after="0"/>
              <w:rPr>
                <w:sz w:val="1"/>
                <w:szCs w:val="1"/>
                <w:color w:val="auto"/>
              </w:rPr>
            </w:pPr>
          </w:p>
        </w:tc>
      </w:tr>
      <w:tr>
        <w:trPr>
          <w:trHeight w:val="193"/>
        </w:trPr>
        <w:tc>
          <w:tcPr>
            <w:tcW w:w="8200" w:type="dxa"/>
            <w:vAlign w:val="bottom"/>
          </w:tcPr>
          <w:p>
            <w:pPr>
              <w:ind w:left="300"/>
              <w:spacing w:after="0"/>
              <w:rPr>
                <w:sz w:val="20"/>
                <w:szCs w:val="20"/>
                <w:color w:val="auto"/>
              </w:rPr>
            </w:pPr>
            <w:r>
              <w:rPr>
                <w:rFonts w:ascii="Arial" w:cs="Arial" w:eastAsia="Arial" w:hAnsi="Arial"/>
                <w:sz w:val="14"/>
                <w:szCs w:val="14"/>
                <w:i w:val="1"/>
                <w:iCs w:val="1"/>
                <w:color w:val="auto"/>
              </w:rPr>
              <w:t>Assets of consolidated funds:</w:t>
            </w: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8200" w:type="dxa"/>
            <w:vAlign w:val="bottom"/>
          </w:tcPr>
          <w:p>
            <w:pPr>
              <w:spacing w:after="0"/>
              <w:rPr>
                <w:sz w:val="20"/>
                <w:szCs w:val="20"/>
                <w:color w:val="auto"/>
              </w:rPr>
            </w:pPr>
            <w:r>
              <w:rPr>
                <w:rFonts w:ascii="Arial" w:cs="Arial" w:eastAsia="Arial" w:hAnsi="Arial"/>
                <w:sz w:val="14"/>
                <w:szCs w:val="14"/>
                <w:color w:val="auto"/>
              </w:rPr>
              <w:t>Cash and cash-equivalents</w:t>
            </w:r>
          </w:p>
        </w:tc>
        <w:tc>
          <w:tcPr>
            <w:tcW w:w="320" w:type="dxa"/>
            <w:vAlign w:val="bottom"/>
          </w:tcPr>
          <w:p>
            <w:pPr>
              <w:spacing w:after="0"/>
              <w:rPr>
                <w:sz w:val="16"/>
                <w:szCs w:val="16"/>
                <w:color w:val="auto"/>
              </w:rPr>
            </w:pPr>
          </w:p>
        </w:tc>
        <w:tc>
          <w:tcPr>
            <w:tcW w:w="1080" w:type="dxa"/>
            <w:vAlign w:val="bottom"/>
          </w:tcPr>
          <w:p>
            <w:pPr>
              <w:jc w:val="right"/>
              <w:ind w:right="12"/>
              <w:spacing w:after="0"/>
              <w:rPr>
                <w:sz w:val="20"/>
                <w:szCs w:val="20"/>
                <w:color w:val="auto"/>
              </w:rPr>
            </w:pPr>
            <w:r>
              <w:rPr>
                <w:rFonts w:ascii="Arial" w:cs="Arial" w:eastAsia="Arial" w:hAnsi="Arial"/>
                <w:sz w:val="14"/>
                <w:szCs w:val="14"/>
                <w:color w:val="auto"/>
              </w:rPr>
              <w:t>183,974</w:t>
            </w:r>
          </w:p>
        </w:tc>
        <w:tc>
          <w:tcPr>
            <w:tcW w:w="2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00" w:type="dxa"/>
            <w:vAlign w:val="bottom"/>
          </w:tcPr>
          <w:p>
            <w:pPr>
              <w:jc w:val="right"/>
              <w:ind w:right="12"/>
              <w:spacing w:after="0"/>
              <w:rPr>
                <w:sz w:val="20"/>
                <w:szCs w:val="20"/>
                <w:color w:val="auto"/>
              </w:rPr>
            </w:pPr>
            <w:r>
              <w:rPr>
                <w:rFonts w:ascii="Arial" w:cs="Arial" w:eastAsia="Arial" w:hAnsi="Arial"/>
                <w:sz w:val="14"/>
                <w:szCs w:val="14"/>
                <w:color w:val="auto"/>
              </w:rPr>
              <w:t>427,548</w:t>
            </w:r>
          </w:p>
        </w:tc>
        <w:tc>
          <w:tcPr>
            <w:tcW w:w="0" w:type="dxa"/>
            <w:vAlign w:val="bottom"/>
          </w:tcPr>
          <w:p>
            <w:pPr>
              <w:spacing w:after="0"/>
              <w:rPr>
                <w:sz w:val="1"/>
                <w:szCs w:val="1"/>
                <w:color w:val="auto"/>
              </w:rPr>
            </w:pPr>
          </w:p>
        </w:tc>
      </w:tr>
      <w:tr>
        <w:trPr>
          <w:trHeight w:val="193"/>
        </w:trPr>
        <w:tc>
          <w:tcPr>
            <w:tcW w:w="8200" w:type="dxa"/>
            <w:vAlign w:val="bottom"/>
          </w:tcPr>
          <w:p>
            <w:pPr>
              <w:spacing w:after="0"/>
              <w:rPr>
                <w:sz w:val="20"/>
                <w:szCs w:val="20"/>
                <w:color w:val="auto"/>
              </w:rPr>
            </w:pPr>
            <w:r>
              <w:rPr>
                <w:rFonts w:ascii="Arial" w:cs="Arial" w:eastAsia="Arial" w:hAnsi="Arial"/>
                <w:sz w:val="14"/>
                <w:szCs w:val="14"/>
                <w:color w:val="auto"/>
              </w:rPr>
              <w:t>Investments, at fair value</w:t>
            </w:r>
          </w:p>
        </w:tc>
        <w:tc>
          <w:tcPr>
            <w:tcW w:w="320" w:type="dxa"/>
            <w:vAlign w:val="bottom"/>
          </w:tcPr>
          <w:p>
            <w:pPr>
              <w:spacing w:after="0"/>
              <w:rPr>
                <w:sz w:val="16"/>
                <w:szCs w:val="16"/>
                <w:color w:val="auto"/>
              </w:rPr>
            </w:pPr>
          </w:p>
        </w:tc>
        <w:tc>
          <w:tcPr>
            <w:tcW w:w="1080" w:type="dxa"/>
            <w:vAlign w:val="bottom"/>
          </w:tcPr>
          <w:p>
            <w:pPr>
              <w:jc w:val="right"/>
              <w:ind w:right="12"/>
              <w:spacing w:after="0"/>
              <w:rPr>
                <w:sz w:val="20"/>
                <w:szCs w:val="20"/>
                <w:color w:val="auto"/>
              </w:rPr>
            </w:pPr>
            <w:r>
              <w:rPr>
                <w:rFonts w:ascii="Arial" w:cs="Arial" w:eastAsia="Arial" w:hAnsi="Arial"/>
                <w:sz w:val="14"/>
                <w:szCs w:val="14"/>
                <w:color w:val="auto"/>
              </w:rPr>
              <w:t>5,012,977</w:t>
            </w:r>
          </w:p>
        </w:tc>
        <w:tc>
          <w:tcPr>
            <w:tcW w:w="2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00" w:type="dxa"/>
            <w:vAlign w:val="bottom"/>
          </w:tcPr>
          <w:p>
            <w:pPr>
              <w:jc w:val="right"/>
              <w:ind w:right="12"/>
              <w:spacing w:after="0"/>
              <w:rPr>
                <w:sz w:val="20"/>
                <w:szCs w:val="20"/>
                <w:color w:val="auto"/>
              </w:rPr>
            </w:pPr>
            <w:r>
              <w:rPr>
                <w:rFonts w:ascii="Arial" w:cs="Arial" w:eastAsia="Arial" w:hAnsi="Arial"/>
                <w:sz w:val="14"/>
                <w:szCs w:val="14"/>
                <w:color w:val="auto"/>
              </w:rPr>
              <w:t>4,946,862</w:t>
            </w:r>
          </w:p>
        </w:tc>
        <w:tc>
          <w:tcPr>
            <w:tcW w:w="0" w:type="dxa"/>
            <w:vAlign w:val="bottom"/>
          </w:tcPr>
          <w:p>
            <w:pPr>
              <w:spacing w:after="0"/>
              <w:rPr>
                <w:sz w:val="1"/>
                <w:szCs w:val="1"/>
                <w:color w:val="auto"/>
              </w:rPr>
            </w:pPr>
          </w:p>
        </w:tc>
      </w:tr>
      <w:tr>
        <w:trPr>
          <w:trHeight w:val="193"/>
        </w:trPr>
        <w:tc>
          <w:tcPr>
            <w:tcW w:w="8200" w:type="dxa"/>
            <w:vAlign w:val="bottom"/>
          </w:tcPr>
          <w:p>
            <w:pPr>
              <w:spacing w:after="0"/>
              <w:rPr>
                <w:sz w:val="20"/>
                <w:szCs w:val="20"/>
                <w:color w:val="auto"/>
              </w:rPr>
            </w:pPr>
            <w:r>
              <w:rPr>
                <w:rFonts w:ascii="Arial" w:cs="Arial" w:eastAsia="Arial" w:hAnsi="Arial"/>
                <w:sz w:val="14"/>
                <w:szCs w:val="14"/>
                <w:color w:val="auto"/>
              </w:rPr>
              <w:t>Dividends and interest receivable</w:t>
            </w:r>
          </w:p>
        </w:tc>
        <w:tc>
          <w:tcPr>
            <w:tcW w:w="320" w:type="dxa"/>
            <w:vAlign w:val="bottom"/>
          </w:tcPr>
          <w:p>
            <w:pPr>
              <w:spacing w:after="0"/>
              <w:rPr>
                <w:sz w:val="16"/>
                <w:szCs w:val="16"/>
                <w:color w:val="auto"/>
              </w:rPr>
            </w:pPr>
          </w:p>
        </w:tc>
        <w:tc>
          <w:tcPr>
            <w:tcW w:w="1080" w:type="dxa"/>
            <w:vAlign w:val="bottom"/>
          </w:tcPr>
          <w:p>
            <w:pPr>
              <w:jc w:val="right"/>
              <w:ind w:right="12"/>
              <w:spacing w:after="0"/>
              <w:rPr>
                <w:sz w:val="20"/>
                <w:szCs w:val="20"/>
                <w:color w:val="auto"/>
              </w:rPr>
            </w:pPr>
            <w:r>
              <w:rPr>
                <w:rFonts w:ascii="Arial" w:cs="Arial" w:eastAsia="Arial" w:hAnsi="Arial"/>
                <w:sz w:val="14"/>
                <w:szCs w:val="14"/>
                <w:color w:val="auto"/>
              </w:rPr>
              <w:t>28,033</w:t>
            </w:r>
          </w:p>
        </w:tc>
        <w:tc>
          <w:tcPr>
            <w:tcW w:w="2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00" w:type="dxa"/>
            <w:vAlign w:val="bottom"/>
          </w:tcPr>
          <w:p>
            <w:pPr>
              <w:jc w:val="right"/>
              <w:ind w:right="12"/>
              <w:spacing w:after="0"/>
              <w:rPr>
                <w:sz w:val="20"/>
                <w:szCs w:val="20"/>
                <w:color w:val="auto"/>
              </w:rPr>
            </w:pPr>
            <w:r>
              <w:rPr>
                <w:rFonts w:ascii="Arial" w:cs="Arial" w:eastAsia="Arial" w:hAnsi="Arial"/>
                <w:sz w:val="14"/>
                <w:szCs w:val="14"/>
                <w:color w:val="auto"/>
              </w:rPr>
              <w:t>34,127</w:t>
            </w:r>
          </w:p>
        </w:tc>
        <w:tc>
          <w:tcPr>
            <w:tcW w:w="0" w:type="dxa"/>
            <w:vAlign w:val="bottom"/>
          </w:tcPr>
          <w:p>
            <w:pPr>
              <w:spacing w:after="0"/>
              <w:rPr>
                <w:sz w:val="1"/>
                <w:szCs w:val="1"/>
                <w:color w:val="auto"/>
              </w:rPr>
            </w:pPr>
          </w:p>
        </w:tc>
      </w:tr>
      <w:tr>
        <w:trPr>
          <w:trHeight w:val="193"/>
        </w:trPr>
        <w:tc>
          <w:tcPr>
            <w:tcW w:w="8200" w:type="dxa"/>
            <w:vAlign w:val="bottom"/>
          </w:tcPr>
          <w:p>
            <w:pPr>
              <w:spacing w:after="0"/>
              <w:rPr>
                <w:sz w:val="20"/>
                <w:szCs w:val="20"/>
                <w:color w:val="auto"/>
              </w:rPr>
            </w:pPr>
            <w:r>
              <w:rPr>
                <w:rFonts w:ascii="Arial" w:cs="Arial" w:eastAsia="Arial" w:hAnsi="Arial"/>
                <w:sz w:val="14"/>
                <w:szCs w:val="14"/>
                <w:color w:val="auto"/>
              </w:rPr>
              <w:t>Receivable for securities sold</w:t>
            </w:r>
          </w:p>
        </w:tc>
        <w:tc>
          <w:tcPr>
            <w:tcW w:w="320" w:type="dxa"/>
            <w:vAlign w:val="bottom"/>
          </w:tcPr>
          <w:p>
            <w:pPr>
              <w:spacing w:after="0"/>
              <w:rPr>
                <w:sz w:val="16"/>
                <w:szCs w:val="16"/>
                <w:color w:val="auto"/>
              </w:rPr>
            </w:pPr>
          </w:p>
        </w:tc>
        <w:tc>
          <w:tcPr>
            <w:tcW w:w="1080" w:type="dxa"/>
            <w:vAlign w:val="bottom"/>
          </w:tcPr>
          <w:p>
            <w:pPr>
              <w:jc w:val="right"/>
              <w:ind w:right="12"/>
              <w:spacing w:after="0"/>
              <w:rPr>
                <w:sz w:val="20"/>
                <w:szCs w:val="20"/>
                <w:color w:val="auto"/>
              </w:rPr>
            </w:pPr>
            <w:r>
              <w:rPr>
                <w:rFonts w:ascii="Arial" w:cs="Arial" w:eastAsia="Arial" w:hAnsi="Arial"/>
                <w:sz w:val="14"/>
                <w:szCs w:val="14"/>
                <w:color w:val="auto"/>
              </w:rPr>
              <w:t>37,820</w:t>
            </w:r>
          </w:p>
        </w:tc>
        <w:tc>
          <w:tcPr>
            <w:tcW w:w="2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00" w:type="dxa"/>
            <w:vAlign w:val="bottom"/>
          </w:tcPr>
          <w:p>
            <w:pPr>
              <w:jc w:val="right"/>
              <w:ind w:right="12"/>
              <w:spacing w:after="0"/>
              <w:rPr>
                <w:sz w:val="20"/>
                <w:szCs w:val="20"/>
                <w:color w:val="auto"/>
              </w:rPr>
            </w:pPr>
            <w:r>
              <w:rPr>
                <w:rFonts w:ascii="Arial" w:cs="Arial" w:eastAsia="Arial" w:hAnsi="Arial"/>
                <w:sz w:val="14"/>
                <w:szCs w:val="14"/>
                <w:color w:val="auto"/>
              </w:rPr>
              <w:t>22,688</w:t>
            </w:r>
          </w:p>
        </w:tc>
        <w:tc>
          <w:tcPr>
            <w:tcW w:w="0" w:type="dxa"/>
            <w:vAlign w:val="bottom"/>
          </w:tcPr>
          <w:p>
            <w:pPr>
              <w:spacing w:after="0"/>
              <w:rPr>
                <w:sz w:val="1"/>
                <w:szCs w:val="1"/>
                <w:color w:val="auto"/>
              </w:rPr>
            </w:pPr>
          </w:p>
        </w:tc>
      </w:tr>
      <w:tr>
        <w:trPr>
          <w:trHeight w:val="193"/>
        </w:trPr>
        <w:tc>
          <w:tcPr>
            <w:tcW w:w="8200" w:type="dxa"/>
            <w:vAlign w:val="bottom"/>
          </w:tcPr>
          <w:p>
            <w:pPr>
              <w:spacing w:after="0"/>
              <w:rPr>
                <w:sz w:val="20"/>
                <w:szCs w:val="20"/>
                <w:color w:val="auto"/>
              </w:rPr>
            </w:pPr>
            <w:r>
              <w:rPr>
                <w:rFonts w:ascii="Arial" w:cs="Arial" w:eastAsia="Arial" w:hAnsi="Arial"/>
                <w:sz w:val="14"/>
                <w:szCs w:val="14"/>
                <w:color w:val="auto"/>
              </w:rPr>
              <w:t>Derivative assets, at fair value</w:t>
            </w:r>
          </w:p>
        </w:tc>
        <w:tc>
          <w:tcPr>
            <w:tcW w:w="320" w:type="dxa"/>
            <w:vAlign w:val="bottom"/>
          </w:tcPr>
          <w:p>
            <w:pPr>
              <w:spacing w:after="0"/>
              <w:rPr>
                <w:sz w:val="16"/>
                <w:szCs w:val="16"/>
                <w:color w:val="auto"/>
              </w:rPr>
            </w:pPr>
          </w:p>
        </w:tc>
        <w:tc>
          <w:tcPr>
            <w:tcW w:w="1080" w:type="dxa"/>
            <w:vAlign w:val="bottom"/>
          </w:tcPr>
          <w:p>
            <w:pPr>
              <w:jc w:val="right"/>
              <w:ind w:right="12"/>
              <w:spacing w:after="0"/>
              <w:rPr>
                <w:sz w:val="20"/>
                <w:szCs w:val="20"/>
                <w:color w:val="auto"/>
              </w:rPr>
            </w:pPr>
            <w:r>
              <w:rPr>
                <w:rFonts w:ascii="Arial" w:cs="Arial" w:eastAsia="Arial" w:hAnsi="Arial"/>
                <w:sz w:val="14"/>
                <w:szCs w:val="14"/>
                <w:color w:val="auto"/>
              </w:rPr>
              <w:t>9,070</w:t>
            </w:r>
          </w:p>
        </w:tc>
        <w:tc>
          <w:tcPr>
            <w:tcW w:w="2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00" w:type="dxa"/>
            <w:vAlign w:val="bottom"/>
          </w:tcPr>
          <w:p>
            <w:pPr>
              <w:jc w:val="right"/>
              <w:ind w:right="12"/>
              <w:spacing w:after="0"/>
              <w:rPr>
                <w:sz w:val="20"/>
                <w:szCs w:val="20"/>
                <w:color w:val="auto"/>
              </w:rPr>
            </w:pPr>
            <w:r>
              <w:rPr>
                <w:rFonts w:ascii="Arial" w:cs="Arial" w:eastAsia="Arial" w:hAnsi="Arial"/>
                <w:sz w:val="14"/>
                <w:szCs w:val="14"/>
                <w:color w:val="auto"/>
              </w:rPr>
              <w:t>33,349</w:t>
            </w:r>
          </w:p>
        </w:tc>
        <w:tc>
          <w:tcPr>
            <w:tcW w:w="0" w:type="dxa"/>
            <w:vAlign w:val="bottom"/>
          </w:tcPr>
          <w:p>
            <w:pPr>
              <w:spacing w:after="0"/>
              <w:rPr>
                <w:sz w:val="1"/>
                <w:szCs w:val="1"/>
                <w:color w:val="auto"/>
              </w:rPr>
            </w:pPr>
          </w:p>
        </w:tc>
      </w:tr>
      <w:tr>
        <w:trPr>
          <w:trHeight w:val="197"/>
        </w:trPr>
        <w:tc>
          <w:tcPr>
            <w:tcW w:w="8200" w:type="dxa"/>
            <w:vAlign w:val="bottom"/>
          </w:tcPr>
          <w:p>
            <w:pPr>
              <w:spacing w:after="0"/>
              <w:rPr>
                <w:sz w:val="20"/>
                <w:szCs w:val="20"/>
                <w:color w:val="auto"/>
              </w:rPr>
            </w:pPr>
            <w:r>
              <w:rPr>
                <w:rFonts w:ascii="Arial" w:cs="Arial" w:eastAsia="Arial" w:hAnsi="Arial"/>
                <w:sz w:val="14"/>
                <w:szCs w:val="14"/>
                <w:color w:val="auto"/>
              </w:rPr>
              <w:t>Other assets, net</w:t>
            </w: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rPr>
              <w:t>58,300</w:t>
            </w:r>
          </w:p>
        </w:tc>
        <w:tc>
          <w:tcPr>
            <w:tcW w:w="200" w:type="dxa"/>
            <w:vAlign w:val="bottom"/>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rPr>
              <w:t>49,340</w:t>
            </w:r>
          </w:p>
        </w:tc>
        <w:tc>
          <w:tcPr>
            <w:tcW w:w="0" w:type="dxa"/>
            <w:vAlign w:val="bottom"/>
          </w:tcPr>
          <w:p>
            <w:pPr>
              <w:spacing w:after="0"/>
              <w:rPr>
                <w:sz w:val="1"/>
                <w:szCs w:val="1"/>
                <w:color w:val="auto"/>
              </w:rPr>
            </w:pPr>
          </w:p>
        </w:tc>
      </w:tr>
      <w:tr>
        <w:trPr>
          <w:trHeight w:val="190"/>
        </w:trPr>
        <w:tc>
          <w:tcPr>
            <w:tcW w:w="8200" w:type="dxa"/>
            <w:vAlign w:val="bottom"/>
          </w:tcPr>
          <w:p>
            <w:pPr>
              <w:ind w:left="300"/>
              <w:spacing w:after="0"/>
              <w:rPr>
                <w:sz w:val="20"/>
                <w:szCs w:val="20"/>
                <w:color w:val="auto"/>
              </w:rPr>
            </w:pPr>
            <w:r>
              <w:rPr>
                <w:rFonts w:ascii="Arial" w:cs="Arial" w:eastAsia="Arial" w:hAnsi="Arial"/>
                <w:sz w:val="14"/>
                <w:szCs w:val="14"/>
                <w:color w:val="auto"/>
              </w:rPr>
              <w:t>Total assets</w:t>
            </w:r>
          </w:p>
        </w:tc>
        <w:tc>
          <w:tcPr>
            <w:tcW w:w="32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rPr>
              <w:t>6,800,312</w:t>
            </w:r>
          </w:p>
        </w:tc>
        <w:tc>
          <w:tcPr>
            <w:tcW w:w="200" w:type="dxa"/>
            <w:vAlign w:val="bottom"/>
          </w:tcPr>
          <w:p>
            <w:pPr>
              <w:spacing w:after="0"/>
              <w:rPr>
                <w:sz w:val="16"/>
                <w:szCs w:val="16"/>
                <w:color w:val="auto"/>
              </w:rPr>
            </w:pPr>
          </w:p>
        </w:tc>
        <w:tc>
          <w:tcPr>
            <w:tcW w:w="50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rPr>
              <w:t>7,073,432</w:t>
            </w:r>
          </w:p>
        </w:tc>
        <w:tc>
          <w:tcPr>
            <w:tcW w:w="0" w:type="dxa"/>
            <w:vAlign w:val="bottom"/>
          </w:tcPr>
          <w:p>
            <w:pPr>
              <w:spacing w:after="0"/>
              <w:rPr>
                <w:sz w:val="1"/>
                <w:szCs w:val="1"/>
                <w:color w:val="auto"/>
              </w:rPr>
            </w:pPr>
          </w:p>
        </w:tc>
      </w:tr>
      <w:tr>
        <w:trPr>
          <w:trHeight w:val="20"/>
        </w:trPr>
        <w:tc>
          <w:tcPr>
            <w:tcW w:w="8200" w:type="dxa"/>
            <w:vAlign w:val="bottom"/>
            <w:vMerge w:val="restart"/>
          </w:tcPr>
          <w:p>
            <w:pPr>
              <w:spacing w:after="0"/>
              <w:rPr>
                <w:sz w:val="20"/>
                <w:szCs w:val="20"/>
                <w:color w:val="auto"/>
              </w:rPr>
            </w:pPr>
            <w:r>
              <w:rPr>
                <w:rFonts w:ascii="Arial" w:cs="Arial" w:eastAsia="Arial" w:hAnsi="Arial"/>
                <w:sz w:val="14"/>
                <w:szCs w:val="14"/>
                <w:b w:val="1"/>
                <w:bCs w:val="1"/>
                <w:color w:val="auto"/>
              </w:rPr>
              <w:t>Liabilities and Unitholders’ Capital</w:t>
            </w: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20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8200" w:type="dxa"/>
            <w:vAlign w:val="bottom"/>
          </w:tcPr>
          <w:p>
            <w:pPr>
              <w:spacing w:after="0"/>
              <w:rPr>
                <w:sz w:val="20"/>
                <w:szCs w:val="20"/>
                <w:color w:val="auto"/>
              </w:rPr>
            </w:pPr>
            <w:r>
              <w:rPr>
                <w:rFonts w:ascii="Arial" w:cs="Arial" w:eastAsia="Arial" w:hAnsi="Arial"/>
                <w:sz w:val="14"/>
                <w:szCs w:val="14"/>
                <w:color w:val="auto"/>
              </w:rPr>
              <w:t>Liabilities:</w:t>
            </w: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8200" w:type="dxa"/>
            <w:vAlign w:val="bottom"/>
          </w:tcPr>
          <w:p>
            <w:pPr>
              <w:ind w:left="300"/>
              <w:spacing w:after="0"/>
              <w:rPr>
                <w:sz w:val="20"/>
                <w:szCs w:val="20"/>
                <w:color w:val="auto"/>
              </w:rPr>
            </w:pPr>
            <w:r>
              <w:rPr>
                <w:rFonts w:ascii="Arial" w:cs="Arial" w:eastAsia="Arial" w:hAnsi="Arial"/>
                <w:sz w:val="14"/>
                <w:szCs w:val="14"/>
                <w:color w:val="auto"/>
              </w:rPr>
              <w:t>Accrued compensation expense</w:t>
            </w:r>
          </w:p>
        </w:tc>
        <w:tc>
          <w:tcPr>
            <w:tcW w:w="320" w:type="dxa"/>
            <w:vAlign w:val="bottom"/>
          </w:tcPr>
          <w:p>
            <w:pPr>
              <w:jc w:val="right"/>
              <w:ind w:right="171"/>
              <w:spacing w:after="0"/>
              <w:rPr>
                <w:sz w:val="20"/>
                <w:szCs w:val="20"/>
                <w:color w:val="auto"/>
              </w:rPr>
            </w:pPr>
            <w:r>
              <w:rPr>
                <w:rFonts w:ascii="Arial" w:cs="Arial" w:eastAsia="Arial" w:hAnsi="Arial"/>
                <w:sz w:val="14"/>
                <w:szCs w:val="14"/>
                <w:color w:val="auto"/>
                <w:w w:val="76"/>
              </w:rPr>
              <w:t>$</w:t>
            </w:r>
          </w:p>
        </w:tc>
        <w:tc>
          <w:tcPr>
            <w:tcW w:w="1080" w:type="dxa"/>
            <w:vAlign w:val="bottom"/>
          </w:tcPr>
          <w:p>
            <w:pPr>
              <w:jc w:val="right"/>
              <w:ind w:right="12"/>
              <w:spacing w:after="0"/>
              <w:rPr>
                <w:sz w:val="20"/>
                <w:szCs w:val="20"/>
                <w:color w:val="auto"/>
              </w:rPr>
            </w:pPr>
            <w:r>
              <w:rPr>
                <w:rFonts w:ascii="Arial" w:cs="Arial" w:eastAsia="Arial" w:hAnsi="Arial"/>
                <w:sz w:val="14"/>
                <w:szCs w:val="14"/>
                <w:color w:val="auto"/>
              </w:rPr>
              <w:t>327</w:t>
            </w:r>
          </w:p>
        </w:tc>
        <w:tc>
          <w:tcPr>
            <w:tcW w:w="200" w:type="dxa"/>
            <w:vAlign w:val="bottom"/>
          </w:tcPr>
          <w:p>
            <w:pPr>
              <w:spacing w:after="0"/>
              <w:rPr>
                <w:sz w:val="16"/>
                <w:szCs w:val="16"/>
                <w:color w:val="auto"/>
              </w:rPr>
            </w:pPr>
          </w:p>
        </w:tc>
        <w:tc>
          <w:tcPr>
            <w:tcW w:w="500" w:type="dxa"/>
            <w:vAlign w:val="bottom"/>
          </w:tcPr>
          <w:p>
            <w:pPr>
              <w:jc w:val="right"/>
              <w:ind w:right="351"/>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ind w:right="12"/>
              <w:spacing w:after="0"/>
              <w:rPr>
                <w:sz w:val="20"/>
                <w:szCs w:val="20"/>
                <w:color w:val="auto"/>
              </w:rPr>
            </w:pPr>
            <w:r>
              <w:rPr>
                <w:rFonts w:ascii="Arial" w:cs="Arial" w:eastAsia="Arial" w:hAnsi="Arial"/>
                <w:sz w:val="14"/>
                <w:szCs w:val="14"/>
                <w:color w:val="auto"/>
              </w:rPr>
              <w:t>300</w:t>
            </w:r>
          </w:p>
        </w:tc>
        <w:tc>
          <w:tcPr>
            <w:tcW w:w="0" w:type="dxa"/>
            <w:vAlign w:val="bottom"/>
          </w:tcPr>
          <w:p>
            <w:pPr>
              <w:spacing w:after="0"/>
              <w:rPr>
                <w:sz w:val="1"/>
                <w:szCs w:val="1"/>
                <w:color w:val="auto"/>
              </w:rPr>
            </w:pPr>
          </w:p>
        </w:tc>
      </w:tr>
      <w:tr>
        <w:trPr>
          <w:trHeight w:val="193"/>
        </w:trPr>
        <w:tc>
          <w:tcPr>
            <w:tcW w:w="8200" w:type="dxa"/>
            <w:vAlign w:val="bottom"/>
          </w:tcPr>
          <w:p>
            <w:pPr>
              <w:ind w:left="300"/>
              <w:spacing w:after="0"/>
              <w:rPr>
                <w:sz w:val="20"/>
                <w:szCs w:val="20"/>
                <w:color w:val="auto"/>
              </w:rPr>
            </w:pPr>
            <w:r>
              <w:rPr>
                <w:rFonts w:ascii="Arial" w:cs="Arial" w:eastAsia="Arial" w:hAnsi="Arial"/>
                <w:sz w:val="14"/>
                <w:szCs w:val="14"/>
                <w:color w:val="auto"/>
              </w:rPr>
              <w:t>Accounts payable, accrued expenses and other liabilities</w:t>
            </w:r>
          </w:p>
        </w:tc>
        <w:tc>
          <w:tcPr>
            <w:tcW w:w="320" w:type="dxa"/>
            <w:vAlign w:val="bottom"/>
          </w:tcPr>
          <w:p>
            <w:pPr>
              <w:spacing w:after="0"/>
              <w:rPr>
                <w:sz w:val="16"/>
                <w:szCs w:val="16"/>
                <w:color w:val="auto"/>
              </w:rPr>
            </w:pPr>
          </w:p>
        </w:tc>
        <w:tc>
          <w:tcPr>
            <w:tcW w:w="1080" w:type="dxa"/>
            <w:vAlign w:val="bottom"/>
          </w:tcPr>
          <w:p>
            <w:pPr>
              <w:jc w:val="right"/>
              <w:ind w:right="12"/>
              <w:spacing w:after="0"/>
              <w:rPr>
                <w:sz w:val="20"/>
                <w:szCs w:val="20"/>
                <w:color w:val="auto"/>
              </w:rPr>
            </w:pPr>
            <w:r>
              <w:rPr>
                <w:rFonts w:ascii="Arial" w:cs="Arial" w:eastAsia="Arial" w:hAnsi="Arial"/>
                <w:sz w:val="14"/>
                <w:szCs w:val="14"/>
                <w:color w:val="auto"/>
              </w:rPr>
              <w:t>227</w:t>
            </w:r>
          </w:p>
        </w:tc>
        <w:tc>
          <w:tcPr>
            <w:tcW w:w="2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00" w:type="dxa"/>
            <w:vAlign w:val="bottom"/>
          </w:tcPr>
          <w:p>
            <w:pPr>
              <w:jc w:val="right"/>
              <w:ind w:right="12"/>
              <w:spacing w:after="0"/>
              <w:rPr>
                <w:sz w:val="20"/>
                <w:szCs w:val="20"/>
                <w:color w:val="auto"/>
              </w:rPr>
            </w:pPr>
            <w:r>
              <w:rPr>
                <w:rFonts w:ascii="Arial" w:cs="Arial" w:eastAsia="Arial" w:hAnsi="Arial"/>
                <w:sz w:val="14"/>
                <w:szCs w:val="14"/>
                <w:color w:val="auto"/>
              </w:rPr>
              <w:t>648</w:t>
            </w:r>
          </w:p>
        </w:tc>
        <w:tc>
          <w:tcPr>
            <w:tcW w:w="0" w:type="dxa"/>
            <w:vAlign w:val="bottom"/>
          </w:tcPr>
          <w:p>
            <w:pPr>
              <w:spacing w:after="0"/>
              <w:rPr>
                <w:sz w:val="1"/>
                <w:szCs w:val="1"/>
                <w:color w:val="auto"/>
              </w:rPr>
            </w:pPr>
          </w:p>
        </w:tc>
      </w:tr>
      <w:tr>
        <w:trPr>
          <w:trHeight w:val="193"/>
        </w:trPr>
        <w:tc>
          <w:tcPr>
            <w:tcW w:w="8200" w:type="dxa"/>
            <w:vAlign w:val="bottom"/>
          </w:tcPr>
          <w:p>
            <w:pPr>
              <w:ind w:left="300"/>
              <w:spacing w:after="0"/>
              <w:rPr>
                <w:sz w:val="20"/>
                <w:szCs w:val="20"/>
                <w:color w:val="auto"/>
              </w:rPr>
            </w:pPr>
            <w:r>
              <w:rPr>
                <w:rFonts w:ascii="Arial" w:cs="Arial" w:eastAsia="Arial" w:hAnsi="Arial"/>
                <w:sz w:val="14"/>
                <w:szCs w:val="14"/>
                <w:color w:val="auto"/>
              </w:rPr>
              <w:t>Due to affiliates</w:t>
            </w:r>
          </w:p>
        </w:tc>
        <w:tc>
          <w:tcPr>
            <w:tcW w:w="320" w:type="dxa"/>
            <w:vAlign w:val="bottom"/>
          </w:tcPr>
          <w:p>
            <w:pPr>
              <w:spacing w:after="0"/>
              <w:rPr>
                <w:sz w:val="16"/>
                <w:szCs w:val="16"/>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500" w:type="dxa"/>
            <w:vAlign w:val="bottom"/>
          </w:tcPr>
          <w:p>
            <w:pPr>
              <w:spacing w:after="0"/>
              <w:rPr>
                <w:sz w:val="16"/>
                <w:szCs w:val="16"/>
                <w:color w:val="auto"/>
              </w:rPr>
            </w:pPr>
          </w:p>
        </w:tc>
        <w:tc>
          <w:tcPr>
            <w:tcW w:w="900" w:type="dxa"/>
            <w:vAlign w:val="bottom"/>
          </w:tcPr>
          <w:p>
            <w:pPr>
              <w:jc w:val="right"/>
              <w:ind w:right="12"/>
              <w:spacing w:after="0"/>
              <w:rPr>
                <w:sz w:val="20"/>
                <w:szCs w:val="20"/>
                <w:color w:val="auto"/>
              </w:rPr>
            </w:pPr>
            <w:r>
              <w:rPr>
                <w:rFonts w:ascii="Arial" w:cs="Arial" w:eastAsia="Arial" w:hAnsi="Arial"/>
                <w:sz w:val="14"/>
                <w:szCs w:val="14"/>
                <w:color w:val="auto"/>
              </w:rPr>
              <w:t>200</w:t>
            </w:r>
          </w:p>
        </w:tc>
        <w:tc>
          <w:tcPr>
            <w:tcW w:w="0" w:type="dxa"/>
            <w:vAlign w:val="bottom"/>
          </w:tcPr>
          <w:p>
            <w:pPr>
              <w:spacing w:after="0"/>
              <w:rPr>
                <w:sz w:val="1"/>
                <w:szCs w:val="1"/>
                <w:color w:val="auto"/>
              </w:rPr>
            </w:pPr>
          </w:p>
        </w:tc>
      </w:tr>
      <w:tr>
        <w:trPr>
          <w:trHeight w:val="193"/>
        </w:trPr>
        <w:tc>
          <w:tcPr>
            <w:tcW w:w="8200" w:type="dxa"/>
            <w:vAlign w:val="bottom"/>
          </w:tcPr>
          <w:p>
            <w:pPr>
              <w:ind w:left="620"/>
              <w:spacing w:after="0"/>
              <w:rPr>
                <w:sz w:val="20"/>
                <w:szCs w:val="20"/>
                <w:color w:val="auto"/>
              </w:rPr>
            </w:pPr>
            <w:r>
              <w:rPr>
                <w:rFonts w:ascii="Arial" w:cs="Arial" w:eastAsia="Arial" w:hAnsi="Arial"/>
                <w:sz w:val="14"/>
                <w:szCs w:val="14"/>
                <w:i w:val="1"/>
                <w:iCs w:val="1"/>
                <w:color w:val="auto"/>
              </w:rPr>
              <w:t>Liabilities of consolidated funds:</w:t>
            </w: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8200" w:type="dxa"/>
            <w:vAlign w:val="bottom"/>
          </w:tcPr>
          <w:p>
            <w:pPr>
              <w:ind w:left="300"/>
              <w:spacing w:after="0"/>
              <w:rPr>
                <w:sz w:val="20"/>
                <w:szCs w:val="20"/>
                <w:color w:val="auto"/>
              </w:rPr>
            </w:pPr>
            <w:r>
              <w:rPr>
                <w:rFonts w:ascii="Arial" w:cs="Arial" w:eastAsia="Arial" w:hAnsi="Arial"/>
                <w:sz w:val="14"/>
                <w:szCs w:val="14"/>
                <w:color w:val="auto"/>
              </w:rPr>
              <w:t>Accounts payable, accrued expenses and other liabilities</w:t>
            </w:r>
          </w:p>
        </w:tc>
        <w:tc>
          <w:tcPr>
            <w:tcW w:w="320" w:type="dxa"/>
            <w:vAlign w:val="bottom"/>
          </w:tcPr>
          <w:p>
            <w:pPr>
              <w:spacing w:after="0"/>
              <w:rPr>
                <w:sz w:val="16"/>
                <w:szCs w:val="16"/>
                <w:color w:val="auto"/>
              </w:rPr>
            </w:pPr>
          </w:p>
        </w:tc>
        <w:tc>
          <w:tcPr>
            <w:tcW w:w="1080" w:type="dxa"/>
            <w:vAlign w:val="bottom"/>
          </w:tcPr>
          <w:p>
            <w:pPr>
              <w:jc w:val="right"/>
              <w:ind w:right="12"/>
              <w:spacing w:after="0"/>
              <w:rPr>
                <w:sz w:val="20"/>
                <w:szCs w:val="20"/>
                <w:color w:val="auto"/>
              </w:rPr>
            </w:pPr>
            <w:r>
              <w:rPr>
                <w:rFonts w:ascii="Arial" w:cs="Arial" w:eastAsia="Arial" w:hAnsi="Arial"/>
                <w:sz w:val="14"/>
                <w:szCs w:val="14"/>
                <w:color w:val="auto"/>
              </w:rPr>
              <w:t>14,352</w:t>
            </w:r>
          </w:p>
        </w:tc>
        <w:tc>
          <w:tcPr>
            <w:tcW w:w="2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00" w:type="dxa"/>
            <w:vAlign w:val="bottom"/>
          </w:tcPr>
          <w:p>
            <w:pPr>
              <w:jc w:val="right"/>
              <w:ind w:right="12"/>
              <w:spacing w:after="0"/>
              <w:rPr>
                <w:sz w:val="20"/>
                <w:szCs w:val="20"/>
                <w:color w:val="auto"/>
              </w:rPr>
            </w:pPr>
            <w:r>
              <w:rPr>
                <w:rFonts w:ascii="Arial" w:cs="Arial" w:eastAsia="Arial" w:hAnsi="Arial"/>
                <w:sz w:val="14"/>
                <w:szCs w:val="14"/>
                <w:color w:val="auto"/>
              </w:rPr>
              <w:t>12,981</w:t>
            </w:r>
          </w:p>
        </w:tc>
        <w:tc>
          <w:tcPr>
            <w:tcW w:w="0" w:type="dxa"/>
            <w:vAlign w:val="bottom"/>
          </w:tcPr>
          <w:p>
            <w:pPr>
              <w:spacing w:after="0"/>
              <w:rPr>
                <w:sz w:val="1"/>
                <w:szCs w:val="1"/>
                <w:color w:val="auto"/>
              </w:rPr>
            </w:pPr>
          </w:p>
        </w:tc>
      </w:tr>
      <w:tr>
        <w:trPr>
          <w:trHeight w:val="193"/>
        </w:trPr>
        <w:tc>
          <w:tcPr>
            <w:tcW w:w="8200" w:type="dxa"/>
            <w:vAlign w:val="bottom"/>
          </w:tcPr>
          <w:p>
            <w:pPr>
              <w:ind w:left="300"/>
              <w:spacing w:after="0"/>
              <w:rPr>
                <w:sz w:val="20"/>
                <w:szCs w:val="20"/>
                <w:color w:val="auto"/>
              </w:rPr>
            </w:pPr>
            <w:r>
              <w:rPr>
                <w:rFonts w:ascii="Arial" w:cs="Arial" w:eastAsia="Arial" w:hAnsi="Arial"/>
                <w:sz w:val="14"/>
                <w:szCs w:val="14"/>
                <w:color w:val="auto"/>
              </w:rPr>
              <w:t>Payables for securities purchased</w:t>
            </w:r>
          </w:p>
        </w:tc>
        <w:tc>
          <w:tcPr>
            <w:tcW w:w="320" w:type="dxa"/>
            <w:vAlign w:val="bottom"/>
          </w:tcPr>
          <w:p>
            <w:pPr>
              <w:spacing w:after="0"/>
              <w:rPr>
                <w:sz w:val="16"/>
                <w:szCs w:val="16"/>
                <w:color w:val="auto"/>
              </w:rPr>
            </w:pPr>
          </w:p>
        </w:tc>
        <w:tc>
          <w:tcPr>
            <w:tcW w:w="1080" w:type="dxa"/>
            <w:vAlign w:val="bottom"/>
          </w:tcPr>
          <w:p>
            <w:pPr>
              <w:jc w:val="right"/>
              <w:ind w:right="12"/>
              <w:spacing w:after="0"/>
              <w:rPr>
                <w:sz w:val="20"/>
                <w:szCs w:val="20"/>
                <w:color w:val="auto"/>
              </w:rPr>
            </w:pPr>
            <w:r>
              <w:rPr>
                <w:rFonts w:ascii="Arial" w:cs="Arial" w:eastAsia="Arial" w:hAnsi="Arial"/>
                <w:sz w:val="14"/>
                <w:szCs w:val="14"/>
                <w:color w:val="auto"/>
              </w:rPr>
              <w:t>79,845</w:t>
            </w:r>
          </w:p>
        </w:tc>
        <w:tc>
          <w:tcPr>
            <w:tcW w:w="2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00" w:type="dxa"/>
            <w:vAlign w:val="bottom"/>
          </w:tcPr>
          <w:p>
            <w:pPr>
              <w:jc w:val="right"/>
              <w:ind w:right="12"/>
              <w:spacing w:after="0"/>
              <w:rPr>
                <w:sz w:val="20"/>
                <w:szCs w:val="20"/>
                <w:color w:val="auto"/>
              </w:rPr>
            </w:pPr>
            <w:r>
              <w:rPr>
                <w:rFonts w:ascii="Arial" w:cs="Arial" w:eastAsia="Arial" w:hAnsi="Arial"/>
                <w:sz w:val="14"/>
                <w:szCs w:val="14"/>
                <w:color w:val="auto"/>
              </w:rPr>
              <w:t>102,607</w:t>
            </w:r>
          </w:p>
        </w:tc>
        <w:tc>
          <w:tcPr>
            <w:tcW w:w="0" w:type="dxa"/>
            <w:vAlign w:val="bottom"/>
          </w:tcPr>
          <w:p>
            <w:pPr>
              <w:spacing w:after="0"/>
              <w:rPr>
                <w:sz w:val="1"/>
                <w:szCs w:val="1"/>
                <w:color w:val="auto"/>
              </w:rPr>
            </w:pPr>
          </w:p>
        </w:tc>
      </w:tr>
      <w:tr>
        <w:trPr>
          <w:trHeight w:val="193"/>
        </w:trPr>
        <w:tc>
          <w:tcPr>
            <w:tcW w:w="8200" w:type="dxa"/>
            <w:vAlign w:val="bottom"/>
          </w:tcPr>
          <w:p>
            <w:pPr>
              <w:ind w:left="300"/>
              <w:spacing w:after="0"/>
              <w:rPr>
                <w:sz w:val="20"/>
                <w:szCs w:val="20"/>
                <w:color w:val="auto"/>
              </w:rPr>
            </w:pPr>
            <w:r>
              <w:rPr>
                <w:rFonts w:ascii="Arial" w:cs="Arial" w:eastAsia="Arial" w:hAnsi="Arial"/>
                <w:sz w:val="14"/>
                <w:szCs w:val="14"/>
                <w:color w:val="auto"/>
              </w:rPr>
              <w:t>Derivative liabilities, at fair value</w:t>
            </w:r>
          </w:p>
        </w:tc>
        <w:tc>
          <w:tcPr>
            <w:tcW w:w="320" w:type="dxa"/>
            <w:vAlign w:val="bottom"/>
          </w:tcPr>
          <w:p>
            <w:pPr>
              <w:spacing w:after="0"/>
              <w:rPr>
                <w:sz w:val="16"/>
                <w:szCs w:val="16"/>
                <w:color w:val="auto"/>
              </w:rPr>
            </w:pPr>
          </w:p>
        </w:tc>
        <w:tc>
          <w:tcPr>
            <w:tcW w:w="1080" w:type="dxa"/>
            <w:vAlign w:val="bottom"/>
          </w:tcPr>
          <w:p>
            <w:pPr>
              <w:jc w:val="right"/>
              <w:ind w:right="12"/>
              <w:spacing w:after="0"/>
              <w:rPr>
                <w:sz w:val="20"/>
                <w:szCs w:val="20"/>
                <w:color w:val="auto"/>
              </w:rPr>
            </w:pPr>
            <w:r>
              <w:rPr>
                <w:rFonts w:ascii="Arial" w:cs="Arial" w:eastAsia="Arial" w:hAnsi="Arial"/>
                <w:sz w:val="14"/>
                <w:szCs w:val="14"/>
                <w:color w:val="auto"/>
              </w:rPr>
              <w:t>48,893</w:t>
            </w:r>
          </w:p>
        </w:tc>
        <w:tc>
          <w:tcPr>
            <w:tcW w:w="2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00" w:type="dxa"/>
            <w:vAlign w:val="bottom"/>
          </w:tcPr>
          <w:p>
            <w:pPr>
              <w:jc w:val="right"/>
              <w:ind w:right="12"/>
              <w:spacing w:after="0"/>
              <w:rPr>
                <w:sz w:val="20"/>
                <w:szCs w:val="20"/>
                <w:color w:val="auto"/>
              </w:rPr>
            </w:pPr>
            <w:r>
              <w:rPr>
                <w:rFonts w:ascii="Arial" w:cs="Arial" w:eastAsia="Arial" w:hAnsi="Arial"/>
                <w:sz w:val="14"/>
                <w:szCs w:val="14"/>
                <w:color w:val="auto"/>
              </w:rPr>
              <w:t>13,385</w:t>
            </w:r>
          </w:p>
        </w:tc>
        <w:tc>
          <w:tcPr>
            <w:tcW w:w="0" w:type="dxa"/>
            <w:vAlign w:val="bottom"/>
          </w:tcPr>
          <w:p>
            <w:pPr>
              <w:spacing w:after="0"/>
              <w:rPr>
                <w:sz w:val="1"/>
                <w:szCs w:val="1"/>
                <w:color w:val="auto"/>
              </w:rPr>
            </w:pPr>
          </w:p>
        </w:tc>
      </w:tr>
      <w:tr>
        <w:trPr>
          <w:trHeight w:val="193"/>
        </w:trPr>
        <w:tc>
          <w:tcPr>
            <w:tcW w:w="8200" w:type="dxa"/>
            <w:vAlign w:val="bottom"/>
          </w:tcPr>
          <w:p>
            <w:pPr>
              <w:ind w:left="300"/>
              <w:spacing w:after="0"/>
              <w:rPr>
                <w:sz w:val="20"/>
                <w:szCs w:val="20"/>
                <w:color w:val="auto"/>
              </w:rPr>
            </w:pPr>
            <w:r>
              <w:rPr>
                <w:rFonts w:ascii="Arial" w:cs="Arial" w:eastAsia="Arial" w:hAnsi="Arial"/>
                <w:sz w:val="14"/>
                <w:szCs w:val="14"/>
                <w:color w:val="auto"/>
              </w:rPr>
              <w:t>Distributions payable</w:t>
            </w:r>
          </w:p>
        </w:tc>
        <w:tc>
          <w:tcPr>
            <w:tcW w:w="320" w:type="dxa"/>
            <w:vAlign w:val="bottom"/>
          </w:tcPr>
          <w:p>
            <w:pPr>
              <w:spacing w:after="0"/>
              <w:rPr>
                <w:sz w:val="16"/>
                <w:szCs w:val="16"/>
                <w:color w:val="auto"/>
              </w:rPr>
            </w:pPr>
          </w:p>
        </w:tc>
        <w:tc>
          <w:tcPr>
            <w:tcW w:w="1080" w:type="dxa"/>
            <w:vAlign w:val="bottom"/>
          </w:tcPr>
          <w:p>
            <w:pPr>
              <w:jc w:val="right"/>
              <w:ind w:right="12"/>
              <w:spacing w:after="0"/>
              <w:rPr>
                <w:sz w:val="20"/>
                <w:szCs w:val="20"/>
                <w:color w:val="auto"/>
              </w:rPr>
            </w:pPr>
            <w:r>
              <w:rPr>
                <w:rFonts w:ascii="Arial" w:cs="Arial" w:eastAsia="Arial" w:hAnsi="Arial"/>
                <w:sz w:val="14"/>
                <w:szCs w:val="14"/>
                <w:color w:val="auto"/>
              </w:rPr>
              <w:t>40</w:t>
            </w:r>
          </w:p>
        </w:tc>
        <w:tc>
          <w:tcPr>
            <w:tcW w:w="2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00" w:type="dxa"/>
            <w:vAlign w:val="bottom"/>
          </w:tcPr>
          <w:p>
            <w:pPr>
              <w:jc w:val="right"/>
              <w:ind w:right="12"/>
              <w:spacing w:after="0"/>
              <w:rPr>
                <w:sz w:val="20"/>
                <w:szCs w:val="20"/>
                <w:color w:val="auto"/>
              </w:rPr>
            </w:pPr>
            <w:r>
              <w:rPr>
                <w:rFonts w:ascii="Arial" w:cs="Arial" w:eastAsia="Arial" w:hAnsi="Arial"/>
                <w:sz w:val="14"/>
                <w:szCs w:val="14"/>
                <w:color w:val="auto"/>
              </w:rPr>
              <w:t>68</w:t>
            </w:r>
          </w:p>
        </w:tc>
        <w:tc>
          <w:tcPr>
            <w:tcW w:w="0" w:type="dxa"/>
            <w:vAlign w:val="bottom"/>
          </w:tcPr>
          <w:p>
            <w:pPr>
              <w:spacing w:after="0"/>
              <w:rPr>
                <w:sz w:val="1"/>
                <w:szCs w:val="1"/>
                <w:color w:val="auto"/>
              </w:rPr>
            </w:pPr>
          </w:p>
        </w:tc>
      </w:tr>
      <w:tr>
        <w:trPr>
          <w:trHeight w:val="194"/>
        </w:trPr>
        <w:tc>
          <w:tcPr>
            <w:tcW w:w="8200" w:type="dxa"/>
            <w:vAlign w:val="bottom"/>
          </w:tcPr>
          <w:p>
            <w:pPr>
              <w:ind w:left="300"/>
              <w:spacing w:after="0"/>
              <w:rPr>
                <w:sz w:val="20"/>
                <w:szCs w:val="20"/>
                <w:color w:val="auto"/>
              </w:rPr>
            </w:pPr>
            <w:r>
              <w:rPr>
                <w:rFonts w:ascii="Arial" w:cs="Arial" w:eastAsia="Arial" w:hAnsi="Arial"/>
                <w:sz w:val="14"/>
                <w:szCs w:val="14"/>
                <w:color w:val="auto"/>
              </w:rPr>
              <w:t>Debt obligations of the consolidated funds</w:t>
            </w: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rPr>
              <w:t>1,320,795</w:t>
            </w:r>
          </w:p>
        </w:tc>
        <w:tc>
          <w:tcPr>
            <w:tcW w:w="200" w:type="dxa"/>
            <w:vAlign w:val="bottom"/>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rPr>
              <w:t>1,472,795</w:t>
            </w:r>
          </w:p>
        </w:tc>
        <w:tc>
          <w:tcPr>
            <w:tcW w:w="0" w:type="dxa"/>
            <w:vAlign w:val="bottom"/>
          </w:tcPr>
          <w:p>
            <w:pPr>
              <w:spacing w:after="0"/>
              <w:rPr>
                <w:sz w:val="1"/>
                <w:szCs w:val="1"/>
                <w:color w:val="auto"/>
              </w:rPr>
            </w:pPr>
          </w:p>
        </w:tc>
      </w:tr>
      <w:tr>
        <w:trPr>
          <w:trHeight w:val="186"/>
        </w:trPr>
        <w:tc>
          <w:tcPr>
            <w:tcW w:w="8200" w:type="dxa"/>
            <w:vAlign w:val="bottom"/>
          </w:tcPr>
          <w:p>
            <w:pPr>
              <w:ind w:left="620"/>
              <w:spacing w:after="0"/>
              <w:rPr>
                <w:sz w:val="20"/>
                <w:szCs w:val="20"/>
                <w:color w:val="auto"/>
              </w:rPr>
            </w:pPr>
            <w:r>
              <w:rPr>
                <w:rFonts w:ascii="Arial" w:cs="Arial" w:eastAsia="Arial" w:hAnsi="Arial"/>
                <w:sz w:val="14"/>
                <w:szCs w:val="14"/>
                <w:color w:val="auto"/>
              </w:rPr>
              <w:t>Total liabilities</w:t>
            </w: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rPr>
              <w:t>1,464,479</w:t>
            </w:r>
          </w:p>
        </w:tc>
        <w:tc>
          <w:tcPr>
            <w:tcW w:w="200" w:type="dxa"/>
            <w:vAlign w:val="bottom"/>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rPr>
              <w:t>1,602,984</w:t>
            </w:r>
          </w:p>
        </w:tc>
        <w:tc>
          <w:tcPr>
            <w:tcW w:w="0" w:type="dxa"/>
            <w:vAlign w:val="bottom"/>
          </w:tcPr>
          <w:p>
            <w:pPr>
              <w:spacing w:after="0"/>
              <w:rPr>
                <w:sz w:val="1"/>
                <w:szCs w:val="1"/>
                <w:color w:val="auto"/>
              </w:rPr>
            </w:pPr>
          </w:p>
        </w:tc>
      </w:tr>
      <w:tr>
        <w:trPr>
          <w:trHeight w:val="173"/>
        </w:trPr>
        <w:tc>
          <w:tcPr>
            <w:tcW w:w="8200" w:type="dxa"/>
            <w:vAlign w:val="bottom"/>
          </w:tcPr>
          <w:p>
            <w:pPr>
              <w:spacing w:after="0"/>
              <w:rPr>
                <w:sz w:val="20"/>
                <w:szCs w:val="20"/>
                <w:color w:val="auto"/>
              </w:rPr>
            </w:pPr>
            <w:r>
              <w:rPr>
                <w:rFonts w:ascii="Arial" w:cs="Arial" w:eastAsia="Arial" w:hAnsi="Arial"/>
                <w:sz w:val="14"/>
                <w:szCs w:val="14"/>
                <w:color w:val="auto"/>
              </w:rPr>
              <w:t>Commitments and contingencies (Note 14)</w:t>
            </w: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8200" w:type="dxa"/>
            <w:vAlign w:val="bottom"/>
          </w:tcPr>
          <w:p>
            <w:pPr>
              <w:spacing w:after="0"/>
              <w:rPr>
                <w:sz w:val="20"/>
                <w:szCs w:val="20"/>
                <w:color w:val="auto"/>
              </w:rPr>
            </w:pPr>
            <w:r>
              <w:rPr>
                <w:rFonts w:ascii="Arial" w:cs="Arial" w:eastAsia="Arial" w:hAnsi="Arial"/>
                <w:sz w:val="14"/>
                <w:szCs w:val="14"/>
                <w:color w:val="auto"/>
              </w:rPr>
              <w:t>Non-controlling redeemable interests in consolidated funds</w:t>
            </w: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rPr>
              <w:t>3,071,611</w:t>
            </w:r>
          </w:p>
        </w:tc>
        <w:tc>
          <w:tcPr>
            <w:tcW w:w="200" w:type="dxa"/>
            <w:vAlign w:val="bottom"/>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rPr>
              <w:t>3,069,084</w:t>
            </w:r>
          </w:p>
        </w:tc>
        <w:tc>
          <w:tcPr>
            <w:tcW w:w="0" w:type="dxa"/>
            <w:vAlign w:val="bottom"/>
          </w:tcPr>
          <w:p>
            <w:pPr>
              <w:spacing w:after="0"/>
              <w:rPr>
                <w:sz w:val="1"/>
                <w:szCs w:val="1"/>
                <w:color w:val="auto"/>
              </w:rPr>
            </w:pPr>
          </w:p>
        </w:tc>
      </w:tr>
      <w:tr>
        <w:trPr>
          <w:trHeight w:val="186"/>
        </w:trPr>
        <w:tc>
          <w:tcPr>
            <w:tcW w:w="8200" w:type="dxa"/>
            <w:vAlign w:val="bottom"/>
          </w:tcPr>
          <w:p>
            <w:pPr>
              <w:spacing w:after="0"/>
              <w:rPr>
                <w:sz w:val="20"/>
                <w:szCs w:val="20"/>
                <w:color w:val="auto"/>
              </w:rPr>
            </w:pPr>
            <w:r>
              <w:rPr>
                <w:rFonts w:ascii="Arial" w:cs="Arial" w:eastAsia="Arial" w:hAnsi="Arial"/>
                <w:sz w:val="14"/>
                <w:szCs w:val="14"/>
                <w:color w:val="auto"/>
              </w:rPr>
              <w:t>Unitholders’ capital:</w:t>
            </w: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8200" w:type="dxa"/>
            <w:vAlign w:val="bottom"/>
          </w:tcPr>
          <w:p>
            <w:pPr>
              <w:ind w:left="300"/>
              <w:spacing w:after="0"/>
              <w:rPr>
                <w:sz w:val="20"/>
                <w:szCs w:val="20"/>
                <w:color w:val="auto"/>
              </w:rPr>
            </w:pPr>
            <w:r>
              <w:rPr>
                <w:rFonts w:ascii="Arial" w:cs="Arial" w:eastAsia="Arial" w:hAnsi="Arial"/>
                <w:sz w:val="14"/>
                <w:szCs w:val="14"/>
                <w:color w:val="auto"/>
              </w:rPr>
              <w:t>Series A preferred units, 7,200,000 units issued and outstanding as of December 31, 2025 and 2024, respectively</w:t>
            </w:r>
          </w:p>
        </w:tc>
        <w:tc>
          <w:tcPr>
            <w:tcW w:w="320" w:type="dxa"/>
            <w:vAlign w:val="bottom"/>
          </w:tcPr>
          <w:p>
            <w:pPr>
              <w:spacing w:after="0"/>
              <w:rPr>
                <w:sz w:val="16"/>
                <w:szCs w:val="16"/>
                <w:color w:val="auto"/>
              </w:rPr>
            </w:pPr>
          </w:p>
        </w:tc>
        <w:tc>
          <w:tcPr>
            <w:tcW w:w="1080" w:type="dxa"/>
            <w:vAlign w:val="bottom"/>
          </w:tcPr>
          <w:p>
            <w:pPr>
              <w:jc w:val="right"/>
              <w:ind w:right="12"/>
              <w:spacing w:after="0"/>
              <w:rPr>
                <w:sz w:val="20"/>
                <w:szCs w:val="20"/>
                <w:color w:val="auto"/>
              </w:rPr>
            </w:pPr>
            <w:r>
              <w:rPr>
                <w:rFonts w:ascii="Arial" w:cs="Arial" w:eastAsia="Arial" w:hAnsi="Arial"/>
                <w:sz w:val="14"/>
                <w:szCs w:val="14"/>
                <w:color w:val="auto"/>
              </w:rPr>
              <w:t>173,669</w:t>
            </w:r>
          </w:p>
        </w:tc>
        <w:tc>
          <w:tcPr>
            <w:tcW w:w="2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00" w:type="dxa"/>
            <w:vAlign w:val="bottom"/>
          </w:tcPr>
          <w:p>
            <w:pPr>
              <w:jc w:val="right"/>
              <w:ind w:right="12"/>
              <w:spacing w:after="0"/>
              <w:rPr>
                <w:sz w:val="20"/>
                <w:szCs w:val="20"/>
                <w:color w:val="auto"/>
              </w:rPr>
            </w:pPr>
            <w:r>
              <w:rPr>
                <w:rFonts w:ascii="Arial" w:cs="Arial" w:eastAsia="Arial" w:hAnsi="Arial"/>
                <w:sz w:val="14"/>
                <w:szCs w:val="14"/>
                <w:color w:val="auto"/>
              </w:rPr>
              <w:t>173,669</w:t>
            </w:r>
          </w:p>
        </w:tc>
        <w:tc>
          <w:tcPr>
            <w:tcW w:w="0" w:type="dxa"/>
            <w:vAlign w:val="bottom"/>
          </w:tcPr>
          <w:p>
            <w:pPr>
              <w:spacing w:after="0"/>
              <w:rPr>
                <w:sz w:val="1"/>
                <w:szCs w:val="1"/>
                <w:color w:val="auto"/>
              </w:rPr>
            </w:pPr>
          </w:p>
        </w:tc>
      </w:tr>
      <w:tr>
        <w:trPr>
          <w:trHeight w:val="193"/>
        </w:trPr>
        <w:tc>
          <w:tcPr>
            <w:tcW w:w="8200" w:type="dxa"/>
            <w:vAlign w:val="bottom"/>
          </w:tcPr>
          <w:p>
            <w:pPr>
              <w:ind w:left="300"/>
              <w:spacing w:after="0"/>
              <w:rPr>
                <w:sz w:val="20"/>
                <w:szCs w:val="20"/>
                <w:color w:val="auto"/>
              </w:rPr>
            </w:pPr>
            <w:r>
              <w:rPr>
                <w:rFonts w:ascii="Arial" w:cs="Arial" w:eastAsia="Arial" w:hAnsi="Arial"/>
                <w:sz w:val="14"/>
                <w:szCs w:val="14"/>
                <w:color w:val="auto"/>
              </w:rPr>
              <w:t>Series B preferred units, 9,400,000 units issued and outstanding as of December 31, 2025 and 2024, respectively</w:t>
            </w:r>
          </w:p>
        </w:tc>
        <w:tc>
          <w:tcPr>
            <w:tcW w:w="320" w:type="dxa"/>
            <w:vAlign w:val="bottom"/>
          </w:tcPr>
          <w:p>
            <w:pPr>
              <w:spacing w:after="0"/>
              <w:rPr>
                <w:sz w:val="16"/>
                <w:szCs w:val="16"/>
                <w:color w:val="auto"/>
              </w:rPr>
            </w:pPr>
          </w:p>
        </w:tc>
        <w:tc>
          <w:tcPr>
            <w:tcW w:w="1080" w:type="dxa"/>
            <w:vAlign w:val="bottom"/>
          </w:tcPr>
          <w:p>
            <w:pPr>
              <w:jc w:val="right"/>
              <w:ind w:right="12"/>
              <w:spacing w:after="0"/>
              <w:rPr>
                <w:sz w:val="20"/>
                <w:szCs w:val="20"/>
                <w:color w:val="auto"/>
              </w:rPr>
            </w:pPr>
            <w:r>
              <w:rPr>
                <w:rFonts w:ascii="Arial" w:cs="Arial" w:eastAsia="Arial" w:hAnsi="Arial"/>
                <w:sz w:val="14"/>
                <w:szCs w:val="14"/>
                <w:color w:val="auto"/>
              </w:rPr>
              <w:t>226,915</w:t>
            </w:r>
          </w:p>
        </w:tc>
        <w:tc>
          <w:tcPr>
            <w:tcW w:w="2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00" w:type="dxa"/>
            <w:vAlign w:val="bottom"/>
          </w:tcPr>
          <w:p>
            <w:pPr>
              <w:jc w:val="right"/>
              <w:ind w:right="12"/>
              <w:spacing w:after="0"/>
              <w:rPr>
                <w:sz w:val="20"/>
                <w:szCs w:val="20"/>
                <w:color w:val="auto"/>
              </w:rPr>
            </w:pPr>
            <w:r>
              <w:rPr>
                <w:rFonts w:ascii="Arial" w:cs="Arial" w:eastAsia="Arial" w:hAnsi="Arial"/>
                <w:sz w:val="14"/>
                <w:szCs w:val="14"/>
                <w:color w:val="auto"/>
              </w:rPr>
              <w:t>226,915</w:t>
            </w:r>
          </w:p>
        </w:tc>
        <w:tc>
          <w:tcPr>
            <w:tcW w:w="0" w:type="dxa"/>
            <w:vAlign w:val="bottom"/>
          </w:tcPr>
          <w:p>
            <w:pPr>
              <w:spacing w:after="0"/>
              <w:rPr>
                <w:sz w:val="1"/>
                <w:szCs w:val="1"/>
                <w:color w:val="auto"/>
              </w:rPr>
            </w:pPr>
          </w:p>
        </w:tc>
      </w:tr>
      <w:tr>
        <w:trPr>
          <w:trHeight w:val="155"/>
        </w:trPr>
        <w:tc>
          <w:tcPr>
            <w:tcW w:w="8200" w:type="dxa"/>
            <w:vAlign w:val="bottom"/>
          </w:tcPr>
          <w:p>
            <w:pPr>
              <w:ind w:left="300"/>
              <w:spacing w:after="0" w:line="155" w:lineRule="exact"/>
              <w:rPr>
                <w:sz w:val="20"/>
                <w:szCs w:val="20"/>
                <w:color w:val="auto"/>
              </w:rPr>
            </w:pPr>
            <w:r>
              <w:rPr>
                <w:rFonts w:ascii="Arial" w:cs="Arial" w:eastAsia="Arial" w:hAnsi="Arial"/>
                <w:sz w:val="14"/>
                <w:szCs w:val="14"/>
                <w:color w:val="auto"/>
              </w:rPr>
              <w:t>Class A units, no par value, unlimited units authorized, 118,832,320 and 116,373,234 units issued and outstanding as of</w:t>
            </w:r>
          </w:p>
        </w:tc>
        <w:tc>
          <w:tcPr>
            <w:tcW w:w="320" w:type="dxa"/>
            <w:vAlign w:val="bottom"/>
          </w:tcPr>
          <w:p>
            <w:pPr>
              <w:spacing w:after="0"/>
              <w:rPr>
                <w:sz w:val="13"/>
                <w:szCs w:val="13"/>
                <w:color w:val="auto"/>
              </w:rPr>
            </w:pPr>
          </w:p>
        </w:tc>
        <w:tc>
          <w:tcPr>
            <w:tcW w:w="1280" w:type="dxa"/>
            <w:vAlign w:val="bottom"/>
            <w:gridSpan w:val="2"/>
            <w:vMerge w:val="restart"/>
          </w:tcPr>
          <w:p>
            <w:pPr>
              <w:jc w:val="right"/>
              <w:ind w:right="280"/>
              <w:spacing w:after="0"/>
              <w:rPr>
                <w:sz w:val="20"/>
                <w:szCs w:val="20"/>
                <w:color w:val="auto"/>
              </w:rPr>
            </w:pPr>
            <w:r>
              <w:rPr>
                <w:rFonts w:ascii="Arial" w:cs="Arial" w:eastAsia="Arial" w:hAnsi="Arial"/>
                <w:sz w:val="14"/>
                <w:szCs w:val="14"/>
                <w:color w:val="auto"/>
              </w:rPr>
              <w:t>—</w:t>
            </w:r>
          </w:p>
        </w:tc>
        <w:tc>
          <w:tcPr>
            <w:tcW w:w="500" w:type="dxa"/>
            <w:vAlign w:val="bottom"/>
          </w:tcPr>
          <w:p>
            <w:pPr>
              <w:spacing w:after="0"/>
              <w:rPr>
                <w:sz w:val="13"/>
                <w:szCs w:val="13"/>
                <w:color w:val="auto"/>
              </w:rPr>
            </w:pPr>
          </w:p>
        </w:tc>
        <w:tc>
          <w:tcPr>
            <w:tcW w:w="900" w:type="dxa"/>
            <w:vAlign w:val="bottom"/>
            <w:vMerge w:val="restart"/>
          </w:tcPr>
          <w:p>
            <w:pPr>
              <w:jc w:val="right"/>
              <w:ind w:right="12"/>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8200" w:type="dxa"/>
            <w:vAlign w:val="bottom"/>
          </w:tcPr>
          <w:p>
            <w:pPr>
              <w:ind w:left="460"/>
              <w:spacing w:after="0"/>
              <w:rPr>
                <w:sz w:val="20"/>
                <w:szCs w:val="20"/>
                <w:color w:val="auto"/>
              </w:rPr>
            </w:pPr>
            <w:r>
              <w:rPr>
                <w:rFonts w:ascii="Arial" w:cs="Arial" w:eastAsia="Arial" w:hAnsi="Arial"/>
                <w:sz w:val="14"/>
                <w:szCs w:val="14"/>
                <w:color w:val="auto"/>
              </w:rPr>
              <w:t>December 31, 2025 and 2024, respectively</w:t>
            </w:r>
          </w:p>
        </w:tc>
        <w:tc>
          <w:tcPr>
            <w:tcW w:w="320" w:type="dxa"/>
            <w:vAlign w:val="bottom"/>
          </w:tcPr>
          <w:p>
            <w:pPr>
              <w:spacing w:after="0"/>
              <w:rPr>
                <w:sz w:val="15"/>
                <w:szCs w:val="15"/>
                <w:color w:val="auto"/>
              </w:rPr>
            </w:pPr>
          </w:p>
        </w:tc>
        <w:tc>
          <w:tcPr>
            <w:tcW w:w="1280" w:type="dxa"/>
            <w:vAlign w:val="bottom"/>
            <w:gridSpan w:val="2"/>
            <w:vMerge w:val="continue"/>
          </w:tcPr>
          <w:p>
            <w:pPr>
              <w:spacing w:after="0"/>
              <w:rPr>
                <w:sz w:val="15"/>
                <w:szCs w:val="15"/>
                <w:color w:val="auto"/>
              </w:rPr>
            </w:pPr>
          </w:p>
        </w:tc>
        <w:tc>
          <w:tcPr>
            <w:tcW w:w="50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8200" w:type="dxa"/>
            <w:vAlign w:val="bottom"/>
          </w:tcPr>
          <w:p>
            <w:pPr>
              <w:ind w:left="300"/>
              <w:spacing w:after="0" w:line="142" w:lineRule="exact"/>
              <w:rPr>
                <w:sz w:val="20"/>
                <w:szCs w:val="20"/>
                <w:color w:val="auto"/>
              </w:rPr>
            </w:pPr>
            <w:r>
              <w:rPr>
                <w:rFonts w:ascii="Arial" w:cs="Arial" w:eastAsia="Arial" w:hAnsi="Arial"/>
                <w:sz w:val="14"/>
                <w:szCs w:val="14"/>
                <w:color w:val="auto"/>
              </w:rPr>
              <w:t>Class B units, no par value, unlimited units authorized, 41,758,979 and 43,822,210 units issued and outstanding as of</w:t>
            </w:r>
          </w:p>
        </w:tc>
        <w:tc>
          <w:tcPr>
            <w:tcW w:w="320" w:type="dxa"/>
            <w:vAlign w:val="bottom"/>
          </w:tcPr>
          <w:p>
            <w:pPr>
              <w:spacing w:after="0"/>
              <w:rPr>
                <w:sz w:val="12"/>
                <w:szCs w:val="12"/>
                <w:color w:val="auto"/>
              </w:rPr>
            </w:pPr>
          </w:p>
        </w:tc>
        <w:tc>
          <w:tcPr>
            <w:tcW w:w="1280" w:type="dxa"/>
            <w:vAlign w:val="bottom"/>
            <w:gridSpan w:val="2"/>
            <w:vMerge w:val="restart"/>
          </w:tcPr>
          <w:p>
            <w:pPr>
              <w:jc w:val="right"/>
              <w:ind w:right="280"/>
              <w:spacing w:after="0"/>
              <w:rPr>
                <w:sz w:val="20"/>
                <w:szCs w:val="20"/>
                <w:color w:val="auto"/>
              </w:rPr>
            </w:pPr>
            <w:r>
              <w:rPr>
                <w:rFonts w:ascii="Arial" w:cs="Arial" w:eastAsia="Arial" w:hAnsi="Arial"/>
                <w:sz w:val="14"/>
                <w:szCs w:val="14"/>
                <w:color w:val="auto"/>
              </w:rPr>
              <w:t>—</w:t>
            </w:r>
          </w:p>
        </w:tc>
        <w:tc>
          <w:tcPr>
            <w:tcW w:w="500" w:type="dxa"/>
            <w:vAlign w:val="bottom"/>
          </w:tcPr>
          <w:p>
            <w:pPr>
              <w:spacing w:after="0"/>
              <w:rPr>
                <w:sz w:val="12"/>
                <w:szCs w:val="12"/>
                <w:color w:val="auto"/>
              </w:rPr>
            </w:pPr>
          </w:p>
        </w:tc>
        <w:tc>
          <w:tcPr>
            <w:tcW w:w="900" w:type="dxa"/>
            <w:vAlign w:val="bottom"/>
            <w:vMerge w:val="restart"/>
          </w:tcPr>
          <w:p>
            <w:pPr>
              <w:jc w:val="right"/>
              <w:ind w:right="12"/>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8200" w:type="dxa"/>
            <w:vAlign w:val="bottom"/>
          </w:tcPr>
          <w:p>
            <w:pPr>
              <w:ind w:left="460"/>
              <w:spacing w:after="0"/>
              <w:rPr>
                <w:sz w:val="20"/>
                <w:szCs w:val="20"/>
                <w:color w:val="auto"/>
              </w:rPr>
            </w:pPr>
            <w:r>
              <w:rPr>
                <w:rFonts w:ascii="Arial" w:cs="Arial" w:eastAsia="Arial" w:hAnsi="Arial"/>
                <w:sz w:val="14"/>
                <w:szCs w:val="14"/>
                <w:color w:val="auto"/>
              </w:rPr>
              <w:t>December 31, 2025 and 2024, respectively</w:t>
            </w:r>
          </w:p>
        </w:tc>
        <w:tc>
          <w:tcPr>
            <w:tcW w:w="320" w:type="dxa"/>
            <w:vAlign w:val="bottom"/>
          </w:tcPr>
          <w:p>
            <w:pPr>
              <w:spacing w:after="0"/>
              <w:rPr>
                <w:sz w:val="15"/>
                <w:szCs w:val="15"/>
                <w:color w:val="auto"/>
              </w:rPr>
            </w:pPr>
          </w:p>
        </w:tc>
        <w:tc>
          <w:tcPr>
            <w:tcW w:w="1280" w:type="dxa"/>
            <w:vAlign w:val="bottom"/>
            <w:gridSpan w:val="2"/>
            <w:vMerge w:val="continue"/>
          </w:tcPr>
          <w:p>
            <w:pPr>
              <w:spacing w:after="0"/>
              <w:rPr>
                <w:sz w:val="15"/>
                <w:szCs w:val="15"/>
                <w:color w:val="auto"/>
              </w:rPr>
            </w:pPr>
          </w:p>
        </w:tc>
        <w:tc>
          <w:tcPr>
            <w:tcW w:w="50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200" w:type="dxa"/>
            <w:vAlign w:val="bottom"/>
          </w:tcPr>
          <w:p>
            <w:pPr>
              <w:ind w:left="300"/>
              <w:spacing w:after="0"/>
              <w:rPr>
                <w:sz w:val="20"/>
                <w:szCs w:val="20"/>
                <w:color w:val="auto"/>
              </w:rPr>
            </w:pPr>
            <w:r>
              <w:rPr>
                <w:rFonts w:ascii="Arial" w:cs="Arial" w:eastAsia="Arial" w:hAnsi="Arial"/>
                <w:sz w:val="14"/>
                <w:szCs w:val="14"/>
                <w:color w:val="auto"/>
              </w:rPr>
              <w:t>Paid-in capital</w:t>
            </w:r>
          </w:p>
        </w:tc>
        <w:tc>
          <w:tcPr>
            <w:tcW w:w="320" w:type="dxa"/>
            <w:vAlign w:val="bottom"/>
          </w:tcPr>
          <w:p>
            <w:pPr>
              <w:spacing w:after="0"/>
              <w:rPr>
                <w:sz w:val="15"/>
                <w:szCs w:val="15"/>
                <w:color w:val="auto"/>
              </w:rPr>
            </w:pPr>
          </w:p>
        </w:tc>
        <w:tc>
          <w:tcPr>
            <w:tcW w:w="1080" w:type="dxa"/>
            <w:vAlign w:val="bottom"/>
          </w:tcPr>
          <w:p>
            <w:pPr>
              <w:jc w:val="right"/>
              <w:ind w:right="12"/>
              <w:spacing w:after="0"/>
              <w:rPr>
                <w:sz w:val="20"/>
                <w:szCs w:val="20"/>
                <w:color w:val="auto"/>
              </w:rPr>
            </w:pPr>
            <w:r>
              <w:rPr>
                <w:rFonts w:ascii="Arial" w:cs="Arial" w:eastAsia="Arial" w:hAnsi="Arial"/>
                <w:sz w:val="14"/>
                <w:szCs w:val="14"/>
                <w:color w:val="auto"/>
              </w:rPr>
              <w:t>1,777,821</w:t>
            </w: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00" w:type="dxa"/>
            <w:vAlign w:val="bottom"/>
          </w:tcPr>
          <w:p>
            <w:pPr>
              <w:jc w:val="right"/>
              <w:ind w:right="12"/>
              <w:spacing w:after="0"/>
              <w:rPr>
                <w:sz w:val="20"/>
                <w:szCs w:val="20"/>
                <w:color w:val="auto"/>
              </w:rPr>
            </w:pPr>
            <w:r>
              <w:rPr>
                <w:rFonts w:ascii="Arial" w:cs="Arial" w:eastAsia="Arial" w:hAnsi="Arial"/>
                <w:sz w:val="14"/>
                <w:szCs w:val="14"/>
                <w:color w:val="auto"/>
              </w:rPr>
              <w:t>1,663,384</w:t>
            </w:r>
          </w:p>
        </w:tc>
        <w:tc>
          <w:tcPr>
            <w:tcW w:w="0" w:type="dxa"/>
            <w:vAlign w:val="bottom"/>
          </w:tcPr>
          <w:p>
            <w:pPr>
              <w:spacing w:after="0"/>
              <w:rPr>
                <w:sz w:val="1"/>
                <w:szCs w:val="1"/>
                <w:color w:val="auto"/>
              </w:rPr>
            </w:pPr>
          </w:p>
        </w:tc>
      </w:tr>
      <w:tr>
        <w:trPr>
          <w:trHeight w:val="194"/>
        </w:trPr>
        <w:tc>
          <w:tcPr>
            <w:tcW w:w="8200" w:type="dxa"/>
            <w:vAlign w:val="bottom"/>
          </w:tcPr>
          <w:p>
            <w:pPr>
              <w:ind w:left="300"/>
              <w:spacing w:after="0"/>
              <w:rPr>
                <w:sz w:val="20"/>
                <w:szCs w:val="20"/>
                <w:color w:val="auto"/>
              </w:rPr>
            </w:pPr>
            <w:r>
              <w:rPr>
                <w:rFonts w:ascii="Arial" w:cs="Arial" w:eastAsia="Arial" w:hAnsi="Arial"/>
                <w:sz w:val="14"/>
                <w:szCs w:val="14"/>
                <w:color w:val="auto"/>
              </w:rPr>
              <w:t>(Accumulated deficit) Retained earnings</w:t>
            </w: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rPr>
              <w:t>76,425</w:t>
            </w:r>
          </w:p>
        </w:tc>
        <w:tc>
          <w:tcPr>
            <w:tcW w:w="200" w:type="dxa"/>
            <w:vAlign w:val="bottom"/>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rPr>
              <w:t>329,631</w:t>
            </w:r>
          </w:p>
        </w:tc>
        <w:tc>
          <w:tcPr>
            <w:tcW w:w="0" w:type="dxa"/>
            <w:vAlign w:val="bottom"/>
          </w:tcPr>
          <w:p>
            <w:pPr>
              <w:spacing w:after="0"/>
              <w:rPr>
                <w:sz w:val="1"/>
                <w:szCs w:val="1"/>
                <w:color w:val="auto"/>
              </w:rPr>
            </w:pPr>
          </w:p>
        </w:tc>
      </w:tr>
      <w:tr>
        <w:trPr>
          <w:trHeight w:val="186"/>
        </w:trPr>
        <w:tc>
          <w:tcPr>
            <w:tcW w:w="8200" w:type="dxa"/>
            <w:vAlign w:val="bottom"/>
          </w:tcPr>
          <w:p>
            <w:pPr>
              <w:ind w:left="620"/>
              <w:spacing w:after="0"/>
              <w:rPr>
                <w:sz w:val="20"/>
                <w:szCs w:val="20"/>
                <w:color w:val="auto"/>
              </w:rPr>
            </w:pPr>
            <w:r>
              <w:rPr>
                <w:rFonts w:ascii="Arial" w:cs="Arial" w:eastAsia="Arial" w:hAnsi="Arial"/>
                <w:sz w:val="14"/>
                <w:szCs w:val="14"/>
                <w:color w:val="auto"/>
              </w:rPr>
              <w:t>Unitholders’ capital attributable to Brookfield Oaktree Holdings, LLC</w:t>
            </w:r>
          </w:p>
        </w:tc>
        <w:tc>
          <w:tcPr>
            <w:tcW w:w="320" w:type="dxa"/>
            <w:vAlign w:val="bottom"/>
          </w:tcPr>
          <w:p>
            <w:pPr>
              <w:spacing w:after="0"/>
              <w:rPr>
                <w:sz w:val="16"/>
                <w:szCs w:val="16"/>
                <w:color w:val="auto"/>
              </w:rPr>
            </w:pPr>
          </w:p>
        </w:tc>
        <w:tc>
          <w:tcPr>
            <w:tcW w:w="1080" w:type="dxa"/>
            <w:vAlign w:val="bottom"/>
          </w:tcPr>
          <w:p>
            <w:pPr>
              <w:jc w:val="right"/>
              <w:ind w:right="12"/>
              <w:spacing w:after="0"/>
              <w:rPr>
                <w:sz w:val="20"/>
                <w:szCs w:val="20"/>
                <w:color w:val="auto"/>
              </w:rPr>
            </w:pPr>
            <w:r>
              <w:rPr>
                <w:rFonts w:ascii="Arial" w:cs="Arial" w:eastAsia="Arial" w:hAnsi="Arial"/>
                <w:sz w:val="14"/>
                <w:szCs w:val="14"/>
                <w:color w:val="auto"/>
              </w:rPr>
              <w:t>2,254,830</w:t>
            </w:r>
          </w:p>
        </w:tc>
        <w:tc>
          <w:tcPr>
            <w:tcW w:w="2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00" w:type="dxa"/>
            <w:vAlign w:val="bottom"/>
          </w:tcPr>
          <w:p>
            <w:pPr>
              <w:jc w:val="right"/>
              <w:ind w:right="12"/>
              <w:spacing w:after="0"/>
              <w:rPr>
                <w:sz w:val="20"/>
                <w:szCs w:val="20"/>
                <w:color w:val="auto"/>
              </w:rPr>
            </w:pPr>
            <w:r>
              <w:rPr>
                <w:rFonts w:ascii="Arial" w:cs="Arial" w:eastAsia="Arial" w:hAnsi="Arial"/>
                <w:sz w:val="14"/>
                <w:szCs w:val="14"/>
                <w:color w:val="auto"/>
              </w:rPr>
              <w:t>2,393,599</w:t>
            </w:r>
          </w:p>
        </w:tc>
        <w:tc>
          <w:tcPr>
            <w:tcW w:w="0" w:type="dxa"/>
            <w:vAlign w:val="bottom"/>
          </w:tcPr>
          <w:p>
            <w:pPr>
              <w:spacing w:after="0"/>
              <w:rPr>
                <w:sz w:val="1"/>
                <w:szCs w:val="1"/>
                <w:color w:val="auto"/>
              </w:rPr>
            </w:pPr>
          </w:p>
        </w:tc>
      </w:tr>
      <w:tr>
        <w:trPr>
          <w:trHeight w:val="194"/>
        </w:trPr>
        <w:tc>
          <w:tcPr>
            <w:tcW w:w="8200" w:type="dxa"/>
            <w:vAlign w:val="bottom"/>
          </w:tcPr>
          <w:p>
            <w:pPr>
              <w:ind w:left="300"/>
              <w:spacing w:after="0"/>
              <w:rPr>
                <w:sz w:val="20"/>
                <w:szCs w:val="20"/>
                <w:color w:val="auto"/>
              </w:rPr>
            </w:pPr>
            <w:r>
              <w:rPr>
                <w:rFonts w:ascii="Arial" w:cs="Arial" w:eastAsia="Arial" w:hAnsi="Arial"/>
                <w:sz w:val="14"/>
                <w:szCs w:val="14"/>
                <w:color w:val="auto"/>
              </w:rPr>
              <w:t>Non-controlling interests in consolidated subsidiaries</w:t>
            </w: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rPr>
              <w:t>9,392</w:t>
            </w:r>
          </w:p>
        </w:tc>
        <w:tc>
          <w:tcPr>
            <w:tcW w:w="200" w:type="dxa"/>
            <w:vAlign w:val="bottom"/>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rPr>
              <w:t>7,765</w:t>
            </w:r>
          </w:p>
        </w:tc>
        <w:tc>
          <w:tcPr>
            <w:tcW w:w="0" w:type="dxa"/>
            <w:vAlign w:val="bottom"/>
          </w:tcPr>
          <w:p>
            <w:pPr>
              <w:spacing w:after="0"/>
              <w:rPr>
                <w:sz w:val="1"/>
                <w:szCs w:val="1"/>
                <w:color w:val="auto"/>
              </w:rPr>
            </w:pPr>
          </w:p>
        </w:tc>
      </w:tr>
      <w:tr>
        <w:trPr>
          <w:trHeight w:val="190"/>
        </w:trPr>
        <w:tc>
          <w:tcPr>
            <w:tcW w:w="8200" w:type="dxa"/>
            <w:vAlign w:val="bottom"/>
          </w:tcPr>
          <w:p>
            <w:pPr>
              <w:ind w:left="620"/>
              <w:spacing w:after="0"/>
              <w:rPr>
                <w:sz w:val="20"/>
                <w:szCs w:val="20"/>
                <w:color w:val="auto"/>
              </w:rPr>
            </w:pPr>
            <w:r>
              <w:rPr>
                <w:rFonts w:ascii="Arial" w:cs="Arial" w:eastAsia="Arial" w:hAnsi="Arial"/>
                <w:sz w:val="14"/>
                <w:szCs w:val="14"/>
                <w:color w:val="auto"/>
              </w:rPr>
              <w:t>Total unitholders’ capital</w:t>
            </w: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rPr>
              <w:t>2,264,222</w:t>
            </w:r>
          </w:p>
        </w:tc>
        <w:tc>
          <w:tcPr>
            <w:tcW w:w="200" w:type="dxa"/>
            <w:vAlign w:val="bottom"/>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rPr>
              <w:t>2,401,364</w:t>
            </w:r>
          </w:p>
        </w:tc>
        <w:tc>
          <w:tcPr>
            <w:tcW w:w="0" w:type="dxa"/>
            <w:vAlign w:val="bottom"/>
          </w:tcPr>
          <w:p>
            <w:pPr>
              <w:spacing w:after="0"/>
              <w:rPr>
                <w:sz w:val="1"/>
                <w:szCs w:val="1"/>
                <w:color w:val="auto"/>
              </w:rPr>
            </w:pPr>
          </w:p>
        </w:tc>
      </w:tr>
      <w:tr>
        <w:trPr>
          <w:trHeight w:val="190"/>
        </w:trPr>
        <w:tc>
          <w:tcPr>
            <w:tcW w:w="8200" w:type="dxa"/>
            <w:vAlign w:val="bottom"/>
          </w:tcPr>
          <w:p>
            <w:pPr>
              <w:ind w:left="620"/>
              <w:spacing w:after="0"/>
              <w:rPr>
                <w:sz w:val="20"/>
                <w:szCs w:val="20"/>
                <w:color w:val="auto"/>
              </w:rPr>
            </w:pPr>
            <w:r>
              <w:rPr>
                <w:rFonts w:ascii="Arial" w:cs="Arial" w:eastAsia="Arial" w:hAnsi="Arial"/>
                <w:sz w:val="14"/>
                <w:szCs w:val="14"/>
                <w:color w:val="auto"/>
              </w:rPr>
              <w:t>Total liabilities and unitholders’ capital</w:t>
            </w:r>
          </w:p>
        </w:tc>
        <w:tc>
          <w:tcPr>
            <w:tcW w:w="32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rPr>
              <w:t>6,800,312</w:t>
            </w:r>
          </w:p>
        </w:tc>
        <w:tc>
          <w:tcPr>
            <w:tcW w:w="200" w:type="dxa"/>
            <w:vAlign w:val="bottom"/>
          </w:tcPr>
          <w:p>
            <w:pPr>
              <w:spacing w:after="0"/>
              <w:rPr>
                <w:sz w:val="16"/>
                <w:szCs w:val="16"/>
                <w:color w:val="auto"/>
              </w:rPr>
            </w:pPr>
          </w:p>
        </w:tc>
        <w:tc>
          <w:tcPr>
            <w:tcW w:w="50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rPr>
              <w:t>7,073,432</w:t>
            </w:r>
          </w:p>
        </w:tc>
        <w:tc>
          <w:tcPr>
            <w:tcW w:w="0" w:type="dxa"/>
            <w:vAlign w:val="bottom"/>
          </w:tcPr>
          <w:p>
            <w:pPr>
              <w:spacing w:after="0"/>
              <w:rPr>
                <w:sz w:val="1"/>
                <w:szCs w:val="1"/>
                <w:color w:val="auto"/>
              </w:rPr>
            </w:pPr>
          </w:p>
        </w:tc>
      </w:tr>
      <w:tr>
        <w:trPr>
          <w:trHeight w:val="20"/>
        </w:trPr>
        <w:tc>
          <w:tcPr>
            <w:tcW w:w="8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3" w:lineRule="exact"/>
        <w:rPr>
          <w:sz w:val="20"/>
          <w:szCs w:val="20"/>
          <w:color w:val="auto"/>
        </w:rPr>
      </w:pPr>
    </w:p>
    <w:p>
      <w:pPr>
        <w:jc w:val="center"/>
        <w:ind w:right="40"/>
        <w:spacing w:after="0"/>
        <w:rPr>
          <w:sz w:val="20"/>
          <w:szCs w:val="20"/>
          <w:color w:val="auto"/>
        </w:rPr>
      </w:pPr>
      <w:r>
        <w:rPr>
          <w:rFonts w:ascii="Arial" w:cs="Arial" w:eastAsia="Arial" w:hAnsi="Arial"/>
          <w:sz w:val="17"/>
          <w:szCs w:val="17"/>
          <w:i w:val="1"/>
          <w:iCs w:val="1"/>
          <w:color w:val="auto"/>
        </w:rPr>
        <w:t>Please see accompanying notes to consolidated financial statements.</w:t>
      </w:r>
    </w:p>
    <w:p>
      <w:pPr>
        <w:spacing w:after="0" w:line="200" w:lineRule="exact"/>
        <w:rPr>
          <w:sz w:val="20"/>
          <w:szCs w:val="20"/>
          <w:color w:val="auto"/>
        </w:rPr>
      </w:pPr>
    </w:p>
    <w:p>
      <w:pPr>
        <w:spacing w:after="0" w:line="337"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-35560</wp:posOffset>
            </wp:positionH>
            <wp:positionV relativeFrom="paragraph">
              <wp:posOffset>70485</wp:posOffset>
            </wp:positionV>
            <wp:extent cx="7164070" cy="419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60" w:top="856" w:right="339" w:bottom="1440" w:gutter="0" w:footer="0" w:header="0"/>
        </w:sectPr>
      </w:pPr>
    </w:p>
    <w:bookmarkStart w:id="65" w:name="page66"/>
    <w:bookmarkEnd w:id="65"/>
    <w:p>
      <w:pPr>
        <w:jc w:val="center"/>
        <w:ind w:right="20"/>
        <w:spacing w:after="0"/>
        <w:rPr>
          <w:sz w:val="20"/>
          <w:szCs w:val="20"/>
          <w:color w:val="auto"/>
        </w:rPr>
      </w:pPr>
      <w:r>
        <w:rPr>
          <w:rFonts w:ascii="Arial" w:cs="Arial" w:eastAsia="Arial" w:hAnsi="Arial"/>
          <w:sz w:val="17"/>
          <w:szCs w:val="17"/>
          <w:b w:val="1"/>
          <w:bCs w:val="1"/>
          <w:color w:val="auto"/>
        </w:rPr>
        <w:t>Brookfield Oaktree Holdings, LLC</w:t>
      </w:r>
    </w:p>
    <w:p>
      <w:pPr>
        <w:spacing w:after="0" w:line="16" w:lineRule="exact"/>
        <w:rPr>
          <w:sz w:val="20"/>
          <w:szCs w:val="20"/>
          <w:color w:val="auto"/>
        </w:rPr>
      </w:pPr>
    </w:p>
    <w:p>
      <w:pPr>
        <w:ind w:left="4000"/>
        <w:spacing w:after="0"/>
        <w:rPr>
          <w:sz w:val="20"/>
          <w:szCs w:val="20"/>
          <w:color w:val="auto"/>
        </w:rPr>
      </w:pPr>
      <w:r>
        <w:rPr>
          <w:rFonts w:ascii="Arial" w:cs="Arial" w:eastAsia="Arial" w:hAnsi="Arial"/>
          <w:sz w:val="17"/>
          <w:szCs w:val="17"/>
          <w:b w:val="1"/>
          <w:bCs w:val="1"/>
          <w:color w:val="auto"/>
        </w:rPr>
        <w:t>Consolidated Statements of Operations</w:t>
      </w:r>
    </w:p>
    <w:p>
      <w:pPr>
        <w:spacing w:after="0" w:line="11" w:lineRule="exact"/>
        <w:rPr>
          <w:sz w:val="20"/>
          <w:szCs w:val="20"/>
          <w:color w:val="auto"/>
        </w:rPr>
      </w:pPr>
    </w:p>
    <w:p>
      <w:pPr>
        <w:ind w:left="3980"/>
        <w:spacing w:after="0"/>
        <w:rPr>
          <w:sz w:val="20"/>
          <w:szCs w:val="20"/>
          <w:color w:val="auto"/>
        </w:rPr>
      </w:pPr>
      <w:r>
        <w:rPr>
          <w:rFonts w:ascii="Arial" w:cs="Arial" w:eastAsia="Arial" w:hAnsi="Arial"/>
          <w:sz w:val="17"/>
          <w:szCs w:val="17"/>
          <w:b w:val="1"/>
          <w:bCs w:val="1"/>
          <w:color w:val="auto"/>
        </w:rPr>
        <w:t>(in thousands, except per unit amounts)</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70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4"/>
          </w:tcPr>
          <w:p>
            <w:pPr>
              <w:ind w:left="80"/>
              <w:spacing w:after="0"/>
              <w:rPr>
                <w:sz w:val="20"/>
                <w:szCs w:val="20"/>
                <w:color w:val="auto"/>
              </w:rPr>
            </w:pPr>
            <w:r>
              <w:rPr>
                <w:rFonts w:ascii="Arial" w:cs="Arial" w:eastAsia="Arial" w:hAnsi="Arial"/>
                <w:sz w:val="12"/>
                <w:szCs w:val="12"/>
                <w:b w:val="1"/>
                <w:bCs w:val="1"/>
                <w:color w:val="auto"/>
              </w:rPr>
              <w:t>Year Ended December 31,</w:t>
            </w:r>
          </w:p>
        </w:tc>
        <w:tc>
          <w:tcPr>
            <w:tcW w:w="3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706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23"/>
              <w:spacing w:after="0"/>
              <w:rPr>
                <w:sz w:val="20"/>
                <w:szCs w:val="20"/>
                <w:color w:val="auto"/>
              </w:rPr>
            </w:pPr>
            <w:r>
              <w:rPr>
                <w:rFonts w:ascii="Arial" w:cs="Arial" w:eastAsia="Arial" w:hAnsi="Arial"/>
                <w:sz w:val="12"/>
                <w:szCs w:val="12"/>
                <w:b w:val="1"/>
                <w:bCs w:val="1"/>
                <w:color w:val="auto"/>
              </w:rPr>
              <w:t>2025</w:t>
            </w:r>
          </w:p>
        </w:tc>
        <w:tc>
          <w:tcPr>
            <w:tcW w:w="2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403"/>
              <w:spacing w:after="0"/>
              <w:rPr>
                <w:sz w:val="20"/>
                <w:szCs w:val="20"/>
                <w:color w:val="auto"/>
              </w:rPr>
            </w:pPr>
            <w:r>
              <w:rPr>
                <w:rFonts w:ascii="Arial" w:cs="Arial" w:eastAsia="Arial" w:hAnsi="Arial"/>
                <w:sz w:val="12"/>
                <w:szCs w:val="12"/>
                <w:b w:val="1"/>
                <w:bCs w:val="1"/>
                <w:color w:val="auto"/>
              </w:rPr>
              <w:t>2024</w:t>
            </w:r>
          </w:p>
        </w:tc>
        <w:tc>
          <w:tcPr>
            <w:tcW w:w="2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403"/>
              <w:spacing w:after="0"/>
              <w:rPr>
                <w:sz w:val="20"/>
                <w:szCs w:val="20"/>
                <w:color w:val="auto"/>
              </w:rPr>
            </w:pPr>
            <w:r>
              <w:rPr>
                <w:rFonts w:ascii="Arial" w:cs="Arial" w:eastAsia="Arial" w:hAnsi="Arial"/>
                <w:sz w:val="12"/>
                <w:szCs w:val="12"/>
                <w:b w:val="1"/>
                <w:bCs w:val="1"/>
                <w:color w:val="auto"/>
              </w:rPr>
              <w:t>2023</w:t>
            </w:r>
          </w:p>
        </w:tc>
        <w:tc>
          <w:tcPr>
            <w:tcW w:w="0" w:type="dxa"/>
            <w:vAlign w:val="bottom"/>
          </w:tcPr>
          <w:p>
            <w:pPr>
              <w:spacing w:after="0"/>
              <w:rPr>
                <w:sz w:val="1"/>
                <w:szCs w:val="1"/>
                <w:color w:val="auto"/>
              </w:rPr>
            </w:pPr>
          </w:p>
        </w:tc>
      </w:tr>
      <w:tr>
        <w:trPr>
          <w:trHeight w:val="205"/>
        </w:trPr>
        <w:tc>
          <w:tcPr>
            <w:tcW w:w="7060" w:type="dxa"/>
            <w:vAlign w:val="bottom"/>
          </w:tcPr>
          <w:p>
            <w:pPr>
              <w:spacing w:after="0"/>
              <w:rPr>
                <w:sz w:val="20"/>
                <w:szCs w:val="20"/>
                <w:color w:val="auto"/>
              </w:rPr>
            </w:pPr>
            <w:r>
              <w:rPr>
                <w:rFonts w:ascii="Arial" w:cs="Arial" w:eastAsia="Arial" w:hAnsi="Arial"/>
                <w:sz w:val="15"/>
                <w:szCs w:val="15"/>
                <w:color w:val="auto"/>
              </w:rPr>
              <w:t>Revenues:</w:t>
            </w: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7060" w:type="dxa"/>
            <w:vAlign w:val="bottom"/>
          </w:tcPr>
          <w:p>
            <w:pPr>
              <w:ind w:left="300"/>
              <w:spacing w:after="0"/>
              <w:rPr>
                <w:sz w:val="20"/>
                <w:szCs w:val="20"/>
                <w:color w:val="auto"/>
              </w:rPr>
            </w:pPr>
            <w:r>
              <w:rPr>
                <w:rFonts w:ascii="Arial" w:cs="Arial" w:eastAsia="Arial" w:hAnsi="Arial"/>
                <w:sz w:val="15"/>
                <w:szCs w:val="15"/>
                <w:color w:val="auto"/>
              </w:rPr>
              <w:t>Interest and dividend income</w:t>
            </w:r>
          </w:p>
        </w:tc>
        <w:tc>
          <w:tcPr>
            <w:tcW w:w="300" w:type="dxa"/>
            <w:vAlign w:val="bottom"/>
          </w:tcPr>
          <w:p>
            <w:pPr>
              <w:jc w:val="right"/>
              <w:ind w:right="123"/>
              <w:spacing w:after="0"/>
              <w:rPr>
                <w:sz w:val="20"/>
                <w:szCs w:val="20"/>
                <w:color w:val="auto"/>
              </w:rPr>
            </w:pPr>
            <w:r>
              <w:rPr>
                <w:rFonts w:ascii="Arial" w:cs="Arial" w:eastAsia="Arial" w:hAnsi="Arial"/>
                <w:sz w:val="15"/>
                <w:szCs w:val="15"/>
                <w:color w:val="auto"/>
                <w:w w:val="95"/>
              </w:rPr>
              <w:t>$</w:t>
            </w:r>
          </w:p>
        </w:tc>
        <w:tc>
          <w:tcPr>
            <w:tcW w:w="960" w:type="dxa"/>
            <w:vAlign w:val="bottom"/>
          </w:tcPr>
          <w:p>
            <w:pPr>
              <w:jc w:val="right"/>
              <w:ind w:right="3"/>
              <w:spacing w:after="0"/>
              <w:rPr>
                <w:sz w:val="20"/>
                <w:szCs w:val="20"/>
                <w:color w:val="auto"/>
              </w:rPr>
            </w:pPr>
            <w:r>
              <w:rPr>
                <w:rFonts w:ascii="Arial" w:cs="Arial" w:eastAsia="Arial" w:hAnsi="Arial"/>
                <w:sz w:val="15"/>
                <w:szCs w:val="15"/>
                <w:color w:val="auto"/>
              </w:rPr>
              <w:t>483,025</w:t>
            </w:r>
          </w:p>
        </w:tc>
        <w:tc>
          <w:tcPr>
            <w:tcW w:w="500" w:type="dxa"/>
            <w:vAlign w:val="bottom"/>
            <w:gridSpan w:val="2"/>
          </w:tcPr>
          <w:p>
            <w:pPr>
              <w:jc w:val="right"/>
              <w:ind w:right="123"/>
              <w:spacing w:after="0"/>
              <w:rPr>
                <w:sz w:val="20"/>
                <w:szCs w:val="20"/>
                <w:color w:val="auto"/>
              </w:rPr>
            </w:pPr>
            <w:r>
              <w:rPr>
                <w:rFonts w:ascii="Arial" w:cs="Arial" w:eastAsia="Arial" w:hAnsi="Arial"/>
                <w:sz w:val="15"/>
                <w:szCs w:val="15"/>
                <w:color w:val="auto"/>
              </w:rPr>
              <w:t>$</w:t>
            </w:r>
          </w:p>
        </w:tc>
        <w:tc>
          <w:tcPr>
            <w:tcW w:w="940" w:type="dxa"/>
            <w:vAlign w:val="bottom"/>
          </w:tcPr>
          <w:p>
            <w:pPr>
              <w:jc w:val="right"/>
              <w:spacing w:after="0"/>
              <w:rPr>
                <w:sz w:val="20"/>
                <w:szCs w:val="20"/>
                <w:color w:val="auto"/>
              </w:rPr>
            </w:pPr>
            <w:r>
              <w:rPr>
                <w:rFonts w:ascii="Arial" w:cs="Arial" w:eastAsia="Arial" w:hAnsi="Arial"/>
                <w:sz w:val="15"/>
                <w:szCs w:val="15"/>
                <w:color w:val="auto"/>
              </w:rPr>
              <w:t>490,389</w:t>
            </w:r>
          </w:p>
        </w:tc>
        <w:tc>
          <w:tcPr>
            <w:tcW w:w="220" w:type="dxa"/>
            <w:vAlign w:val="bottom"/>
          </w:tcPr>
          <w:p>
            <w:pPr>
              <w:spacing w:after="0"/>
              <w:rPr>
                <w:sz w:val="17"/>
                <w:szCs w:val="17"/>
                <w:color w:val="auto"/>
              </w:rPr>
            </w:pPr>
          </w:p>
        </w:tc>
        <w:tc>
          <w:tcPr>
            <w:tcW w:w="300" w:type="dxa"/>
            <w:vAlign w:val="bottom"/>
          </w:tcPr>
          <w:p>
            <w:pPr>
              <w:jc w:val="right"/>
              <w:ind w:right="123"/>
              <w:spacing w:after="0"/>
              <w:rPr>
                <w:sz w:val="20"/>
                <w:szCs w:val="20"/>
                <w:color w:val="auto"/>
              </w:rPr>
            </w:pPr>
            <w:r>
              <w:rPr>
                <w:rFonts w:ascii="Arial" w:cs="Arial" w:eastAsia="Arial" w:hAnsi="Arial"/>
                <w:sz w:val="15"/>
                <w:szCs w:val="15"/>
                <w:color w:val="auto"/>
                <w:w w:val="95"/>
              </w:rPr>
              <w:t>$</w:t>
            </w:r>
          </w:p>
        </w:tc>
        <w:tc>
          <w:tcPr>
            <w:tcW w:w="940" w:type="dxa"/>
            <w:vAlign w:val="bottom"/>
          </w:tcPr>
          <w:p>
            <w:pPr>
              <w:jc w:val="right"/>
              <w:spacing w:after="0"/>
              <w:rPr>
                <w:sz w:val="20"/>
                <w:szCs w:val="20"/>
                <w:color w:val="auto"/>
              </w:rPr>
            </w:pPr>
            <w:r>
              <w:rPr>
                <w:rFonts w:ascii="Arial" w:cs="Arial" w:eastAsia="Arial" w:hAnsi="Arial"/>
                <w:sz w:val="15"/>
                <w:szCs w:val="15"/>
                <w:color w:val="auto"/>
              </w:rPr>
              <w:t>348,801</w:t>
            </w:r>
          </w:p>
        </w:tc>
        <w:tc>
          <w:tcPr>
            <w:tcW w:w="0" w:type="dxa"/>
            <w:vAlign w:val="bottom"/>
          </w:tcPr>
          <w:p>
            <w:pPr>
              <w:spacing w:after="0"/>
              <w:rPr>
                <w:sz w:val="1"/>
                <w:szCs w:val="1"/>
                <w:color w:val="auto"/>
              </w:rPr>
            </w:pPr>
          </w:p>
        </w:tc>
      </w:tr>
      <w:tr>
        <w:trPr>
          <w:trHeight w:val="206"/>
        </w:trPr>
        <w:tc>
          <w:tcPr>
            <w:tcW w:w="7060" w:type="dxa"/>
            <w:vAlign w:val="bottom"/>
          </w:tcPr>
          <w:p>
            <w:pPr>
              <w:ind w:left="300"/>
              <w:spacing w:after="0"/>
              <w:rPr>
                <w:sz w:val="20"/>
                <w:szCs w:val="20"/>
                <w:color w:val="auto"/>
              </w:rPr>
            </w:pPr>
            <w:r>
              <w:rPr>
                <w:rFonts w:ascii="Arial" w:cs="Arial" w:eastAsia="Arial" w:hAnsi="Arial"/>
                <w:sz w:val="15"/>
                <w:szCs w:val="15"/>
                <w:color w:val="auto"/>
              </w:rPr>
              <w:t>Incentive income</w:t>
            </w:r>
          </w:p>
        </w:tc>
        <w:tc>
          <w:tcPr>
            <w:tcW w:w="300" w:type="dxa"/>
            <w:vAlign w:val="bottom"/>
          </w:tcPr>
          <w:p>
            <w:pPr>
              <w:spacing w:after="0"/>
              <w:rPr>
                <w:sz w:val="17"/>
                <w:szCs w:val="17"/>
                <w:color w:val="auto"/>
              </w:rPr>
            </w:pPr>
          </w:p>
        </w:tc>
        <w:tc>
          <w:tcPr>
            <w:tcW w:w="960" w:type="dxa"/>
            <w:vAlign w:val="bottom"/>
          </w:tcPr>
          <w:p>
            <w:pPr>
              <w:jc w:val="right"/>
              <w:ind w:right="3"/>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117,529</w:t>
            </w: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267,325</w:t>
            </w:r>
          </w:p>
        </w:tc>
        <w:tc>
          <w:tcPr>
            <w:tcW w:w="0" w:type="dxa"/>
            <w:vAlign w:val="bottom"/>
          </w:tcPr>
          <w:p>
            <w:pPr>
              <w:spacing w:after="0"/>
              <w:rPr>
                <w:sz w:val="1"/>
                <w:szCs w:val="1"/>
                <w:color w:val="auto"/>
              </w:rPr>
            </w:pPr>
          </w:p>
        </w:tc>
      </w:tr>
      <w:tr>
        <w:trPr>
          <w:trHeight w:val="206"/>
        </w:trPr>
        <w:tc>
          <w:tcPr>
            <w:tcW w:w="7060" w:type="dxa"/>
            <w:vAlign w:val="bottom"/>
          </w:tcPr>
          <w:p>
            <w:pPr>
              <w:ind w:left="300"/>
              <w:spacing w:after="0"/>
              <w:rPr>
                <w:sz w:val="20"/>
                <w:szCs w:val="20"/>
                <w:color w:val="auto"/>
              </w:rPr>
            </w:pPr>
            <w:r>
              <w:rPr>
                <w:rFonts w:ascii="Arial" w:cs="Arial" w:eastAsia="Arial" w:hAnsi="Arial"/>
                <w:sz w:val="15"/>
                <w:szCs w:val="15"/>
                <w:color w:val="auto"/>
              </w:rPr>
              <w:t>Investment income</w:t>
            </w: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196,521</w:t>
            </w:r>
          </w:p>
        </w:tc>
        <w:tc>
          <w:tcPr>
            <w:tcW w:w="2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170,032</w:t>
            </w:r>
          </w:p>
        </w:tc>
        <w:tc>
          <w:tcPr>
            <w:tcW w:w="2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72,664</w:t>
            </w:r>
          </w:p>
        </w:tc>
        <w:tc>
          <w:tcPr>
            <w:tcW w:w="0" w:type="dxa"/>
            <w:vAlign w:val="bottom"/>
          </w:tcPr>
          <w:p>
            <w:pPr>
              <w:spacing w:after="0"/>
              <w:rPr>
                <w:sz w:val="1"/>
                <w:szCs w:val="1"/>
                <w:color w:val="auto"/>
              </w:rPr>
            </w:pPr>
          </w:p>
        </w:tc>
      </w:tr>
      <w:tr>
        <w:trPr>
          <w:trHeight w:val="199"/>
        </w:trPr>
        <w:tc>
          <w:tcPr>
            <w:tcW w:w="7060" w:type="dxa"/>
            <w:vAlign w:val="bottom"/>
          </w:tcPr>
          <w:p>
            <w:pPr>
              <w:ind w:left="620"/>
              <w:spacing w:after="0"/>
              <w:rPr>
                <w:sz w:val="20"/>
                <w:szCs w:val="20"/>
                <w:color w:val="auto"/>
              </w:rPr>
            </w:pPr>
            <w:r>
              <w:rPr>
                <w:rFonts w:ascii="Arial" w:cs="Arial" w:eastAsia="Arial" w:hAnsi="Arial"/>
                <w:sz w:val="15"/>
                <w:szCs w:val="15"/>
                <w:color w:val="auto"/>
              </w:rPr>
              <w:t>Total revenues</w:t>
            </w:r>
          </w:p>
        </w:tc>
        <w:tc>
          <w:tcPr>
            <w:tcW w:w="300" w:type="dxa"/>
            <w:vAlign w:val="bottom"/>
          </w:tcPr>
          <w:p>
            <w:pPr>
              <w:spacing w:after="0"/>
              <w:rPr>
                <w:sz w:val="17"/>
                <w:szCs w:val="17"/>
                <w:color w:val="auto"/>
              </w:rPr>
            </w:pPr>
          </w:p>
        </w:tc>
        <w:tc>
          <w:tcPr>
            <w:tcW w:w="960" w:type="dxa"/>
            <w:vAlign w:val="bottom"/>
          </w:tcPr>
          <w:p>
            <w:pPr>
              <w:jc w:val="right"/>
              <w:ind w:right="3"/>
              <w:spacing w:after="0"/>
              <w:rPr>
                <w:sz w:val="20"/>
                <w:szCs w:val="20"/>
                <w:color w:val="auto"/>
              </w:rPr>
            </w:pPr>
            <w:r>
              <w:rPr>
                <w:rFonts w:ascii="Arial" w:cs="Arial" w:eastAsia="Arial" w:hAnsi="Arial"/>
                <w:sz w:val="15"/>
                <w:szCs w:val="15"/>
                <w:color w:val="auto"/>
              </w:rPr>
              <w:t>679,546</w:t>
            </w: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777,950</w:t>
            </w: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688,790</w:t>
            </w:r>
          </w:p>
        </w:tc>
        <w:tc>
          <w:tcPr>
            <w:tcW w:w="0" w:type="dxa"/>
            <w:vAlign w:val="bottom"/>
          </w:tcPr>
          <w:p>
            <w:pPr>
              <w:spacing w:after="0"/>
              <w:rPr>
                <w:sz w:val="1"/>
                <w:szCs w:val="1"/>
                <w:color w:val="auto"/>
              </w:rPr>
            </w:pPr>
          </w:p>
        </w:tc>
      </w:tr>
      <w:tr>
        <w:trPr>
          <w:trHeight w:val="206"/>
        </w:trPr>
        <w:tc>
          <w:tcPr>
            <w:tcW w:w="7060" w:type="dxa"/>
            <w:vAlign w:val="bottom"/>
          </w:tcPr>
          <w:p>
            <w:pPr>
              <w:spacing w:after="0"/>
              <w:rPr>
                <w:sz w:val="20"/>
                <w:szCs w:val="20"/>
                <w:color w:val="auto"/>
              </w:rPr>
            </w:pPr>
            <w:r>
              <w:rPr>
                <w:rFonts w:ascii="Arial" w:cs="Arial" w:eastAsia="Arial" w:hAnsi="Arial"/>
                <w:sz w:val="15"/>
                <w:szCs w:val="15"/>
                <w:color w:val="auto"/>
              </w:rPr>
              <w:t>Expenses:</w:t>
            </w: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7060" w:type="dxa"/>
            <w:vAlign w:val="bottom"/>
          </w:tcPr>
          <w:p>
            <w:pPr>
              <w:ind w:left="300"/>
              <w:spacing w:after="0"/>
              <w:rPr>
                <w:sz w:val="20"/>
                <w:szCs w:val="20"/>
                <w:color w:val="auto"/>
              </w:rPr>
            </w:pPr>
            <w:r>
              <w:rPr>
                <w:rFonts w:ascii="Arial" w:cs="Arial" w:eastAsia="Arial" w:hAnsi="Arial"/>
                <w:sz w:val="15"/>
                <w:szCs w:val="15"/>
                <w:color w:val="auto"/>
              </w:rPr>
              <w:t>Compensation and benefits</w:t>
            </w:r>
          </w:p>
        </w:tc>
        <w:tc>
          <w:tcPr>
            <w:tcW w:w="3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(1,077)</w:t>
            </w: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(1,009)</w:t>
            </w: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(675)</w:t>
            </w:r>
          </w:p>
        </w:tc>
        <w:tc>
          <w:tcPr>
            <w:tcW w:w="0" w:type="dxa"/>
            <w:vAlign w:val="bottom"/>
          </w:tcPr>
          <w:p>
            <w:pPr>
              <w:spacing w:after="0"/>
              <w:rPr>
                <w:sz w:val="1"/>
                <w:szCs w:val="1"/>
                <w:color w:val="auto"/>
              </w:rPr>
            </w:pPr>
          </w:p>
        </w:tc>
      </w:tr>
      <w:tr>
        <w:trPr>
          <w:trHeight w:val="206"/>
        </w:trPr>
        <w:tc>
          <w:tcPr>
            <w:tcW w:w="7060" w:type="dxa"/>
            <w:vAlign w:val="bottom"/>
          </w:tcPr>
          <w:p>
            <w:pPr>
              <w:ind w:left="300"/>
              <w:spacing w:after="0"/>
              <w:rPr>
                <w:sz w:val="20"/>
                <w:szCs w:val="20"/>
                <w:color w:val="auto"/>
              </w:rPr>
            </w:pPr>
            <w:r>
              <w:rPr>
                <w:rFonts w:ascii="Arial" w:cs="Arial" w:eastAsia="Arial" w:hAnsi="Arial"/>
                <w:sz w:val="15"/>
                <w:szCs w:val="15"/>
                <w:color w:val="auto"/>
              </w:rPr>
              <w:t>Incentive income compensation</w:t>
            </w:r>
          </w:p>
        </w:tc>
        <w:tc>
          <w:tcPr>
            <w:tcW w:w="300" w:type="dxa"/>
            <w:vAlign w:val="bottom"/>
          </w:tcPr>
          <w:p>
            <w:pPr>
              <w:spacing w:after="0"/>
              <w:rPr>
                <w:sz w:val="17"/>
                <w:szCs w:val="17"/>
                <w:color w:val="auto"/>
              </w:rPr>
            </w:pPr>
          </w:p>
        </w:tc>
        <w:tc>
          <w:tcPr>
            <w:tcW w:w="960" w:type="dxa"/>
            <w:vAlign w:val="bottom"/>
          </w:tcPr>
          <w:p>
            <w:pPr>
              <w:jc w:val="right"/>
              <w:ind w:right="3"/>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(22,168)</w:t>
            </w: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(134,837)</w:t>
            </w:r>
          </w:p>
        </w:tc>
        <w:tc>
          <w:tcPr>
            <w:tcW w:w="0" w:type="dxa"/>
            <w:vAlign w:val="bottom"/>
          </w:tcPr>
          <w:p>
            <w:pPr>
              <w:spacing w:after="0"/>
              <w:rPr>
                <w:sz w:val="1"/>
                <w:szCs w:val="1"/>
                <w:color w:val="auto"/>
              </w:rPr>
            </w:pPr>
          </w:p>
        </w:tc>
      </w:tr>
      <w:tr>
        <w:trPr>
          <w:trHeight w:val="206"/>
        </w:trPr>
        <w:tc>
          <w:tcPr>
            <w:tcW w:w="7060" w:type="dxa"/>
            <w:vAlign w:val="bottom"/>
          </w:tcPr>
          <w:p>
            <w:pPr>
              <w:ind w:left="300"/>
              <w:spacing w:after="0"/>
              <w:rPr>
                <w:sz w:val="20"/>
                <w:szCs w:val="20"/>
                <w:color w:val="auto"/>
              </w:rPr>
            </w:pPr>
            <w:r>
              <w:rPr>
                <w:rFonts w:ascii="Arial" w:cs="Arial" w:eastAsia="Arial" w:hAnsi="Arial"/>
                <w:sz w:val="15"/>
                <w:szCs w:val="15"/>
                <w:color w:val="auto"/>
              </w:rPr>
              <w:t>General and administrative</w:t>
            </w:r>
          </w:p>
        </w:tc>
        <w:tc>
          <w:tcPr>
            <w:tcW w:w="3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(3,168)</w:t>
            </w: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(3,182)</w:t>
            </w: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(5,556)</w:t>
            </w:r>
          </w:p>
        </w:tc>
        <w:tc>
          <w:tcPr>
            <w:tcW w:w="0" w:type="dxa"/>
            <w:vAlign w:val="bottom"/>
          </w:tcPr>
          <w:p>
            <w:pPr>
              <w:spacing w:after="0"/>
              <w:rPr>
                <w:sz w:val="1"/>
                <w:szCs w:val="1"/>
                <w:color w:val="auto"/>
              </w:rPr>
            </w:pPr>
          </w:p>
        </w:tc>
      </w:tr>
      <w:tr>
        <w:trPr>
          <w:trHeight w:val="206"/>
        </w:trPr>
        <w:tc>
          <w:tcPr>
            <w:tcW w:w="7060" w:type="dxa"/>
            <w:vAlign w:val="bottom"/>
          </w:tcPr>
          <w:p>
            <w:pPr>
              <w:ind w:left="300"/>
              <w:spacing w:after="0"/>
              <w:rPr>
                <w:sz w:val="20"/>
                <w:szCs w:val="20"/>
                <w:color w:val="auto"/>
              </w:rPr>
            </w:pPr>
            <w:r>
              <w:rPr>
                <w:rFonts w:ascii="Arial" w:cs="Arial" w:eastAsia="Arial" w:hAnsi="Arial"/>
                <w:sz w:val="15"/>
                <w:szCs w:val="15"/>
                <w:color w:val="auto"/>
              </w:rPr>
              <w:t>Consolidated fund expenses</w:t>
            </w:r>
          </w:p>
        </w:tc>
        <w:tc>
          <w:tcPr>
            <w:tcW w:w="3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(84,258)</w:t>
            </w: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(81,066)</w:t>
            </w: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(65,768)</w:t>
            </w:r>
          </w:p>
        </w:tc>
        <w:tc>
          <w:tcPr>
            <w:tcW w:w="0" w:type="dxa"/>
            <w:vAlign w:val="bottom"/>
          </w:tcPr>
          <w:p>
            <w:pPr>
              <w:spacing w:after="0"/>
              <w:rPr>
                <w:sz w:val="1"/>
                <w:szCs w:val="1"/>
                <w:color w:val="auto"/>
              </w:rPr>
            </w:pPr>
          </w:p>
        </w:tc>
      </w:tr>
      <w:tr>
        <w:trPr>
          <w:trHeight w:val="206"/>
        </w:trPr>
        <w:tc>
          <w:tcPr>
            <w:tcW w:w="7060" w:type="dxa"/>
            <w:vAlign w:val="bottom"/>
          </w:tcPr>
          <w:p>
            <w:pPr>
              <w:ind w:left="300"/>
              <w:spacing w:after="0"/>
              <w:rPr>
                <w:sz w:val="20"/>
                <w:szCs w:val="20"/>
                <w:color w:val="auto"/>
              </w:rPr>
            </w:pPr>
            <w:r>
              <w:rPr>
                <w:rFonts w:ascii="Arial" w:cs="Arial" w:eastAsia="Arial" w:hAnsi="Arial"/>
                <w:sz w:val="15"/>
                <w:szCs w:val="15"/>
                <w:color w:val="auto"/>
              </w:rPr>
              <w:t>Interest expense</w:t>
            </w: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(88,648)</w:t>
            </w:r>
          </w:p>
        </w:tc>
        <w:tc>
          <w:tcPr>
            <w:tcW w:w="2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(99,773)</w:t>
            </w:r>
          </w:p>
        </w:tc>
        <w:tc>
          <w:tcPr>
            <w:tcW w:w="2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(50,272)</w:t>
            </w:r>
          </w:p>
        </w:tc>
        <w:tc>
          <w:tcPr>
            <w:tcW w:w="0" w:type="dxa"/>
            <w:vAlign w:val="bottom"/>
          </w:tcPr>
          <w:p>
            <w:pPr>
              <w:spacing w:after="0"/>
              <w:rPr>
                <w:sz w:val="1"/>
                <w:szCs w:val="1"/>
                <w:color w:val="auto"/>
              </w:rPr>
            </w:pPr>
          </w:p>
        </w:tc>
      </w:tr>
      <w:tr>
        <w:trPr>
          <w:trHeight w:val="199"/>
        </w:trPr>
        <w:tc>
          <w:tcPr>
            <w:tcW w:w="7060" w:type="dxa"/>
            <w:vAlign w:val="bottom"/>
          </w:tcPr>
          <w:p>
            <w:pPr>
              <w:ind w:left="620"/>
              <w:spacing w:after="0"/>
              <w:rPr>
                <w:sz w:val="20"/>
                <w:szCs w:val="20"/>
                <w:color w:val="auto"/>
              </w:rPr>
            </w:pPr>
            <w:r>
              <w:rPr>
                <w:rFonts w:ascii="Arial" w:cs="Arial" w:eastAsia="Arial" w:hAnsi="Arial"/>
                <w:sz w:val="15"/>
                <w:szCs w:val="15"/>
                <w:color w:val="auto"/>
              </w:rPr>
              <w:t>Total expenses</w:t>
            </w: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(177,151)</w:t>
            </w:r>
          </w:p>
        </w:tc>
        <w:tc>
          <w:tcPr>
            <w:tcW w:w="2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(207,198)</w:t>
            </w:r>
          </w:p>
        </w:tc>
        <w:tc>
          <w:tcPr>
            <w:tcW w:w="2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(257,108)</w:t>
            </w:r>
          </w:p>
        </w:tc>
        <w:tc>
          <w:tcPr>
            <w:tcW w:w="0" w:type="dxa"/>
            <w:vAlign w:val="bottom"/>
          </w:tcPr>
          <w:p>
            <w:pPr>
              <w:spacing w:after="0"/>
              <w:rPr>
                <w:sz w:val="1"/>
                <w:szCs w:val="1"/>
                <w:color w:val="auto"/>
              </w:rPr>
            </w:pPr>
          </w:p>
        </w:tc>
      </w:tr>
      <w:tr>
        <w:trPr>
          <w:trHeight w:val="199"/>
        </w:trPr>
        <w:tc>
          <w:tcPr>
            <w:tcW w:w="7060" w:type="dxa"/>
            <w:vAlign w:val="bottom"/>
          </w:tcPr>
          <w:p>
            <w:pPr>
              <w:spacing w:after="0"/>
              <w:rPr>
                <w:sz w:val="20"/>
                <w:szCs w:val="20"/>
                <w:color w:val="auto"/>
              </w:rPr>
            </w:pPr>
            <w:r>
              <w:rPr>
                <w:rFonts w:ascii="Arial" w:cs="Arial" w:eastAsia="Arial" w:hAnsi="Arial"/>
                <w:sz w:val="15"/>
                <w:szCs w:val="15"/>
                <w:color w:val="auto"/>
              </w:rPr>
              <w:t>Other income (loss):</w:t>
            </w: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7060" w:type="dxa"/>
            <w:vAlign w:val="bottom"/>
          </w:tcPr>
          <w:p>
            <w:pPr>
              <w:ind w:left="300"/>
              <w:spacing w:after="0"/>
              <w:rPr>
                <w:sz w:val="20"/>
                <w:szCs w:val="20"/>
                <w:color w:val="auto"/>
              </w:rPr>
            </w:pPr>
            <w:r>
              <w:rPr>
                <w:rFonts w:ascii="Arial" w:cs="Arial" w:eastAsia="Arial" w:hAnsi="Arial"/>
                <w:sz w:val="15"/>
                <w:szCs w:val="15"/>
                <w:color w:val="auto"/>
              </w:rPr>
              <w:t>Net realized gain on consolidated funds’ investments</w:t>
            </w:r>
          </w:p>
        </w:tc>
        <w:tc>
          <w:tcPr>
            <w:tcW w:w="300" w:type="dxa"/>
            <w:vAlign w:val="bottom"/>
          </w:tcPr>
          <w:p>
            <w:pPr>
              <w:spacing w:after="0"/>
              <w:rPr>
                <w:sz w:val="17"/>
                <w:szCs w:val="17"/>
                <w:color w:val="auto"/>
              </w:rPr>
            </w:pPr>
          </w:p>
        </w:tc>
        <w:tc>
          <w:tcPr>
            <w:tcW w:w="960" w:type="dxa"/>
            <w:vAlign w:val="bottom"/>
          </w:tcPr>
          <w:p>
            <w:pPr>
              <w:jc w:val="right"/>
              <w:ind w:right="3"/>
              <w:spacing w:after="0"/>
              <w:rPr>
                <w:sz w:val="20"/>
                <w:szCs w:val="20"/>
                <w:color w:val="auto"/>
              </w:rPr>
            </w:pPr>
            <w:r>
              <w:rPr>
                <w:rFonts w:ascii="Arial" w:cs="Arial" w:eastAsia="Arial" w:hAnsi="Arial"/>
                <w:sz w:val="15"/>
                <w:szCs w:val="15"/>
                <w:color w:val="auto"/>
              </w:rPr>
              <w:t>52,275</w:t>
            </w: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65,644</w:t>
            </w: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79,420</w:t>
            </w:r>
          </w:p>
        </w:tc>
        <w:tc>
          <w:tcPr>
            <w:tcW w:w="0" w:type="dxa"/>
            <w:vAlign w:val="bottom"/>
          </w:tcPr>
          <w:p>
            <w:pPr>
              <w:spacing w:after="0"/>
              <w:rPr>
                <w:sz w:val="1"/>
                <w:szCs w:val="1"/>
                <w:color w:val="auto"/>
              </w:rPr>
            </w:pPr>
          </w:p>
        </w:tc>
      </w:tr>
      <w:tr>
        <w:trPr>
          <w:trHeight w:val="206"/>
        </w:trPr>
        <w:tc>
          <w:tcPr>
            <w:tcW w:w="7060" w:type="dxa"/>
            <w:vAlign w:val="bottom"/>
          </w:tcPr>
          <w:p>
            <w:pPr>
              <w:ind w:left="300"/>
              <w:spacing w:after="0"/>
              <w:rPr>
                <w:sz w:val="20"/>
                <w:szCs w:val="20"/>
                <w:color w:val="auto"/>
              </w:rPr>
            </w:pPr>
            <w:r>
              <w:rPr>
                <w:rFonts w:ascii="Arial" w:cs="Arial" w:eastAsia="Arial" w:hAnsi="Arial"/>
                <w:sz w:val="15"/>
                <w:szCs w:val="15"/>
                <w:color w:val="auto"/>
              </w:rPr>
              <w:t>Net change in unrealized (depreciation) appreciation on consolidated funds’ investments</w:t>
            </w: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(31,455)</w:t>
            </w:r>
          </w:p>
        </w:tc>
        <w:tc>
          <w:tcPr>
            <w:tcW w:w="2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150,666</w:t>
            </w:r>
          </w:p>
        </w:tc>
        <w:tc>
          <w:tcPr>
            <w:tcW w:w="2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29,064</w:t>
            </w:r>
          </w:p>
        </w:tc>
        <w:tc>
          <w:tcPr>
            <w:tcW w:w="0" w:type="dxa"/>
            <w:vAlign w:val="bottom"/>
          </w:tcPr>
          <w:p>
            <w:pPr>
              <w:spacing w:after="0"/>
              <w:rPr>
                <w:sz w:val="1"/>
                <w:szCs w:val="1"/>
                <w:color w:val="auto"/>
              </w:rPr>
            </w:pPr>
          </w:p>
        </w:tc>
      </w:tr>
      <w:tr>
        <w:trPr>
          <w:trHeight w:val="199"/>
        </w:trPr>
        <w:tc>
          <w:tcPr>
            <w:tcW w:w="7060" w:type="dxa"/>
            <w:vAlign w:val="bottom"/>
          </w:tcPr>
          <w:p>
            <w:pPr>
              <w:ind w:left="620"/>
              <w:spacing w:after="0"/>
              <w:rPr>
                <w:sz w:val="20"/>
                <w:szCs w:val="20"/>
                <w:color w:val="auto"/>
              </w:rPr>
            </w:pPr>
            <w:r>
              <w:rPr>
                <w:rFonts w:ascii="Arial" w:cs="Arial" w:eastAsia="Arial" w:hAnsi="Arial"/>
                <w:sz w:val="15"/>
                <w:szCs w:val="15"/>
                <w:color w:val="auto"/>
              </w:rPr>
              <w:t>Total other income</w:t>
            </w: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20,820</w:t>
            </w:r>
          </w:p>
        </w:tc>
        <w:tc>
          <w:tcPr>
            <w:tcW w:w="2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216,310</w:t>
            </w:r>
          </w:p>
        </w:tc>
        <w:tc>
          <w:tcPr>
            <w:tcW w:w="2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108,484</w:t>
            </w:r>
          </w:p>
        </w:tc>
        <w:tc>
          <w:tcPr>
            <w:tcW w:w="0" w:type="dxa"/>
            <w:vAlign w:val="bottom"/>
          </w:tcPr>
          <w:p>
            <w:pPr>
              <w:spacing w:after="0"/>
              <w:rPr>
                <w:sz w:val="1"/>
                <w:szCs w:val="1"/>
                <w:color w:val="auto"/>
              </w:rPr>
            </w:pPr>
          </w:p>
        </w:tc>
      </w:tr>
      <w:tr>
        <w:trPr>
          <w:trHeight w:val="199"/>
        </w:trPr>
        <w:tc>
          <w:tcPr>
            <w:tcW w:w="7060" w:type="dxa"/>
            <w:vAlign w:val="bottom"/>
          </w:tcPr>
          <w:p>
            <w:pPr>
              <w:spacing w:after="0"/>
              <w:rPr>
                <w:sz w:val="20"/>
                <w:szCs w:val="20"/>
                <w:color w:val="auto"/>
              </w:rPr>
            </w:pPr>
            <w:r>
              <w:rPr>
                <w:rFonts w:ascii="Arial" w:cs="Arial" w:eastAsia="Arial" w:hAnsi="Arial"/>
                <w:sz w:val="15"/>
                <w:szCs w:val="15"/>
                <w:color w:val="auto"/>
              </w:rPr>
              <w:t>Income before income taxes</w:t>
            </w:r>
          </w:p>
        </w:tc>
        <w:tc>
          <w:tcPr>
            <w:tcW w:w="300" w:type="dxa"/>
            <w:vAlign w:val="bottom"/>
          </w:tcPr>
          <w:p>
            <w:pPr>
              <w:spacing w:after="0"/>
              <w:rPr>
                <w:sz w:val="17"/>
                <w:szCs w:val="17"/>
                <w:color w:val="auto"/>
              </w:rPr>
            </w:pPr>
          </w:p>
        </w:tc>
        <w:tc>
          <w:tcPr>
            <w:tcW w:w="960" w:type="dxa"/>
            <w:vAlign w:val="bottom"/>
          </w:tcPr>
          <w:p>
            <w:pPr>
              <w:jc w:val="right"/>
              <w:ind w:right="3"/>
              <w:spacing w:after="0"/>
              <w:rPr>
                <w:sz w:val="20"/>
                <w:szCs w:val="20"/>
                <w:color w:val="auto"/>
              </w:rPr>
            </w:pPr>
            <w:r>
              <w:rPr>
                <w:rFonts w:ascii="Arial" w:cs="Arial" w:eastAsia="Arial" w:hAnsi="Arial"/>
                <w:sz w:val="15"/>
                <w:szCs w:val="15"/>
                <w:color w:val="auto"/>
              </w:rPr>
              <w:t>523,215</w:t>
            </w: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787,062</w:t>
            </w: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540,166</w:t>
            </w:r>
          </w:p>
        </w:tc>
        <w:tc>
          <w:tcPr>
            <w:tcW w:w="0" w:type="dxa"/>
            <w:vAlign w:val="bottom"/>
          </w:tcPr>
          <w:p>
            <w:pPr>
              <w:spacing w:after="0"/>
              <w:rPr>
                <w:sz w:val="1"/>
                <w:szCs w:val="1"/>
                <w:color w:val="auto"/>
              </w:rPr>
            </w:pPr>
          </w:p>
        </w:tc>
      </w:tr>
      <w:tr>
        <w:trPr>
          <w:trHeight w:val="206"/>
        </w:trPr>
        <w:tc>
          <w:tcPr>
            <w:tcW w:w="7060" w:type="dxa"/>
            <w:vAlign w:val="bottom"/>
          </w:tcPr>
          <w:p>
            <w:pPr>
              <w:ind w:left="300"/>
              <w:spacing w:after="0"/>
              <w:rPr>
                <w:sz w:val="20"/>
                <w:szCs w:val="20"/>
                <w:color w:val="auto"/>
              </w:rPr>
            </w:pPr>
            <w:r>
              <w:rPr>
                <w:rFonts w:ascii="Arial" w:cs="Arial" w:eastAsia="Arial" w:hAnsi="Arial"/>
                <w:sz w:val="15"/>
                <w:szCs w:val="15"/>
                <w:color w:val="auto"/>
              </w:rPr>
              <w:t>Income taxes</w:t>
            </w:r>
          </w:p>
        </w:tc>
        <w:tc>
          <w:tcPr>
            <w:tcW w:w="300" w:type="dxa"/>
            <w:vAlign w:val="bottom"/>
          </w:tcPr>
          <w:p>
            <w:pPr>
              <w:spacing w:after="0"/>
              <w:rPr>
                <w:sz w:val="17"/>
                <w:szCs w:val="17"/>
                <w:color w:val="auto"/>
              </w:rPr>
            </w:pPr>
          </w:p>
        </w:tc>
        <w:tc>
          <w:tcPr>
            <w:tcW w:w="960" w:type="dxa"/>
            <w:vAlign w:val="bottom"/>
          </w:tcPr>
          <w:p>
            <w:pPr>
              <w:jc w:val="right"/>
              <w:ind w:right="3"/>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3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9"/>
        </w:trPr>
        <w:tc>
          <w:tcPr>
            <w:tcW w:w="7060" w:type="dxa"/>
            <w:vAlign w:val="bottom"/>
          </w:tcPr>
          <w:p>
            <w:pPr>
              <w:spacing w:after="0"/>
              <w:rPr>
                <w:sz w:val="20"/>
                <w:szCs w:val="20"/>
                <w:color w:val="auto"/>
              </w:rPr>
            </w:pPr>
            <w:r>
              <w:rPr>
                <w:rFonts w:ascii="Arial" w:cs="Arial" w:eastAsia="Arial" w:hAnsi="Arial"/>
                <w:sz w:val="15"/>
                <w:szCs w:val="15"/>
                <w:color w:val="auto"/>
              </w:rPr>
              <w:t>Net income</w:t>
            </w:r>
          </w:p>
        </w:tc>
        <w:tc>
          <w:tcPr>
            <w:tcW w:w="30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ind w:right="3"/>
              <w:spacing w:after="0"/>
              <w:rPr>
                <w:sz w:val="20"/>
                <w:szCs w:val="20"/>
                <w:color w:val="auto"/>
              </w:rPr>
            </w:pPr>
            <w:r>
              <w:rPr>
                <w:rFonts w:ascii="Arial" w:cs="Arial" w:eastAsia="Arial" w:hAnsi="Arial"/>
                <w:sz w:val="15"/>
                <w:szCs w:val="15"/>
                <w:color w:val="auto"/>
              </w:rPr>
              <w:t>523,215</w:t>
            </w:r>
          </w:p>
        </w:tc>
        <w:tc>
          <w:tcPr>
            <w:tcW w:w="20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787,062</w:t>
            </w:r>
          </w:p>
        </w:tc>
        <w:tc>
          <w:tcPr>
            <w:tcW w:w="22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540,166</w:t>
            </w:r>
          </w:p>
        </w:tc>
        <w:tc>
          <w:tcPr>
            <w:tcW w:w="0" w:type="dxa"/>
            <w:vAlign w:val="bottom"/>
          </w:tcPr>
          <w:p>
            <w:pPr>
              <w:spacing w:after="0"/>
              <w:rPr>
                <w:sz w:val="1"/>
                <w:szCs w:val="1"/>
                <w:color w:val="auto"/>
              </w:rPr>
            </w:pPr>
          </w:p>
        </w:tc>
      </w:tr>
      <w:tr>
        <w:trPr>
          <w:trHeight w:val="206"/>
        </w:trPr>
        <w:tc>
          <w:tcPr>
            <w:tcW w:w="7060" w:type="dxa"/>
            <w:vAlign w:val="bottom"/>
          </w:tcPr>
          <w:p>
            <w:pPr>
              <w:spacing w:after="0"/>
              <w:rPr>
                <w:sz w:val="20"/>
                <w:szCs w:val="20"/>
                <w:color w:val="auto"/>
              </w:rPr>
            </w:pPr>
            <w:r>
              <w:rPr>
                <w:rFonts w:ascii="Arial" w:cs="Arial" w:eastAsia="Arial" w:hAnsi="Arial"/>
                <w:sz w:val="15"/>
                <w:szCs w:val="15"/>
                <w:color w:val="auto"/>
              </w:rPr>
              <w:t>Less:</w:t>
            </w: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7060" w:type="dxa"/>
            <w:vAlign w:val="bottom"/>
          </w:tcPr>
          <w:p>
            <w:pPr>
              <w:ind w:left="300"/>
              <w:spacing w:after="0"/>
              <w:rPr>
                <w:sz w:val="20"/>
                <w:szCs w:val="20"/>
                <w:color w:val="auto"/>
              </w:rPr>
            </w:pPr>
            <w:r>
              <w:rPr>
                <w:rFonts w:ascii="Arial" w:cs="Arial" w:eastAsia="Arial" w:hAnsi="Arial"/>
                <w:sz w:val="15"/>
                <w:szCs w:val="15"/>
                <w:color w:val="auto"/>
              </w:rPr>
              <w:t>Net income attributable to non-controlling interests in consolidated funds</w:t>
            </w:r>
          </w:p>
        </w:tc>
        <w:tc>
          <w:tcPr>
            <w:tcW w:w="3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(272,350)</w:t>
            </w: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(417,901)</w:t>
            </w: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(245,928)</w:t>
            </w:r>
          </w:p>
        </w:tc>
        <w:tc>
          <w:tcPr>
            <w:tcW w:w="0" w:type="dxa"/>
            <w:vAlign w:val="bottom"/>
          </w:tcPr>
          <w:p>
            <w:pPr>
              <w:spacing w:after="0"/>
              <w:rPr>
                <w:sz w:val="1"/>
                <w:szCs w:val="1"/>
                <w:color w:val="auto"/>
              </w:rPr>
            </w:pPr>
          </w:p>
        </w:tc>
      </w:tr>
      <w:tr>
        <w:trPr>
          <w:trHeight w:val="206"/>
        </w:trPr>
        <w:tc>
          <w:tcPr>
            <w:tcW w:w="7060" w:type="dxa"/>
            <w:vAlign w:val="bottom"/>
          </w:tcPr>
          <w:p>
            <w:pPr>
              <w:ind w:left="300"/>
              <w:spacing w:after="0"/>
              <w:rPr>
                <w:sz w:val="20"/>
                <w:szCs w:val="20"/>
                <w:color w:val="auto"/>
              </w:rPr>
            </w:pPr>
            <w:r>
              <w:rPr>
                <w:rFonts w:ascii="Arial" w:cs="Arial" w:eastAsia="Arial" w:hAnsi="Arial"/>
                <w:sz w:val="15"/>
                <w:szCs w:val="15"/>
                <w:color w:val="auto"/>
              </w:rPr>
              <w:t>Net income attributable to non-controlling interests in consolidated subsidiaries</w:t>
            </w: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(1,627)</w:t>
            </w:r>
          </w:p>
        </w:tc>
        <w:tc>
          <w:tcPr>
            <w:tcW w:w="2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(61,637)</w:t>
            </w:r>
          </w:p>
        </w:tc>
        <w:tc>
          <w:tcPr>
            <w:tcW w:w="2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(73,061)</w:t>
            </w:r>
          </w:p>
        </w:tc>
        <w:tc>
          <w:tcPr>
            <w:tcW w:w="0" w:type="dxa"/>
            <w:vAlign w:val="bottom"/>
          </w:tcPr>
          <w:p>
            <w:pPr>
              <w:spacing w:after="0"/>
              <w:rPr>
                <w:sz w:val="1"/>
                <w:szCs w:val="1"/>
                <w:color w:val="auto"/>
              </w:rPr>
            </w:pPr>
          </w:p>
        </w:tc>
      </w:tr>
      <w:tr>
        <w:trPr>
          <w:trHeight w:val="199"/>
        </w:trPr>
        <w:tc>
          <w:tcPr>
            <w:tcW w:w="7060" w:type="dxa"/>
            <w:vAlign w:val="bottom"/>
          </w:tcPr>
          <w:p>
            <w:pPr>
              <w:spacing w:after="0"/>
              <w:rPr>
                <w:sz w:val="20"/>
                <w:szCs w:val="20"/>
                <w:color w:val="auto"/>
              </w:rPr>
            </w:pPr>
            <w:r>
              <w:rPr>
                <w:rFonts w:ascii="Arial" w:cs="Arial" w:eastAsia="Arial" w:hAnsi="Arial"/>
                <w:sz w:val="15"/>
                <w:szCs w:val="15"/>
                <w:color w:val="auto"/>
              </w:rPr>
              <w:t>Net income attributable to Brookfield Oaktree Holdings, LLC</w:t>
            </w:r>
          </w:p>
        </w:tc>
        <w:tc>
          <w:tcPr>
            <w:tcW w:w="300" w:type="dxa"/>
            <w:vAlign w:val="bottom"/>
          </w:tcPr>
          <w:p>
            <w:pPr>
              <w:spacing w:after="0"/>
              <w:rPr>
                <w:sz w:val="17"/>
                <w:szCs w:val="17"/>
                <w:color w:val="auto"/>
              </w:rPr>
            </w:pPr>
          </w:p>
        </w:tc>
        <w:tc>
          <w:tcPr>
            <w:tcW w:w="960" w:type="dxa"/>
            <w:vAlign w:val="bottom"/>
          </w:tcPr>
          <w:p>
            <w:pPr>
              <w:jc w:val="right"/>
              <w:ind w:right="3"/>
              <w:spacing w:after="0"/>
              <w:rPr>
                <w:sz w:val="20"/>
                <w:szCs w:val="20"/>
                <w:color w:val="auto"/>
              </w:rPr>
            </w:pPr>
            <w:r>
              <w:rPr>
                <w:rFonts w:ascii="Arial" w:cs="Arial" w:eastAsia="Arial" w:hAnsi="Arial"/>
                <w:sz w:val="15"/>
                <w:szCs w:val="15"/>
                <w:color w:val="auto"/>
              </w:rPr>
              <w:t>249,238</w:t>
            </w: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307,524</w:t>
            </w: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221,177</w:t>
            </w:r>
          </w:p>
        </w:tc>
        <w:tc>
          <w:tcPr>
            <w:tcW w:w="0" w:type="dxa"/>
            <w:vAlign w:val="bottom"/>
          </w:tcPr>
          <w:p>
            <w:pPr>
              <w:spacing w:after="0"/>
              <w:rPr>
                <w:sz w:val="1"/>
                <w:szCs w:val="1"/>
                <w:color w:val="auto"/>
              </w:rPr>
            </w:pPr>
          </w:p>
        </w:tc>
      </w:tr>
      <w:tr>
        <w:trPr>
          <w:trHeight w:val="207"/>
        </w:trPr>
        <w:tc>
          <w:tcPr>
            <w:tcW w:w="7060" w:type="dxa"/>
            <w:vAlign w:val="bottom"/>
          </w:tcPr>
          <w:p>
            <w:pPr>
              <w:ind w:left="300"/>
              <w:spacing w:after="0"/>
              <w:rPr>
                <w:sz w:val="20"/>
                <w:szCs w:val="20"/>
                <w:color w:val="auto"/>
              </w:rPr>
            </w:pPr>
            <w:r>
              <w:rPr>
                <w:rFonts w:ascii="Arial" w:cs="Arial" w:eastAsia="Arial" w:hAnsi="Arial"/>
                <w:sz w:val="15"/>
                <w:szCs w:val="15"/>
                <w:color w:val="auto"/>
              </w:rPr>
              <w:t>Net income attributable to preferred unitholders</w:t>
            </w: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(27,316)</w:t>
            </w:r>
          </w:p>
        </w:tc>
        <w:tc>
          <w:tcPr>
            <w:tcW w:w="2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(27,316)</w:t>
            </w:r>
          </w:p>
        </w:tc>
        <w:tc>
          <w:tcPr>
            <w:tcW w:w="2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(27,316)</w:t>
            </w:r>
          </w:p>
        </w:tc>
        <w:tc>
          <w:tcPr>
            <w:tcW w:w="0" w:type="dxa"/>
            <w:vAlign w:val="bottom"/>
          </w:tcPr>
          <w:p>
            <w:pPr>
              <w:spacing w:after="0"/>
              <w:rPr>
                <w:sz w:val="1"/>
                <w:szCs w:val="1"/>
                <w:color w:val="auto"/>
              </w:rPr>
            </w:pPr>
          </w:p>
        </w:tc>
      </w:tr>
      <w:tr>
        <w:trPr>
          <w:trHeight w:val="200"/>
        </w:trPr>
        <w:tc>
          <w:tcPr>
            <w:tcW w:w="7060" w:type="dxa"/>
            <w:vAlign w:val="bottom"/>
          </w:tcPr>
          <w:p>
            <w:pPr>
              <w:spacing w:after="0"/>
              <w:rPr>
                <w:sz w:val="20"/>
                <w:szCs w:val="20"/>
                <w:color w:val="auto"/>
              </w:rPr>
            </w:pPr>
            <w:r>
              <w:rPr>
                <w:rFonts w:ascii="Arial" w:cs="Arial" w:eastAsia="Arial" w:hAnsi="Arial"/>
                <w:sz w:val="15"/>
                <w:szCs w:val="15"/>
                <w:color w:val="auto"/>
              </w:rPr>
              <w:t>Net income attributable to Brookfield Oaktree Holdings, LLC Class A unitholders</w:t>
            </w:r>
          </w:p>
        </w:tc>
        <w:tc>
          <w:tcPr>
            <w:tcW w:w="300" w:type="dxa"/>
            <w:vAlign w:val="bottom"/>
            <w:tcBorders>
              <w:bottom w:val="single" w:sz="8" w:color="auto"/>
            </w:tcBorders>
          </w:tcPr>
          <w:p>
            <w:pPr>
              <w:jc w:val="right"/>
              <w:ind w:right="123"/>
              <w:spacing w:after="0"/>
              <w:rPr>
                <w:sz w:val="20"/>
                <w:szCs w:val="20"/>
                <w:color w:val="auto"/>
              </w:rPr>
            </w:pPr>
            <w:r>
              <w:rPr>
                <w:rFonts w:ascii="Arial" w:cs="Arial" w:eastAsia="Arial" w:hAnsi="Arial"/>
                <w:sz w:val="15"/>
                <w:szCs w:val="15"/>
                <w:color w:val="auto"/>
                <w:w w:val="95"/>
              </w:rPr>
              <w:t>$</w:t>
            </w:r>
          </w:p>
        </w:tc>
        <w:tc>
          <w:tcPr>
            <w:tcW w:w="96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221,922</w:t>
            </w:r>
          </w:p>
        </w:tc>
        <w:tc>
          <w:tcPr>
            <w:tcW w:w="200" w:type="dxa"/>
            <w:vAlign w:val="bottom"/>
          </w:tcPr>
          <w:p>
            <w:pPr>
              <w:spacing w:after="0"/>
              <w:rPr>
                <w:sz w:val="17"/>
                <w:szCs w:val="17"/>
                <w:color w:val="auto"/>
              </w:rPr>
            </w:pPr>
          </w:p>
        </w:tc>
        <w:tc>
          <w:tcPr>
            <w:tcW w:w="300" w:type="dxa"/>
            <w:vAlign w:val="bottom"/>
            <w:tcBorders>
              <w:bottom w:val="single" w:sz="8" w:color="auto"/>
            </w:tcBorders>
          </w:tcPr>
          <w:p>
            <w:pPr>
              <w:jc w:val="right"/>
              <w:ind w:right="123"/>
              <w:spacing w:after="0"/>
              <w:rPr>
                <w:sz w:val="20"/>
                <w:szCs w:val="20"/>
                <w:color w:val="auto"/>
              </w:rPr>
            </w:pPr>
            <w:r>
              <w:rPr>
                <w:rFonts w:ascii="Arial" w:cs="Arial" w:eastAsia="Arial" w:hAnsi="Arial"/>
                <w:sz w:val="15"/>
                <w:szCs w:val="15"/>
                <w:color w:val="auto"/>
                <w:w w:val="95"/>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280,208</w:t>
            </w:r>
          </w:p>
        </w:tc>
        <w:tc>
          <w:tcPr>
            <w:tcW w:w="220" w:type="dxa"/>
            <w:vAlign w:val="bottom"/>
          </w:tcPr>
          <w:p>
            <w:pPr>
              <w:spacing w:after="0"/>
              <w:rPr>
                <w:sz w:val="17"/>
                <w:szCs w:val="17"/>
                <w:color w:val="auto"/>
              </w:rPr>
            </w:pPr>
          </w:p>
        </w:tc>
        <w:tc>
          <w:tcPr>
            <w:tcW w:w="300" w:type="dxa"/>
            <w:vAlign w:val="bottom"/>
            <w:tcBorders>
              <w:bottom w:val="single" w:sz="8" w:color="auto"/>
            </w:tcBorders>
          </w:tcPr>
          <w:p>
            <w:pPr>
              <w:jc w:val="right"/>
              <w:ind w:right="123"/>
              <w:spacing w:after="0"/>
              <w:rPr>
                <w:sz w:val="20"/>
                <w:szCs w:val="20"/>
                <w:color w:val="auto"/>
              </w:rPr>
            </w:pPr>
            <w:r>
              <w:rPr>
                <w:rFonts w:ascii="Arial" w:cs="Arial" w:eastAsia="Arial" w:hAnsi="Arial"/>
                <w:sz w:val="15"/>
                <w:szCs w:val="15"/>
                <w:color w:val="auto"/>
                <w:w w:val="95"/>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193,861</w:t>
            </w:r>
          </w:p>
        </w:tc>
        <w:tc>
          <w:tcPr>
            <w:tcW w:w="0" w:type="dxa"/>
            <w:vAlign w:val="bottom"/>
          </w:tcPr>
          <w:p>
            <w:pPr>
              <w:spacing w:after="0"/>
              <w:rPr>
                <w:sz w:val="1"/>
                <w:szCs w:val="1"/>
                <w:color w:val="auto"/>
              </w:rPr>
            </w:pPr>
          </w:p>
        </w:tc>
      </w:tr>
      <w:tr>
        <w:trPr>
          <w:trHeight w:val="20"/>
        </w:trPr>
        <w:tc>
          <w:tcPr>
            <w:tcW w:w="70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7"/>
        </w:trPr>
        <w:tc>
          <w:tcPr>
            <w:tcW w:w="7060" w:type="dxa"/>
            <w:vAlign w:val="bottom"/>
          </w:tcPr>
          <w:p>
            <w:pPr>
              <w:spacing w:after="0"/>
              <w:rPr>
                <w:sz w:val="20"/>
                <w:szCs w:val="20"/>
                <w:color w:val="auto"/>
              </w:rPr>
            </w:pPr>
            <w:r>
              <w:rPr>
                <w:rFonts w:ascii="Arial" w:cs="Arial" w:eastAsia="Arial" w:hAnsi="Arial"/>
                <w:sz w:val="15"/>
                <w:szCs w:val="15"/>
                <w:color w:val="auto"/>
              </w:rPr>
              <w:t>Distributions declared per Class A unit</w:t>
            </w:r>
          </w:p>
        </w:tc>
        <w:tc>
          <w:tcPr>
            <w:tcW w:w="300" w:type="dxa"/>
            <w:vAlign w:val="bottom"/>
          </w:tcPr>
          <w:p>
            <w:pPr>
              <w:jc w:val="right"/>
              <w:ind w:right="123"/>
              <w:spacing w:after="0"/>
              <w:rPr>
                <w:sz w:val="20"/>
                <w:szCs w:val="20"/>
                <w:color w:val="auto"/>
              </w:rPr>
            </w:pPr>
            <w:r>
              <w:rPr>
                <w:rFonts w:ascii="Arial" w:cs="Arial" w:eastAsia="Arial" w:hAnsi="Arial"/>
                <w:sz w:val="15"/>
                <w:szCs w:val="15"/>
                <w:color w:val="auto"/>
                <w:w w:val="95"/>
              </w:rPr>
              <w:t>$</w:t>
            </w:r>
          </w:p>
        </w:tc>
        <w:tc>
          <w:tcPr>
            <w:tcW w:w="960" w:type="dxa"/>
            <w:vAlign w:val="bottom"/>
          </w:tcPr>
          <w:p>
            <w:pPr>
              <w:jc w:val="right"/>
              <w:ind w:right="3"/>
              <w:spacing w:after="0"/>
              <w:rPr>
                <w:sz w:val="20"/>
                <w:szCs w:val="20"/>
                <w:color w:val="auto"/>
              </w:rPr>
            </w:pPr>
            <w:r>
              <w:rPr>
                <w:rFonts w:ascii="Arial" w:cs="Arial" w:eastAsia="Arial" w:hAnsi="Arial"/>
                <w:sz w:val="15"/>
                <w:szCs w:val="15"/>
                <w:color w:val="auto"/>
              </w:rPr>
              <w:t>2.10</w:t>
            </w:r>
          </w:p>
        </w:tc>
        <w:tc>
          <w:tcPr>
            <w:tcW w:w="500" w:type="dxa"/>
            <w:vAlign w:val="bottom"/>
            <w:gridSpan w:val="2"/>
          </w:tcPr>
          <w:p>
            <w:pPr>
              <w:jc w:val="right"/>
              <w:ind w:right="123"/>
              <w:spacing w:after="0"/>
              <w:rPr>
                <w:sz w:val="20"/>
                <w:szCs w:val="20"/>
                <w:color w:val="auto"/>
              </w:rPr>
            </w:pPr>
            <w:r>
              <w:rPr>
                <w:rFonts w:ascii="Arial" w:cs="Arial" w:eastAsia="Arial" w:hAnsi="Arial"/>
                <w:sz w:val="15"/>
                <w:szCs w:val="15"/>
                <w:color w:val="auto"/>
              </w:rPr>
              <w:t>$</w:t>
            </w:r>
          </w:p>
        </w:tc>
        <w:tc>
          <w:tcPr>
            <w:tcW w:w="940" w:type="dxa"/>
            <w:vAlign w:val="bottom"/>
          </w:tcPr>
          <w:p>
            <w:pPr>
              <w:jc w:val="right"/>
              <w:spacing w:after="0"/>
              <w:rPr>
                <w:sz w:val="20"/>
                <w:szCs w:val="20"/>
                <w:color w:val="auto"/>
              </w:rPr>
            </w:pPr>
            <w:r>
              <w:rPr>
                <w:rFonts w:ascii="Arial" w:cs="Arial" w:eastAsia="Arial" w:hAnsi="Arial"/>
                <w:sz w:val="15"/>
                <w:szCs w:val="15"/>
                <w:color w:val="auto"/>
              </w:rPr>
              <w:t>2.84</w:t>
            </w:r>
          </w:p>
        </w:tc>
        <w:tc>
          <w:tcPr>
            <w:tcW w:w="220" w:type="dxa"/>
            <w:vAlign w:val="bottom"/>
          </w:tcPr>
          <w:p>
            <w:pPr>
              <w:spacing w:after="0"/>
              <w:rPr>
                <w:sz w:val="24"/>
                <w:szCs w:val="24"/>
                <w:color w:val="auto"/>
              </w:rPr>
            </w:pPr>
          </w:p>
        </w:tc>
        <w:tc>
          <w:tcPr>
            <w:tcW w:w="300" w:type="dxa"/>
            <w:vAlign w:val="bottom"/>
          </w:tcPr>
          <w:p>
            <w:pPr>
              <w:jc w:val="right"/>
              <w:ind w:right="123"/>
              <w:spacing w:after="0"/>
              <w:rPr>
                <w:sz w:val="20"/>
                <w:szCs w:val="20"/>
                <w:color w:val="auto"/>
              </w:rPr>
            </w:pPr>
            <w:r>
              <w:rPr>
                <w:rFonts w:ascii="Arial" w:cs="Arial" w:eastAsia="Arial" w:hAnsi="Arial"/>
                <w:sz w:val="15"/>
                <w:szCs w:val="15"/>
                <w:color w:val="auto"/>
                <w:w w:val="95"/>
              </w:rPr>
              <w:t>$</w:t>
            </w:r>
          </w:p>
        </w:tc>
        <w:tc>
          <w:tcPr>
            <w:tcW w:w="940" w:type="dxa"/>
            <w:vAlign w:val="bottom"/>
          </w:tcPr>
          <w:p>
            <w:pPr>
              <w:jc w:val="right"/>
              <w:spacing w:after="0"/>
              <w:rPr>
                <w:sz w:val="20"/>
                <w:szCs w:val="20"/>
                <w:color w:val="auto"/>
              </w:rPr>
            </w:pPr>
            <w:r>
              <w:rPr>
                <w:rFonts w:ascii="Arial" w:cs="Arial" w:eastAsia="Arial" w:hAnsi="Arial"/>
                <w:sz w:val="15"/>
                <w:szCs w:val="15"/>
                <w:color w:val="auto"/>
              </w:rPr>
              <w:t>1.00</w:t>
            </w:r>
          </w:p>
        </w:tc>
        <w:tc>
          <w:tcPr>
            <w:tcW w:w="0" w:type="dxa"/>
            <w:vAlign w:val="bottom"/>
          </w:tcPr>
          <w:p>
            <w:pPr>
              <w:spacing w:after="0"/>
              <w:rPr>
                <w:sz w:val="1"/>
                <w:szCs w:val="1"/>
                <w:color w:val="auto"/>
              </w:rPr>
            </w:pPr>
          </w:p>
        </w:tc>
      </w:tr>
      <w:tr>
        <w:trPr>
          <w:trHeight w:val="20"/>
        </w:trPr>
        <w:tc>
          <w:tcPr>
            <w:tcW w:w="7060" w:type="dxa"/>
            <w:vAlign w:val="bottom"/>
            <w:vMerge w:val="restart"/>
          </w:tcPr>
          <w:p>
            <w:pPr>
              <w:spacing w:after="0"/>
              <w:rPr>
                <w:sz w:val="20"/>
                <w:szCs w:val="20"/>
                <w:color w:val="auto"/>
              </w:rPr>
            </w:pPr>
            <w:r>
              <w:rPr>
                <w:rFonts w:ascii="Arial" w:cs="Arial" w:eastAsia="Arial" w:hAnsi="Arial"/>
                <w:sz w:val="15"/>
                <w:szCs w:val="15"/>
                <w:color w:val="auto"/>
              </w:rPr>
              <w:t>Net income per Class A unit (basic and diluted):</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06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7060" w:type="dxa"/>
            <w:vAlign w:val="bottom"/>
          </w:tcPr>
          <w:p>
            <w:pPr>
              <w:ind w:left="300"/>
              <w:spacing w:after="0"/>
              <w:rPr>
                <w:sz w:val="20"/>
                <w:szCs w:val="20"/>
                <w:color w:val="auto"/>
              </w:rPr>
            </w:pPr>
            <w:r>
              <w:rPr>
                <w:rFonts w:ascii="Arial" w:cs="Arial" w:eastAsia="Arial" w:hAnsi="Arial"/>
                <w:sz w:val="15"/>
                <w:szCs w:val="15"/>
                <w:color w:val="auto"/>
              </w:rPr>
              <w:t>Net income per Class A unit</w:t>
            </w:r>
          </w:p>
        </w:tc>
        <w:tc>
          <w:tcPr>
            <w:tcW w:w="300" w:type="dxa"/>
            <w:vAlign w:val="bottom"/>
          </w:tcPr>
          <w:p>
            <w:pPr>
              <w:jc w:val="right"/>
              <w:ind w:right="123"/>
              <w:spacing w:after="0"/>
              <w:rPr>
                <w:sz w:val="20"/>
                <w:szCs w:val="20"/>
                <w:color w:val="auto"/>
              </w:rPr>
            </w:pPr>
            <w:r>
              <w:rPr>
                <w:rFonts w:ascii="Arial" w:cs="Arial" w:eastAsia="Arial" w:hAnsi="Arial"/>
                <w:sz w:val="15"/>
                <w:szCs w:val="15"/>
                <w:color w:val="auto"/>
                <w:w w:val="95"/>
              </w:rPr>
              <w:t>$</w:t>
            </w:r>
          </w:p>
        </w:tc>
        <w:tc>
          <w:tcPr>
            <w:tcW w:w="960" w:type="dxa"/>
            <w:vAlign w:val="bottom"/>
          </w:tcPr>
          <w:p>
            <w:pPr>
              <w:jc w:val="right"/>
              <w:ind w:right="3"/>
              <w:spacing w:after="0"/>
              <w:rPr>
                <w:sz w:val="20"/>
                <w:szCs w:val="20"/>
                <w:color w:val="auto"/>
              </w:rPr>
            </w:pPr>
            <w:r>
              <w:rPr>
                <w:rFonts w:ascii="Arial" w:cs="Arial" w:eastAsia="Arial" w:hAnsi="Arial"/>
                <w:sz w:val="15"/>
                <w:szCs w:val="15"/>
                <w:color w:val="auto"/>
              </w:rPr>
              <w:t>1.88</w:t>
            </w:r>
          </w:p>
        </w:tc>
        <w:tc>
          <w:tcPr>
            <w:tcW w:w="500" w:type="dxa"/>
            <w:vAlign w:val="bottom"/>
            <w:gridSpan w:val="2"/>
          </w:tcPr>
          <w:p>
            <w:pPr>
              <w:jc w:val="right"/>
              <w:ind w:right="123"/>
              <w:spacing w:after="0"/>
              <w:rPr>
                <w:sz w:val="20"/>
                <w:szCs w:val="20"/>
                <w:color w:val="auto"/>
              </w:rPr>
            </w:pPr>
            <w:r>
              <w:rPr>
                <w:rFonts w:ascii="Arial" w:cs="Arial" w:eastAsia="Arial" w:hAnsi="Arial"/>
                <w:sz w:val="15"/>
                <w:szCs w:val="15"/>
                <w:color w:val="auto"/>
              </w:rPr>
              <w:t>$</w:t>
            </w:r>
          </w:p>
        </w:tc>
        <w:tc>
          <w:tcPr>
            <w:tcW w:w="940" w:type="dxa"/>
            <w:vAlign w:val="bottom"/>
          </w:tcPr>
          <w:p>
            <w:pPr>
              <w:jc w:val="right"/>
              <w:spacing w:after="0"/>
              <w:rPr>
                <w:sz w:val="20"/>
                <w:szCs w:val="20"/>
                <w:color w:val="auto"/>
              </w:rPr>
            </w:pPr>
            <w:r>
              <w:rPr>
                <w:rFonts w:ascii="Arial" w:cs="Arial" w:eastAsia="Arial" w:hAnsi="Arial"/>
                <w:sz w:val="15"/>
                <w:szCs w:val="15"/>
                <w:color w:val="auto"/>
              </w:rPr>
              <w:t>2.45</w:t>
            </w:r>
          </w:p>
        </w:tc>
        <w:tc>
          <w:tcPr>
            <w:tcW w:w="220" w:type="dxa"/>
            <w:vAlign w:val="bottom"/>
          </w:tcPr>
          <w:p>
            <w:pPr>
              <w:spacing w:after="0"/>
              <w:rPr>
                <w:sz w:val="18"/>
                <w:szCs w:val="18"/>
                <w:color w:val="auto"/>
              </w:rPr>
            </w:pPr>
          </w:p>
        </w:tc>
        <w:tc>
          <w:tcPr>
            <w:tcW w:w="300" w:type="dxa"/>
            <w:vAlign w:val="bottom"/>
          </w:tcPr>
          <w:p>
            <w:pPr>
              <w:jc w:val="right"/>
              <w:ind w:right="123"/>
              <w:spacing w:after="0"/>
              <w:rPr>
                <w:sz w:val="20"/>
                <w:szCs w:val="20"/>
                <w:color w:val="auto"/>
              </w:rPr>
            </w:pPr>
            <w:r>
              <w:rPr>
                <w:rFonts w:ascii="Arial" w:cs="Arial" w:eastAsia="Arial" w:hAnsi="Arial"/>
                <w:sz w:val="15"/>
                <w:szCs w:val="15"/>
                <w:color w:val="auto"/>
                <w:w w:val="95"/>
              </w:rPr>
              <w:t>$</w:t>
            </w:r>
          </w:p>
        </w:tc>
        <w:tc>
          <w:tcPr>
            <w:tcW w:w="940" w:type="dxa"/>
            <w:vAlign w:val="bottom"/>
          </w:tcPr>
          <w:p>
            <w:pPr>
              <w:jc w:val="right"/>
              <w:spacing w:after="0"/>
              <w:rPr>
                <w:sz w:val="20"/>
                <w:szCs w:val="20"/>
                <w:color w:val="auto"/>
              </w:rPr>
            </w:pPr>
            <w:r>
              <w:rPr>
                <w:rFonts w:ascii="Arial" w:cs="Arial" w:eastAsia="Arial" w:hAnsi="Arial"/>
                <w:sz w:val="15"/>
                <w:szCs w:val="15"/>
                <w:color w:val="auto"/>
              </w:rPr>
              <w:t>1.80</w:t>
            </w:r>
          </w:p>
        </w:tc>
        <w:tc>
          <w:tcPr>
            <w:tcW w:w="0" w:type="dxa"/>
            <w:vAlign w:val="bottom"/>
          </w:tcPr>
          <w:p>
            <w:pPr>
              <w:spacing w:after="0"/>
              <w:rPr>
                <w:sz w:val="1"/>
                <w:szCs w:val="1"/>
                <w:color w:val="auto"/>
              </w:rPr>
            </w:pPr>
          </w:p>
        </w:tc>
      </w:tr>
      <w:tr>
        <w:trPr>
          <w:trHeight w:val="20"/>
        </w:trPr>
        <w:tc>
          <w:tcPr>
            <w:tcW w:w="70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7060" w:type="dxa"/>
            <w:vAlign w:val="bottom"/>
          </w:tcPr>
          <w:p>
            <w:pPr>
              <w:ind w:left="300"/>
              <w:spacing w:after="0"/>
              <w:rPr>
                <w:sz w:val="20"/>
                <w:szCs w:val="20"/>
                <w:color w:val="auto"/>
              </w:rPr>
            </w:pPr>
            <w:r>
              <w:rPr>
                <w:rFonts w:ascii="Arial" w:cs="Arial" w:eastAsia="Arial" w:hAnsi="Arial"/>
                <w:sz w:val="15"/>
                <w:szCs w:val="15"/>
                <w:color w:val="auto"/>
              </w:rPr>
              <w:t>Weighted average number of Class A units outstanding</w:t>
            </w: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118,186</w:t>
            </w:r>
          </w:p>
        </w:tc>
        <w:tc>
          <w:tcPr>
            <w:tcW w:w="2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114,452</w:t>
            </w:r>
          </w:p>
        </w:tc>
        <w:tc>
          <w:tcPr>
            <w:tcW w:w="2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107,590</w:t>
            </w:r>
          </w:p>
        </w:tc>
        <w:tc>
          <w:tcPr>
            <w:tcW w:w="0" w:type="dxa"/>
            <w:vAlign w:val="bottom"/>
          </w:tcPr>
          <w:p>
            <w:pPr>
              <w:spacing w:after="0"/>
              <w:rPr>
                <w:sz w:val="1"/>
                <w:szCs w:val="1"/>
                <w:color w:val="auto"/>
              </w:rPr>
            </w:pPr>
          </w:p>
        </w:tc>
      </w:tr>
      <w:tr>
        <w:trPr>
          <w:trHeight w:val="20"/>
        </w:trPr>
        <w:tc>
          <w:tcPr>
            <w:tcW w:w="70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20"/>
        <w:spacing w:after="0"/>
        <w:rPr>
          <w:sz w:val="20"/>
          <w:szCs w:val="20"/>
          <w:color w:val="auto"/>
        </w:rPr>
      </w:pPr>
      <w:r>
        <w:rPr>
          <w:rFonts w:ascii="Arial" w:cs="Arial" w:eastAsia="Arial" w:hAnsi="Arial"/>
          <w:sz w:val="17"/>
          <w:szCs w:val="17"/>
          <w:i w:val="1"/>
          <w:iCs w:val="1"/>
          <w:color w:val="auto"/>
        </w:rPr>
        <w:t>Please see accompanying notes to consolidated financial statements.</w:t>
      </w:r>
    </w:p>
    <w:p>
      <w:pPr>
        <w:spacing w:after="0" w:line="200" w:lineRule="exact"/>
        <w:rPr>
          <w:sz w:val="20"/>
          <w:szCs w:val="20"/>
          <w:color w:val="auto"/>
        </w:rPr>
      </w:pPr>
    </w:p>
    <w:p>
      <w:pPr>
        <w:spacing w:after="0" w:line="337"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wp:posOffset>
            </wp:positionH>
            <wp:positionV relativeFrom="paragraph">
              <wp:posOffset>70485</wp:posOffset>
            </wp:positionV>
            <wp:extent cx="7164070" cy="419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40" w:top="856" w:right="339" w:bottom="1440" w:gutter="0" w:footer="0" w:header="0"/>
        </w:sectPr>
      </w:pPr>
    </w:p>
    <w:bookmarkStart w:id="66" w:name="page67"/>
    <w:bookmarkEnd w:id="66"/>
    <w:p>
      <w:pPr>
        <w:jc w:val="center"/>
        <w:ind w:right="40"/>
        <w:spacing w:after="0"/>
        <w:rPr>
          <w:sz w:val="20"/>
          <w:szCs w:val="20"/>
          <w:color w:val="auto"/>
        </w:rPr>
      </w:pPr>
      <w:r>
        <w:rPr>
          <w:rFonts w:ascii="Arial" w:cs="Arial" w:eastAsia="Arial" w:hAnsi="Arial"/>
          <w:sz w:val="17"/>
          <w:szCs w:val="17"/>
          <w:b w:val="1"/>
          <w:bCs w:val="1"/>
          <w:color w:val="auto"/>
        </w:rPr>
        <w:t>Brookfield Oaktree Holdings, LLC</w:t>
      </w:r>
    </w:p>
    <w:p>
      <w:pPr>
        <w:spacing w:after="0" w:line="16"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Consolidated Statements of Comprehensive Income (Loss)</w:t>
      </w:r>
    </w:p>
    <w:p>
      <w:pPr>
        <w:spacing w:after="0" w:line="11"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(in thousands)</w:t>
      </w: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68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4"/>
          </w:tcPr>
          <w:p>
            <w:pPr>
              <w:ind w:left="140"/>
              <w:spacing w:after="0"/>
              <w:rPr>
                <w:sz w:val="20"/>
                <w:szCs w:val="20"/>
                <w:color w:val="auto"/>
              </w:rPr>
            </w:pPr>
            <w:r>
              <w:rPr>
                <w:rFonts w:ascii="Arial" w:cs="Arial" w:eastAsia="Arial" w:hAnsi="Arial"/>
                <w:sz w:val="12"/>
                <w:szCs w:val="12"/>
                <w:b w:val="1"/>
                <w:bCs w:val="1"/>
                <w:color w:val="auto"/>
              </w:rPr>
              <w:t>Year Ended December 31,</w:t>
            </w:r>
          </w:p>
        </w:tc>
        <w:tc>
          <w:tcPr>
            <w:tcW w:w="3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r>
      <w:tr>
        <w:trPr>
          <w:trHeight w:val="186"/>
        </w:trPr>
        <w:tc>
          <w:tcPr>
            <w:tcW w:w="68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44"/>
              <w:spacing w:after="0"/>
              <w:rPr>
                <w:sz w:val="20"/>
                <w:szCs w:val="20"/>
                <w:color w:val="auto"/>
              </w:rPr>
            </w:pPr>
            <w:r>
              <w:rPr>
                <w:rFonts w:ascii="Arial" w:cs="Arial" w:eastAsia="Arial" w:hAnsi="Arial"/>
                <w:sz w:val="12"/>
                <w:szCs w:val="12"/>
                <w:b w:val="1"/>
                <w:bCs w:val="1"/>
                <w:color w:val="auto"/>
              </w:rPr>
              <w:t>2025</w:t>
            </w:r>
          </w:p>
        </w:tc>
        <w:tc>
          <w:tcPr>
            <w:tcW w:w="2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64"/>
              <w:spacing w:after="0"/>
              <w:rPr>
                <w:sz w:val="20"/>
                <w:szCs w:val="20"/>
                <w:color w:val="auto"/>
              </w:rPr>
            </w:pPr>
            <w:r>
              <w:rPr>
                <w:rFonts w:ascii="Arial" w:cs="Arial" w:eastAsia="Arial" w:hAnsi="Arial"/>
                <w:sz w:val="12"/>
                <w:szCs w:val="12"/>
                <w:b w:val="1"/>
                <w:bCs w:val="1"/>
                <w:color w:val="auto"/>
              </w:rPr>
              <w:t>2024</w:t>
            </w:r>
          </w:p>
        </w:tc>
        <w:tc>
          <w:tcPr>
            <w:tcW w:w="2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64"/>
              <w:spacing w:after="0"/>
              <w:rPr>
                <w:sz w:val="20"/>
                <w:szCs w:val="20"/>
                <w:color w:val="auto"/>
              </w:rPr>
            </w:pPr>
            <w:r>
              <w:rPr>
                <w:rFonts w:ascii="Arial" w:cs="Arial" w:eastAsia="Arial" w:hAnsi="Arial"/>
                <w:sz w:val="12"/>
                <w:szCs w:val="12"/>
                <w:b w:val="1"/>
                <w:bCs w:val="1"/>
                <w:color w:val="auto"/>
              </w:rPr>
              <w:t>2023</w:t>
            </w:r>
          </w:p>
        </w:tc>
      </w:tr>
      <w:tr>
        <w:trPr>
          <w:trHeight w:val="433"/>
        </w:trPr>
        <w:tc>
          <w:tcPr>
            <w:tcW w:w="6800" w:type="dxa"/>
            <w:vAlign w:val="bottom"/>
          </w:tcPr>
          <w:p>
            <w:pPr>
              <w:spacing w:after="0"/>
              <w:rPr>
                <w:sz w:val="20"/>
                <w:szCs w:val="20"/>
                <w:color w:val="auto"/>
              </w:rPr>
            </w:pPr>
            <w:r>
              <w:rPr>
                <w:rFonts w:ascii="Arial" w:cs="Arial" w:eastAsia="Arial" w:hAnsi="Arial"/>
                <w:sz w:val="15"/>
                <w:szCs w:val="15"/>
                <w:color w:val="auto"/>
              </w:rPr>
              <w:t>Net income</w:t>
            </w:r>
          </w:p>
        </w:tc>
        <w:tc>
          <w:tcPr>
            <w:tcW w:w="320" w:type="dxa"/>
            <w:vAlign w:val="bottom"/>
          </w:tcPr>
          <w:p>
            <w:pPr>
              <w:jc w:val="right"/>
              <w:ind w:right="143"/>
              <w:spacing w:after="0"/>
              <w:rPr>
                <w:sz w:val="20"/>
                <w:szCs w:val="20"/>
                <w:color w:val="auto"/>
              </w:rPr>
            </w:pPr>
            <w:r>
              <w:rPr>
                <w:rFonts w:ascii="Arial" w:cs="Arial" w:eastAsia="Arial" w:hAnsi="Arial"/>
                <w:sz w:val="15"/>
                <w:szCs w:val="15"/>
                <w:color w:val="auto"/>
                <w:w w:val="95"/>
              </w:rPr>
              <w:t>$</w:t>
            </w:r>
          </w:p>
        </w:tc>
        <w:tc>
          <w:tcPr>
            <w:tcW w:w="1000" w:type="dxa"/>
            <w:vAlign w:val="bottom"/>
          </w:tcPr>
          <w:p>
            <w:pPr>
              <w:jc w:val="right"/>
              <w:spacing w:after="0"/>
              <w:rPr>
                <w:sz w:val="20"/>
                <w:szCs w:val="20"/>
                <w:color w:val="auto"/>
              </w:rPr>
            </w:pPr>
            <w:r>
              <w:rPr>
                <w:rFonts w:ascii="Arial" w:cs="Arial" w:eastAsia="Arial" w:hAnsi="Arial"/>
                <w:sz w:val="15"/>
                <w:szCs w:val="15"/>
                <w:color w:val="auto"/>
              </w:rPr>
              <w:t>523,215</w:t>
            </w:r>
          </w:p>
        </w:tc>
        <w:tc>
          <w:tcPr>
            <w:tcW w:w="52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020" w:type="dxa"/>
            <w:vAlign w:val="bottom"/>
          </w:tcPr>
          <w:p>
            <w:pPr>
              <w:jc w:val="right"/>
              <w:ind w:right="4"/>
              <w:spacing w:after="0"/>
              <w:rPr>
                <w:sz w:val="20"/>
                <w:szCs w:val="20"/>
                <w:color w:val="auto"/>
              </w:rPr>
            </w:pPr>
            <w:r>
              <w:rPr>
                <w:rFonts w:ascii="Arial" w:cs="Arial" w:eastAsia="Arial" w:hAnsi="Arial"/>
                <w:sz w:val="15"/>
                <w:szCs w:val="15"/>
                <w:color w:val="auto"/>
              </w:rPr>
              <w:t>787,062</w:t>
            </w:r>
          </w:p>
        </w:tc>
        <w:tc>
          <w:tcPr>
            <w:tcW w:w="200" w:type="dxa"/>
            <w:vAlign w:val="bottom"/>
          </w:tcPr>
          <w:p>
            <w:pPr>
              <w:spacing w:after="0"/>
              <w:rPr>
                <w:sz w:val="24"/>
                <w:szCs w:val="24"/>
                <w:color w:val="auto"/>
              </w:rPr>
            </w:pPr>
          </w:p>
        </w:tc>
        <w:tc>
          <w:tcPr>
            <w:tcW w:w="320" w:type="dxa"/>
            <w:vAlign w:val="bottom"/>
          </w:tcPr>
          <w:p>
            <w:pPr>
              <w:jc w:val="right"/>
              <w:ind w:right="143"/>
              <w:spacing w:after="0"/>
              <w:rPr>
                <w:sz w:val="20"/>
                <w:szCs w:val="20"/>
                <w:color w:val="auto"/>
              </w:rPr>
            </w:pPr>
            <w:r>
              <w:rPr>
                <w:rFonts w:ascii="Arial" w:cs="Arial" w:eastAsia="Arial" w:hAnsi="Arial"/>
                <w:sz w:val="15"/>
                <w:szCs w:val="15"/>
                <w:color w:val="auto"/>
                <w:w w:val="95"/>
              </w:rPr>
              <w:t>$</w:t>
            </w:r>
          </w:p>
        </w:tc>
        <w:tc>
          <w:tcPr>
            <w:tcW w:w="1020" w:type="dxa"/>
            <w:vAlign w:val="bottom"/>
          </w:tcPr>
          <w:p>
            <w:pPr>
              <w:jc w:val="right"/>
              <w:ind w:right="4"/>
              <w:spacing w:after="0"/>
              <w:rPr>
                <w:sz w:val="20"/>
                <w:szCs w:val="20"/>
                <w:color w:val="auto"/>
              </w:rPr>
            </w:pPr>
            <w:r>
              <w:rPr>
                <w:rFonts w:ascii="Arial" w:cs="Arial" w:eastAsia="Arial" w:hAnsi="Arial"/>
                <w:sz w:val="15"/>
                <w:szCs w:val="15"/>
                <w:color w:val="auto"/>
              </w:rPr>
              <w:t>540,166</w:t>
            </w:r>
          </w:p>
        </w:tc>
      </w:tr>
      <w:tr>
        <w:trPr>
          <w:trHeight w:val="186"/>
        </w:trPr>
        <w:tc>
          <w:tcPr>
            <w:tcW w:w="6800" w:type="dxa"/>
            <w:vAlign w:val="bottom"/>
          </w:tcPr>
          <w:p>
            <w:pPr>
              <w:spacing w:after="0"/>
              <w:rPr>
                <w:sz w:val="20"/>
                <w:szCs w:val="20"/>
                <w:color w:val="auto"/>
              </w:rPr>
            </w:pPr>
            <w:r>
              <w:rPr>
                <w:rFonts w:ascii="Arial" w:cs="Arial" w:eastAsia="Arial" w:hAnsi="Arial"/>
                <w:sz w:val="15"/>
                <w:szCs w:val="15"/>
                <w:color w:val="auto"/>
              </w:rPr>
              <w:t>Other comprehensive loss, net of tax:</w:t>
            </w:r>
          </w:p>
        </w:tc>
        <w:tc>
          <w:tcPr>
            <w:tcW w:w="3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r>
      <w:tr>
        <w:trPr>
          <w:trHeight w:val="206"/>
        </w:trPr>
        <w:tc>
          <w:tcPr>
            <w:tcW w:w="6800" w:type="dxa"/>
            <w:vAlign w:val="bottom"/>
          </w:tcPr>
          <w:p>
            <w:pPr>
              <w:ind w:left="300"/>
              <w:spacing w:after="0"/>
              <w:rPr>
                <w:sz w:val="20"/>
                <w:szCs w:val="20"/>
                <w:color w:val="auto"/>
              </w:rPr>
            </w:pPr>
            <w:r>
              <w:rPr>
                <w:rFonts w:ascii="Arial" w:cs="Arial" w:eastAsia="Arial" w:hAnsi="Arial"/>
                <w:sz w:val="15"/>
                <w:szCs w:val="15"/>
                <w:color w:val="auto"/>
              </w:rPr>
              <w:t>Foreign currency translation adjustments</w:t>
            </w: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(1,501)</w:t>
            </w:r>
          </w:p>
        </w:tc>
        <w:tc>
          <w:tcPr>
            <w:tcW w:w="2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(6,529)</w:t>
            </w:r>
          </w:p>
        </w:tc>
      </w:tr>
      <w:tr>
        <w:trPr>
          <w:trHeight w:val="199"/>
        </w:trPr>
        <w:tc>
          <w:tcPr>
            <w:tcW w:w="6800" w:type="dxa"/>
            <w:vAlign w:val="bottom"/>
          </w:tcPr>
          <w:p>
            <w:pPr>
              <w:ind w:left="620"/>
              <w:spacing w:after="0"/>
              <w:rPr>
                <w:sz w:val="20"/>
                <w:szCs w:val="20"/>
                <w:color w:val="auto"/>
              </w:rPr>
            </w:pPr>
            <w:r>
              <w:rPr>
                <w:rFonts w:ascii="Arial" w:cs="Arial" w:eastAsia="Arial" w:hAnsi="Arial"/>
                <w:sz w:val="15"/>
                <w:szCs w:val="15"/>
                <w:color w:val="auto"/>
              </w:rPr>
              <w:t>Other comprehensive loss, net of tax</w:t>
            </w: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(1,501)</w:t>
            </w:r>
          </w:p>
        </w:tc>
        <w:tc>
          <w:tcPr>
            <w:tcW w:w="2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(6,529)</w:t>
            </w:r>
          </w:p>
        </w:tc>
      </w:tr>
      <w:tr>
        <w:trPr>
          <w:trHeight w:val="199"/>
        </w:trPr>
        <w:tc>
          <w:tcPr>
            <w:tcW w:w="6800" w:type="dxa"/>
            <w:vAlign w:val="bottom"/>
          </w:tcPr>
          <w:p>
            <w:pPr>
              <w:spacing w:after="0"/>
              <w:rPr>
                <w:sz w:val="20"/>
                <w:szCs w:val="20"/>
                <w:color w:val="auto"/>
              </w:rPr>
            </w:pPr>
            <w:r>
              <w:rPr>
                <w:rFonts w:ascii="Arial" w:cs="Arial" w:eastAsia="Arial" w:hAnsi="Arial"/>
                <w:sz w:val="15"/>
                <w:szCs w:val="15"/>
                <w:color w:val="auto"/>
              </w:rPr>
              <w:t>Total comprehensive income</w:t>
            </w:r>
          </w:p>
        </w:tc>
        <w:tc>
          <w:tcPr>
            <w:tcW w:w="3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523,215</w:t>
            </w: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jc w:val="right"/>
              <w:ind w:right="4"/>
              <w:spacing w:after="0"/>
              <w:rPr>
                <w:sz w:val="20"/>
                <w:szCs w:val="20"/>
                <w:color w:val="auto"/>
              </w:rPr>
            </w:pPr>
            <w:r>
              <w:rPr>
                <w:rFonts w:ascii="Arial" w:cs="Arial" w:eastAsia="Arial" w:hAnsi="Arial"/>
                <w:sz w:val="15"/>
                <w:szCs w:val="15"/>
                <w:color w:val="auto"/>
              </w:rPr>
              <w:t>785,561</w:t>
            </w: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jc w:val="right"/>
              <w:ind w:right="4"/>
              <w:spacing w:after="0"/>
              <w:rPr>
                <w:sz w:val="20"/>
                <w:szCs w:val="20"/>
                <w:color w:val="auto"/>
              </w:rPr>
            </w:pPr>
            <w:r>
              <w:rPr>
                <w:rFonts w:ascii="Arial" w:cs="Arial" w:eastAsia="Arial" w:hAnsi="Arial"/>
                <w:sz w:val="15"/>
                <w:szCs w:val="15"/>
                <w:color w:val="auto"/>
              </w:rPr>
              <w:t>533,637</w:t>
            </w:r>
          </w:p>
        </w:tc>
      </w:tr>
      <w:tr>
        <w:trPr>
          <w:trHeight w:val="206"/>
        </w:trPr>
        <w:tc>
          <w:tcPr>
            <w:tcW w:w="6800" w:type="dxa"/>
            <w:vAlign w:val="bottom"/>
          </w:tcPr>
          <w:p>
            <w:pPr>
              <w:spacing w:after="0"/>
              <w:rPr>
                <w:sz w:val="20"/>
                <w:szCs w:val="20"/>
                <w:color w:val="auto"/>
              </w:rPr>
            </w:pPr>
            <w:r>
              <w:rPr>
                <w:rFonts w:ascii="Arial" w:cs="Arial" w:eastAsia="Arial" w:hAnsi="Arial"/>
                <w:sz w:val="15"/>
                <w:szCs w:val="15"/>
                <w:color w:val="auto"/>
              </w:rPr>
              <w:t>Less:</w:t>
            </w: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6"/>
        </w:trPr>
        <w:tc>
          <w:tcPr>
            <w:tcW w:w="6800" w:type="dxa"/>
            <w:vAlign w:val="bottom"/>
          </w:tcPr>
          <w:p>
            <w:pPr>
              <w:ind w:left="300"/>
              <w:spacing w:after="0"/>
              <w:rPr>
                <w:sz w:val="20"/>
                <w:szCs w:val="20"/>
                <w:color w:val="auto"/>
              </w:rPr>
            </w:pPr>
            <w:r>
              <w:rPr>
                <w:rFonts w:ascii="Arial" w:cs="Arial" w:eastAsia="Arial" w:hAnsi="Arial"/>
                <w:sz w:val="15"/>
                <w:szCs w:val="15"/>
                <w:color w:val="auto"/>
              </w:rPr>
              <w:t>Comprehensive income attributable to non-controlling interests in consolidated funds</w:t>
            </w:r>
          </w:p>
        </w:tc>
        <w:tc>
          <w:tcPr>
            <w:tcW w:w="3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(272,350)</w:t>
            </w: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(417,901)</w:t>
            </w: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(245,928)</w:t>
            </w:r>
          </w:p>
        </w:tc>
      </w:tr>
      <w:tr>
        <w:trPr>
          <w:trHeight w:val="206"/>
        </w:trPr>
        <w:tc>
          <w:tcPr>
            <w:tcW w:w="6800" w:type="dxa"/>
            <w:vAlign w:val="bottom"/>
          </w:tcPr>
          <w:p>
            <w:pPr>
              <w:ind w:left="300"/>
              <w:spacing w:after="0"/>
              <w:rPr>
                <w:sz w:val="20"/>
                <w:szCs w:val="20"/>
                <w:color w:val="auto"/>
              </w:rPr>
            </w:pPr>
            <w:r>
              <w:rPr>
                <w:rFonts w:ascii="Arial" w:cs="Arial" w:eastAsia="Arial" w:hAnsi="Arial"/>
                <w:sz w:val="15"/>
                <w:szCs w:val="15"/>
                <w:color w:val="auto"/>
              </w:rPr>
              <w:t>Comprehensive income attributable to non-controlling interests in consolidated subsidiaries</w:t>
            </w: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(1,627)</w:t>
            </w:r>
          </w:p>
        </w:tc>
        <w:tc>
          <w:tcPr>
            <w:tcW w:w="2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(61,162)</w:t>
            </w:r>
          </w:p>
        </w:tc>
        <w:tc>
          <w:tcPr>
            <w:tcW w:w="2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(70,527)</w:t>
            </w:r>
          </w:p>
        </w:tc>
      </w:tr>
      <w:tr>
        <w:trPr>
          <w:trHeight w:val="199"/>
        </w:trPr>
        <w:tc>
          <w:tcPr>
            <w:tcW w:w="6800" w:type="dxa"/>
            <w:vAlign w:val="bottom"/>
          </w:tcPr>
          <w:p>
            <w:pPr>
              <w:spacing w:after="0"/>
              <w:rPr>
                <w:sz w:val="20"/>
                <w:szCs w:val="20"/>
                <w:color w:val="auto"/>
              </w:rPr>
            </w:pPr>
            <w:r>
              <w:rPr>
                <w:rFonts w:ascii="Arial" w:cs="Arial" w:eastAsia="Arial" w:hAnsi="Arial"/>
                <w:sz w:val="15"/>
                <w:szCs w:val="15"/>
                <w:color w:val="auto"/>
              </w:rPr>
              <w:t>Comprehensive income attributable to BOH</w:t>
            </w:r>
          </w:p>
        </w:tc>
        <w:tc>
          <w:tcPr>
            <w:tcW w:w="3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249,238</w:t>
            </w: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jc w:val="right"/>
              <w:ind w:right="4"/>
              <w:spacing w:after="0"/>
              <w:rPr>
                <w:sz w:val="20"/>
                <w:szCs w:val="20"/>
                <w:color w:val="auto"/>
              </w:rPr>
            </w:pPr>
            <w:r>
              <w:rPr>
                <w:rFonts w:ascii="Arial" w:cs="Arial" w:eastAsia="Arial" w:hAnsi="Arial"/>
                <w:sz w:val="15"/>
                <w:szCs w:val="15"/>
                <w:color w:val="auto"/>
              </w:rPr>
              <w:t>306,498</w:t>
            </w: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jc w:val="right"/>
              <w:ind w:right="4"/>
              <w:spacing w:after="0"/>
              <w:rPr>
                <w:sz w:val="20"/>
                <w:szCs w:val="20"/>
                <w:color w:val="auto"/>
              </w:rPr>
            </w:pPr>
            <w:r>
              <w:rPr>
                <w:rFonts w:ascii="Arial" w:cs="Arial" w:eastAsia="Arial" w:hAnsi="Arial"/>
                <w:sz w:val="15"/>
                <w:szCs w:val="15"/>
                <w:color w:val="auto"/>
              </w:rPr>
              <w:t>217,182</w:t>
            </w:r>
          </w:p>
        </w:tc>
      </w:tr>
      <w:tr>
        <w:trPr>
          <w:trHeight w:val="207"/>
        </w:trPr>
        <w:tc>
          <w:tcPr>
            <w:tcW w:w="6800" w:type="dxa"/>
            <w:vAlign w:val="bottom"/>
          </w:tcPr>
          <w:p>
            <w:pPr>
              <w:ind w:left="300"/>
              <w:spacing w:after="0"/>
              <w:rPr>
                <w:sz w:val="20"/>
                <w:szCs w:val="20"/>
                <w:color w:val="auto"/>
              </w:rPr>
            </w:pPr>
            <w:r>
              <w:rPr>
                <w:rFonts w:ascii="Arial" w:cs="Arial" w:eastAsia="Arial" w:hAnsi="Arial"/>
                <w:sz w:val="15"/>
                <w:szCs w:val="15"/>
                <w:color w:val="auto"/>
              </w:rPr>
              <w:t>Comprehensive income attributable to preferred unitholders</w:t>
            </w: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(27,316)</w:t>
            </w:r>
          </w:p>
        </w:tc>
        <w:tc>
          <w:tcPr>
            <w:tcW w:w="2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(27,316)</w:t>
            </w:r>
          </w:p>
        </w:tc>
        <w:tc>
          <w:tcPr>
            <w:tcW w:w="2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(27,316)</w:t>
            </w:r>
          </w:p>
        </w:tc>
      </w:tr>
      <w:tr>
        <w:trPr>
          <w:trHeight w:val="200"/>
        </w:trPr>
        <w:tc>
          <w:tcPr>
            <w:tcW w:w="6800" w:type="dxa"/>
            <w:vAlign w:val="bottom"/>
          </w:tcPr>
          <w:p>
            <w:pPr>
              <w:spacing w:after="0"/>
              <w:rPr>
                <w:sz w:val="20"/>
                <w:szCs w:val="20"/>
                <w:color w:val="auto"/>
              </w:rPr>
            </w:pPr>
            <w:r>
              <w:rPr>
                <w:rFonts w:ascii="Arial" w:cs="Arial" w:eastAsia="Arial" w:hAnsi="Arial"/>
                <w:sz w:val="15"/>
                <w:szCs w:val="15"/>
                <w:color w:val="auto"/>
              </w:rPr>
              <w:t>Comprehensive income attributable to BOH Class A unitholders</w:t>
            </w:r>
          </w:p>
        </w:tc>
        <w:tc>
          <w:tcPr>
            <w:tcW w:w="320" w:type="dxa"/>
            <w:vAlign w:val="bottom"/>
          </w:tcPr>
          <w:p>
            <w:pPr>
              <w:jc w:val="right"/>
              <w:ind w:right="143"/>
              <w:spacing w:after="0"/>
              <w:rPr>
                <w:sz w:val="20"/>
                <w:szCs w:val="20"/>
                <w:color w:val="auto"/>
              </w:rPr>
            </w:pPr>
            <w:r>
              <w:rPr>
                <w:rFonts w:ascii="Arial" w:cs="Arial" w:eastAsia="Arial" w:hAnsi="Arial"/>
                <w:sz w:val="15"/>
                <w:szCs w:val="15"/>
                <w:color w:val="auto"/>
                <w:w w:val="95"/>
              </w:rPr>
              <w:t>$</w:t>
            </w:r>
          </w:p>
        </w:tc>
        <w:tc>
          <w:tcPr>
            <w:tcW w:w="1000" w:type="dxa"/>
            <w:vAlign w:val="bottom"/>
          </w:tcPr>
          <w:p>
            <w:pPr>
              <w:jc w:val="right"/>
              <w:spacing w:after="0"/>
              <w:rPr>
                <w:sz w:val="20"/>
                <w:szCs w:val="20"/>
                <w:color w:val="auto"/>
              </w:rPr>
            </w:pPr>
            <w:r>
              <w:rPr>
                <w:rFonts w:ascii="Arial" w:cs="Arial" w:eastAsia="Arial" w:hAnsi="Arial"/>
                <w:sz w:val="15"/>
                <w:szCs w:val="15"/>
                <w:color w:val="auto"/>
              </w:rPr>
              <w:t>221,922</w:t>
            </w:r>
          </w:p>
        </w:tc>
        <w:tc>
          <w:tcPr>
            <w:tcW w:w="52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020" w:type="dxa"/>
            <w:vAlign w:val="bottom"/>
          </w:tcPr>
          <w:p>
            <w:pPr>
              <w:jc w:val="right"/>
              <w:ind w:right="4"/>
              <w:spacing w:after="0"/>
              <w:rPr>
                <w:sz w:val="20"/>
                <w:szCs w:val="20"/>
                <w:color w:val="auto"/>
              </w:rPr>
            </w:pPr>
            <w:r>
              <w:rPr>
                <w:rFonts w:ascii="Arial" w:cs="Arial" w:eastAsia="Arial" w:hAnsi="Arial"/>
                <w:sz w:val="15"/>
                <w:szCs w:val="15"/>
                <w:color w:val="auto"/>
              </w:rPr>
              <w:t>279,182</w:t>
            </w:r>
          </w:p>
        </w:tc>
        <w:tc>
          <w:tcPr>
            <w:tcW w:w="200" w:type="dxa"/>
            <w:vAlign w:val="bottom"/>
          </w:tcPr>
          <w:p>
            <w:pPr>
              <w:spacing w:after="0"/>
              <w:rPr>
                <w:sz w:val="17"/>
                <w:szCs w:val="17"/>
                <w:color w:val="auto"/>
              </w:rPr>
            </w:pPr>
          </w:p>
        </w:tc>
        <w:tc>
          <w:tcPr>
            <w:tcW w:w="320" w:type="dxa"/>
            <w:vAlign w:val="bottom"/>
          </w:tcPr>
          <w:p>
            <w:pPr>
              <w:jc w:val="right"/>
              <w:ind w:right="143"/>
              <w:spacing w:after="0"/>
              <w:rPr>
                <w:sz w:val="20"/>
                <w:szCs w:val="20"/>
                <w:color w:val="auto"/>
              </w:rPr>
            </w:pPr>
            <w:r>
              <w:rPr>
                <w:rFonts w:ascii="Arial" w:cs="Arial" w:eastAsia="Arial" w:hAnsi="Arial"/>
                <w:sz w:val="15"/>
                <w:szCs w:val="15"/>
                <w:color w:val="auto"/>
                <w:w w:val="95"/>
              </w:rPr>
              <w:t>$</w:t>
            </w:r>
          </w:p>
        </w:tc>
        <w:tc>
          <w:tcPr>
            <w:tcW w:w="1020" w:type="dxa"/>
            <w:vAlign w:val="bottom"/>
          </w:tcPr>
          <w:p>
            <w:pPr>
              <w:jc w:val="right"/>
              <w:ind w:right="4"/>
              <w:spacing w:after="0"/>
              <w:rPr>
                <w:sz w:val="20"/>
                <w:szCs w:val="20"/>
                <w:color w:val="auto"/>
              </w:rPr>
            </w:pPr>
            <w:r>
              <w:rPr>
                <w:rFonts w:ascii="Arial" w:cs="Arial" w:eastAsia="Arial" w:hAnsi="Arial"/>
                <w:sz w:val="15"/>
                <w:szCs w:val="15"/>
                <w:color w:val="auto"/>
              </w:rPr>
              <w:t>189,866</w:t>
            </w:r>
          </w:p>
        </w:tc>
      </w:tr>
      <w:tr>
        <w:trPr>
          <w:trHeight w:val="20"/>
        </w:trPr>
        <w:tc>
          <w:tcPr>
            <w:tcW w:w="68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40"/>
        <w:spacing w:after="0"/>
        <w:rPr>
          <w:sz w:val="20"/>
          <w:szCs w:val="20"/>
          <w:color w:val="auto"/>
        </w:rPr>
      </w:pPr>
      <w:r>
        <w:rPr>
          <w:rFonts w:ascii="Arial" w:cs="Arial" w:eastAsia="Arial" w:hAnsi="Arial"/>
          <w:sz w:val="17"/>
          <w:szCs w:val="17"/>
          <w:i w:val="1"/>
          <w:iCs w:val="1"/>
          <w:color w:val="auto"/>
        </w:rPr>
        <w:t>Please see accompanying notes to consolidated financial statements.</w:t>
      </w:r>
    </w:p>
    <w:p>
      <w:pPr>
        <w:spacing w:after="0" w:line="200" w:lineRule="exact"/>
        <w:rPr>
          <w:sz w:val="20"/>
          <w:szCs w:val="20"/>
          <w:color w:val="auto"/>
        </w:rPr>
      </w:pPr>
    </w:p>
    <w:p>
      <w:pPr>
        <w:spacing w:after="0" w:line="337"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-35560</wp:posOffset>
            </wp:positionH>
            <wp:positionV relativeFrom="paragraph">
              <wp:posOffset>70485</wp:posOffset>
            </wp:positionV>
            <wp:extent cx="7164070" cy="419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60" w:top="856" w:right="339" w:bottom="1440" w:gutter="0" w:footer="0" w:header="0"/>
        </w:sectPr>
      </w:pPr>
    </w:p>
    <w:bookmarkStart w:id="67" w:name="page68"/>
    <w:bookmarkEnd w:id="67"/>
    <w:p>
      <w:pPr>
        <w:jc w:val="center"/>
        <w:ind w:right="40"/>
        <w:spacing w:after="0"/>
        <w:rPr>
          <w:sz w:val="20"/>
          <w:szCs w:val="20"/>
          <w:color w:val="auto"/>
        </w:rPr>
      </w:pPr>
      <w:r>
        <w:rPr>
          <w:rFonts w:ascii="Arial" w:cs="Arial" w:eastAsia="Arial" w:hAnsi="Arial"/>
          <w:sz w:val="17"/>
          <w:szCs w:val="17"/>
          <w:b w:val="1"/>
          <w:bCs w:val="1"/>
          <w:color w:val="auto"/>
        </w:rPr>
        <w:t>Brookfield Oaktree Holdings, LLC</w:t>
      </w:r>
    </w:p>
    <w:p>
      <w:pPr>
        <w:spacing w:after="0" w:line="16"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Consolidated Statements of Cash Flows</w:t>
      </w:r>
    </w:p>
    <w:p>
      <w:pPr>
        <w:spacing w:after="0" w:line="11"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(in thousands)</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68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4"/>
          </w:tcPr>
          <w:p>
            <w:pPr>
              <w:ind w:left="140"/>
              <w:spacing w:after="0"/>
              <w:rPr>
                <w:sz w:val="20"/>
                <w:szCs w:val="20"/>
                <w:color w:val="auto"/>
              </w:rPr>
            </w:pPr>
            <w:r>
              <w:rPr>
                <w:rFonts w:ascii="Arial" w:cs="Arial" w:eastAsia="Arial" w:hAnsi="Arial"/>
                <w:sz w:val="12"/>
                <w:szCs w:val="12"/>
                <w:b w:val="1"/>
                <w:bCs w:val="1"/>
                <w:color w:val="auto"/>
              </w:rPr>
              <w:t>Year Ended December 31,</w:t>
            </w: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r>
      <w:tr>
        <w:trPr>
          <w:trHeight w:val="162"/>
        </w:trPr>
        <w:tc>
          <w:tcPr>
            <w:tcW w:w="68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48"/>
              <w:spacing w:after="0"/>
              <w:rPr>
                <w:sz w:val="20"/>
                <w:szCs w:val="20"/>
                <w:color w:val="auto"/>
              </w:rPr>
            </w:pPr>
            <w:r>
              <w:rPr>
                <w:rFonts w:ascii="Arial" w:cs="Arial" w:eastAsia="Arial" w:hAnsi="Arial"/>
                <w:sz w:val="12"/>
                <w:szCs w:val="12"/>
                <w:b w:val="1"/>
                <w:bCs w:val="1"/>
                <w:color w:val="auto"/>
              </w:rPr>
              <w:t>2025</w:t>
            </w:r>
          </w:p>
        </w:tc>
        <w:tc>
          <w:tcPr>
            <w:tcW w:w="2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68"/>
              <w:spacing w:after="0"/>
              <w:rPr>
                <w:sz w:val="20"/>
                <w:szCs w:val="20"/>
                <w:color w:val="auto"/>
              </w:rPr>
            </w:pPr>
            <w:r>
              <w:rPr>
                <w:rFonts w:ascii="Arial" w:cs="Arial" w:eastAsia="Arial" w:hAnsi="Arial"/>
                <w:sz w:val="12"/>
                <w:szCs w:val="12"/>
                <w:b w:val="1"/>
                <w:bCs w:val="1"/>
                <w:color w:val="auto"/>
              </w:rPr>
              <w:t>2024</w:t>
            </w:r>
          </w:p>
        </w:tc>
        <w:tc>
          <w:tcPr>
            <w:tcW w:w="2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68"/>
              <w:spacing w:after="0"/>
              <w:rPr>
                <w:sz w:val="20"/>
                <w:szCs w:val="20"/>
                <w:color w:val="auto"/>
              </w:rPr>
            </w:pPr>
            <w:r>
              <w:rPr>
                <w:rFonts w:ascii="Arial" w:cs="Arial" w:eastAsia="Arial" w:hAnsi="Arial"/>
                <w:sz w:val="12"/>
                <w:szCs w:val="12"/>
                <w:b w:val="1"/>
                <w:bCs w:val="1"/>
                <w:color w:val="auto"/>
              </w:rPr>
              <w:t>2023</w:t>
            </w:r>
          </w:p>
        </w:tc>
      </w:tr>
      <w:tr>
        <w:trPr>
          <w:trHeight w:val="183"/>
        </w:trPr>
        <w:tc>
          <w:tcPr>
            <w:tcW w:w="6840" w:type="dxa"/>
            <w:vAlign w:val="bottom"/>
          </w:tcPr>
          <w:p>
            <w:pPr>
              <w:spacing w:after="0"/>
              <w:rPr>
                <w:sz w:val="20"/>
                <w:szCs w:val="20"/>
                <w:color w:val="auto"/>
              </w:rPr>
            </w:pPr>
            <w:r>
              <w:rPr>
                <w:rFonts w:ascii="Arial" w:cs="Arial" w:eastAsia="Arial" w:hAnsi="Arial"/>
                <w:sz w:val="15"/>
                <w:szCs w:val="15"/>
                <w:color w:val="auto"/>
              </w:rPr>
              <w:t>Cash flows from operating activities:</w:t>
            </w: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93"/>
        </w:trPr>
        <w:tc>
          <w:tcPr>
            <w:tcW w:w="6840" w:type="dxa"/>
            <w:vAlign w:val="bottom"/>
          </w:tcPr>
          <w:p>
            <w:pPr>
              <w:ind w:left="300"/>
              <w:spacing w:after="0"/>
              <w:rPr>
                <w:sz w:val="20"/>
                <w:szCs w:val="20"/>
                <w:color w:val="auto"/>
              </w:rPr>
            </w:pPr>
            <w:r>
              <w:rPr>
                <w:rFonts w:ascii="Arial" w:cs="Arial" w:eastAsia="Arial" w:hAnsi="Arial"/>
                <w:sz w:val="15"/>
                <w:szCs w:val="15"/>
                <w:color w:val="auto"/>
              </w:rPr>
              <w:t>Net income</w:t>
            </w:r>
          </w:p>
        </w:tc>
        <w:tc>
          <w:tcPr>
            <w:tcW w:w="300" w:type="dxa"/>
            <w:vAlign w:val="bottom"/>
          </w:tcPr>
          <w:p>
            <w:pPr>
              <w:jc w:val="right"/>
              <w:ind w:right="127"/>
              <w:spacing w:after="0"/>
              <w:rPr>
                <w:sz w:val="20"/>
                <w:szCs w:val="20"/>
                <w:color w:val="auto"/>
              </w:rPr>
            </w:pPr>
            <w:r>
              <w:rPr>
                <w:rFonts w:ascii="Arial" w:cs="Arial" w:eastAsia="Arial" w:hAnsi="Arial"/>
                <w:sz w:val="15"/>
                <w:szCs w:val="15"/>
                <w:color w:val="auto"/>
                <w:w w:val="95"/>
              </w:rPr>
              <w:t>$</w:t>
            </w:r>
          </w:p>
        </w:tc>
        <w:tc>
          <w:tcPr>
            <w:tcW w:w="1000" w:type="dxa"/>
            <w:vAlign w:val="bottom"/>
          </w:tcPr>
          <w:p>
            <w:pPr>
              <w:jc w:val="right"/>
              <w:spacing w:after="0"/>
              <w:rPr>
                <w:sz w:val="20"/>
                <w:szCs w:val="20"/>
                <w:color w:val="auto"/>
              </w:rPr>
            </w:pPr>
            <w:r>
              <w:rPr>
                <w:rFonts w:ascii="Arial" w:cs="Arial" w:eastAsia="Arial" w:hAnsi="Arial"/>
                <w:sz w:val="15"/>
                <w:szCs w:val="15"/>
                <w:color w:val="auto"/>
              </w:rPr>
              <w:t>523,215</w:t>
            </w:r>
          </w:p>
        </w:tc>
        <w:tc>
          <w:tcPr>
            <w:tcW w:w="52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020" w:type="dxa"/>
            <w:vAlign w:val="bottom"/>
          </w:tcPr>
          <w:p>
            <w:pPr>
              <w:jc w:val="right"/>
              <w:ind w:right="8"/>
              <w:spacing w:after="0"/>
              <w:rPr>
                <w:sz w:val="20"/>
                <w:szCs w:val="20"/>
                <w:color w:val="auto"/>
              </w:rPr>
            </w:pPr>
            <w:r>
              <w:rPr>
                <w:rFonts w:ascii="Arial" w:cs="Arial" w:eastAsia="Arial" w:hAnsi="Arial"/>
                <w:sz w:val="15"/>
                <w:szCs w:val="15"/>
                <w:color w:val="auto"/>
              </w:rPr>
              <w:t>787,062</w:t>
            </w:r>
          </w:p>
        </w:tc>
        <w:tc>
          <w:tcPr>
            <w:tcW w:w="200" w:type="dxa"/>
            <w:vAlign w:val="bottom"/>
          </w:tcPr>
          <w:p>
            <w:pPr>
              <w:spacing w:after="0"/>
              <w:rPr>
                <w:sz w:val="16"/>
                <w:szCs w:val="16"/>
                <w:color w:val="auto"/>
              </w:rPr>
            </w:pPr>
          </w:p>
        </w:tc>
        <w:tc>
          <w:tcPr>
            <w:tcW w:w="300" w:type="dxa"/>
            <w:vAlign w:val="bottom"/>
          </w:tcPr>
          <w:p>
            <w:pPr>
              <w:jc w:val="right"/>
              <w:ind w:right="127"/>
              <w:spacing w:after="0"/>
              <w:rPr>
                <w:sz w:val="20"/>
                <w:szCs w:val="20"/>
                <w:color w:val="auto"/>
              </w:rPr>
            </w:pPr>
            <w:r>
              <w:rPr>
                <w:rFonts w:ascii="Arial" w:cs="Arial" w:eastAsia="Arial" w:hAnsi="Arial"/>
                <w:sz w:val="15"/>
                <w:szCs w:val="15"/>
                <w:color w:val="auto"/>
                <w:w w:val="95"/>
              </w:rPr>
              <w:t>$</w:t>
            </w:r>
          </w:p>
        </w:tc>
        <w:tc>
          <w:tcPr>
            <w:tcW w:w="1020" w:type="dxa"/>
            <w:vAlign w:val="bottom"/>
          </w:tcPr>
          <w:p>
            <w:pPr>
              <w:jc w:val="right"/>
              <w:ind w:right="8"/>
              <w:spacing w:after="0"/>
              <w:rPr>
                <w:sz w:val="20"/>
                <w:szCs w:val="20"/>
                <w:color w:val="auto"/>
              </w:rPr>
            </w:pPr>
            <w:r>
              <w:rPr>
                <w:rFonts w:ascii="Arial" w:cs="Arial" w:eastAsia="Arial" w:hAnsi="Arial"/>
                <w:sz w:val="15"/>
                <w:szCs w:val="15"/>
                <w:color w:val="auto"/>
              </w:rPr>
              <w:t>540,166</w:t>
            </w:r>
          </w:p>
        </w:tc>
      </w:tr>
      <w:tr>
        <w:trPr>
          <w:trHeight w:val="193"/>
        </w:trPr>
        <w:tc>
          <w:tcPr>
            <w:tcW w:w="6840" w:type="dxa"/>
            <w:vAlign w:val="bottom"/>
          </w:tcPr>
          <w:p>
            <w:pPr>
              <w:ind w:left="300"/>
              <w:spacing w:after="0"/>
              <w:rPr>
                <w:sz w:val="20"/>
                <w:szCs w:val="20"/>
                <w:color w:val="auto"/>
              </w:rPr>
            </w:pPr>
            <w:r>
              <w:rPr>
                <w:rFonts w:ascii="Arial" w:cs="Arial" w:eastAsia="Arial" w:hAnsi="Arial"/>
                <w:sz w:val="15"/>
                <w:szCs w:val="15"/>
                <w:color w:val="auto"/>
              </w:rPr>
              <w:t>Adjustments to reconcile net income to net cash used in operating activities:</w:t>
            </w: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193"/>
        </w:trPr>
        <w:tc>
          <w:tcPr>
            <w:tcW w:w="6840" w:type="dxa"/>
            <w:vAlign w:val="bottom"/>
          </w:tcPr>
          <w:p>
            <w:pPr>
              <w:ind w:left="620"/>
              <w:spacing w:after="0"/>
              <w:rPr>
                <w:sz w:val="20"/>
                <w:szCs w:val="20"/>
                <w:color w:val="auto"/>
              </w:rPr>
            </w:pPr>
            <w:r>
              <w:rPr>
                <w:rFonts w:ascii="Arial" w:cs="Arial" w:eastAsia="Arial" w:hAnsi="Arial"/>
                <w:sz w:val="15"/>
                <w:szCs w:val="15"/>
                <w:color w:val="auto"/>
              </w:rPr>
              <w:t>Investment income</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(196,521)</w:t>
            </w: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(170,032)</w:t>
            </w: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(72,664)</w:t>
            </w:r>
          </w:p>
        </w:tc>
      </w:tr>
      <w:tr>
        <w:trPr>
          <w:trHeight w:val="193"/>
        </w:trPr>
        <w:tc>
          <w:tcPr>
            <w:tcW w:w="6840" w:type="dxa"/>
            <w:vAlign w:val="bottom"/>
          </w:tcPr>
          <w:p>
            <w:pPr>
              <w:ind w:left="620"/>
              <w:spacing w:after="0"/>
              <w:rPr>
                <w:sz w:val="20"/>
                <w:szCs w:val="20"/>
                <w:color w:val="auto"/>
              </w:rPr>
            </w:pPr>
            <w:r>
              <w:rPr>
                <w:rFonts w:ascii="Arial" w:cs="Arial" w:eastAsia="Arial" w:hAnsi="Arial"/>
                <w:sz w:val="15"/>
                <w:szCs w:val="15"/>
                <w:color w:val="auto"/>
              </w:rPr>
              <w:t>Net realized and unrealized gain from consolidated funds’ investments</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(20,820)</w:t>
            </w: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(216,310)</w:t>
            </w: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(108,484)</w:t>
            </w:r>
          </w:p>
        </w:tc>
      </w:tr>
      <w:tr>
        <w:trPr>
          <w:trHeight w:val="193"/>
        </w:trPr>
        <w:tc>
          <w:tcPr>
            <w:tcW w:w="6840" w:type="dxa"/>
            <w:vAlign w:val="bottom"/>
          </w:tcPr>
          <w:p>
            <w:pPr>
              <w:ind w:left="620"/>
              <w:spacing w:after="0"/>
              <w:rPr>
                <w:sz w:val="20"/>
                <w:szCs w:val="20"/>
                <w:color w:val="auto"/>
              </w:rPr>
            </w:pPr>
            <w:r>
              <w:rPr>
                <w:rFonts w:ascii="Arial" w:cs="Arial" w:eastAsia="Arial" w:hAnsi="Arial"/>
                <w:sz w:val="15"/>
                <w:szCs w:val="15"/>
                <w:color w:val="auto"/>
              </w:rPr>
              <w:t>Accretion of original issue and market discount of consolidated funds’ investments, net</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(68,162)</w:t>
            </w: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(79,624)</w:t>
            </w: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(29,359)</w:t>
            </w:r>
          </w:p>
        </w:tc>
      </w:tr>
      <w:tr>
        <w:trPr>
          <w:trHeight w:val="193"/>
        </w:trPr>
        <w:tc>
          <w:tcPr>
            <w:tcW w:w="6840" w:type="dxa"/>
            <w:vAlign w:val="bottom"/>
          </w:tcPr>
          <w:p>
            <w:pPr>
              <w:ind w:left="620"/>
              <w:spacing w:after="0"/>
              <w:rPr>
                <w:sz w:val="20"/>
                <w:szCs w:val="20"/>
                <w:color w:val="auto"/>
              </w:rPr>
            </w:pPr>
            <w:r>
              <w:rPr>
                <w:rFonts w:ascii="Arial" w:cs="Arial" w:eastAsia="Arial" w:hAnsi="Arial"/>
                <w:sz w:val="15"/>
                <w:szCs w:val="15"/>
                <w:color w:val="auto"/>
              </w:rPr>
              <w:t>Income distributions from corporate investments in funds and companies</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206,028</w:t>
            </w: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ind w:right="8"/>
              <w:spacing w:after="0"/>
              <w:rPr>
                <w:sz w:val="20"/>
                <w:szCs w:val="20"/>
                <w:color w:val="auto"/>
              </w:rPr>
            </w:pPr>
            <w:r>
              <w:rPr>
                <w:rFonts w:ascii="Arial" w:cs="Arial" w:eastAsia="Arial" w:hAnsi="Arial"/>
                <w:sz w:val="15"/>
                <w:szCs w:val="15"/>
                <w:color w:val="auto"/>
              </w:rPr>
              <w:t>68,390</w:t>
            </w: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ind w:right="8"/>
              <w:spacing w:after="0"/>
              <w:rPr>
                <w:sz w:val="20"/>
                <w:szCs w:val="20"/>
                <w:color w:val="auto"/>
              </w:rPr>
            </w:pPr>
            <w:r>
              <w:rPr>
                <w:rFonts w:ascii="Arial" w:cs="Arial" w:eastAsia="Arial" w:hAnsi="Arial"/>
                <w:sz w:val="15"/>
                <w:szCs w:val="15"/>
                <w:color w:val="auto"/>
              </w:rPr>
              <w:t>62,622</w:t>
            </w:r>
          </w:p>
        </w:tc>
      </w:tr>
      <w:tr>
        <w:trPr>
          <w:trHeight w:val="193"/>
        </w:trPr>
        <w:tc>
          <w:tcPr>
            <w:tcW w:w="6840" w:type="dxa"/>
            <w:vAlign w:val="bottom"/>
          </w:tcPr>
          <w:p>
            <w:pPr>
              <w:ind w:left="620"/>
              <w:spacing w:after="0"/>
              <w:rPr>
                <w:sz w:val="20"/>
                <w:szCs w:val="20"/>
                <w:color w:val="auto"/>
              </w:rPr>
            </w:pPr>
            <w:r>
              <w:rPr>
                <w:rFonts w:ascii="Arial" w:cs="Arial" w:eastAsia="Arial" w:hAnsi="Arial"/>
                <w:sz w:val="15"/>
                <w:szCs w:val="15"/>
                <w:color w:val="auto"/>
              </w:rPr>
              <w:t>Other non-cash items</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ind w:right="8"/>
              <w:spacing w:after="0"/>
              <w:rPr>
                <w:sz w:val="20"/>
                <w:szCs w:val="20"/>
                <w:color w:val="auto"/>
              </w:rPr>
            </w:pPr>
            <w:r>
              <w:rPr>
                <w:rFonts w:ascii="Arial" w:cs="Arial" w:eastAsia="Arial" w:hAnsi="Arial"/>
                <w:sz w:val="15"/>
                <w:szCs w:val="15"/>
                <w:color w:val="auto"/>
              </w:rPr>
              <w:t>3,450</w:t>
            </w: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(134)</w:t>
            </w:r>
          </w:p>
        </w:tc>
      </w:tr>
      <w:tr>
        <w:trPr>
          <w:trHeight w:val="193"/>
        </w:trPr>
        <w:tc>
          <w:tcPr>
            <w:tcW w:w="6840" w:type="dxa"/>
            <w:vAlign w:val="bottom"/>
          </w:tcPr>
          <w:p>
            <w:pPr>
              <w:ind w:left="300"/>
              <w:spacing w:after="0"/>
              <w:rPr>
                <w:sz w:val="20"/>
                <w:szCs w:val="20"/>
                <w:color w:val="auto"/>
              </w:rPr>
            </w:pPr>
            <w:r>
              <w:rPr>
                <w:rFonts w:ascii="Arial" w:cs="Arial" w:eastAsia="Arial" w:hAnsi="Arial"/>
                <w:sz w:val="15"/>
                <w:szCs w:val="15"/>
                <w:color w:val="auto"/>
              </w:rPr>
              <w:t>Cash flows due to changes in operating assets and liabilities:</w:t>
            </w: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193"/>
        </w:trPr>
        <w:tc>
          <w:tcPr>
            <w:tcW w:w="6840" w:type="dxa"/>
            <w:vAlign w:val="bottom"/>
          </w:tcPr>
          <w:p>
            <w:pPr>
              <w:ind w:left="620"/>
              <w:spacing w:after="0"/>
              <w:rPr>
                <w:sz w:val="20"/>
                <w:szCs w:val="20"/>
                <w:color w:val="auto"/>
              </w:rPr>
            </w:pPr>
            <w:r>
              <w:rPr>
                <w:rFonts w:ascii="Arial" w:cs="Arial" w:eastAsia="Arial" w:hAnsi="Arial"/>
                <w:sz w:val="15"/>
                <w:szCs w:val="15"/>
                <w:color w:val="auto"/>
              </w:rPr>
              <w:t>(Increase) decrease in other assets</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(15,319)</w:t>
            </w: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(7,930)</w:t>
            </w: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ind w:right="8"/>
              <w:spacing w:after="0"/>
              <w:rPr>
                <w:sz w:val="20"/>
                <w:szCs w:val="20"/>
                <w:color w:val="auto"/>
              </w:rPr>
            </w:pPr>
            <w:r>
              <w:rPr>
                <w:rFonts w:ascii="Arial" w:cs="Arial" w:eastAsia="Arial" w:hAnsi="Arial"/>
                <w:sz w:val="15"/>
                <w:szCs w:val="15"/>
                <w:color w:val="auto"/>
              </w:rPr>
              <w:t>11,775</w:t>
            </w:r>
          </w:p>
        </w:tc>
      </w:tr>
      <w:tr>
        <w:trPr>
          <w:trHeight w:val="193"/>
        </w:trPr>
        <w:tc>
          <w:tcPr>
            <w:tcW w:w="6840" w:type="dxa"/>
            <w:vAlign w:val="bottom"/>
          </w:tcPr>
          <w:p>
            <w:pPr>
              <w:ind w:left="620"/>
              <w:spacing w:after="0"/>
              <w:rPr>
                <w:sz w:val="20"/>
                <w:szCs w:val="20"/>
                <w:color w:val="auto"/>
              </w:rPr>
            </w:pPr>
            <w:r>
              <w:rPr>
                <w:rFonts w:ascii="Arial" w:cs="Arial" w:eastAsia="Arial" w:hAnsi="Arial"/>
                <w:sz w:val="15"/>
                <w:szCs w:val="15"/>
                <w:color w:val="auto"/>
              </w:rPr>
              <w:t>(Increase) decrease in net due from affiliates</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(524)</w:t>
            </w: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ind w:right="8"/>
              <w:spacing w:after="0"/>
              <w:rPr>
                <w:sz w:val="20"/>
                <w:szCs w:val="20"/>
                <w:color w:val="auto"/>
              </w:rPr>
            </w:pPr>
            <w:r>
              <w:rPr>
                <w:rFonts w:ascii="Arial" w:cs="Arial" w:eastAsia="Arial" w:hAnsi="Arial"/>
                <w:sz w:val="15"/>
                <w:szCs w:val="15"/>
                <w:color w:val="auto"/>
              </w:rPr>
              <w:t>234,317</w:t>
            </w: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ind w:right="8"/>
              <w:spacing w:after="0"/>
              <w:rPr>
                <w:sz w:val="20"/>
                <w:szCs w:val="20"/>
                <w:color w:val="auto"/>
              </w:rPr>
            </w:pPr>
            <w:r>
              <w:rPr>
                <w:rFonts w:ascii="Arial" w:cs="Arial" w:eastAsia="Arial" w:hAnsi="Arial"/>
                <w:sz w:val="15"/>
                <w:szCs w:val="15"/>
                <w:color w:val="auto"/>
              </w:rPr>
              <w:t>2,511</w:t>
            </w:r>
          </w:p>
        </w:tc>
      </w:tr>
      <w:tr>
        <w:trPr>
          <w:trHeight w:val="193"/>
        </w:trPr>
        <w:tc>
          <w:tcPr>
            <w:tcW w:w="6840" w:type="dxa"/>
            <w:vAlign w:val="bottom"/>
          </w:tcPr>
          <w:p>
            <w:pPr>
              <w:ind w:left="620"/>
              <w:spacing w:after="0"/>
              <w:rPr>
                <w:sz w:val="20"/>
                <w:szCs w:val="20"/>
                <w:color w:val="auto"/>
              </w:rPr>
            </w:pPr>
            <w:r>
              <w:rPr>
                <w:rFonts w:ascii="Arial" w:cs="Arial" w:eastAsia="Arial" w:hAnsi="Arial"/>
                <w:sz w:val="15"/>
                <w:szCs w:val="15"/>
                <w:color w:val="auto"/>
              </w:rPr>
              <w:t>Increase (decrease) in accrued compensation expense</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27</w:t>
            </w: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(91,865)</w:t>
            </w: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ind w:right="8"/>
              <w:spacing w:after="0"/>
              <w:rPr>
                <w:sz w:val="20"/>
                <w:szCs w:val="20"/>
                <w:color w:val="auto"/>
              </w:rPr>
            </w:pPr>
            <w:r>
              <w:rPr>
                <w:rFonts w:ascii="Arial" w:cs="Arial" w:eastAsia="Arial" w:hAnsi="Arial"/>
                <w:sz w:val="15"/>
                <w:szCs w:val="15"/>
                <w:color w:val="auto"/>
              </w:rPr>
              <w:t>14,588</w:t>
            </w:r>
          </w:p>
        </w:tc>
      </w:tr>
      <w:tr>
        <w:trPr>
          <w:trHeight w:val="193"/>
        </w:trPr>
        <w:tc>
          <w:tcPr>
            <w:tcW w:w="6840" w:type="dxa"/>
            <w:vAlign w:val="bottom"/>
          </w:tcPr>
          <w:p>
            <w:pPr>
              <w:ind w:left="620"/>
              <w:spacing w:after="0"/>
              <w:rPr>
                <w:sz w:val="20"/>
                <w:szCs w:val="20"/>
                <w:color w:val="auto"/>
              </w:rPr>
            </w:pPr>
            <w:r>
              <w:rPr>
                <w:rFonts w:ascii="Arial" w:cs="Arial" w:eastAsia="Arial" w:hAnsi="Arial"/>
                <w:sz w:val="15"/>
                <w:szCs w:val="15"/>
                <w:color w:val="auto"/>
              </w:rPr>
              <w:t>Decrease in accounts payable, accrued expenses and other liabilities</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(420)</w:t>
            </w: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(691)</w:t>
            </w: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(645)</w:t>
            </w:r>
          </w:p>
        </w:tc>
      </w:tr>
      <w:tr>
        <w:trPr>
          <w:trHeight w:val="193"/>
        </w:trPr>
        <w:tc>
          <w:tcPr>
            <w:tcW w:w="6840" w:type="dxa"/>
            <w:vAlign w:val="bottom"/>
          </w:tcPr>
          <w:p>
            <w:pPr>
              <w:ind w:left="300"/>
              <w:spacing w:after="0"/>
              <w:rPr>
                <w:sz w:val="20"/>
                <w:szCs w:val="20"/>
                <w:color w:val="auto"/>
              </w:rPr>
            </w:pPr>
            <w:r>
              <w:rPr>
                <w:rFonts w:ascii="Arial" w:cs="Arial" w:eastAsia="Arial" w:hAnsi="Arial"/>
                <w:sz w:val="15"/>
                <w:szCs w:val="15"/>
                <w:i w:val="1"/>
                <w:iCs w:val="1"/>
                <w:color w:val="auto"/>
              </w:rPr>
              <w:t>Cash flows due to changes in operating assets and liabilities of consolidated funds:</w:t>
            </w: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193"/>
        </w:trPr>
        <w:tc>
          <w:tcPr>
            <w:tcW w:w="6840" w:type="dxa"/>
            <w:vAlign w:val="bottom"/>
          </w:tcPr>
          <w:p>
            <w:pPr>
              <w:ind w:left="620"/>
              <w:spacing w:after="0"/>
              <w:rPr>
                <w:sz w:val="20"/>
                <w:szCs w:val="20"/>
                <w:color w:val="auto"/>
              </w:rPr>
            </w:pPr>
            <w:r>
              <w:rPr>
                <w:rFonts w:ascii="Arial" w:cs="Arial" w:eastAsia="Arial" w:hAnsi="Arial"/>
                <w:sz w:val="15"/>
                <w:szCs w:val="15"/>
                <w:color w:val="auto"/>
              </w:rPr>
              <w:t>Decrease (increase) in dividends and interest receivable</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6,094</w:t>
            </w: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(9,641)</w:t>
            </w: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(11,812)</w:t>
            </w:r>
          </w:p>
        </w:tc>
      </w:tr>
      <w:tr>
        <w:trPr>
          <w:trHeight w:val="193"/>
        </w:trPr>
        <w:tc>
          <w:tcPr>
            <w:tcW w:w="6840" w:type="dxa"/>
            <w:vAlign w:val="bottom"/>
          </w:tcPr>
          <w:p>
            <w:pPr>
              <w:ind w:left="620"/>
              <w:spacing w:after="0"/>
              <w:rPr>
                <w:sz w:val="20"/>
                <w:szCs w:val="20"/>
                <w:color w:val="auto"/>
              </w:rPr>
            </w:pPr>
            <w:r>
              <w:rPr>
                <w:rFonts w:ascii="Arial" w:cs="Arial" w:eastAsia="Arial" w:hAnsi="Arial"/>
                <w:sz w:val="15"/>
                <w:szCs w:val="15"/>
                <w:color w:val="auto"/>
              </w:rPr>
              <w:t>(Increase) decrease in receivables for securities sold</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(15,132)</w:t>
            </w: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ind w:right="8"/>
              <w:spacing w:after="0"/>
              <w:rPr>
                <w:sz w:val="20"/>
                <w:szCs w:val="20"/>
                <w:color w:val="auto"/>
              </w:rPr>
            </w:pPr>
            <w:r>
              <w:rPr>
                <w:rFonts w:ascii="Arial" w:cs="Arial" w:eastAsia="Arial" w:hAnsi="Arial"/>
                <w:sz w:val="15"/>
                <w:szCs w:val="15"/>
                <w:color w:val="auto"/>
              </w:rPr>
              <w:t>34,995</w:t>
            </w: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(115,460)</w:t>
            </w:r>
          </w:p>
        </w:tc>
      </w:tr>
      <w:tr>
        <w:trPr>
          <w:trHeight w:val="193"/>
        </w:trPr>
        <w:tc>
          <w:tcPr>
            <w:tcW w:w="6840" w:type="dxa"/>
            <w:vAlign w:val="bottom"/>
          </w:tcPr>
          <w:p>
            <w:pPr>
              <w:ind w:left="620"/>
              <w:spacing w:after="0"/>
              <w:rPr>
                <w:sz w:val="20"/>
                <w:szCs w:val="20"/>
                <w:color w:val="auto"/>
              </w:rPr>
            </w:pPr>
            <w:r>
              <w:rPr>
                <w:rFonts w:ascii="Arial" w:cs="Arial" w:eastAsia="Arial" w:hAnsi="Arial"/>
                <w:sz w:val="15"/>
                <w:szCs w:val="15"/>
                <w:color w:val="auto"/>
              </w:rPr>
              <w:t>(Increase) decrease in other assets</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(8,959)</w:t>
            </w: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ind w:right="8"/>
              <w:spacing w:after="0"/>
              <w:rPr>
                <w:sz w:val="20"/>
                <w:szCs w:val="20"/>
                <w:color w:val="auto"/>
              </w:rPr>
            </w:pPr>
            <w:r>
              <w:rPr>
                <w:rFonts w:ascii="Arial" w:cs="Arial" w:eastAsia="Arial" w:hAnsi="Arial"/>
                <w:sz w:val="15"/>
                <w:szCs w:val="15"/>
                <w:color w:val="auto"/>
              </w:rPr>
              <w:t>28,716</w:t>
            </w: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ind w:right="8"/>
              <w:spacing w:after="0"/>
              <w:rPr>
                <w:sz w:val="20"/>
                <w:szCs w:val="20"/>
                <w:color w:val="auto"/>
              </w:rPr>
            </w:pPr>
            <w:r>
              <w:rPr>
                <w:rFonts w:ascii="Arial" w:cs="Arial" w:eastAsia="Arial" w:hAnsi="Arial"/>
                <w:sz w:val="15"/>
                <w:szCs w:val="15"/>
                <w:color w:val="auto"/>
              </w:rPr>
              <w:t>1,597</w:t>
            </w:r>
          </w:p>
        </w:tc>
      </w:tr>
      <w:tr>
        <w:trPr>
          <w:trHeight w:val="193"/>
        </w:trPr>
        <w:tc>
          <w:tcPr>
            <w:tcW w:w="6840" w:type="dxa"/>
            <w:vAlign w:val="bottom"/>
          </w:tcPr>
          <w:p>
            <w:pPr>
              <w:ind w:left="620"/>
              <w:spacing w:after="0"/>
              <w:rPr>
                <w:sz w:val="20"/>
                <w:szCs w:val="20"/>
                <w:color w:val="auto"/>
              </w:rPr>
            </w:pPr>
            <w:r>
              <w:rPr>
                <w:rFonts w:ascii="Arial" w:cs="Arial" w:eastAsia="Arial" w:hAnsi="Arial"/>
                <w:sz w:val="15"/>
                <w:szCs w:val="15"/>
                <w:color w:val="auto"/>
              </w:rPr>
              <w:t>Increase (decrease) in accounts payable, accrued expenses and other liabilities</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1,342</w:t>
            </w: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(83,434)</w:t>
            </w: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ind w:right="8"/>
              <w:spacing w:after="0"/>
              <w:rPr>
                <w:sz w:val="20"/>
                <w:szCs w:val="20"/>
                <w:color w:val="auto"/>
              </w:rPr>
            </w:pPr>
            <w:r>
              <w:rPr>
                <w:rFonts w:ascii="Arial" w:cs="Arial" w:eastAsia="Arial" w:hAnsi="Arial"/>
                <w:sz w:val="15"/>
                <w:szCs w:val="15"/>
                <w:color w:val="auto"/>
              </w:rPr>
              <w:t>99,194</w:t>
            </w:r>
          </w:p>
        </w:tc>
      </w:tr>
      <w:tr>
        <w:trPr>
          <w:trHeight w:val="193"/>
        </w:trPr>
        <w:tc>
          <w:tcPr>
            <w:tcW w:w="6840" w:type="dxa"/>
            <w:vAlign w:val="bottom"/>
          </w:tcPr>
          <w:p>
            <w:pPr>
              <w:ind w:left="620"/>
              <w:spacing w:after="0"/>
              <w:rPr>
                <w:sz w:val="20"/>
                <w:szCs w:val="20"/>
                <w:color w:val="auto"/>
              </w:rPr>
            </w:pPr>
            <w:r>
              <w:rPr>
                <w:rFonts w:ascii="Arial" w:cs="Arial" w:eastAsia="Arial" w:hAnsi="Arial"/>
                <w:sz w:val="15"/>
                <w:szCs w:val="15"/>
                <w:color w:val="auto"/>
              </w:rPr>
              <w:t>(Decrease) increase in payables for securities purchased</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(22,762)</w:t>
            </w: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ind w:right="8"/>
              <w:spacing w:after="0"/>
              <w:rPr>
                <w:sz w:val="20"/>
                <w:szCs w:val="20"/>
                <w:color w:val="auto"/>
              </w:rPr>
            </w:pPr>
            <w:r>
              <w:rPr>
                <w:rFonts w:ascii="Arial" w:cs="Arial" w:eastAsia="Arial" w:hAnsi="Arial"/>
                <w:sz w:val="15"/>
                <w:szCs w:val="15"/>
                <w:color w:val="auto"/>
              </w:rPr>
              <w:t>149,125</w:t>
            </w: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(28,525)</w:t>
            </w:r>
          </w:p>
        </w:tc>
      </w:tr>
      <w:tr>
        <w:trPr>
          <w:trHeight w:val="193"/>
        </w:trPr>
        <w:tc>
          <w:tcPr>
            <w:tcW w:w="6840" w:type="dxa"/>
            <w:vAlign w:val="bottom"/>
          </w:tcPr>
          <w:p>
            <w:pPr>
              <w:ind w:left="620"/>
              <w:spacing w:after="0"/>
              <w:rPr>
                <w:sz w:val="20"/>
                <w:szCs w:val="20"/>
                <w:color w:val="auto"/>
              </w:rPr>
            </w:pPr>
            <w:r>
              <w:rPr>
                <w:rFonts w:ascii="Arial" w:cs="Arial" w:eastAsia="Arial" w:hAnsi="Arial"/>
                <w:sz w:val="15"/>
                <w:szCs w:val="15"/>
                <w:color w:val="auto"/>
              </w:rPr>
              <w:t>Purchases of investments</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(2,396,223)</w:t>
            </w: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(4,083,590)</w:t>
            </w: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(4,800,884)</w:t>
            </w:r>
          </w:p>
        </w:tc>
      </w:tr>
      <w:tr>
        <w:trPr>
          <w:trHeight w:val="193"/>
        </w:trPr>
        <w:tc>
          <w:tcPr>
            <w:tcW w:w="6840" w:type="dxa"/>
            <w:vAlign w:val="bottom"/>
          </w:tcPr>
          <w:p>
            <w:pPr>
              <w:ind w:left="620"/>
              <w:spacing w:after="0"/>
              <w:rPr>
                <w:sz w:val="20"/>
                <w:szCs w:val="20"/>
                <w:color w:val="auto"/>
              </w:rPr>
            </w:pPr>
            <w:r>
              <w:rPr>
                <w:rFonts w:ascii="Arial" w:cs="Arial" w:eastAsia="Arial" w:hAnsi="Arial"/>
                <w:sz w:val="15"/>
                <w:szCs w:val="15"/>
                <w:color w:val="auto"/>
              </w:rPr>
              <w:t>Proceeds from maturities and sales of investments</w:t>
            </w: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2,479,129</w:t>
            </w:r>
          </w:p>
        </w:tc>
        <w:tc>
          <w:tcPr>
            <w:tcW w:w="2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8"/>
              <w:spacing w:after="0"/>
              <w:rPr>
                <w:sz w:val="20"/>
                <w:szCs w:val="20"/>
                <w:color w:val="auto"/>
              </w:rPr>
            </w:pPr>
            <w:r>
              <w:rPr>
                <w:rFonts w:ascii="Arial" w:cs="Arial" w:eastAsia="Arial" w:hAnsi="Arial"/>
                <w:sz w:val="15"/>
                <w:szCs w:val="15"/>
                <w:color w:val="auto"/>
              </w:rPr>
              <w:t>2,898,423</w:t>
            </w:r>
          </w:p>
        </w:tc>
        <w:tc>
          <w:tcPr>
            <w:tcW w:w="2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8"/>
              <w:spacing w:after="0"/>
              <w:rPr>
                <w:sz w:val="20"/>
                <w:szCs w:val="20"/>
                <w:color w:val="auto"/>
              </w:rPr>
            </w:pPr>
            <w:r>
              <w:rPr>
                <w:rFonts w:ascii="Arial" w:cs="Arial" w:eastAsia="Arial" w:hAnsi="Arial"/>
                <w:sz w:val="15"/>
                <w:szCs w:val="15"/>
                <w:color w:val="auto"/>
              </w:rPr>
              <w:t>3,704,792</w:t>
            </w:r>
          </w:p>
        </w:tc>
      </w:tr>
      <w:tr>
        <w:trPr>
          <w:trHeight w:val="191"/>
        </w:trPr>
        <w:tc>
          <w:tcPr>
            <w:tcW w:w="6840" w:type="dxa"/>
            <w:vAlign w:val="bottom"/>
          </w:tcPr>
          <w:p>
            <w:pPr>
              <w:ind w:left="620"/>
              <w:spacing w:after="0"/>
              <w:rPr>
                <w:sz w:val="20"/>
                <w:szCs w:val="20"/>
                <w:color w:val="auto"/>
              </w:rPr>
            </w:pPr>
            <w:r>
              <w:rPr>
                <w:rFonts w:ascii="Arial" w:cs="Arial" w:eastAsia="Arial" w:hAnsi="Arial"/>
                <w:sz w:val="15"/>
                <w:szCs w:val="15"/>
                <w:color w:val="auto"/>
              </w:rPr>
              <w:t>Net cash provided (used) in operating activities</w:t>
            </w: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470,993</w:t>
            </w:r>
          </w:p>
        </w:tc>
        <w:tc>
          <w:tcPr>
            <w:tcW w:w="2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(538,639)</w:t>
            </w:r>
          </w:p>
        </w:tc>
        <w:tc>
          <w:tcPr>
            <w:tcW w:w="2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(730,722)</w:t>
            </w:r>
          </w:p>
        </w:tc>
      </w:tr>
      <w:tr>
        <w:trPr>
          <w:trHeight w:val="182"/>
        </w:trPr>
        <w:tc>
          <w:tcPr>
            <w:tcW w:w="6840" w:type="dxa"/>
            <w:vAlign w:val="bottom"/>
          </w:tcPr>
          <w:p>
            <w:pPr>
              <w:spacing w:after="0"/>
              <w:rPr>
                <w:sz w:val="20"/>
                <w:szCs w:val="20"/>
                <w:color w:val="auto"/>
              </w:rPr>
            </w:pPr>
            <w:r>
              <w:rPr>
                <w:rFonts w:ascii="Arial" w:cs="Arial" w:eastAsia="Arial" w:hAnsi="Arial"/>
                <w:sz w:val="15"/>
                <w:szCs w:val="15"/>
                <w:color w:val="auto"/>
              </w:rPr>
              <w:t>Cash flows from investing activities:</w:t>
            </w: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93"/>
        </w:trPr>
        <w:tc>
          <w:tcPr>
            <w:tcW w:w="6840" w:type="dxa"/>
            <w:vAlign w:val="bottom"/>
          </w:tcPr>
          <w:p>
            <w:pPr>
              <w:ind w:left="300"/>
              <w:spacing w:after="0"/>
              <w:rPr>
                <w:sz w:val="20"/>
                <w:szCs w:val="20"/>
                <w:color w:val="auto"/>
              </w:rPr>
            </w:pPr>
            <w:r>
              <w:rPr>
                <w:rFonts w:ascii="Arial" w:cs="Arial" w:eastAsia="Arial" w:hAnsi="Arial"/>
                <w:sz w:val="15"/>
                <w:szCs w:val="15"/>
                <w:color w:val="auto"/>
              </w:rPr>
              <w:t>Purchases of U.S. Treasury and other securities</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(250,000)</w:t>
            </w: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ind w:right="8"/>
              <w:spacing w:after="0"/>
              <w:rPr>
                <w:sz w:val="20"/>
                <w:szCs w:val="20"/>
                <w:color w:val="auto"/>
              </w:rPr>
            </w:pPr>
            <w:r>
              <w:rPr>
                <w:rFonts w:ascii="Arial" w:cs="Arial" w:eastAsia="Arial" w:hAnsi="Arial"/>
                <w:sz w:val="15"/>
                <w:szCs w:val="15"/>
                <w:color w:val="auto"/>
              </w:rPr>
              <w:t>—</w:t>
            </w:r>
          </w:p>
        </w:tc>
      </w:tr>
      <w:tr>
        <w:trPr>
          <w:trHeight w:val="193"/>
        </w:trPr>
        <w:tc>
          <w:tcPr>
            <w:tcW w:w="6840" w:type="dxa"/>
            <w:vAlign w:val="bottom"/>
          </w:tcPr>
          <w:p>
            <w:pPr>
              <w:ind w:left="300"/>
              <w:spacing w:after="0"/>
              <w:rPr>
                <w:sz w:val="20"/>
                <w:szCs w:val="20"/>
                <w:color w:val="auto"/>
              </w:rPr>
            </w:pPr>
            <w:r>
              <w:rPr>
                <w:rFonts w:ascii="Arial" w:cs="Arial" w:eastAsia="Arial" w:hAnsi="Arial"/>
                <w:sz w:val="15"/>
                <w:szCs w:val="15"/>
                <w:color w:val="auto"/>
              </w:rPr>
              <w:t>Proceeds from maturities and sales of U.S. Treasury and other securities</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ind w:right="8"/>
              <w:spacing w:after="0"/>
              <w:rPr>
                <w:sz w:val="20"/>
                <w:szCs w:val="20"/>
                <w:color w:val="auto"/>
              </w:rPr>
            </w:pPr>
            <w:r>
              <w:rPr>
                <w:rFonts w:ascii="Arial" w:cs="Arial" w:eastAsia="Arial" w:hAnsi="Arial"/>
                <w:sz w:val="15"/>
                <w:szCs w:val="15"/>
                <w:color w:val="auto"/>
              </w:rPr>
              <w:t>80,000</w:t>
            </w: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ind w:right="8"/>
              <w:spacing w:after="0"/>
              <w:rPr>
                <w:sz w:val="20"/>
                <w:szCs w:val="20"/>
                <w:color w:val="auto"/>
              </w:rPr>
            </w:pPr>
            <w:r>
              <w:rPr>
                <w:rFonts w:ascii="Arial" w:cs="Arial" w:eastAsia="Arial" w:hAnsi="Arial"/>
                <w:sz w:val="15"/>
                <w:szCs w:val="15"/>
                <w:color w:val="auto"/>
              </w:rPr>
              <w:t>—</w:t>
            </w:r>
          </w:p>
        </w:tc>
      </w:tr>
      <w:tr>
        <w:trPr>
          <w:trHeight w:val="193"/>
        </w:trPr>
        <w:tc>
          <w:tcPr>
            <w:tcW w:w="6840" w:type="dxa"/>
            <w:vAlign w:val="bottom"/>
          </w:tcPr>
          <w:p>
            <w:pPr>
              <w:ind w:left="300"/>
              <w:spacing w:after="0"/>
              <w:rPr>
                <w:sz w:val="20"/>
                <w:szCs w:val="20"/>
                <w:color w:val="auto"/>
              </w:rPr>
            </w:pPr>
            <w:r>
              <w:rPr>
                <w:rFonts w:ascii="Arial" w:cs="Arial" w:eastAsia="Arial" w:hAnsi="Arial"/>
                <w:sz w:val="15"/>
                <w:szCs w:val="15"/>
                <w:color w:val="auto"/>
              </w:rPr>
              <w:t>Corporate investments in funds and companies</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(34,944)</w:t>
            </w: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(488,280)</w:t>
            </w:r>
          </w:p>
        </w:tc>
      </w:tr>
      <w:tr>
        <w:trPr>
          <w:trHeight w:val="193"/>
        </w:trPr>
        <w:tc>
          <w:tcPr>
            <w:tcW w:w="6840" w:type="dxa"/>
            <w:vAlign w:val="bottom"/>
          </w:tcPr>
          <w:p>
            <w:pPr>
              <w:ind w:left="300"/>
              <w:spacing w:after="0"/>
              <w:rPr>
                <w:sz w:val="20"/>
                <w:szCs w:val="20"/>
                <w:color w:val="auto"/>
              </w:rPr>
            </w:pPr>
            <w:r>
              <w:rPr>
                <w:rFonts w:ascii="Arial" w:cs="Arial" w:eastAsia="Arial" w:hAnsi="Arial"/>
                <w:sz w:val="15"/>
                <w:szCs w:val="15"/>
                <w:color w:val="auto"/>
              </w:rPr>
              <w:t>Distributions and proceeds from corporate investments in funds and companies</w:t>
            </w: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66,081</w:t>
            </w:r>
          </w:p>
        </w:tc>
        <w:tc>
          <w:tcPr>
            <w:tcW w:w="2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8"/>
              <w:spacing w:after="0"/>
              <w:rPr>
                <w:sz w:val="20"/>
                <w:szCs w:val="20"/>
                <w:color w:val="auto"/>
              </w:rPr>
            </w:pPr>
            <w:r>
              <w:rPr>
                <w:rFonts w:ascii="Arial" w:cs="Arial" w:eastAsia="Arial" w:hAnsi="Arial"/>
                <w:sz w:val="15"/>
                <w:szCs w:val="15"/>
                <w:color w:val="auto"/>
              </w:rPr>
              <w:t>203,820</w:t>
            </w:r>
          </w:p>
        </w:tc>
        <w:tc>
          <w:tcPr>
            <w:tcW w:w="2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8"/>
              <w:spacing w:after="0"/>
              <w:rPr>
                <w:sz w:val="20"/>
                <w:szCs w:val="20"/>
                <w:color w:val="auto"/>
              </w:rPr>
            </w:pPr>
            <w:r>
              <w:rPr>
                <w:rFonts w:ascii="Arial" w:cs="Arial" w:eastAsia="Arial" w:hAnsi="Arial"/>
                <w:sz w:val="15"/>
                <w:szCs w:val="15"/>
                <w:color w:val="auto"/>
              </w:rPr>
              <w:t>121,638</w:t>
            </w:r>
          </w:p>
        </w:tc>
      </w:tr>
      <w:tr>
        <w:trPr>
          <w:trHeight w:val="191"/>
        </w:trPr>
        <w:tc>
          <w:tcPr>
            <w:tcW w:w="6840" w:type="dxa"/>
            <w:vAlign w:val="bottom"/>
          </w:tcPr>
          <w:p>
            <w:pPr>
              <w:ind w:left="620"/>
              <w:spacing w:after="0"/>
              <w:rPr>
                <w:sz w:val="20"/>
                <w:szCs w:val="20"/>
                <w:color w:val="auto"/>
              </w:rPr>
            </w:pPr>
            <w:r>
              <w:rPr>
                <w:rFonts w:ascii="Arial" w:cs="Arial" w:eastAsia="Arial" w:hAnsi="Arial"/>
                <w:sz w:val="15"/>
                <w:szCs w:val="15"/>
                <w:color w:val="auto"/>
              </w:rPr>
              <w:t>Net cash provided (used) by investing activities</w:t>
            </w: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66,081</w:t>
            </w:r>
          </w:p>
        </w:tc>
        <w:tc>
          <w:tcPr>
            <w:tcW w:w="2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(1,124)</w:t>
            </w:r>
          </w:p>
        </w:tc>
        <w:tc>
          <w:tcPr>
            <w:tcW w:w="2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(366,642)</w:t>
            </w:r>
          </w:p>
        </w:tc>
      </w:tr>
    </w:tbl>
    <w:p>
      <w:pPr>
        <w:spacing w:after="0" w:line="179" w:lineRule="exact"/>
        <w:rPr>
          <w:sz w:val="20"/>
          <w:szCs w:val="20"/>
          <w:color w:val="auto"/>
        </w:rPr>
      </w:pPr>
    </w:p>
    <w:p>
      <w:pPr>
        <w:jc w:val="center"/>
        <w:ind w:right="40"/>
        <w:spacing w:after="0"/>
        <w:rPr>
          <w:sz w:val="20"/>
          <w:szCs w:val="20"/>
          <w:color w:val="auto"/>
        </w:rPr>
      </w:pPr>
      <w:r>
        <w:rPr>
          <w:rFonts w:ascii="Arial" w:cs="Arial" w:eastAsia="Arial" w:hAnsi="Arial"/>
          <w:sz w:val="17"/>
          <w:szCs w:val="17"/>
          <w:i w:val="1"/>
          <w:i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40"/>
        <w:spacing w:after="0"/>
        <w:rPr>
          <w:sz w:val="20"/>
          <w:szCs w:val="20"/>
          <w:color w:val="auto"/>
        </w:rPr>
      </w:pPr>
      <w:r>
        <w:rPr>
          <w:rFonts w:ascii="Arial" w:cs="Arial" w:eastAsia="Arial" w:hAnsi="Arial"/>
          <w:sz w:val="17"/>
          <w:szCs w:val="17"/>
          <w:i w:val="1"/>
          <w:iCs w:val="1"/>
          <w:color w:val="auto"/>
        </w:rPr>
        <w:t>Please see accompanying notes to consolidated financial statements.</w:t>
      </w:r>
    </w:p>
    <w:p>
      <w:pPr>
        <w:spacing w:after="0" w:line="200" w:lineRule="exact"/>
        <w:rPr>
          <w:sz w:val="20"/>
          <w:szCs w:val="20"/>
          <w:color w:val="auto"/>
        </w:rPr>
      </w:pPr>
    </w:p>
    <w:p>
      <w:pPr>
        <w:spacing w:after="0" w:line="337"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-35560</wp:posOffset>
            </wp:positionH>
            <wp:positionV relativeFrom="paragraph">
              <wp:posOffset>70485</wp:posOffset>
            </wp:positionV>
            <wp:extent cx="7164070" cy="419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60" w:top="856" w:right="339" w:bottom="1440" w:gutter="0" w:footer="0" w:header="0"/>
        </w:sectPr>
      </w:pPr>
    </w:p>
    <w:bookmarkStart w:id="68" w:name="page69"/>
    <w:bookmarkEnd w:id="68"/>
    <w:p>
      <w:pPr>
        <w:jc w:val="center"/>
        <w:ind w:right="40"/>
        <w:spacing w:after="0"/>
        <w:rPr>
          <w:sz w:val="20"/>
          <w:szCs w:val="20"/>
          <w:color w:val="auto"/>
        </w:rPr>
      </w:pPr>
      <w:r>
        <w:rPr>
          <w:rFonts w:ascii="Arial" w:cs="Arial" w:eastAsia="Arial" w:hAnsi="Arial"/>
          <w:sz w:val="17"/>
          <w:szCs w:val="17"/>
          <w:b w:val="1"/>
          <w:bCs w:val="1"/>
          <w:color w:val="auto"/>
        </w:rPr>
        <w:t>Brookfield Oaktree Holdings, LLC</w:t>
      </w:r>
    </w:p>
    <w:p>
      <w:pPr>
        <w:spacing w:after="0" w:line="16"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Consolidated Statements of Cash Flows – (Continued)</w:t>
      </w:r>
    </w:p>
    <w:p>
      <w:pPr>
        <w:spacing w:after="0" w:line="11"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(in thousands)</w:t>
      </w: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54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4"/>
          </w:tcPr>
          <w:p>
            <w:pPr>
              <w:ind w:left="140"/>
              <w:spacing w:after="0"/>
              <w:rPr>
                <w:sz w:val="20"/>
                <w:szCs w:val="20"/>
                <w:color w:val="auto"/>
              </w:rPr>
            </w:pPr>
            <w:r>
              <w:rPr>
                <w:rFonts w:ascii="Arial" w:cs="Arial" w:eastAsia="Arial" w:hAnsi="Arial"/>
                <w:sz w:val="12"/>
                <w:szCs w:val="12"/>
                <w:b w:val="1"/>
                <w:bCs w:val="1"/>
                <w:color w:val="auto"/>
              </w:rPr>
              <w:t>Year Ended December 31,</w:t>
            </w: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4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47"/>
              <w:spacing w:after="0"/>
              <w:rPr>
                <w:sz w:val="20"/>
                <w:szCs w:val="20"/>
                <w:color w:val="auto"/>
              </w:rPr>
            </w:pPr>
            <w:r>
              <w:rPr>
                <w:rFonts w:ascii="Arial" w:cs="Arial" w:eastAsia="Arial" w:hAnsi="Arial"/>
                <w:sz w:val="12"/>
                <w:szCs w:val="12"/>
                <w:b w:val="1"/>
                <w:bCs w:val="1"/>
                <w:color w:val="auto"/>
              </w:rPr>
              <w:t>2025</w:t>
            </w:r>
          </w:p>
        </w:tc>
        <w:tc>
          <w:tcPr>
            <w:tcW w:w="2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67"/>
              <w:spacing w:after="0"/>
              <w:rPr>
                <w:sz w:val="20"/>
                <w:szCs w:val="20"/>
                <w:color w:val="auto"/>
              </w:rPr>
            </w:pPr>
            <w:r>
              <w:rPr>
                <w:rFonts w:ascii="Arial" w:cs="Arial" w:eastAsia="Arial" w:hAnsi="Arial"/>
                <w:sz w:val="12"/>
                <w:szCs w:val="12"/>
                <w:b w:val="1"/>
                <w:bCs w:val="1"/>
                <w:color w:val="auto"/>
              </w:rPr>
              <w:t>2024</w:t>
            </w:r>
          </w:p>
        </w:tc>
        <w:tc>
          <w:tcPr>
            <w:tcW w:w="2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67"/>
              <w:spacing w:after="0"/>
              <w:rPr>
                <w:sz w:val="20"/>
                <w:szCs w:val="20"/>
                <w:color w:val="auto"/>
              </w:rPr>
            </w:pPr>
            <w:r>
              <w:rPr>
                <w:rFonts w:ascii="Arial" w:cs="Arial" w:eastAsia="Arial" w:hAnsi="Arial"/>
                <w:sz w:val="12"/>
                <w:szCs w:val="12"/>
                <w:b w:val="1"/>
                <w:bCs w:val="1"/>
                <w:color w:val="auto"/>
              </w:rPr>
              <w:t>2023</w:t>
            </w:r>
          </w:p>
        </w:tc>
        <w:tc>
          <w:tcPr>
            <w:tcW w:w="0" w:type="dxa"/>
            <w:vAlign w:val="bottom"/>
          </w:tcPr>
          <w:p>
            <w:pPr>
              <w:spacing w:after="0"/>
              <w:rPr>
                <w:sz w:val="1"/>
                <w:szCs w:val="1"/>
                <w:color w:val="auto"/>
              </w:rPr>
            </w:pPr>
          </w:p>
        </w:tc>
      </w:tr>
      <w:tr>
        <w:trPr>
          <w:trHeight w:val="183"/>
        </w:trPr>
        <w:tc>
          <w:tcPr>
            <w:tcW w:w="5400" w:type="dxa"/>
            <w:vAlign w:val="bottom"/>
          </w:tcPr>
          <w:p>
            <w:pPr>
              <w:spacing w:after="0"/>
              <w:rPr>
                <w:sz w:val="20"/>
                <w:szCs w:val="20"/>
                <w:color w:val="auto"/>
              </w:rPr>
            </w:pPr>
            <w:r>
              <w:rPr>
                <w:rFonts w:ascii="Arial" w:cs="Arial" w:eastAsia="Arial" w:hAnsi="Arial"/>
                <w:sz w:val="15"/>
                <w:szCs w:val="15"/>
                <w:color w:val="auto"/>
              </w:rPr>
              <w:t>Cash flows from financing activities:</w:t>
            </w:r>
          </w:p>
        </w:tc>
        <w:tc>
          <w:tcPr>
            <w:tcW w:w="3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5400" w:type="dxa"/>
            <w:vAlign w:val="bottom"/>
          </w:tcPr>
          <w:p>
            <w:pPr>
              <w:ind w:left="300"/>
              <w:spacing w:after="0"/>
              <w:rPr>
                <w:sz w:val="20"/>
                <w:szCs w:val="20"/>
                <w:color w:val="auto"/>
              </w:rPr>
            </w:pPr>
            <w:r>
              <w:rPr>
                <w:rFonts w:ascii="Arial" w:cs="Arial" w:eastAsia="Arial" w:hAnsi="Arial"/>
                <w:sz w:val="15"/>
                <w:szCs w:val="15"/>
                <w:color w:val="auto"/>
              </w:rPr>
              <w:t>Capital contributions</w:t>
            </w:r>
          </w:p>
        </w:tc>
        <w:tc>
          <w:tcPr>
            <w:tcW w:w="380" w:type="dxa"/>
            <w:vAlign w:val="bottom"/>
          </w:tcPr>
          <w:p>
            <w:pPr>
              <w:spacing w:after="0"/>
              <w:rPr>
                <w:sz w:val="16"/>
                <w:szCs w:val="16"/>
                <w:color w:val="auto"/>
              </w:rPr>
            </w:pPr>
          </w:p>
        </w:tc>
        <w:tc>
          <w:tcPr>
            <w:tcW w:w="1360" w:type="dxa"/>
            <w:vAlign w:val="bottom"/>
            <w:gridSpan w:val="2"/>
          </w:tcPr>
          <w:p>
            <w:pPr>
              <w:jc w:val="right"/>
              <w:ind w:right="127"/>
              <w:spacing w:after="0"/>
              <w:rPr>
                <w:sz w:val="20"/>
                <w:szCs w:val="20"/>
                <w:color w:val="auto"/>
              </w:rPr>
            </w:pPr>
            <w:r>
              <w:rPr>
                <w:rFonts w:ascii="Arial" w:cs="Arial" w:eastAsia="Arial" w:hAnsi="Arial"/>
                <w:sz w:val="15"/>
                <w:szCs w:val="15"/>
                <w:color w:val="auto"/>
              </w:rPr>
              <w:t>$</w:t>
            </w:r>
          </w:p>
        </w:tc>
        <w:tc>
          <w:tcPr>
            <w:tcW w:w="1000" w:type="dxa"/>
            <w:vAlign w:val="bottom"/>
          </w:tcPr>
          <w:p>
            <w:pPr>
              <w:jc w:val="right"/>
              <w:spacing w:after="0"/>
              <w:rPr>
                <w:sz w:val="20"/>
                <w:szCs w:val="20"/>
                <w:color w:val="auto"/>
              </w:rPr>
            </w:pPr>
            <w:r>
              <w:rPr>
                <w:rFonts w:ascii="Arial" w:cs="Arial" w:eastAsia="Arial" w:hAnsi="Arial"/>
                <w:sz w:val="15"/>
                <w:szCs w:val="15"/>
                <w:color w:val="auto"/>
              </w:rPr>
              <w:t>114,437</w:t>
            </w:r>
          </w:p>
        </w:tc>
        <w:tc>
          <w:tcPr>
            <w:tcW w:w="520" w:type="dxa"/>
            <w:vAlign w:val="bottom"/>
            <w:gridSpan w:val="2"/>
          </w:tcPr>
          <w:p>
            <w:pPr>
              <w:jc w:val="right"/>
              <w:ind w:right="127"/>
              <w:spacing w:after="0"/>
              <w:rPr>
                <w:sz w:val="20"/>
                <w:szCs w:val="20"/>
                <w:color w:val="auto"/>
              </w:rPr>
            </w:pPr>
            <w:r>
              <w:rPr>
                <w:rFonts w:ascii="Arial" w:cs="Arial" w:eastAsia="Arial" w:hAnsi="Arial"/>
                <w:sz w:val="15"/>
                <w:szCs w:val="15"/>
                <w:color w:val="auto"/>
              </w:rPr>
              <w:t>$</w:t>
            </w:r>
          </w:p>
        </w:tc>
        <w:tc>
          <w:tcPr>
            <w:tcW w:w="1020" w:type="dxa"/>
            <w:vAlign w:val="bottom"/>
          </w:tcPr>
          <w:p>
            <w:pPr>
              <w:jc w:val="right"/>
              <w:ind w:right="7"/>
              <w:spacing w:after="0"/>
              <w:rPr>
                <w:sz w:val="20"/>
                <w:szCs w:val="20"/>
                <w:color w:val="auto"/>
              </w:rPr>
            </w:pPr>
            <w:r>
              <w:rPr>
                <w:rFonts w:ascii="Arial" w:cs="Arial" w:eastAsia="Arial" w:hAnsi="Arial"/>
                <w:sz w:val="15"/>
                <w:szCs w:val="15"/>
                <w:color w:val="auto"/>
              </w:rPr>
              <w:t>99,527</w:t>
            </w:r>
          </w:p>
        </w:tc>
        <w:tc>
          <w:tcPr>
            <w:tcW w:w="200" w:type="dxa"/>
            <w:vAlign w:val="bottom"/>
          </w:tcPr>
          <w:p>
            <w:pPr>
              <w:spacing w:after="0"/>
              <w:rPr>
                <w:sz w:val="16"/>
                <w:szCs w:val="16"/>
                <w:color w:val="auto"/>
              </w:rPr>
            </w:pPr>
          </w:p>
        </w:tc>
        <w:tc>
          <w:tcPr>
            <w:tcW w:w="300" w:type="dxa"/>
            <w:vAlign w:val="bottom"/>
          </w:tcPr>
          <w:p>
            <w:pPr>
              <w:jc w:val="right"/>
              <w:ind w:right="127"/>
              <w:spacing w:after="0"/>
              <w:rPr>
                <w:sz w:val="20"/>
                <w:szCs w:val="20"/>
                <w:color w:val="auto"/>
              </w:rPr>
            </w:pPr>
            <w:r>
              <w:rPr>
                <w:rFonts w:ascii="Arial" w:cs="Arial" w:eastAsia="Arial" w:hAnsi="Arial"/>
                <w:sz w:val="15"/>
                <w:szCs w:val="15"/>
                <w:color w:val="auto"/>
                <w:w w:val="95"/>
              </w:rPr>
              <w:t>$</w:t>
            </w:r>
          </w:p>
        </w:tc>
        <w:tc>
          <w:tcPr>
            <w:tcW w:w="1020" w:type="dxa"/>
            <w:vAlign w:val="bottom"/>
          </w:tcPr>
          <w:p>
            <w:pPr>
              <w:jc w:val="right"/>
              <w:ind w:right="7"/>
              <w:spacing w:after="0"/>
              <w:rPr>
                <w:sz w:val="20"/>
                <w:szCs w:val="20"/>
                <w:color w:val="auto"/>
              </w:rPr>
            </w:pPr>
            <w:r>
              <w:rPr>
                <w:rFonts w:ascii="Arial" w:cs="Arial" w:eastAsia="Arial" w:hAnsi="Arial"/>
                <w:sz w:val="15"/>
                <w:szCs w:val="15"/>
                <w:color w:val="auto"/>
              </w:rPr>
              <w:t>581,502</w:t>
            </w:r>
          </w:p>
        </w:tc>
        <w:tc>
          <w:tcPr>
            <w:tcW w:w="0" w:type="dxa"/>
            <w:vAlign w:val="bottom"/>
          </w:tcPr>
          <w:p>
            <w:pPr>
              <w:spacing w:after="0"/>
              <w:rPr>
                <w:sz w:val="1"/>
                <w:szCs w:val="1"/>
                <w:color w:val="auto"/>
              </w:rPr>
            </w:pPr>
          </w:p>
        </w:tc>
      </w:tr>
      <w:tr>
        <w:trPr>
          <w:trHeight w:val="193"/>
        </w:trPr>
        <w:tc>
          <w:tcPr>
            <w:tcW w:w="5400" w:type="dxa"/>
            <w:vAlign w:val="bottom"/>
          </w:tcPr>
          <w:p>
            <w:pPr>
              <w:ind w:left="300"/>
              <w:spacing w:after="0"/>
              <w:rPr>
                <w:sz w:val="20"/>
                <w:szCs w:val="20"/>
                <w:color w:val="auto"/>
              </w:rPr>
            </w:pPr>
            <w:r>
              <w:rPr>
                <w:rFonts w:ascii="Arial" w:cs="Arial" w:eastAsia="Arial" w:hAnsi="Arial"/>
                <w:sz w:val="15"/>
                <w:szCs w:val="15"/>
                <w:color w:val="auto"/>
              </w:rPr>
              <w:t>Capital distributions</w:t>
            </w:r>
          </w:p>
        </w:tc>
        <w:tc>
          <w:tcPr>
            <w:tcW w:w="3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(271)</w:t>
            </w: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ind w:right="7"/>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3"/>
        </w:trPr>
        <w:tc>
          <w:tcPr>
            <w:tcW w:w="5400" w:type="dxa"/>
            <w:vAlign w:val="bottom"/>
          </w:tcPr>
          <w:p>
            <w:pPr>
              <w:ind w:left="300"/>
              <w:spacing w:after="0"/>
              <w:rPr>
                <w:sz w:val="20"/>
                <w:szCs w:val="20"/>
                <w:color w:val="auto"/>
              </w:rPr>
            </w:pPr>
            <w:r>
              <w:rPr>
                <w:rFonts w:ascii="Arial" w:cs="Arial" w:eastAsia="Arial" w:hAnsi="Arial"/>
                <w:sz w:val="15"/>
                <w:szCs w:val="15"/>
                <w:color w:val="auto"/>
              </w:rPr>
              <w:t>Distributions to Class A unitholders</w:t>
            </w:r>
          </w:p>
        </w:tc>
        <w:tc>
          <w:tcPr>
            <w:tcW w:w="3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(461,232)</w:t>
            </w: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(313,532)</w:t>
            </w: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(97,293)</w:t>
            </w:r>
          </w:p>
        </w:tc>
        <w:tc>
          <w:tcPr>
            <w:tcW w:w="0" w:type="dxa"/>
            <w:vAlign w:val="bottom"/>
          </w:tcPr>
          <w:p>
            <w:pPr>
              <w:spacing w:after="0"/>
              <w:rPr>
                <w:sz w:val="1"/>
                <w:szCs w:val="1"/>
                <w:color w:val="auto"/>
              </w:rPr>
            </w:pPr>
          </w:p>
        </w:tc>
      </w:tr>
      <w:tr>
        <w:trPr>
          <w:trHeight w:val="193"/>
        </w:trPr>
        <w:tc>
          <w:tcPr>
            <w:tcW w:w="5400" w:type="dxa"/>
            <w:vAlign w:val="bottom"/>
          </w:tcPr>
          <w:p>
            <w:pPr>
              <w:ind w:left="300"/>
              <w:spacing w:after="0"/>
              <w:rPr>
                <w:sz w:val="20"/>
                <w:szCs w:val="20"/>
                <w:color w:val="auto"/>
              </w:rPr>
            </w:pPr>
            <w:r>
              <w:rPr>
                <w:rFonts w:ascii="Arial" w:cs="Arial" w:eastAsia="Arial" w:hAnsi="Arial"/>
                <w:sz w:val="15"/>
                <w:szCs w:val="15"/>
                <w:color w:val="auto"/>
              </w:rPr>
              <w:t>Distributions to OCGH unitholders</w:t>
            </w:r>
          </w:p>
        </w:tc>
        <w:tc>
          <w:tcPr>
            <w:tcW w:w="3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(82,212)</w:t>
            </w: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(53,058)</w:t>
            </w:r>
          </w:p>
        </w:tc>
        <w:tc>
          <w:tcPr>
            <w:tcW w:w="0" w:type="dxa"/>
            <w:vAlign w:val="bottom"/>
          </w:tcPr>
          <w:p>
            <w:pPr>
              <w:spacing w:after="0"/>
              <w:rPr>
                <w:sz w:val="1"/>
                <w:szCs w:val="1"/>
                <w:color w:val="auto"/>
              </w:rPr>
            </w:pPr>
          </w:p>
        </w:tc>
      </w:tr>
      <w:tr>
        <w:trPr>
          <w:trHeight w:val="193"/>
        </w:trPr>
        <w:tc>
          <w:tcPr>
            <w:tcW w:w="5400" w:type="dxa"/>
            <w:vAlign w:val="bottom"/>
          </w:tcPr>
          <w:p>
            <w:pPr>
              <w:ind w:left="300"/>
              <w:spacing w:after="0"/>
              <w:rPr>
                <w:sz w:val="20"/>
                <w:szCs w:val="20"/>
                <w:color w:val="auto"/>
              </w:rPr>
            </w:pPr>
            <w:r>
              <w:rPr>
                <w:rFonts w:ascii="Arial" w:cs="Arial" w:eastAsia="Arial" w:hAnsi="Arial"/>
                <w:sz w:val="15"/>
                <w:szCs w:val="15"/>
                <w:color w:val="auto"/>
              </w:rPr>
              <w:t>Distributions to preferred unitholders</w:t>
            </w:r>
          </w:p>
        </w:tc>
        <w:tc>
          <w:tcPr>
            <w:tcW w:w="3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(27,316)</w:t>
            </w: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(27,316)</w:t>
            </w: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(27,316)</w:t>
            </w:r>
          </w:p>
        </w:tc>
        <w:tc>
          <w:tcPr>
            <w:tcW w:w="0" w:type="dxa"/>
            <w:vAlign w:val="bottom"/>
          </w:tcPr>
          <w:p>
            <w:pPr>
              <w:spacing w:after="0"/>
              <w:rPr>
                <w:sz w:val="1"/>
                <w:szCs w:val="1"/>
                <w:color w:val="auto"/>
              </w:rPr>
            </w:pPr>
          </w:p>
        </w:tc>
      </w:tr>
      <w:tr>
        <w:trPr>
          <w:trHeight w:val="193"/>
        </w:trPr>
        <w:tc>
          <w:tcPr>
            <w:tcW w:w="5400" w:type="dxa"/>
            <w:vAlign w:val="bottom"/>
          </w:tcPr>
          <w:p>
            <w:pPr>
              <w:ind w:left="300"/>
              <w:spacing w:after="0"/>
              <w:rPr>
                <w:sz w:val="20"/>
                <w:szCs w:val="20"/>
                <w:color w:val="auto"/>
              </w:rPr>
            </w:pPr>
            <w:r>
              <w:rPr>
                <w:rFonts w:ascii="Arial" w:cs="Arial" w:eastAsia="Arial" w:hAnsi="Arial"/>
                <w:sz w:val="15"/>
                <w:szCs w:val="15"/>
                <w:color w:val="auto"/>
              </w:rPr>
              <w:t>Payment of debt issuance costs</w:t>
            </w:r>
          </w:p>
        </w:tc>
        <w:tc>
          <w:tcPr>
            <w:tcW w:w="3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(128)</w:t>
            </w:r>
          </w:p>
        </w:tc>
        <w:tc>
          <w:tcPr>
            <w:tcW w:w="0" w:type="dxa"/>
            <w:vAlign w:val="bottom"/>
          </w:tcPr>
          <w:p>
            <w:pPr>
              <w:spacing w:after="0"/>
              <w:rPr>
                <w:sz w:val="1"/>
                <w:szCs w:val="1"/>
                <w:color w:val="auto"/>
              </w:rPr>
            </w:pPr>
          </w:p>
        </w:tc>
      </w:tr>
      <w:tr>
        <w:trPr>
          <w:trHeight w:val="193"/>
        </w:trPr>
        <w:tc>
          <w:tcPr>
            <w:tcW w:w="5400" w:type="dxa"/>
            <w:vAlign w:val="bottom"/>
          </w:tcPr>
          <w:p>
            <w:pPr>
              <w:ind w:left="140"/>
              <w:spacing w:after="0"/>
              <w:rPr>
                <w:sz w:val="20"/>
                <w:szCs w:val="20"/>
                <w:color w:val="auto"/>
              </w:rPr>
            </w:pPr>
            <w:r>
              <w:rPr>
                <w:rFonts w:ascii="Arial" w:cs="Arial" w:eastAsia="Arial" w:hAnsi="Arial"/>
                <w:sz w:val="15"/>
                <w:szCs w:val="15"/>
                <w:i w:val="1"/>
                <w:iCs w:val="1"/>
                <w:color w:val="auto"/>
              </w:rPr>
              <w:t>Cash flows from financing activities of consolidated funds:</w:t>
            </w:r>
          </w:p>
        </w:tc>
        <w:tc>
          <w:tcPr>
            <w:tcW w:w="3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5400" w:type="dxa"/>
            <w:vAlign w:val="bottom"/>
          </w:tcPr>
          <w:p>
            <w:pPr>
              <w:ind w:left="300"/>
              <w:spacing w:after="0"/>
              <w:rPr>
                <w:sz w:val="20"/>
                <w:szCs w:val="20"/>
                <w:color w:val="auto"/>
              </w:rPr>
            </w:pPr>
            <w:r>
              <w:rPr>
                <w:rFonts w:ascii="Arial" w:cs="Arial" w:eastAsia="Arial" w:hAnsi="Arial"/>
                <w:sz w:val="15"/>
                <w:szCs w:val="15"/>
                <w:color w:val="auto"/>
              </w:rPr>
              <w:t>Contributions from non-controlling interests</w:t>
            </w:r>
          </w:p>
        </w:tc>
        <w:tc>
          <w:tcPr>
            <w:tcW w:w="3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633,232</w:t>
            </w: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ind w:right="7"/>
              <w:spacing w:after="0"/>
              <w:rPr>
                <w:sz w:val="20"/>
                <w:szCs w:val="20"/>
                <w:color w:val="auto"/>
              </w:rPr>
            </w:pPr>
            <w:r>
              <w:rPr>
                <w:rFonts w:ascii="Arial" w:cs="Arial" w:eastAsia="Arial" w:hAnsi="Arial"/>
                <w:sz w:val="15"/>
                <w:szCs w:val="15"/>
                <w:color w:val="auto"/>
              </w:rPr>
              <w:t>470,924</w:t>
            </w: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ind w:right="7"/>
              <w:spacing w:after="0"/>
              <w:rPr>
                <w:sz w:val="20"/>
                <w:szCs w:val="20"/>
                <w:color w:val="auto"/>
              </w:rPr>
            </w:pPr>
            <w:r>
              <w:rPr>
                <w:rFonts w:ascii="Arial" w:cs="Arial" w:eastAsia="Arial" w:hAnsi="Arial"/>
                <w:sz w:val="15"/>
                <w:szCs w:val="15"/>
                <w:color w:val="auto"/>
              </w:rPr>
              <w:t>1,223,103</w:t>
            </w:r>
          </w:p>
        </w:tc>
        <w:tc>
          <w:tcPr>
            <w:tcW w:w="0" w:type="dxa"/>
            <w:vAlign w:val="bottom"/>
          </w:tcPr>
          <w:p>
            <w:pPr>
              <w:spacing w:after="0"/>
              <w:rPr>
                <w:sz w:val="1"/>
                <w:szCs w:val="1"/>
                <w:color w:val="auto"/>
              </w:rPr>
            </w:pPr>
          </w:p>
        </w:tc>
      </w:tr>
      <w:tr>
        <w:trPr>
          <w:trHeight w:val="193"/>
        </w:trPr>
        <w:tc>
          <w:tcPr>
            <w:tcW w:w="5400" w:type="dxa"/>
            <w:vAlign w:val="bottom"/>
          </w:tcPr>
          <w:p>
            <w:pPr>
              <w:ind w:left="300"/>
              <w:spacing w:after="0"/>
              <w:rPr>
                <w:sz w:val="20"/>
                <w:szCs w:val="20"/>
                <w:color w:val="auto"/>
              </w:rPr>
            </w:pPr>
            <w:r>
              <w:rPr>
                <w:rFonts w:ascii="Arial" w:cs="Arial" w:eastAsia="Arial" w:hAnsi="Arial"/>
                <w:sz w:val="15"/>
                <w:szCs w:val="15"/>
                <w:color w:val="auto"/>
              </w:rPr>
              <w:t>Distributions to non-controlling interests</w:t>
            </w:r>
          </w:p>
        </w:tc>
        <w:tc>
          <w:tcPr>
            <w:tcW w:w="3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(903,054)</w:t>
            </w: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(655,263)</w:t>
            </w: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(315,998)</w:t>
            </w:r>
          </w:p>
        </w:tc>
        <w:tc>
          <w:tcPr>
            <w:tcW w:w="0" w:type="dxa"/>
            <w:vAlign w:val="bottom"/>
          </w:tcPr>
          <w:p>
            <w:pPr>
              <w:spacing w:after="0"/>
              <w:rPr>
                <w:sz w:val="1"/>
                <w:szCs w:val="1"/>
                <w:color w:val="auto"/>
              </w:rPr>
            </w:pPr>
          </w:p>
        </w:tc>
      </w:tr>
      <w:tr>
        <w:trPr>
          <w:trHeight w:val="193"/>
        </w:trPr>
        <w:tc>
          <w:tcPr>
            <w:tcW w:w="5400" w:type="dxa"/>
            <w:vAlign w:val="bottom"/>
          </w:tcPr>
          <w:p>
            <w:pPr>
              <w:ind w:left="300"/>
              <w:spacing w:after="0"/>
              <w:rPr>
                <w:sz w:val="20"/>
                <w:szCs w:val="20"/>
                <w:color w:val="auto"/>
              </w:rPr>
            </w:pPr>
            <w:r>
              <w:rPr>
                <w:rFonts w:ascii="Arial" w:cs="Arial" w:eastAsia="Arial" w:hAnsi="Arial"/>
                <w:sz w:val="15"/>
                <w:szCs w:val="15"/>
                <w:color w:val="auto"/>
              </w:rPr>
              <w:t>Payment of debt issuance costs</w:t>
            </w:r>
          </w:p>
        </w:tc>
        <w:tc>
          <w:tcPr>
            <w:tcW w:w="3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(3,378)</w:t>
            </w: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ind w:right="7"/>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3"/>
        </w:trPr>
        <w:tc>
          <w:tcPr>
            <w:tcW w:w="5400" w:type="dxa"/>
            <w:vAlign w:val="bottom"/>
          </w:tcPr>
          <w:p>
            <w:pPr>
              <w:ind w:left="300"/>
              <w:spacing w:after="0"/>
              <w:rPr>
                <w:sz w:val="20"/>
                <w:szCs w:val="20"/>
                <w:color w:val="auto"/>
              </w:rPr>
            </w:pPr>
            <w:r>
              <w:rPr>
                <w:rFonts w:ascii="Arial" w:cs="Arial" w:eastAsia="Arial" w:hAnsi="Arial"/>
                <w:sz w:val="15"/>
                <w:szCs w:val="15"/>
                <w:color w:val="auto"/>
              </w:rPr>
              <w:t>Borrowings on credit facilities</w:t>
            </w:r>
          </w:p>
        </w:tc>
        <w:tc>
          <w:tcPr>
            <w:tcW w:w="3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1,417,196</w:t>
            </w: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ind w:right="7"/>
              <w:spacing w:after="0"/>
              <w:rPr>
                <w:sz w:val="20"/>
                <w:szCs w:val="20"/>
                <w:color w:val="auto"/>
              </w:rPr>
            </w:pPr>
            <w:r>
              <w:rPr>
                <w:rFonts w:ascii="Arial" w:cs="Arial" w:eastAsia="Arial" w:hAnsi="Arial"/>
                <w:sz w:val="15"/>
                <w:szCs w:val="15"/>
                <w:color w:val="auto"/>
              </w:rPr>
              <w:t>3,065,915</w:t>
            </w: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ind w:right="7"/>
              <w:spacing w:after="0"/>
              <w:rPr>
                <w:sz w:val="20"/>
                <w:szCs w:val="20"/>
                <w:color w:val="auto"/>
              </w:rPr>
            </w:pPr>
            <w:r>
              <w:rPr>
                <w:rFonts w:ascii="Arial" w:cs="Arial" w:eastAsia="Arial" w:hAnsi="Arial"/>
                <w:sz w:val="15"/>
                <w:szCs w:val="15"/>
                <w:color w:val="auto"/>
              </w:rPr>
              <w:t>1,341,800</w:t>
            </w:r>
          </w:p>
        </w:tc>
        <w:tc>
          <w:tcPr>
            <w:tcW w:w="0" w:type="dxa"/>
            <w:vAlign w:val="bottom"/>
          </w:tcPr>
          <w:p>
            <w:pPr>
              <w:spacing w:after="0"/>
              <w:rPr>
                <w:sz w:val="1"/>
                <w:szCs w:val="1"/>
                <w:color w:val="auto"/>
              </w:rPr>
            </w:pPr>
          </w:p>
        </w:tc>
      </w:tr>
      <w:tr>
        <w:trPr>
          <w:trHeight w:val="193"/>
        </w:trPr>
        <w:tc>
          <w:tcPr>
            <w:tcW w:w="5400" w:type="dxa"/>
            <w:vAlign w:val="bottom"/>
          </w:tcPr>
          <w:p>
            <w:pPr>
              <w:ind w:left="300"/>
              <w:spacing w:after="0"/>
              <w:rPr>
                <w:sz w:val="20"/>
                <w:szCs w:val="20"/>
                <w:color w:val="auto"/>
              </w:rPr>
            </w:pPr>
            <w:r>
              <w:rPr>
                <w:rFonts w:ascii="Arial" w:cs="Arial" w:eastAsia="Arial" w:hAnsi="Arial"/>
                <w:sz w:val="15"/>
                <w:szCs w:val="15"/>
                <w:color w:val="auto"/>
              </w:rPr>
              <w:t>Repayments on credit facilities</w:t>
            </w:r>
          </w:p>
        </w:tc>
        <w:tc>
          <w:tcPr>
            <w:tcW w:w="3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(1,569,195)</w:t>
            </w:r>
          </w:p>
        </w:tc>
        <w:tc>
          <w:tcPr>
            <w:tcW w:w="2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(1,774,433)</w:t>
            </w:r>
          </w:p>
        </w:tc>
        <w:tc>
          <w:tcPr>
            <w:tcW w:w="2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(1,390,704)</w:t>
            </w:r>
          </w:p>
        </w:tc>
        <w:tc>
          <w:tcPr>
            <w:tcW w:w="0" w:type="dxa"/>
            <w:vAlign w:val="bottom"/>
          </w:tcPr>
          <w:p>
            <w:pPr>
              <w:spacing w:after="0"/>
              <w:rPr>
                <w:sz w:val="1"/>
                <w:szCs w:val="1"/>
                <w:color w:val="auto"/>
              </w:rPr>
            </w:pPr>
          </w:p>
        </w:tc>
      </w:tr>
      <w:tr>
        <w:trPr>
          <w:trHeight w:val="191"/>
        </w:trPr>
        <w:tc>
          <w:tcPr>
            <w:tcW w:w="5400" w:type="dxa"/>
            <w:vAlign w:val="bottom"/>
          </w:tcPr>
          <w:p>
            <w:pPr>
              <w:ind w:left="620"/>
              <w:spacing w:after="0"/>
              <w:rPr>
                <w:sz w:val="20"/>
                <w:szCs w:val="20"/>
                <w:color w:val="auto"/>
              </w:rPr>
            </w:pPr>
            <w:r>
              <w:rPr>
                <w:rFonts w:ascii="Arial" w:cs="Arial" w:eastAsia="Arial" w:hAnsi="Arial"/>
                <w:sz w:val="15"/>
                <w:szCs w:val="15"/>
                <w:color w:val="auto"/>
              </w:rPr>
              <w:t>Net cash (used) provided by financing activities</w:t>
            </w:r>
          </w:p>
        </w:tc>
        <w:tc>
          <w:tcPr>
            <w:tcW w:w="3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(795,932)</w:t>
            </w:r>
          </w:p>
        </w:tc>
        <w:tc>
          <w:tcPr>
            <w:tcW w:w="2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rPr>
              <w:t>779,961</w:t>
            </w:r>
          </w:p>
        </w:tc>
        <w:tc>
          <w:tcPr>
            <w:tcW w:w="2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rPr>
              <w:t>1,261,908</w:t>
            </w:r>
          </w:p>
        </w:tc>
        <w:tc>
          <w:tcPr>
            <w:tcW w:w="0" w:type="dxa"/>
            <w:vAlign w:val="bottom"/>
          </w:tcPr>
          <w:p>
            <w:pPr>
              <w:spacing w:after="0"/>
              <w:rPr>
                <w:sz w:val="1"/>
                <w:szCs w:val="1"/>
                <w:color w:val="auto"/>
              </w:rPr>
            </w:pPr>
          </w:p>
        </w:tc>
      </w:tr>
      <w:tr>
        <w:trPr>
          <w:trHeight w:val="186"/>
        </w:trPr>
        <w:tc>
          <w:tcPr>
            <w:tcW w:w="5400" w:type="dxa"/>
            <w:vAlign w:val="bottom"/>
          </w:tcPr>
          <w:p>
            <w:pPr>
              <w:spacing w:after="0"/>
              <w:rPr>
                <w:sz w:val="20"/>
                <w:szCs w:val="20"/>
                <w:color w:val="auto"/>
              </w:rPr>
            </w:pPr>
            <w:r>
              <w:rPr>
                <w:rFonts w:ascii="Arial" w:cs="Arial" w:eastAsia="Arial" w:hAnsi="Arial"/>
                <w:sz w:val="15"/>
                <w:szCs w:val="15"/>
                <w:color w:val="auto"/>
              </w:rPr>
              <w:t>Effect of exchange rate changes on cash</w:t>
            </w:r>
          </w:p>
        </w:tc>
        <w:tc>
          <w:tcPr>
            <w:tcW w:w="3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(253)</w:t>
            </w:r>
          </w:p>
        </w:tc>
        <w:tc>
          <w:tcPr>
            <w:tcW w:w="2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(9,875)</w:t>
            </w:r>
          </w:p>
        </w:tc>
        <w:tc>
          <w:tcPr>
            <w:tcW w:w="2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rPr>
              <w:t>856</w:t>
            </w:r>
          </w:p>
        </w:tc>
        <w:tc>
          <w:tcPr>
            <w:tcW w:w="0" w:type="dxa"/>
            <w:vAlign w:val="bottom"/>
          </w:tcPr>
          <w:p>
            <w:pPr>
              <w:spacing w:after="0"/>
              <w:rPr>
                <w:sz w:val="1"/>
                <w:szCs w:val="1"/>
                <w:color w:val="auto"/>
              </w:rPr>
            </w:pPr>
          </w:p>
        </w:tc>
      </w:tr>
      <w:tr>
        <w:trPr>
          <w:trHeight w:val="183"/>
        </w:trPr>
        <w:tc>
          <w:tcPr>
            <w:tcW w:w="5400" w:type="dxa"/>
            <w:vAlign w:val="bottom"/>
          </w:tcPr>
          <w:p>
            <w:pPr>
              <w:spacing w:after="0"/>
              <w:rPr>
                <w:sz w:val="20"/>
                <w:szCs w:val="20"/>
                <w:color w:val="auto"/>
              </w:rPr>
            </w:pPr>
            <w:r>
              <w:rPr>
                <w:rFonts w:ascii="Arial" w:cs="Arial" w:eastAsia="Arial" w:hAnsi="Arial"/>
                <w:sz w:val="15"/>
                <w:szCs w:val="15"/>
                <w:color w:val="auto"/>
              </w:rPr>
              <w:t>Net (decrease) increase in cash and cash-equivalents</w:t>
            </w:r>
          </w:p>
        </w:tc>
        <w:tc>
          <w:tcPr>
            <w:tcW w:w="3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(259,111)</w:t>
            </w: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ind w:right="7"/>
              <w:spacing w:after="0"/>
              <w:rPr>
                <w:sz w:val="20"/>
                <w:szCs w:val="20"/>
                <w:color w:val="auto"/>
              </w:rPr>
            </w:pPr>
            <w:r>
              <w:rPr>
                <w:rFonts w:ascii="Arial" w:cs="Arial" w:eastAsia="Arial" w:hAnsi="Arial"/>
                <w:sz w:val="15"/>
                <w:szCs w:val="15"/>
                <w:color w:val="auto"/>
              </w:rPr>
              <w:t>230,323</w:t>
            </w: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ind w:right="7"/>
              <w:spacing w:after="0"/>
              <w:rPr>
                <w:sz w:val="20"/>
                <w:szCs w:val="20"/>
                <w:color w:val="auto"/>
              </w:rPr>
            </w:pPr>
            <w:r>
              <w:rPr>
                <w:rFonts w:ascii="Arial" w:cs="Arial" w:eastAsia="Arial" w:hAnsi="Arial"/>
                <w:sz w:val="15"/>
                <w:szCs w:val="15"/>
                <w:color w:val="auto"/>
              </w:rPr>
              <w:t>165,400</w:t>
            </w:r>
          </w:p>
        </w:tc>
        <w:tc>
          <w:tcPr>
            <w:tcW w:w="0" w:type="dxa"/>
            <w:vAlign w:val="bottom"/>
          </w:tcPr>
          <w:p>
            <w:pPr>
              <w:spacing w:after="0"/>
              <w:rPr>
                <w:sz w:val="1"/>
                <w:szCs w:val="1"/>
                <w:color w:val="auto"/>
              </w:rPr>
            </w:pPr>
          </w:p>
        </w:tc>
      </w:tr>
      <w:tr>
        <w:trPr>
          <w:trHeight w:val="192"/>
        </w:trPr>
        <w:tc>
          <w:tcPr>
            <w:tcW w:w="5400" w:type="dxa"/>
            <w:vAlign w:val="bottom"/>
          </w:tcPr>
          <w:p>
            <w:pPr>
              <w:spacing w:after="0"/>
              <w:rPr>
                <w:sz w:val="20"/>
                <w:szCs w:val="20"/>
                <w:color w:val="auto"/>
              </w:rPr>
            </w:pPr>
            <w:r>
              <w:rPr>
                <w:rFonts w:ascii="Arial" w:cs="Arial" w:eastAsia="Arial" w:hAnsi="Arial"/>
                <w:sz w:val="15"/>
                <w:szCs w:val="15"/>
                <w:color w:val="auto"/>
              </w:rPr>
              <w:t>Deconsolidation due to restructuring</w:t>
            </w:r>
          </w:p>
        </w:tc>
        <w:tc>
          <w:tcPr>
            <w:tcW w:w="3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(8,805)</w:t>
            </w: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ind w:right="7"/>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3"/>
        </w:trPr>
        <w:tc>
          <w:tcPr>
            <w:tcW w:w="5400" w:type="dxa"/>
            <w:vAlign w:val="bottom"/>
          </w:tcPr>
          <w:p>
            <w:pPr>
              <w:spacing w:after="0"/>
              <w:rPr>
                <w:sz w:val="20"/>
                <w:szCs w:val="20"/>
                <w:color w:val="auto"/>
              </w:rPr>
            </w:pPr>
            <w:r>
              <w:rPr>
                <w:rFonts w:ascii="Arial" w:cs="Arial" w:eastAsia="Arial" w:hAnsi="Arial"/>
                <w:sz w:val="15"/>
                <w:szCs w:val="15"/>
                <w:color w:val="auto"/>
              </w:rPr>
              <w:t>Deconsolidation of funds</w:t>
            </w:r>
          </w:p>
        </w:tc>
        <w:tc>
          <w:tcPr>
            <w:tcW w:w="3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(108,346)</w:t>
            </w: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(4,851)</w:t>
            </w:r>
          </w:p>
        </w:tc>
        <w:tc>
          <w:tcPr>
            <w:tcW w:w="0" w:type="dxa"/>
            <w:vAlign w:val="bottom"/>
          </w:tcPr>
          <w:p>
            <w:pPr>
              <w:spacing w:after="0"/>
              <w:rPr>
                <w:sz w:val="1"/>
                <w:szCs w:val="1"/>
                <w:color w:val="auto"/>
              </w:rPr>
            </w:pPr>
          </w:p>
        </w:tc>
      </w:tr>
      <w:tr>
        <w:trPr>
          <w:trHeight w:val="196"/>
        </w:trPr>
        <w:tc>
          <w:tcPr>
            <w:tcW w:w="5400" w:type="dxa"/>
            <w:vAlign w:val="bottom"/>
          </w:tcPr>
          <w:p>
            <w:pPr>
              <w:spacing w:after="0"/>
              <w:rPr>
                <w:sz w:val="20"/>
                <w:szCs w:val="20"/>
                <w:color w:val="auto"/>
              </w:rPr>
            </w:pPr>
            <w:r>
              <w:rPr>
                <w:rFonts w:ascii="Arial" w:cs="Arial" w:eastAsia="Arial" w:hAnsi="Arial"/>
                <w:sz w:val="15"/>
                <w:szCs w:val="15"/>
                <w:color w:val="auto"/>
              </w:rPr>
              <w:t>Cash and cash-equivalents, beginning balance</w:t>
            </w:r>
          </w:p>
        </w:tc>
        <w:tc>
          <w:tcPr>
            <w:tcW w:w="3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449,851</w:t>
            </w:r>
          </w:p>
        </w:tc>
        <w:tc>
          <w:tcPr>
            <w:tcW w:w="2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rPr>
              <w:t>336,679</w:t>
            </w:r>
          </w:p>
        </w:tc>
        <w:tc>
          <w:tcPr>
            <w:tcW w:w="2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rPr>
              <w:t>176,130</w:t>
            </w:r>
          </w:p>
        </w:tc>
        <w:tc>
          <w:tcPr>
            <w:tcW w:w="0" w:type="dxa"/>
            <w:vAlign w:val="bottom"/>
          </w:tcPr>
          <w:p>
            <w:pPr>
              <w:spacing w:after="0"/>
              <w:rPr>
                <w:sz w:val="1"/>
                <w:szCs w:val="1"/>
                <w:color w:val="auto"/>
              </w:rPr>
            </w:pPr>
          </w:p>
        </w:tc>
      </w:tr>
      <w:tr>
        <w:trPr>
          <w:trHeight w:val="189"/>
        </w:trPr>
        <w:tc>
          <w:tcPr>
            <w:tcW w:w="5400" w:type="dxa"/>
            <w:vAlign w:val="bottom"/>
          </w:tcPr>
          <w:p>
            <w:pPr>
              <w:spacing w:after="0"/>
              <w:rPr>
                <w:sz w:val="20"/>
                <w:szCs w:val="20"/>
                <w:color w:val="auto"/>
              </w:rPr>
            </w:pPr>
            <w:r>
              <w:rPr>
                <w:rFonts w:ascii="Arial" w:cs="Arial" w:eastAsia="Arial" w:hAnsi="Arial"/>
                <w:sz w:val="15"/>
                <w:szCs w:val="15"/>
                <w:color w:val="auto"/>
              </w:rPr>
              <w:t>Cash and cash-equivalents, ending balance</w:t>
            </w:r>
          </w:p>
        </w:tc>
        <w:tc>
          <w:tcPr>
            <w:tcW w:w="3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00" w:type="dxa"/>
            <w:vAlign w:val="bottom"/>
            <w:tcBorders>
              <w:bottom w:val="single" w:sz="8" w:color="auto"/>
            </w:tcBorders>
          </w:tcPr>
          <w:p>
            <w:pPr>
              <w:jc w:val="right"/>
              <w:ind w:right="127"/>
              <w:spacing w:after="0"/>
              <w:rPr>
                <w:sz w:val="20"/>
                <w:szCs w:val="20"/>
                <w:color w:val="auto"/>
              </w:rPr>
            </w:pPr>
            <w:r>
              <w:rPr>
                <w:rFonts w:ascii="Arial" w:cs="Arial" w:eastAsia="Arial" w:hAnsi="Arial"/>
                <w:sz w:val="15"/>
                <w:szCs w:val="15"/>
                <w:color w:val="auto"/>
                <w:w w:val="95"/>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190,740</w:t>
            </w:r>
          </w:p>
        </w:tc>
        <w:tc>
          <w:tcPr>
            <w:tcW w:w="220" w:type="dxa"/>
            <w:vAlign w:val="bottom"/>
          </w:tcPr>
          <w:p>
            <w:pPr>
              <w:spacing w:after="0"/>
              <w:rPr>
                <w:sz w:val="16"/>
                <w:szCs w:val="16"/>
                <w:color w:val="auto"/>
              </w:rPr>
            </w:pPr>
          </w:p>
        </w:tc>
        <w:tc>
          <w:tcPr>
            <w:tcW w:w="300" w:type="dxa"/>
            <w:vAlign w:val="bottom"/>
            <w:tcBorders>
              <w:bottom w:val="single" w:sz="8" w:color="auto"/>
            </w:tcBorders>
          </w:tcPr>
          <w:p>
            <w:pPr>
              <w:jc w:val="right"/>
              <w:ind w:right="127"/>
              <w:spacing w:after="0"/>
              <w:rPr>
                <w:sz w:val="20"/>
                <w:szCs w:val="20"/>
                <w:color w:val="auto"/>
              </w:rPr>
            </w:pPr>
            <w:r>
              <w:rPr>
                <w:rFonts w:ascii="Arial" w:cs="Arial" w:eastAsia="Arial" w:hAnsi="Arial"/>
                <w:sz w:val="15"/>
                <w:szCs w:val="15"/>
                <w:color w:val="auto"/>
                <w:w w:val="95"/>
              </w:rPr>
              <w:t>$</w:t>
            </w:r>
          </w:p>
        </w:tc>
        <w:tc>
          <w:tcPr>
            <w:tcW w:w="102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rPr>
              <w:t>449,851</w:t>
            </w:r>
          </w:p>
        </w:tc>
        <w:tc>
          <w:tcPr>
            <w:tcW w:w="200" w:type="dxa"/>
            <w:vAlign w:val="bottom"/>
          </w:tcPr>
          <w:p>
            <w:pPr>
              <w:spacing w:after="0"/>
              <w:rPr>
                <w:sz w:val="16"/>
                <w:szCs w:val="16"/>
                <w:color w:val="auto"/>
              </w:rPr>
            </w:pPr>
          </w:p>
        </w:tc>
        <w:tc>
          <w:tcPr>
            <w:tcW w:w="300" w:type="dxa"/>
            <w:vAlign w:val="bottom"/>
            <w:tcBorders>
              <w:bottom w:val="single" w:sz="8" w:color="auto"/>
            </w:tcBorders>
          </w:tcPr>
          <w:p>
            <w:pPr>
              <w:jc w:val="right"/>
              <w:ind w:right="127"/>
              <w:spacing w:after="0"/>
              <w:rPr>
                <w:sz w:val="20"/>
                <w:szCs w:val="20"/>
                <w:color w:val="auto"/>
              </w:rPr>
            </w:pPr>
            <w:r>
              <w:rPr>
                <w:rFonts w:ascii="Arial" w:cs="Arial" w:eastAsia="Arial" w:hAnsi="Arial"/>
                <w:sz w:val="15"/>
                <w:szCs w:val="15"/>
                <w:color w:val="auto"/>
                <w:w w:val="95"/>
              </w:rPr>
              <w:t>$</w:t>
            </w:r>
          </w:p>
        </w:tc>
        <w:tc>
          <w:tcPr>
            <w:tcW w:w="102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rPr>
              <w:t>336,679</w:t>
            </w:r>
          </w:p>
        </w:tc>
        <w:tc>
          <w:tcPr>
            <w:tcW w:w="0" w:type="dxa"/>
            <w:vAlign w:val="bottom"/>
          </w:tcPr>
          <w:p>
            <w:pPr>
              <w:spacing w:after="0"/>
              <w:rPr>
                <w:sz w:val="1"/>
                <w:szCs w:val="1"/>
                <w:color w:val="auto"/>
              </w:rPr>
            </w:pPr>
          </w:p>
        </w:tc>
      </w:tr>
      <w:tr>
        <w:trPr>
          <w:trHeight w:val="20"/>
        </w:trPr>
        <w:tc>
          <w:tcPr>
            <w:tcW w:w="5400" w:type="dxa"/>
            <w:vAlign w:val="bottom"/>
            <w:vMerge w:val="restart"/>
          </w:tcPr>
          <w:p>
            <w:pPr>
              <w:ind w:left="5180"/>
              <w:spacing w:after="0"/>
              <w:rPr>
                <w:sz w:val="20"/>
                <w:szCs w:val="20"/>
                <w:color w:val="auto"/>
              </w:rPr>
            </w:pPr>
            <w:r>
              <w:rPr>
                <w:rFonts w:ascii="Arial" w:cs="Arial" w:eastAsia="Arial" w:hAnsi="Arial"/>
                <w:sz w:val="15"/>
                <w:szCs w:val="15"/>
                <w:color w:val="auto"/>
              </w:rPr>
              <w:t>*</w:t>
            </w:r>
          </w:p>
        </w:tc>
        <w:tc>
          <w:tcPr>
            <w:tcW w:w="380" w:type="dxa"/>
            <w:vAlign w:val="bottom"/>
            <w:vMerge w:val="restart"/>
          </w:tcPr>
          <w:p>
            <w:pPr>
              <w:jc w:val="right"/>
              <w:ind w:right="87"/>
              <w:spacing w:after="0"/>
              <w:rPr>
                <w:sz w:val="20"/>
                <w:szCs w:val="20"/>
                <w:color w:val="auto"/>
              </w:rPr>
            </w:pPr>
            <w:r>
              <w:rPr>
                <w:rFonts w:ascii="Arial" w:cs="Arial" w:eastAsia="Arial" w:hAnsi="Arial"/>
                <w:sz w:val="15"/>
                <w:szCs w:val="15"/>
                <w:color w:val="auto"/>
              </w:rPr>
              <w:t>*</w:t>
            </w:r>
          </w:p>
        </w:tc>
        <w:tc>
          <w:tcPr>
            <w:tcW w:w="1060" w:type="dxa"/>
            <w:vAlign w:val="bottom"/>
            <w:vMerge w:val="restart"/>
          </w:tcPr>
          <w:p>
            <w:pPr>
              <w:jc w:val="right"/>
              <w:ind w:right="767"/>
              <w:spacing w:after="0"/>
              <w:rPr>
                <w:sz w:val="20"/>
                <w:szCs w:val="20"/>
                <w:color w:val="auto"/>
              </w:rPr>
            </w:pPr>
            <w:r>
              <w:rPr>
                <w:rFonts w:ascii="Arial" w:cs="Arial" w:eastAsia="Arial" w:hAnsi="Arial"/>
                <w:sz w:val="15"/>
                <w:szCs w:val="15"/>
                <w:color w:val="auto"/>
              </w:rPr>
              <w:t>*</w:t>
            </w: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5400" w:type="dxa"/>
            <w:vAlign w:val="bottom"/>
            <w:vMerge w:val="continue"/>
          </w:tcPr>
          <w:p>
            <w:pPr>
              <w:spacing w:after="0"/>
              <w:rPr>
                <w:sz w:val="24"/>
                <w:szCs w:val="24"/>
                <w:color w:val="auto"/>
              </w:rPr>
            </w:pPr>
          </w:p>
        </w:tc>
        <w:tc>
          <w:tcPr>
            <w:tcW w:w="380" w:type="dxa"/>
            <w:vAlign w:val="bottom"/>
            <w:vMerge w:val="continue"/>
          </w:tcPr>
          <w:p>
            <w:pPr>
              <w:spacing w:after="0"/>
              <w:rPr>
                <w:sz w:val="24"/>
                <w:szCs w:val="24"/>
                <w:color w:val="auto"/>
              </w:rPr>
            </w:pPr>
          </w:p>
        </w:tc>
        <w:tc>
          <w:tcPr>
            <w:tcW w:w="106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5400" w:type="dxa"/>
            <w:vAlign w:val="bottom"/>
          </w:tcPr>
          <w:p>
            <w:pPr>
              <w:spacing w:after="0"/>
              <w:rPr>
                <w:sz w:val="20"/>
                <w:szCs w:val="20"/>
                <w:color w:val="auto"/>
              </w:rPr>
            </w:pPr>
            <w:r>
              <w:rPr>
                <w:rFonts w:ascii="Arial" w:cs="Arial" w:eastAsia="Arial" w:hAnsi="Arial"/>
                <w:sz w:val="15"/>
                <w:szCs w:val="15"/>
                <w:color w:val="auto"/>
              </w:rPr>
              <w:t>Supplemental cash flow disclosures:</w:t>
            </w:r>
          </w:p>
        </w:tc>
        <w:tc>
          <w:tcPr>
            <w:tcW w:w="3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5400" w:type="dxa"/>
            <w:vAlign w:val="bottom"/>
          </w:tcPr>
          <w:p>
            <w:pPr>
              <w:ind w:left="300"/>
              <w:spacing w:after="0"/>
              <w:rPr>
                <w:sz w:val="20"/>
                <w:szCs w:val="20"/>
                <w:color w:val="auto"/>
              </w:rPr>
            </w:pPr>
            <w:r>
              <w:rPr>
                <w:rFonts w:ascii="Arial" w:cs="Arial" w:eastAsia="Arial" w:hAnsi="Arial"/>
                <w:sz w:val="15"/>
                <w:szCs w:val="15"/>
                <w:color w:val="auto"/>
              </w:rPr>
              <w:t>Cash paid for interest</w:t>
            </w:r>
          </w:p>
        </w:tc>
        <w:tc>
          <w:tcPr>
            <w:tcW w:w="380" w:type="dxa"/>
            <w:vAlign w:val="bottom"/>
          </w:tcPr>
          <w:p>
            <w:pPr>
              <w:spacing w:after="0"/>
              <w:rPr>
                <w:sz w:val="16"/>
                <w:szCs w:val="16"/>
                <w:color w:val="auto"/>
              </w:rPr>
            </w:pPr>
          </w:p>
        </w:tc>
        <w:tc>
          <w:tcPr>
            <w:tcW w:w="1360" w:type="dxa"/>
            <w:vAlign w:val="bottom"/>
            <w:gridSpan w:val="2"/>
          </w:tcPr>
          <w:p>
            <w:pPr>
              <w:jc w:val="right"/>
              <w:ind w:right="127"/>
              <w:spacing w:after="0"/>
              <w:rPr>
                <w:sz w:val="20"/>
                <w:szCs w:val="20"/>
                <w:color w:val="auto"/>
              </w:rPr>
            </w:pPr>
            <w:r>
              <w:rPr>
                <w:rFonts w:ascii="Arial" w:cs="Arial" w:eastAsia="Arial" w:hAnsi="Arial"/>
                <w:sz w:val="15"/>
                <w:szCs w:val="15"/>
                <w:color w:val="auto"/>
              </w:rPr>
              <w:t>$</w:t>
            </w:r>
          </w:p>
        </w:tc>
        <w:tc>
          <w:tcPr>
            <w:tcW w:w="1000" w:type="dxa"/>
            <w:vAlign w:val="bottom"/>
          </w:tcPr>
          <w:p>
            <w:pPr>
              <w:jc w:val="right"/>
              <w:spacing w:after="0"/>
              <w:rPr>
                <w:sz w:val="20"/>
                <w:szCs w:val="20"/>
                <w:color w:val="auto"/>
              </w:rPr>
            </w:pPr>
            <w:r>
              <w:rPr>
                <w:rFonts w:ascii="Arial" w:cs="Arial" w:eastAsia="Arial" w:hAnsi="Arial"/>
                <w:sz w:val="15"/>
                <w:szCs w:val="15"/>
                <w:color w:val="auto"/>
              </w:rPr>
              <w:t>92,900</w:t>
            </w:r>
          </w:p>
        </w:tc>
        <w:tc>
          <w:tcPr>
            <w:tcW w:w="520" w:type="dxa"/>
            <w:vAlign w:val="bottom"/>
            <w:gridSpan w:val="2"/>
          </w:tcPr>
          <w:p>
            <w:pPr>
              <w:jc w:val="right"/>
              <w:ind w:right="127"/>
              <w:spacing w:after="0"/>
              <w:rPr>
                <w:sz w:val="20"/>
                <w:szCs w:val="20"/>
                <w:color w:val="auto"/>
              </w:rPr>
            </w:pPr>
            <w:r>
              <w:rPr>
                <w:rFonts w:ascii="Arial" w:cs="Arial" w:eastAsia="Arial" w:hAnsi="Arial"/>
                <w:sz w:val="15"/>
                <w:szCs w:val="15"/>
                <w:color w:val="auto"/>
              </w:rPr>
              <w:t>$</w:t>
            </w:r>
          </w:p>
        </w:tc>
        <w:tc>
          <w:tcPr>
            <w:tcW w:w="1020" w:type="dxa"/>
            <w:vAlign w:val="bottom"/>
          </w:tcPr>
          <w:p>
            <w:pPr>
              <w:jc w:val="right"/>
              <w:ind w:right="7"/>
              <w:spacing w:after="0"/>
              <w:rPr>
                <w:sz w:val="20"/>
                <w:szCs w:val="20"/>
                <w:color w:val="auto"/>
              </w:rPr>
            </w:pPr>
            <w:r>
              <w:rPr>
                <w:rFonts w:ascii="Arial" w:cs="Arial" w:eastAsia="Arial" w:hAnsi="Arial"/>
                <w:sz w:val="15"/>
                <w:szCs w:val="15"/>
                <w:color w:val="auto"/>
              </w:rPr>
              <w:t>89,382</w:t>
            </w:r>
          </w:p>
        </w:tc>
        <w:tc>
          <w:tcPr>
            <w:tcW w:w="200" w:type="dxa"/>
            <w:vAlign w:val="bottom"/>
          </w:tcPr>
          <w:p>
            <w:pPr>
              <w:spacing w:after="0"/>
              <w:rPr>
                <w:sz w:val="16"/>
                <w:szCs w:val="16"/>
                <w:color w:val="auto"/>
              </w:rPr>
            </w:pPr>
          </w:p>
        </w:tc>
        <w:tc>
          <w:tcPr>
            <w:tcW w:w="300" w:type="dxa"/>
            <w:vAlign w:val="bottom"/>
          </w:tcPr>
          <w:p>
            <w:pPr>
              <w:jc w:val="right"/>
              <w:ind w:right="127"/>
              <w:spacing w:after="0"/>
              <w:rPr>
                <w:sz w:val="20"/>
                <w:szCs w:val="20"/>
                <w:color w:val="auto"/>
              </w:rPr>
            </w:pPr>
            <w:r>
              <w:rPr>
                <w:rFonts w:ascii="Arial" w:cs="Arial" w:eastAsia="Arial" w:hAnsi="Arial"/>
                <w:sz w:val="15"/>
                <w:szCs w:val="15"/>
                <w:color w:val="auto"/>
                <w:w w:val="95"/>
              </w:rPr>
              <w:t>$</w:t>
            </w:r>
          </w:p>
        </w:tc>
        <w:tc>
          <w:tcPr>
            <w:tcW w:w="1020" w:type="dxa"/>
            <w:vAlign w:val="bottom"/>
          </w:tcPr>
          <w:p>
            <w:pPr>
              <w:jc w:val="right"/>
              <w:ind w:right="7"/>
              <w:spacing w:after="0"/>
              <w:rPr>
                <w:sz w:val="20"/>
                <w:szCs w:val="20"/>
                <w:color w:val="auto"/>
              </w:rPr>
            </w:pPr>
            <w:r>
              <w:rPr>
                <w:rFonts w:ascii="Arial" w:cs="Arial" w:eastAsia="Arial" w:hAnsi="Arial"/>
                <w:sz w:val="15"/>
                <w:szCs w:val="15"/>
                <w:color w:val="auto"/>
              </w:rPr>
              <w:t>48,223</w:t>
            </w:r>
          </w:p>
        </w:tc>
        <w:tc>
          <w:tcPr>
            <w:tcW w:w="0" w:type="dxa"/>
            <w:vAlign w:val="bottom"/>
          </w:tcPr>
          <w:p>
            <w:pPr>
              <w:spacing w:after="0"/>
              <w:rPr>
                <w:sz w:val="1"/>
                <w:szCs w:val="1"/>
                <w:color w:val="auto"/>
              </w:rPr>
            </w:pPr>
          </w:p>
        </w:tc>
      </w:tr>
      <w:tr>
        <w:trPr>
          <w:trHeight w:val="438"/>
        </w:trPr>
        <w:tc>
          <w:tcPr>
            <w:tcW w:w="5400" w:type="dxa"/>
            <w:vAlign w:val="bottom"/>
          </w:tcPr>
          <w:p>
            <w:pPr>
              <w:spacing w:after="0"/>
              <w:rPr>
                <w:sz w:val="20"/>
                <w:szCs w:val="20"/>
                <w:color w:val="auto"/>
              </w:rPr>
            </w:pPr>
            <w:r>
              <w:rPr>
                <w:rFonts w:ascii="Arial" w:cs="Arial" w:eastAsia="Arial" w:hAnsi="Arial"/>
                <w:sz w:val="15"/>
                <w:szCs w:val="15"/>
                <w:color w:val="auto"/>
              </w:rPr>
              <w:t>Supplemental disclosure of non-cash activities:</w:t>
            </w:r>
          </w:p>
        </w:tc>
        <w:tc>
          <w:tcPr>
            <w:tcW w:w="3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5400" w:type="dxa"/>
            <w:vAlign w:val="bottom"/>
          </w:tcPr>
          <w:p>
            <w:pPr>
              <w:ind w:left="300"/>
              <w:spacing w:after="0"/>
              <w:rPr>
                <w:sz w:val="20"/>
                <w:szCs w:val="20"/>
                <w:color w:val="auto"/>
              </w:rPr>
            </w:pPr>
            <w:r>
              <w:rPr>
                <w:rFonts w:ascii="Arial" w:cs="Arial" w:eastAsia="Arial" w:hAnsi="Arial"/>
                <w:sz w:val="15"/>
                <w:szCs w:val="15"/>
                <w:color w:val="auto"/>
              </w:rPr>
              <w:t>Net assets related to the deconsolidation of funds</w:t>
            </w:r>
          </w:p>
        </w:tc>
        <w:tc>
          <w:tcPr>
            <w:tcW w:w="380" w:type="dxa"/>
            <w:vAlign w:val="bottom"/>
          </w:tcPr>
          <w:p>
            <w:pPr>
              <w:spacing w:after="0"/>
              <w:rPr>
                <w:sz w:val="16"/>
                <w:szCs w:val="16"/>
                <w:color w:val="auto"/>
              </w:rPr>
            </w:pPr>
          </w:p>
        </w:tc>
        <w:tc>
          <w:tcPr>
            <w:tcW w:w="1360" w:type="dxa"/>
            <w:vAlign w:val="bottom"/>
            <w:gridSpan w:val="2"/>
          </w:tcPr>
          <w:p>
            <w:pPr>
              <w:jc w:val="right"/>
              <w:ind w:right="127"/>
              <w:spacing w:after="0"/>
              <w:rPr>
                <w:sz w:val="20"/>
                <w:szCs w:val="20"/>
                <w:color w:val="auto"/>
              </w:rPr>
            </w:pPr>
            <w:r>
              <w:rPr>
                <w:rFonts w:ascii="Arial" w:cs="Arial" w:eastAsia="Arial" w:hAnsi="Arial"/>
                <w:sz w:val="15"/>
                <w:szCs w:val="15"/>
                <w:color w:val="auto"/>
              </w:rPr>
              <w:t>$</w:t>
            </w:r>
          </w:p>
        </w:tc>
        <w:tc>
          <w:tcPr>
            <w:tcW w:w="1000" w:type="dxa"/>
            <w:vAlign w:val="bottom"/>
          </w:tcPr>
          <w:p>
            <w:pPr>
              <w:jc w:val="right"/>
              <w:spacing w:after="0"/>
              <w:rPr>
                <w:sz w:val="20"/>
                <w:szCs w:val="20"/>
                <w:color w:val="auto"/>
              </w:rPr>
            </w:pPr>
            <w:r>
              <w:rPr>
                <w:rFonts w:ascii="Arial" w:cs="Arial" w:eastAsia="Arial" w:hAnsi="Arial"/>
                <w:sz w:val="15"/>
                <w:szCs w:val="15"/>
                <w:color w:val="auto"/>
              </w:rPr>
              <w:t>—</w:t>
            </w:r>
          </w:p>
        </w:tc>
        <w:tc>
          <w:tcPr>
            <w:tcW w:w="520" w:type="dxa"/>
            <w:vAlign w:val="bottom"/>
            <w:gridSpan w:val="2"/>
          </w:tcPr>
          <w:p>
            <w:pPr>
              <w:jc w:val="right"/>
              <w:ind w:right="127"/>
              <w:spacing w:after="0"/>
              <w:rPr>
                <w:sz w:val="20"/>
                <w:szCs w:val="20"/>
                <w:color w:val="auto"/>
              </w:rPr>
            </w:pPr>
            <w:r>
              <w:rPr>
                <w:rFonts w:ascii="Arial" w:cs="Arial" w:eastAsia="Arial" w:hAnsi="Arial"/>
                <w:sz w:val="15"/>
                <w:szCs w:val="15"/>
                <w:color w:val="auto"/>
              </w:rPr>
              <w:t>$</w:t>
            </w:r>
          </w:p>
        </w:tc>
        <w:tc>
          <w:tcPr>
            <w:tcW w:w="1020" w:type="dxa"/>
            <w:vAlign w:val="bottom"/>
          </w:tcPr>
          <w:p>
            <w:pPr>
              <w:jc w:val="right"/>
              <w:ind w:right="7"/>
              <w:spacing w:after="0"/>
              <w:rPr>
                <w:sz w:val="20"/>
                <w:szCs w:val="20"/>
                <w:color w:val="auto"/>
              </w:rPr>
            </w:pPr>
            <w:r>
              <w:rPr>
                <w:rFonts w:ascii="Arial" w:cs="Arial" w:eastAsia="Arial" w:hAnsi="Arial"/>
                <w:sz w:val="15"/>
                <w:szCs w:val="15"/>
                <w:color w:val="auto"/>
              </w:rPr>
              <w:t>746,823</w:t>
            </w:r>
          </w:p>
        </w:tc>
        <w:tc>
          <w:tcPr>
            <w:tcW w:w="200" w:type="dxa"/>
            <w:vAlign w:val="bottom"/>
          </w:tcPr>
          <w:p>
            <w:pPr>
              <w:spacing w:after="0"/>
              <w:rPr>
                <w:sz w:val="16"/>
                <w:szCs w:val="16"/>
                <w:color w:val="auto"/>
              </w:rPr>
            </w:pPr>
          </w:p>
        </w:tc>
        <w:tc>
          <w:tcPr>
            <w:tcW w:w="300" w:type="dxa"/>
            <w:vAlign w:val="bottom"/>
          </w:tcPr>
          <w:p>
            <w:pPr>
              <w:jc w:val="right"/>
              <w:ind w:right="127"/>
              <w:spacing w:after="0"/>
              <w:rPr>
                <w:sz w:val="20"/>
                <w:szCs w:val="20"/>
                <w:color w:val="auto"/>
              </w:rPr>
            </w:pPr>
            <w:r>
              <w:rPr>
                <w:rFonts w:ascii="Arial" w:cs="Arial" w:eastAsia="Arial" w:hAnsi="Arial"/>
                <w:sz w:val="15"/>
                <w:szCs w:val="15"/>
                <w:color w:val="auto"/>
                <w:w w:val="95"/>
              </w:rPr>
              <w:t>$</w:t>
            </w:r>
          </w:p>
        </w:tc>
        <w:tc>
          <w:tcPr>
            <w:tcW w:w="1020" w:type="dxa"/>
            <w:vAlign w:val="bottom"/>
          </w:tcPr>
          <w:p>
            <w:pPr>
              <w:jc w:val="right"/>
              <w:ind w:right="7"/>
              <w:spacing w:after="0"/>
              <w:rPr>
                <w:sz w:val="20"/>
                <w:szCs w:val="20"/>
                <w:color w:val="auto"/>
              </w:rPr>
            </w:pPr>
            <w:r>
              <w:rPr>
                <w:rFonts w:ascii="Arial" w:cs="Arial" w:eastAsia="Arial" w:hAnsi="Arial"/>
                <w:sz w:val="15"/>
                <w:szCs w:val="15"/>
                <w:color w:val="auto"/>
              </w:rPr>
              <w:t>4,957</w:t>
            </w:r>
          </w:p>
        </w:tc>
        <w:tc>
          <w:tcPr>
            <w:tcW w:w="0" w:type="dxa"/>
            <w:vAlign w:val="bottom"/>
          </w:tcPr>
          <w:p>
            <w:pPr>
              <w:spacing w:after="0"/>
              <w:rPr>
                <w:sz w:val="1"/>
                <w:szCs w:val="1"/>
                <w:color w:val="auto"/>
              </w:rPr>
            </w:pPr>
          </w:p>
        </w:tc>
      </w:tr>
      <w:tr>
        <w:trPr>
          <w:trHeight w:val="193"/>
        </w:trPr>
        <w:tc>
          <w:tcPr>
            <w:tcW w:w="5400" w:type="dxa"/>
            <w:vAlign w:val="bottom"/>
          </w:tcPr>
          <w:p>
            <w:pPr>
              <w:ind w:left="300"/>
              <w:spacing w:after="0"/>
              <w:rPr>
                <w:sz w:val="20"/>
                <w:szCs w:val="20"/>
                <w:color w:val="auto"/>
              </w:rPr>
            </w:pPr>
            <w:r>
              <w:rPr>
                <w:rFonts w:ascii="Arial" w:cs="Arial" w:eastAsia="Arial" w:hAnsi="Arial"/>
                <w:sz w:val="15"/>
                <w:szCs w:val="15"/>
                <w:color w:val="auto"/>
              </w:rPr>
              <w:t>Net assets related to the deconsolidation due to 2024 Restructuring</w:t>
            </w:r>
          </w:p>
        </w:tc>
        <w:tc>
          <w:tcPr>
            <w:tcW w:w="3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ind w:right="7"/>
              <w:spacing w:after="0"/>
              <w:rPr>
                <w:sz w:val="20"/>
                <w:szCs w:val="20"/>
                <w:color w:val="auto"/>
              </w:rPr>
            </w:pPr>
            <w:r>
              <w:rPr>
                <w:rFonts w:ascii="Arial" w:cs="Arial" w:eastAsia="Arial" w:hAnsi="Arial"/>
                <w:sz w:val="15"/>
                <w:szCs w:val="15"/>
                <w:color w:val="auto"/>
              </w:rPr>
              <w:t>1,787,104</w:t>
            </w: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ind w:right="7"/>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438"/>
        </w:trPr>
        <w:tc>
          <w:tcPr>
            <w:tcW w:w="5400" w:type="dxa"/>
            <w:vAlign w:val="bottom"/>
          </w:tcPr>
          <w:p>
            <w:pPr>
              <w:spacing w:after="0"/>
              <w:rPr>
                <w:sz w:val="20"/>
                <w:szCs w:val="20"/>
                <w:color w:val="auto"/>
              </w:rPr>
            </w:pPr>
            <w:r>
              <w:rPr>
                <w:rFonts w:ascii="Arial" w:cs="Arial" w:eastAsia="Arial" w:hAnsi="Arial"/>
                <w:sz w:val="15"/>
                <w:szCs w:val="15"/>
                <w:color w:val="auto"/>
              </w:rPr>
              <w:t>Reconciliation of cash and cash-equivalents</w:t>
            </w:r>
          </w:p>
        </w:tc>
        <w:tc>
          <w:tcPr>
            <w:tcW w:w="3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5400" w:type="dxa"/>
            <w:vAlign w:val="bottom"/>
          </w:tcPr>
          <w:p>
            <w:pPr>
              <w:spacing w:after="0"/>
              <w:rPr>
                <w:sz w:val="20"/>
                <w:szCs w:val="20"/>
                <w:color w:val="auto"/>
              </w:rPr>
            </w:pPr>
            <w:r>
              <w:rPr>
                <w:rFonts w:ascii="Arial" w:cs="Arial" w:eastAsia="Arial" w:hAnsi="Arial"/>
                <w:sz w:val="15"/>
                <w:szCs w:val="15"/>
                <w:color w:val="auto"/>
              </w:rPr>
              <w:t>Cash and cash-equivalents – Oaktree</w:t>
            </w:r>
          </w:p>
        </w:tc>
        <w:tc>
          <w:tcPr>
            <w:tcW w:w="380" w:type="dxa"/>
            <w:vAlign w:val="bottom"/>
          </w:tcPr>
          <w:p>
            <w:pPr>
              <w:spacing w:after="0"/>
              <w:rPr>
                <w:sz w:val="16"/>
                <w:szCs w:val="16"/>
                <w:color w:val="auto"/>
              </w:rPr>
            </w:pPr>
          </w:p>
        </w:tc>
        <w:tc>
          <w:tcPr>
            <w:tcW w:w="1360" w:type="dxa"/>
            <w:vAlign w:val="bottom"/>
            <w:gridSpan w:val="2"/>
          </w:tcPr>
          <w:p>
            <w:pPr>
              <w:jc w:val="right"/>
              <w:ind w:right="127"/>
              <w:spacing w:after="0"/>
              <w:rPr>
                <w:sz w:val="20"/>
                <w:szCs w:val="20"/>
                <w:color w:val="auto"/>
              </w:rPr>
            </w:pPr>
            <w:r>
              <w:rPr>
                <w:rFonts w:ascii="Arial" w:cs="Arial" w:eastAsia="Arial" w:hAnsi="Arial"/>
                <w:sz w:val="15"/>
                <w:szCs w:val="15"/>
                <w:color w:val="auto"/>
              </w:rPr>
              <w:t>$</w:t>
            </w:r>
          </w:p>
        </w:tc>
        <w:tc>
          <w:tcPr>
            <w:tcW w:w="1000" w:type="dxa"/>
            <w:vAlign w:val="bottom"/>
          </w:tcPr>
          <w:p>
            <w:pPr>
              <w:jc w:val="right"/>
              <w:spacing w:after="0"/>
              <w:rPr>
                <w:sz w:val="20"/>
                <w:szCs w:val="20"/>
                <w:color w:val="auto"/>
              </w:rPr>
            </w:pPr>
            <w:r>
              <w:rPr>
                <w:rFonts w:ascii="Arial" w:cs="Arial" w:eastAsia="Arial" w:hAnsi="Arial"/>
                <w:sz w:val="15"/>
                <w:szCs w:val="15"/>
                <w:color w:val="auto"/>
              </w:rPr>
              <w:t>6,766</w:t>
            </w:r>
          </w:p>
        </w:tc>
        <w:tc>
          <w:tcPr>
            <w:tcW w:w="520" w:type="dxa"/>
            <w:vAlign w:val="bottom"/>
            <w:gridSpan w:val="2"/>
          </w:tcPr>
          <w:p>
            <w:pPr>
              <w:jc w:val="right"/>
              <w:ind w:right="127"/>
              <w:spacing w:after="0"/>
              <w:rPr>
                <w:sz w:val="20"/>
                <w:szCs w:val="20"/>
                <w:color w:val="auto"/>
              </w:rPr>
            </w:pPr>
            <w:r>
              <w:rPr>
                <w:rFonts w:ascii="Arial" w:cs="Arial" w:eastAsia="Arial" w:hAnsi="Arial"/>
                <w:sz w:val="15"/>
                <w:szCs w:val="15"/>
                <w:color w:val="auto"/>
              </w:rPr>
              <w:t>$</w:t>
            </w:r>
          </w:p>
        </w:tc>
        <w:tc>
          <w:tcPr>
            <w:tcW w:w="1020" w:type="dxa"/>
            <w:vAlign w:val="bottom"/>
          </w:tcPr>
          <w:p>
            <w:pPr>
              <w:jc w:val="right"/>
              <w:ind w:right="7"/>
              <w:spacing w:after="0"/>
              <w:rPr>
                <w:sz w:val="20"/>
                <w:szCs w:val="20"/>
                <w:color w:val="auto"/>
              </w:rPr>
            </w:pPr>
            <w:r>
              <w:rPr>
                <w:rFonts w:ascii="Arial" w:cs="Arial" w:eastAsia="Arial" w:hAnsi="Arial"/>
                <w:sz w:val="15"/>
                <w:szCs w:val="15"/>
                <w:color w:val="auto"/>
              </w:rPr>
              <w:t>22,303</w:t>
            </w:r>
          </w:p>
        </w:tc>
        <w:tc>
          <w:tcPr>
            <w:tcW w:w="200" w:type="dxa"/>
            <w:vAlign w:val="bottom"/>
          </w:tcPr>
          <w:p>
            <w:pPr>
              <w:spacing w:after="0"/>
              <w:rPr>
                <w:sz w:val="16"/>
                <w:szCs w:val="16"/>
                <w:color w:val="auto"/>
              </w:rPr>
            </w:pPr>
          </w:p>
        </w:tc>
        <w:tc>
          <w:tcPr>
            <w:tcW w:w="300" w:type="dxa"/>
            <w:vAlign w:val="bottom"/>
          </w:tcPr>
          <w:p>
            <w:pPr>
              <w:jc w:val="right"/>
              <w:ind w:right="127"/>
              <w:spacing w:after="0"/>
              <w:rPr>
                <w:sz w:val="20"/>
                <w:szCs w:val="20"/>
                <w:color w:val="auto"/>
              </w:rPr>
            </w:pPr>
            <w:r>
              <w:rPr>
                <w:rFonts w:ascii="Arial" w:cs="Arial" w:eastAsia="Arial" w:hAnsi="Arial"/>
                <w:sz w:val="15"/>
                <w:szCs w:val="15"/>
                <w:color w:val="auto"/>
                <w:w w:val="95"/>
              </w:rPr>
              <w:t>$</w:t>
            </w:r>
          </w:p>
        </w:tc>
        <w:tc>
          <w:tcPr>
            <w:tcW w:w="1020" w:type="dxa"/>
            <w:vAlign w:val="bottom"/>
          </w:tcPr>
          <w:p>
            <w:pPr>
              <w:jc w:val="right"/>
              <w:ind w:right="7"/>
              <w:spacing w:after="0"/>
              <w:rPr>
                <w:sz w:val="20"/>
                <w:szCs w:val="20"/>
                <w:color w:val="auto"/>
              </w:rPr>
            </w:pPr>
            <w:r>
              <w:rPr>
                <w:rFonts w:ascii="Arial" w:cs="Arial" w:eastAsia="Arial" w:hAnsi="Arial"/>
                <w:sz w:val="15"/>
                <w:szCs w:val="15"/>
                <w:color w:val="auto"/>
              </w:rPr>
              <w:t>28,507</w:t>
            </w:r>
          </w:p>
        </w:tc>
        <w:tc>
          <w:tcPr>
            <w:tcW w:w="0" w:type="dxa"/>
            <w:vAlign w:val="bottom"/>
          </w:tcPr>
          <w:p>
            <w:pPr>
              <w:spacing w:after="0"/>
              <w:rPr>
                <w:sz w:val="1"/>
                <w:szCs w:val="1"/>
                <w:color w:val="auto"/>
              </w:rPr>
            </w:pPr>
          </w:p>
        </w:tc>
      </w:tr>
      <w:tr>
        <w:trPr>
          <w:trHeight w:val="196"/>
        </w:trPr>
        <w:tc>
          <w:tcPr>
            <w:tcW w:w="5400" w:type="dxa"/>
            <w:vAlign w:val="bottom"/>
          </w:tcPr>
          <w:p>
            <w:pPr>
              <w:spacing w:after="0"/>
              <w:rPr>
                <w:sz w:val="20"/>
                <w:szCs w:val="20"/>
                <w:color w:val="auto"/>
              </w:rPr>
            </w:pPr>
            <w:r>
              <w:rPr>
                <w:rFonts w:ascii="Arial" w:cs="Arial" w:eastAsia="Arial" w:hAnsi="Arial"/>
                <w:sz w:val="15"/>
                <w:szCs w:val="15"/>
                <w:color w:val="auto"/>
              </w:rPr>
              <w:t>Cash and cash-equivalents – consolidated funds</w:t>
            </w:r>
          </w:p>
        </w:tc>
        <w:tc>
          <w:tcPr>
            <w:tcW w:w="3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183,974</w:t>
            </w:r>
          </w:p>
        </w:tc>
        <w:tc>
          <w:tcPr>
            <w:tcW w:w="2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rPr>
              <w:t>427,548</w:t>
            </w:r>
          </w:p>
        </w:tc>
        <w:tc>
          <w:tcPr>
            <w:tcW w:w="2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rPr>
              <w:t>308,172</w:t>
            </w:r>
          </w:p>
        </w:tc>
        <w:tc>
          <w:tcPr>
            <w:tcW w:w="0" w:type="dxa"/>
            <w:vAlign w:val="bottom"/>
          </w:tcPr>
          <w:p>
            <w:pPr>
              <w:spacing w:after="0"/>
              <w:rPr>
                <w:sz w:val="1"/>
                <w:szCs w:val="1"/>
                <w:color w:val="auto"/>
              </w:rPr>
            </w:pPr>
          </w:p>
        </w:tc>
      </w:tr>
      <w:tr>
        <w:trPr>
          <w:trHeight w:val="189"/>
        </w:trPr>
        <w:tc>
          <w:tcPr>
            <w:tcW w:w="5400" w:type="dxa"/>
            <w:vAlign w:val="bottom"/>
          </w:tcPr>
          <w:p>
            <w:pPr>
              <w:ind w:left="300"/>
              <w:spacing w:after="0"/>
              <w:rPr>
                <w:sz w:val="20"/>
                <w:szCs w:val="20"/>
                <w:color w:val="auto"/>
              </w:rPr>
            </w:pPr>
            <w:r>
              <w:rPr>
                <w:rFonts w:ascii="Arial" w:cs="Arial" w:eastAsia="Arial" w:hAnsi="Arial"/>
                <w:sz w:val="15"/>
                <w:szCs w:val="15"/>
                <w:color w:val="auto"/>
              </w:rPr>
              <w:t>Total cash and cash-equivalents</w:t>
            </w:r>
          </w:p>
        </w:tc>
        <w:tc>
          <w:tcPr>
            <w:tcW w:w="3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00" w:type="dxa"/>
            <w:vAlign w:val="bottom"/>
            <w:tcBorders>
              <w:bottom w:val="single" w:sz="8" w:color="auto"/>
            </w:tcBorders>
          </w:tcPr>
          <w:p>
            <w:pPr>
              <w:jc w:val="right"/>
              <w:ind w:right="127"/>
              <w:spacing w:after="0"/>
              <w:rPr>
                <w:sz w:val="20"/>
                <w:szCs w:val="20"/>
                <w:color w:val="auto"/>
              </w:rPr>
            </w:pPr>
            <w:r>
              <w:rPr>
                <w:rFonts w:ascii="Arial" w:cs="Arial" w:eastAsia="Arial" w:hAnsi="Arial"/>
                <w:sz w:val="15"/>
                <w:szCs w:val="15"/>
                <w:color w:val="auto"/>
                <w:w w:val="95"/>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190,740</w:t>
            </w:r>
          </w:p>
        </w:tc>
        <w:tc>
          <w:tcPr>
            <w:tcW w:w="220" w:type="dxa"/>
            <w:vAlign w:val="bottom"/>
          </w:tcPr>
          <w:p>
            <w:pPr>
              <w:spacing w:after="0"/>
              <w:rPr>
                <w:sz w:val="16"/>
                <w:szCs w:val="16"/>
                <w:color w:val="auto"/>
              </w:rPr>
            </w:pPr>
          </w:p>
        </w:tc>
        <w:tc>
          <w:tcPr>
            <w:tcW w:w="300" w:type="dxa"/>
            <w:vAlign w:val="bottom"/>
            <w:tcBorders>
              <w:bottom w:val="single" w:sz="8" w:color="auto"/>
            </w:tcBorders>
          </w:tcPr>
          <w:p>
            <w:pPr>
              <w:jc w:val="right"/>
              <w:ind w:right="127"/>
              <w:spacing w:after="0"/>
              <w:rPr>
                <w:sz w:val="20"/>
                <w:szCs w:val="20"/>
                <w:color w:val="auto"/>
              </w:rPr>
            </w:pPr>
            <w:r>
              <w:rPr>
                <w:rFonts w:ascii="Arial" w:cs="Arial" w:eastAsia="Arial" w:hAnsi="Arial"/>
                <w:sz w:val="15"/>
                <w:szCs w:val="15"/>
                <w:color w:val="auto"/>
                <w:w w:val="95"/>
              </w:rPr>
              <w:t>$</w:t>
            </w:r>
          </w:p>
        </w:tc>
        <w:tc>
          <w:tcPr>
            <w:tcW w:w="102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rPr>
              <w:t>449,851</w:t>
            </w:r>
          </w:p>
        </w:tc>
        <w:tc>
          <w:tcPr>
            <w:tcW w:w="200" w:type="dxa"/>
            <w:vAlign w:val="bottom"/>
          </w:tcPr>
          <w:p>
            <w:pPr>
              <w:spacing w:after="0"/>
              <w:rPr>
                <w:sz w:val="16"/>
                <w:szCs w:val="16"/>
                <w:color w:val="auto"/>
              </w:rPr>
            </w:pPr>
          </w:p>
        </w:tc>
        <w:tc>
          <w:tcPr>
            <w:tcW w:w="300" w:type="dxa"/>
            <w:vAlign w:val="bottom"/>
            <w:tcBorders>
              <w:bottom w:val="single" w:sz="8" w:color="auto"/>
            </w:tcBorders>
          </w:tcPr>
          <w:p>
            <w:pPr>
              <w:jc w:val="right"/>
              <w:ind w:right="127"/>
              <w:spacing w:after="0"/>
              <w:rPr>
                <w:sz w:val="20"/>
                <w:szCs w:val="20"/>
                <w:color w:val="auto"/>
              </w:rPr>
            </w:pPr>
            <w:r>
              <w:rPr>
                <w:rFonts w:ascii="Arial" w:cs="Arial" w:eastAsia="Arial" w:hAnsi="Arial"/>
                <w:sz w:val="15"/>
                <w:szCs w:val="15"/>
                <w:color w:val="auto"/>
                <w:w w:val="95"/>
              </w:rPr>
              <w:t>$</w:t>
            </w:r>
          </w:p>
        </w:tc>
        <w:tc>
          <w:tcPr>
            <w:tcW w:w="102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rPr>
              <w:t>336,679</w:t>
            </w: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40"/>
        <w:spacing w:after="0"/>
        <w:rPr>
          <w:sz w:val="20"/>
          <w:szCs w:val="20"/>
          <w:color w:val="auto"/>
        </w:rPr>
      </w:pPr>
      <w:r>
        <w:rPr>
          <w:rFonts w:ascii="Arial" w:cs="Arial" w:eastAsia="Arial" w:hAnsi="Arial"/>
          <w:sz w:val="17"/>
          <w:szCs w:val="17"/>
          <w:i w:val="1"/>
          <w:iCs w:val="1"/>
          <w:color w:val="auto"/>
        </w:rPr>
        <w:t>Please see accompanying notes to consolidated financial statements.</w:t>
      </w:r>
    </w:p>
    <w:p>
      <w:pPr>
        <w:spacing w:after="0" w:line="200" w:lineRule="exact"/>
        <w:rPr>
          <w:sz w:val="20"/>
          <w:szCs w:val="20"/>
          <w:color w:val="auto"/>
        </w:rPr>
      </w:pPr>
    </w:p>
    <w:p>
      <w:pPr>
        <w:spacing w:after="0" w:line="337"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-35560</wp:posOffset>
            </wp:positionH>
            <wp:positionV relativeFrom="paragraph">
              <wp:posOffset>70485</wp:posOffset>
            </wp:positionV>
            <wp:extent cx="7164070" cy="419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60" w:top="856" w:right="339" w:bottom="1440" w:gutter="0" w:footer="0" w:header="0"/>
        </w:sectPr>
      </w:pPr>
    </w:p>
    <w:bookmarkStart w:id="69" w:name="page70"/>
    <w:bookmarkEnd w:id="69"/>
    <w:p>
      <w:pPr>
        <w:jc w:val="center"/>
        <w:ind w:right="40"/>
        <w:spacing w:after="0"/>
        <w:rPr>
          <w:sz w:val="20"/>
          <w:szCs w:val="20"/>
          <w:color w:val="auto"/>
        </w:rPr>
      </w:pPr>
      <w:r>
        <w:rPr>
          <w:rFonts w:ascii="Arial" w:cs="Arial" w:eastAsia="Arial" w:hAnsi="Arial"/>
          <w:sz w:val="17"/>
          <w:szCs w:val="17"/>
          <w:b w:val="1"/>
          <w:bCs w:val="1"/>
          <w:color w:val="auto"/>
        </w:rPr>
        <w:t>Brookfield Oaktree Holdings, LLC</w:t>
      </w:r>
    </w:p>
    <w:p>
      <w:pPr>
        <w:spacing w:after="0" w:line="16"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Consolidated Statements of Changes in Unitholders’ Capital</w:t>
      </w:r>
    </w:p>
    <w:p>
      <w:pPr>
        <w:spacing w:after="0" w:line="11"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(in thousands)</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30"/>
        </w:trPr>
        <w:tc>
          <w:tcPr>
            <w:tcW w:w="3620" w:type="dxa"/>
            <w:vAlign w:val="bottom"/>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200" w:type="dxa"/>
            <w:vAlign w:val="bottom"/>
            <w:tcBorders>
              <w:bottom w:val="single" w:sz="8" w:color="auto"/>
            </w:tcBorders>
            <w:gridSpan w:val="8"/>
          </w:tcPr>
          <w:p>
            <w:pPr>
              <w:ind w:left="320"/>
              <w:spacing w:after="0"/>
              <w:rPr>
                <w:sz w:val="20"/>
                <w:szCs w:val="20"/>
                <w:color w:val="auto"/>
              </w:rPr>
            </w:pPr>
            <w:r>
              <w:rPr>
                <w:rFonts w:ascii="Arial" w:cs="Arial" w:eastAsia="Arial" w:hAnsi="Arial"/>
                <w:sz w:val="9"/>
                <w:szCs w:val="9"/>
                <w:b w:val="1"/>
                <w:bCs w:val="1"/>
                <w:color w:val="auto"/>
              </w:rPr>
              <w:t>Brookfield Oaktree Holdings, LLC</w:t>
            </w: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vMerge w:val="restart"/>
          </w:tcPr>
          <w:p>
            <w:pPr>
              <w:jc w:val="center"/>
              <w:ind w:right="200"/>
              <w:spacing w:after="0"/>
              <w:rPr>
                <w:sz w:val="20"/>
                <w:szCs w:val="20"/>
                <w:color w:val="auto"/>
              </w:rPr>
            </w:pPr>
            <w:r>
              <w:rPr>
                <w:rFonts w:ascii="Arial" w:cs="Arial" w:eastAsia="Arial" w:hAnsi="Arial"/>
                <w:sz w:val="9"/>
                <w:szCs w:val="9"/>
                <w:b w:val="1"/>
                <w:bCs w:val="1"/>
                <w:color w:val="auto"/>
              </w:rPr>
              <w:t>Non-</w:t>
            </w: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1"/>
        </w:trPr>
        <w:tc>
          <w:tcPr>
            <w:tcW w:w="36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700" w:type="dxa"/>
            <w:vAlign w:val="bottom"/>
            <w:gridSpan w:val="2"/>
            <w:vMerge w:val="continue"/>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94"/>
        </w:trPr>
        <w:tc>
          <w:tcPr>
            <w:tcW w:w="3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gridSpan w:val="2"/>
          </w:tcPr>
          <w:p>
            <w:pPr>
              <w:jc w:val="center"/>
              <w:ind w:right="200"/>
              <w:spacing w:after="0" w:line="94" w:lineRule="exact"/>
              <w:rPr>
                <w:sz w:val="20"/>
                <w:szCs w:val="20"/>
                <w:color w:val="auto"/>
              </w:rPr>
            </w:pPr>
            <w:r>
              <w:rPr>
                <w:rFonts w:ascii="Arial" w:cs="Arial" w:eastAsia="Arial" w:hAnsi="Arial"/>
                <w:sz w:val="9"/>
                <w:szCs w:val="9"/>
                <w:b w:val="1"/>
                <w:bCs w:val="1"/>
                <w:color w:val="auto"/>
              </w:rPr>
              <w:t>Retained</w:t>
            </w:r>
          </w:p>
        </w:tc>
        <w:tc>
          <w:tcPr>
            <w:tcW w:w="80" w:type="dxa"/>
            <w:vAlign w:val="bottom"/>
          </w:tcPr>
          <w:p>
            <w:pPr>
              <w:spacing w:after="0"/>
              <w:rPr>
                <w:sz w:val="8"/>
                <w:szCs w:val="8"/>
                <w:color w:val="auto"/>
              </w:rPr>
            </w:pPr>
          </w:p>
        </w:tc>
        <w:tc>
          <w:tcPr>
            <w:tcW w:w="800" w:type="dxa"/>
            <w:vAlign w:val="bottom"/>
            <w:gridSpan w:val="2"/>
          </w:tcPr>
          <w:p>
            <w:pPr>
              <w:jc w:val="center"/>
              <w:ind w:right="200"/>
              <w:spacing w:after="0" w:line="94" w:lineRule="exact"/>
              <w:rPr>
                <w:sz w:val="20"/>
                <w:szCs w:val="20"/>
                <w:color w:val="auto"/>
              </w:rPr>
            </w:pPr>
            <w:r>
              <w:rPr>
                <w:rFonts w:ascii="Arial" w:cs="Arial" w:eastAsia="Arial" w:hAnsi="Arial"/>
                <w:sz w:val="9"/>
                <w:szCs w:val="9"/>
                <w:b w:val="1"/>
                <w:bCs w:val="1"/>
                <w:color w:val="auto"/>
              </w:rPr>
              <w:t>Accumulated</w:t>
            </w:r>
          </w:p>
        </w:tc>
        <w:tc>
          <w:tcPr>
            <w:tcW w:w="60" w:type="dxa"/>
            <w:vAlign w:val="bottom"/>
          </w:tcPr>
          <w:p>
            <w:pPr>
              <w:spacing w:after="0"/>
              <w:rPr>
                <w:sz w:val="8"/>
                <w:szCs w:val="8"/>
                <w:color w:val="auto"/>
              </w:rPr>
            </w:pPr>
          </w:p>
        </w:tc>
        <w:tc>
          <w:tcPr>
            <w:tcW w:w="700" w:type="dxa"/>
            <w:vAlign w:val="bottom"/>
            <w:gridSpan w:val="2"/>
          </w:tcPr>
          <w:p>
            <w:pPr>
              <w:jc w:val="center"/>
              <w:ind w:right="200"/>
              <w:spacing w:after="0" w:line="94" w:lineRule="exact"/>
              <w:rPr>
                <w:sz w:val="20"/>
                <w:szCs w:val="20"/>
                <w:color w:val="auto"/>
              </w:rPr>
            </w:pPr>
            <w:r>
              <w:rPr>
                <w:rFonts w:ascii="Arial" w:cs="Arial" w:eastAsia="Arial" w:hAnsi="Arial"/>
                <w:sz w:val="9"/>
                <w:szCs w:val="9"/>
                <w:b w:val="1"/>
                <w:bCs w:val="1"/>
                <w:color w:val="auto"/>
              </w:rPr>
              <w:t>controlling</w:t>
            </w:r>
          </w:p>
        </w:tc>
        <w:tc>
          <w:tcPr>
            <w:tcW w:w="6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3"/>
        </w:trPr>
        <w:tc>
          <w:tcPr>
            <w:tcW w:w="3620" w:type="dxa"/>
            <w:vAlign w:val="bottom"/>
          </w:tcPr>
          <w:p>
            <w:pPr>
              <w:spacing w:after="0"/>
              <w:rPr>
                <w:sz w:val="8"/>
                <w:szCs w:val="8"/>
                <w:color w:val="auto"/>
              </w:rPr>
            </w:pPr>
          </w:p>
        </w:tc>
        <w:tc>
          <w:tcPr>
            <w:tcW w:w="740" w:type="dxa"/>
            <w:vAlign w:val="bottom"/>
            <w:gridSpan w:val="2"/>
            <w:vMerge w:val="restart"/>
          </w:tcPr>
          <w:p>
            <w:pPr>
              <w:jc w:val="center"/>
              <w:ind w:right="140"/>
              <w:spacing w:after="0"/>
              <w:rPr>
                <w:sz w:val="20"/>
                <w:szCs w:val="20"/>
                <w:color w:val="auto"/>
              </w:rPr>
            </w:pPr>
            <w:r>
              <w:rPr>
                <w:rFonts w:ascii="Arial" w:cs="Arial" w:eastAsia="Arial" w:hAnsi="Arial"/>
                <w:sz w:val="9"/>
                <w:szCs w:val="9"/>
                <w:b w:val="1"/>
                <w:bCs w:val="1"/>
                <w:color w:val="auto"/>
              </w:rPr>
              <w:t>Class A</w:t>
            </w:r>
          </w:p>
        </w:tc>
        <w:tc>
          <w:tcPr>
            <w:tcW w:w="740" w:type="dxa"/>
            <w:vAlign w:val="bottom"/>
            <w:gridSpan w:val="2"/>
            <w:vMerge w:val="restart"/>
          </w:tcPr>
          <w:p>
            <w:pPr>
              <w:jc w:val="center"/>
              <w:ind w:right="120"/>
              <w:spacing w:after="0"/>
              <w:rPr>
                <w:sz w:val="20"/>
                <w:szCs w:val="20"/>
                <w:color w:val="auto"/>
              </w:rPr>
            </w:pPr>
            <w:r>
              <w:rPr>
                <w:rFonts w:ascii="Arial" w:cs="Arial" w:eastAsia="Arial" w:hAnsi="Arial"/>
                <w:sz w:val="9"/>
                <w:szCs w:val="9"/>
                <w:b w:val="1"/>
                <w:bCs w:val="1"/>
                <w:color w:val="auto"/>
              </w:rPr>
              <w:t>Class B</w:t>
            </w:r>
          </w:p>
        </w:tc>
        <w:tc>
          <w:tcPr>
            <w:tcW w:w="100" w:type="dxa"/>
            <w:vAlign w:val="bottom"/>
          </w:tcPr>
          <w:p>
            <w:pPr>
              <w:spacing w:after="0"/>
              <w:rPr>
                <w:sz w:val="8"/>
                <w:szCs w:val="8"/>
                <w:color w:val="auto"/>
              </w:rPr>
            </w:pPr>
          </w:p>
        </w:tc>
        <w:tc>
          <w:tcPr>
            <w:tcW w:w="660" w:type="dxa"/>
            <w:vAlign w:val="bottom"/>
            <w:gridSpan w:val="2"/>
          </w:tcPr>
          <w:p>
            <w:pPr>
              <w:jc w:val="center"/>
              <w:ind w:right="200"/>
              <w:spacing w:after="0"/>
              <w:rPr>
                <w:sz w:val="20"/>
                <w:szCs w:val="20"/>
                <w:color w:val="auto"/>
              </w:rPr>
            </w:pPr>
            <w:r>
              <w:rPr>
                <w:rFonts w:ascii="Arial" w:cs="Arial" w:eastAsia="Arial" w:hAnsi="Arial"/>
                <w:sz w:val="9"/>
                <w:szCs w:val="9"/>
                <w:b w:val="1"/>
                <w:bCs w:val="1"/>
                <w:color w:val="auto"/>
              </w:rPr>
              <w:t>Series A</w:t>
            </w:r>
          </w:p>
        </w:tc>
        <w:tc>
          <w:tcPr>
            <w:tcW w:w="100" w:type="dxa"/>
            <w:vAlign w:val="bottom"/>
          </w:tcPr>
          <w:p>
            <w:pPr>
              <w:spacing w:after="0"/>
              <w:rPr>
                <w:sz w:val="8"/>
                <w:szCs w:val="8"/>
                <w:color w:val="auto"/>
              </w:rPr>
            </w:pPr>
          </w:p>
        </w:tc>
        <w:tc>
          <w:tcPr>
            <w:tcW w:w="660" w:type="dxa"/>
            <w:vAlign w:val="bottom"/>
            <w:gridSpan w:val="2"/>
          </w:tcPr>
          <w:p>
            <w:pPr>
              <w:jc w:val="center"/>
              <w:ind w:right="200"/>
              <w:spacing w:after="0"/>
              <w:rPr>
                <w:sz w:val="20"/>
                <w:szCs w:val="20"/>
                <w:color w:val="auto"/>
              </w:rPr>
            </w:pPr>
            <w:r>
              <w:rPr>
                <w:rFonts w:ascii="Arial" w:cs="Arial" w:eastAsia="Arial" w:hAnsi="Arial"/>
                <w:sz w:val="9"/>
                <w:szCs w:val="9"/>
                <w:b w:val="1"/>
                <w:bCs w:val="1"/>
                <w:color w:val="auto"/>
              </w:rPr>
              <w:t>Series B</w:t>
            </w:r>
          </w:p>
        </w:tc>
        <w:tc>
          <w:tcPr>
            <w:tcW w:w="100" w:type="dxa"/>
            <w:vAlign w:val="bottom"/>
          </w:tcPr>
          <w:p>
            <w:pPr>
              <w:spacing w:after="0"/>
              <w:rPr>
                <w:sz w:val="8"/>
                <w:szCs w:val="8"/>
                <w:color w:val="auto"/>
              </w:rPr>
            </w:pPr>
          </w:p>
        </w:tc>
        <w:tc>
          <w:tcPr>
            <w:tcW w:w="680" w:type="dxa"/>
            <w:vAlign w:val="bottom"/>
            <w:gridSpan w:val="2"/>
            <w:vMerge w:val="restart"/>
          </w:tcPr>
          <w:p>
            <w:pPr>
              <w:ind w:left="80"/>
              <w:spacing w:after="0"/>
              <w:rPr>
                <w:sz w:val="20"/>
                <w:szCs w:val="20"/>
                <w:color w:val="auto"/>
              </w:rPr>
            </w:pPr>
            <w:r>
              <w:rPr>
                <w:rFonts w:ascii="Arial" w:cs="Arial" w:eastAsia="Arial" w:hAnsi="Arial"/>
                <w:sz w:val="9"/>
                <w:szCs w:val="9"/>
                <w:b w:val="1"/>
                <w:bCs w:val="1"/>
                <w:color w:val="auto"/>
              </w:rPr>
              <w:t>Paid-in</w:t>
            </w:r>
          </w:p>
        </w:tc>
        <w:tc>
          <w:tcPr>
            <w:tcW w:w="100" w:type="dxa"/>
            <w:vAlign w:val="bottom"/>
          </w:tcPr>
          <w:p>
            <w:pPr>
              <w:spacing w:after="0"/>
              <w:rPr>
                <w:sz w:val="8"/>
                <w:szCs w:val="8"/>
                <w:color w:val="auto"/>
              </w:rPr>
            </w:pPr>
          </w:p>
        </w:tc>
        <w:tc>
          <w:tcPr>
            <w:tcW w:w="680" w:type="dxa"/>
            <w:vAlign w:val="bottom"/>
            <w:gridSpan w:val="2"/>
          </w:tcPr>
          <w:p>
            <w:pPr>
              <w:jc w:val="center"/>
              <w:ind w:right="220"/>
              <w:spacing w:after="0"/>
              <w:rPr>
                <w:sz w:val="20"/>
                <w:szCs w:val="20"/>
                <w:color w:val="auto"/>
              </w:rPr>
            </w:pPr>
            <w:r>
              <w:rPr>
                <w:rFonts w:ascii="Arial" w:cs="Arial" w:eastAsia="Arial" w:hAnsi="Arial"/>
                <w:sz w:val="9"/>
                <w:szCs w:val="9"/>
                <w:b w:val="1"/>
                <w:bCs w:val="1"/>
                <w:color w:val="auto"/>
              </w:rPr>
              <w:t>Earnings</w:t>
            </w:r>
          </w:p>
        </w:tc>
        <w:tc>
          <w:tcPr>
            <w:tcW w:w="80" w:type="dxa"/>
            <w:vAlign w:val="bottom"/>
          </w:tcPr>
          <w:p>
            <w:pPr>
              <w:spacing w:after="0"/>
              <w:rPr>
                <w:sz w:val="8"/>
                <w:szCs w:val="8"/>
                <w:color w:val="auto"/>
              </w:rPr>
            </w:pPr>
          </w:p>
        </w:tc>
        <w:tc>
          <w:tcPr>
            <w:tcW w:w="800" w:type="dxa"/>
            <w:vAlign w:val="bottom"/>
            <w:gridSpan w:val="2"/>
          </w:tcPr>
          <w:p>
            <w:pPr>
              <w:jc w:val="center"/>
              <w:ind w:right="200"/>
              <w:spacing w:after="0"/>
              <w:rPr>
                <w:sz w:val="20"/>
                <w:szCs w:val="20"/>
                <w:color w:val="auto"/>
              </w:rPr>
            </w:pPr>
            <w:r>
              <w:rPr>
                <w:rFonts w:ascii="Arial" w:cs="Arial" w:eastAsia="Arial" w:hAnsi="Arial"/>
                <w:sz w:val="9"/>
                <w:szCs w:val="9"/>
                <w:b w:val="1"/>
                <w:bCs w:val="1"/>
                <w:color w:val="auto"/>
                <w:w w:val="99"/>
              </w:rPr>
              <w:t>Other</w:t>
            </w:r>
          </w:p>
        </w:tc>
        <w:tc>
          <w:tcPr>
            <w:tcW w:w="760" w:type="dxa"/>
            <w:vAlign w:val="bottom"/>
            <w:gridSpan w:val="3"/>
          </w:tcPr>
          <w:p>
            <w:pPr>
              <w:jc w:val="center"/>
              <w:ind w:right="140"/>
              <w:spacing w:after="0"/>
              <w:rPr>
                <w:sz w:val="20"/>
                <w:szCs w:val="20"/>
                <w:color w:val="auto"/>
              </w:rPr>
            </w:pPr>
            <w:r>
              <w:rPr>
                <w:rFonts w:ascii="Arial" w:cs="Arial" w:eastAsia="Arial" w:hAnsi="Arial"/>
                <w:sz w:val="9"/>
                <w:szCs w:val="9"/>
                <w:b w:val="1"/>
                <w:bCs w:val="1"/>
                <w:color w:val="auto"/>
              </w:rPr>
              <w:t>Interests in</w:t>
            </w:r>
          </w:p>
        </w:tc>
        <w:tc>
          <w:tcPr>
            <w:tcW w:w="660" w:type="dxa"/>
            <w:vAlign w:val="bottom"/>
          </w:tcPr>
          <w:p>
            <w:pPr>
              <w:jc w:val="center"/>
              <w:spacing w:after="0"/>
              <w:rPr>
                <w:sz w:val="20"/>
                <w:szCs w:val="20"/>
                <w:color w:val="auto"/>
              </w:rPr>
            </w:pPr>
            <w:r>
              <w:rPr>
                <w:rFonts w:ascii="Arial" w:cs="Arial" w:eastAsia="Arial" w:hAnsi="Arial"/>
                <w:sz w:val="9"/>
                <w:szCs w:val="9"/>
                <w:b w:val="1"/>
                <w:bCs w:val="1"/>
                <w:color w:val="auto"/>
              </w:rPr>
              <w:t>Total</w:t>
            </w:r>
          </w:p>
        </w:tc>
        <w:tc>
          <w:tcPr>
            <w:tcW w:w="0" w:type="dxa"/>
            <w:vAlign w:val="bottom"/>
          </w:tcPr>
          <w:p>
            <w:pPr>
              <w:spacing w:after="0"/>
              <w:rPr>
                <w:sz w:val="1"/>
                <w:szCs w:val="1"/>
                <w:color w:val="auto"/>
              </w:rPr>
            </w:pPr>
          </w:p>
        </w:tc>
      </w:tr>
      <w:tr>
        <w:trPr>
          <w:trHeight w:val="90"/>
        </w:trPr>
        <w:tc>
          <w:tcPr>
            <w:tcW w:w="362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660" w:type="dxa"/>
            <w:vAlign w:val="bottom"/>
            <w:gridSpan w:val="2"/>
          </w:tcPr>
          <w:p>
            <w:pPr>
              <w:jc w:val="center"/>
              <w:ind w:right="200"/>
              <w:spacing w:after="0" w:line="91" w:lineRule="exact"/>
              <w:rPr>
                <w:sz w:val="20"/>
                <w:szCs w:val="20"/>
                <w:color w:val="auto"/>
              </w:rPr>
            </w:pPr>
            <w:r>
              <w:rPr>
                <w:rFonts w:ascii="Arial" w:cs="Arial" w:eastAsia="Arial" w:hAnsi="Arial"/>
                <w:sz w:val="9"/>
                <w:szCs w:val="9"/>
                <w:b w:val="1"/>
                <w:bCs w:val="1"/>
                <w:color w:val="auto"/>
              </w:rPr>
              <w:t>Preferred</w:t>
            </w:r>
          </w:p>
        </w:tc>
        <w:tc>
          <w:tcPr>
            <w:tcW w:w="100" w:type="dxa"/>
            <w:vAlign w:val="bottom"/>
          </w:tcPr>
          <w:p>
            <w:pPr>
              <w:spacing w:after="0"/>
              <w:rPr>
                <w:sz w:val="7"/>
                <w:szCs w:val="7"/>
                <w:color w:val="auto"/>
              </w:rPr>
            </w:pPr>
          </w:p>
        </w:tc>
        <w:tc>
          <w:tcPr>
            <w:tcW w:w="660" w:type="dxa"/>
            <w:vAlign w:val="bottom"/>
            <w:gridSpan w:val="2"/>
          </w:tcPr>
          <w:p>
            <w:pPr>
              <w:jc w:val="center"/>
              <w:ind w:right="200"/>
              <w:spacing w:after="0" w:line="91" w:lineRule="exact"/>
              <w:rPr>
                <w:sz w:val="20"/>
                <w:szCs w:val="20"/>
                <w:color w:val="auto"/>
              </w:rPr>
            </w:pPr>
            <w:r>
              <w:rPr>
                <w:rFonts w:ascii="Arial" w:cs="Arial" w:eastAsia="Arial" w:hAnsi="Arial"/>
                <w:sz w:val="9"/>
                <w:szCs w:val="9"/>
                <w:b w:val="1"/>
                <w:bCs w:val="1"/>
                <w:color w:val="auto"/>
              </w:rPr>
              <w:t>Preferred</w:t>
            </w:r>
          </w:p>
        </w:tc>
        <w:tc>
          <w:tcPr>
            <w:tcW w:w="10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780" w:type="dxa"/>
            <w:vAlign w:val="bottom"/>
            <w:gridSpan w:val="3"/>
          </w:tcPr>
          <w:p>
            <w:pPr>
              <w:jc w:val="center"/>
              <w:ind w:right="120"/>
              <w:spacing w:after="0" w:line="91" w:lineRule="exact"/>
              <w:rPr>
                <w:sz w:val="20"/>
                <w:szCs w:val="20"/>
                <w:color w:val="auto"/>
              </w:rPr>
            </w:pPr>
            <w:r>
              <w:rPr>
                <w:rFonts w:ascii="Arial" w:cs="Arial" w:eastAsia="Arial" w:hAnsi="Arial"/>
                <w:sz w:val="9"/>
                <w:szCs w:val="9"/>
                <w:b w:val="1"/>
                <w:bCs w:val="1"/>
                <w:color w:val="auto"/>
              </w:rPr>
              <w:t>(Accumulated</w:t>
            </w:r>
          </w:p>
        </w:tc>
        <w:tc>
          <w:tcPr>
            <w:tcW w:w="880" w:type="dxa"/>
            <w:vAlign w:val="bottom"/>
            <w:gridSpan w:val="3"/>
          </w:tcPr>
          <w:p>
            <w:pPr>
              <w:jc w:val="center"/>
              <w:ind w:right="120"/>
              <w:spacing w:after="0" w:line="91" w:lineRule="exact"/>
              <w:rPr>
                <w:sz w:val="20"/>
                <w:szCs w:val="20"/>
                <w:color w:val="auto"/>
              </w:rPr>
            </w:pPr>
            <w:r>
              <w:rPr>
                <w:rFonts w:ascii="Arial" w:cs="Arial" w:eastAsia="Arial" w:hAnsi="Arial"/>
                <w:sz w:val="9"/>
                <w:szCs w:val="9"/>
                <w:b w:val="1"/>
                <w:bCs w:val="1"/>
                <w:color w:val="auto"/>
              </w:rPr>
              <w:t>Comprehensive</w:t>
            </w:r>
          </w:p>
        </w:tc>
        <w:tc>
          <w:tcPr>
            <w:tcW w:w="760" w:type="dxa"/>
            <w:vAlign w:val="bottom"/>
            <w:gridSpan w:val="3"/>
          </w:tcPr>
          <w:p>
            <w:pPr>
              <w:jc w:val="center"/>
              <w:ind w:right="160"/>
              <w:spacing w:after="0" w:line="91" w:lineRule="exact"/>
              <w:rPr>
                <w:sz w:val="20"/>
                <w:szCs w:val="20"/>
                <w:color w:val="auto"/>
              </w:rPr>
            </w:pPr>
            <w:r>
              <w:rPr>
                <w:rFonts w:ascii="Arial" w:cs="Arial" w:eastAsia="Arial" w:hAnsi="Arial"/>
                <w:sz w:val="9"/>
                <w:szCs w:val="9"/>
                <w:b w:val="1"/>
                <w:bCs w:val="1"/>
                <w:color w:val="auto"/>
              </w:rPr>
              <w:t>Consolidated</w:t>
            </w:r>
          </w:p>
        </w:tc>
        <w:tc>
          <w:tcPr>
            <w:tcW w:w="660" w:type="dxa"/>
            <w:vAlign w:val="bottom"/>
          </w:tcPr>
          <w:p>
            <w:pPr>
              <w:jc w:val="center"/>
              <w:spacing w:after="0" w:line="91" w:lineRule="exact"/>
              <w:rPr>
                <w:sz w:val="20"/>
                <w:szCs w:val="20"/>
                <w:color w:val="auto"/>
              </w:rPr>
            </w:pPr>
            <w:r>
              <w:rPr>
                <w:rFonts w:ascii="Arial" w:cs="Arial" w:eastAsia="Arial" w:hAnsi="Arial"/>
                <w:sz w:val="9"/>
                <w:szCs w:val="9"/>
                <w:b w:val="1"/>
                <w:bCs w:val="1"/>
                <w:color w:val="auto"/>
              </w:rPr>
              <w:t>Unitholders’</w:t>
            </w:r>
          </w:p>
        </w:tc>
        <w:tc>
          <w:tcPr>
            <w:tcW w:w="0" w:type="dxa"/>
            <w:vAlign w:val="bottom"/>
          </w:tcPr>
          <w:p>
            <w:pPr>
              <w:spacing w:after="0"/>
              <w:rPr>
                <w:sz w:val="1"/>
                <w:szCs w:val="1"/>
                <w:color w:val="auto"/>
              </w:rPr>
            </w:pPr>
          </w:p>
        </w:tc>
      </w:tr>
      <w:tr>
        <w:trPr>
          <w:trHeight w:val="128"/>
        </w:trPr>
        <w:tc>
          <w:tcPr>
            <w:tcW w:w="3620" w:type="dxa"/>
            <w:vAlign w:val="bottom"/>
          </w:tcPr>
          <w:p>
            <w:pPr>
              <w:spacing w:after="0"/>
              <w:rPr>
                <w:sz w:val="11"/>
                <w:szCs w:val="11"/>
                <w:color w:val="auto"/>
              </w:rPr>
            </w:pPr>
          </w:p>
        </w:tc>
        <w:tc>
          <w:tcPr>
            <w:tcW w:w="740" w:type="dxa"/>
            <w:vAlign w:val="bottom"/>
            <w:gridSpan w:val="2"/>
          </w:tcPr>
          <w:p>
            <w:pPr>
              <w:jc w:val="center"/>
              <w:ind w:right="140"/>
              <w:spacing w:after="0"/>
              <w:rPr>
                <w:sz w:val="20"/>
                <w:szCs w:val="20"/>
                <w:color w:val="auto"/>
              </w:rPr>
            </w:pPr>
            <w:r>
              <w:rPr>
                <w:rFonts w:ascii="Arial" w:cs="Arial" w:eastAsia="Arial" w:hAnsi="Arial"/>
                <w:sz w:val="9"/>
                <w:szCs w:val="9"/>
                <w:b w:val="1"/>
                <w:bCs w:val="1"/>
                <w:color w:val="auto"/>
              </w:rPr>
              <w:t>Units</w:t>
            </w:r>
          </w:p>
        </w:tc>
        <w:tc>
          <w:tcPr>
            <w:tcW w:w="740" w:type="dxa"/>
            <w:vAlign w:val="bottom"/>
            <w:gridSpan w:val="2"/>
          </w:tcPr>
          <w:p>
            <w:pPr>
              <w:jc w:val="center"/>
              <w:ind w:right="120"/>
              <w:spacing w:after="0"/>
              <w:rPr>
                <w:sz w:val="20"/>
                <w:szCs w:val="20"/>
                <w:color w:val="auto"/>
              </w:rPr>
            </w:pPr>
            <w:r>
              <w:rPr>
                <w:rFonts w:ascii="Arial" w:cs="Arial" w:eastAsia="Arial" w:hAnsi="Arial"/>
                <w:sz w:val="9"/>
                <w:szCs w:val="9"/>
                <w:b w:val="1"/>
                <w:bCs w:val="1"/>
                <w:color w:val="auto"/>
                <w:w w:val="97"/>
              </w:rPr>
              <w:t>Units</w:t>
            </w:r>
          </w:p>
        </w:tc>
        <w:tc>
          <w:tcPr>
            <w:tcW w:w="100" w:type="dxa"/>
            <w:vAlign w:val="bottom"/>
          </w:tcPr>
          <w:p>
            <w:pPr>
              <w:spacing w:after="0"/>
              <w:rPr>
                <w:sz w:val="11"/>
                <w:szCs w:val="11"/>
                <w:color w:val="auto"/>
              </w:rPr>
            </w:pPr>
          </w:p>
        </w:tc>
        <w:tc>
          <w:tcPr>
            <w:tcW w:w="660" w:type="dxa"/>
            <w:vAlign w:val="bottom"/>
            <w:gridSpan w:val="2"/>
          </w:tcPr>
          <w:p>
            <w:pPr>
              <w:jc w:val="center"/>
              <w:ind w:right="220"/>
              <w:spacing w:after="0"/>
              <w:rPr>
                <w:sz w:val="20"/>
                <w:szCs w:val="20"/>
                <w:color w:val="auto"/>
              </w:rPr>
            </w:pPr>
            <w:r>
              <w:rPr>
                <w:rFonts w:ascii="Arial" w:cs="Arial" w:eastAsia="Arial" w:hAnsi="Arial"/>
                <w:sz w:val="9"/>
                <w:szCs w:val="9"/>
                <w:b w:val="1"/>
                <w:bCs w:val="1"/>
                <w:color w:val="auto"/>
              </w:rPr>
              <w:t>Units</w:t>
            </w:r>
          </w:p>
        </w:tc>
        <w:tc>
          <w:tcPr>
            <w:tcW w:w="100" w:type="dxa"/>
            <w:vAlign w:val="bottom"/>
          </w:tcPr>
          <w:p>
            <w:pPr>
              <w:spacing w:after="0"/>
              <w:rPr>
                <w:sz w:val="11"/>
                <w:szCs w:val="11"/>
                <w:color w:val="auto"/>
              </w:rPr>
            </w:pPr>
          </w:p>
        </w:tc>
        <w:tc>
          <w:tcPr>
            <w:tcW w:w="660" w:type="dxa"/>
            <w:vAlign w:val="bottom"/>
            <w:gridSpan w:val="2"/>
          </w:tcPr>
          <w:p>
            <w:pPr>
              <w:jc w:val="center"/>
              <w:ind w:right="220"/>
              <w:spacing w:after="0"/>
              <w:rPr>
                <w:sz w:val="20"/>
                <w:szCs w:val="20"/>
                <w:color w:val="auto"/>
              </w:rPr>
            </w:pPr>
            <w:r>
              <w:rPr>
                <w:rFonts w:ascii="Arial" w:cs="Arial" w:eastAsia="Arial" w:hAnsi="Arial"/>
                <w:sz w:val="9"/>
                <w:szCs w:val="9"/>
                <w:b w:val="1"/>
                <w:bCs w:val="1"/>
                <w:color w:val="auto"/>
              </w:rPr>
              <w:t>Units</w:t>
            </w:r>
          </w:p>
        </w:tc>
        <w:tc>
          <w:tcPr>
            <w:tcW w:w="100" w:type="dxa"/>
            <w:vAlign w:val="bottom"/>
          </w:tcPr>
          <w:p>
            <w:pPr>
              <w:spacing w:after="0"/>
              <w:rPr>
                <w:sz w:val="11"/>
                <w:szCs w:val="11"/>
                <w:color w:val="auto"/>
              </w:rPr>
            </w:pPr>
          </w:p>
        </w:tc>
        <w:tc>
          <w:tcPr>
            <w:tcW w:w="680" w:type="dxa"/>
            <w:vAlign w:val="bottom"/>
            <w:gridSpan w:val="2"/>
          </w:tcPr>
          <w:p>
            <w:pPr>
              <w:ind w:left="80"/>
              <w:spacing w:after="0"/>
              <w:rPr>
                <w:sz w:val="20"/>
                <w:szCs w:val="20"/>
                <w:color w:val="auto"/>
              </w:rPr>
            </w:pPr>
            <w:r>
              <w:rPr>
                <w:rFonts w:ascii="Arial" w:cs="Arial" w:eastAsia="Arial" w:hAnsi="Arial"/>
                <w:sz w:val="9"/>
                <w:szCs w:val="9"/>
                <w:b w:val="1"/>
                <w:bCs w:val="1"/>
                <w:color w:val="auto"/>
              </w:rPr>
              <w:t>Capital</w:t>
            </w:r>
          </w:p>
        </w:tc>
        <w:tc>
          <w:tcPr>
            <w:tcW w:w="100" w:type="dxa"/>
            <w:vAlign w:val="bottom"/>
          </w:tcPr>
          <w:p>
            <w:pPr>
              <w:spacing w:after="0"/>
              <w:rPr>
                <w:sz w:val="11"/>
                <w:szCs w:val="11"/>
                <w:color w:val="auto"/>
              </w:rPr>
            </w:pPr>
          </w:p>
        </w:tc>
        <w:tc>
          <w:tcPr>
            <w:tcW w:w="680" w:type="dxa"/>
            <w:vAlign w:val="bottom"/>
            <w:gridSpan w:val="2"/>
          </w:tcPr>
          <w:p>
            <w:pPr>
              <w:jc w:val="center"/>
              <w:ind w:right="200"/>
              <w:spacing w:after="0"/>
              <w:rPr>
                <w:sz w:val="20"/>
                <w:szCs w:val="20"/>
                <w:color w:val="auto"/>
              </w:rPr>
            </w:pPr>
            <w:r>
              <w:rPr>
                <w:rFonts w:ascii="Arial" w:cs="Arial" w:eastAsia="Arial" w:hAnsi="Arial"/>
                <w:sz w:val="9"/>
                <w:szCs w:val="9"/>
                <w:b w:val="1"/>
                <w:bCs w:val="1"/>
                <w:color w:val="auto"/>
              </w:rPr>
              <w:t>Deficit)</w:t>
            </w:r>
          </w:p>
        </w:tc>
        <w:tc>
          <w:tcPr>
            <w:tcW w:w="880" w:type="dxa"/>
            <w:vAlign w:val="bottom"/>
            <w:gridSpan w:val="3"/>
          </w:tcPr>
          <w:p>
            <w:pPr>
              <w:jc w:val="center"/>
              <w:ind w:right="120"/>
              <w:spacing w:after="0"/>
              <w:rPr>
                <w:sz w:val="20"/>
                <w:szCs w:val="20"/>
                <w:color w:val="auto"/>
              </w:rPr>
            </w:pPr>
            <w:r>
              <w:rPr>
                <w:rFonts w:ascii="Arial" w:cs="Arial" w:eastAsia="Arial" w:hAnsi="Arial"/>
                <w:sz w:val="9"/>
                <w:szCs w:val="9"/>
                <w:b w:val="1"/>
                <w:bCs w:val="1"/>
                <w:color w:val="auto"/>
              </w:rPr>
              <w:t>Income (Loss)</w:t>
            </w:r>
          </w:p>
        </w:tc>
        <w:tc>
          <w:tcPr>
            <w:tcW w:w="760" w:type="dxa"/>
            <w:vAlign w:val="bottom"/>
            <w:gridSpan w:val="3"/>
          </w:tcPr>
          <w:p>
            <w:pPr>
              <w:jc w:val="center"/>
              <w:ind w:right="160"/>
              <w:spacing w:after="0"/>
              <w:rPr>
                <w:sz w:val="20"/>
                <w:szCs w:val="20"/>
                <w:color w:val="auto"/>
              </w:rPr>
            </w:pPr>
            <w:r>
              <w:rPr>
                <w:rFonts w:ascii="Arial" w:cs="Arial" w:eastAsia="Arial" w:hAnsi="Arial"/>
                <w:sz w:val="9"/>
                <w:szCs w:val="9"/>
                <w:b w:val="1"/>
                <w:bCs w:val="1"/>
                <w:color w:val="auto"/>
              </w:rPr>
              <w:t>Subsidiaries</w:t>
            </w:r>
          </w:p>
        </w:tc>
        <w:tc>
          <w:tcPr>
            <w:tcW w:w="660" w:type="dxa"/>
            <w:vAlign w:val="bottom"/>
          </w:tcPr>
          <w:p>
            <w:pPr>
              <w:jc w:val="center"/>
              <w:spacing w:after="0"/>
              <w:rPr>
                <w:sz w:val="20"/>
                <w:szCs w:val="20"/>
                <w:color w:val="auto"/>
              </w:rPr>
            </w:pPr>
            <w:r>
              <w:rPr>
                <w:rFonts w:ascii="Arial" w:cs="Arial" w:eastAsia="Arial" w:hAnsi="Arial"/>
                <w:sz w:val="9"/>
                <w:szCs w:val="9"/>
                <w:b w:val="1"/>
                <w:bCs w:val="1"/>
                <w:color w:val="auto"/>
              </w:rPr>
              <w:t>Capital</w:t>
            </w:r>
          </w:p>
        </w:tc>
        <w:tc>
          <w:tcPr>
            <w:tcW w:w="0" w:type="dxa"/>
            <w:vAlign w:val="bottom"/>
          </w:tcPr>
          <w:p>
            <w:pPr>
              <w:spacing w:after="0"/>
              <w:rPr>
                <w:sz w:val="1"/>
                <w:szCs w:val="1"/>
                <w:color w:val="auto"/>
              </w:rPr>
            </w:pPr>
          </w:p>
        </w:tc>
      </w:tr>
      <w:tr>
        <w:trPr>
          <w:trHeight w:val="146"/>
        </w:trPr>
        <w:tc>
          <w:tcPr>
            <w:tcW w:w="3620" w:type="dxa"/>
            <w:vAlign w:val="bottom"/>
          </w:tcPr>
          <w:p>
            <w:pPr>
              <w:spacing w:after="0"/>
              <w:rPr>
                <w:sz w:val="20"/>
                <w:szCs w:val="20"/>
                <w:color w:val="auto"/>
              </w:rPr>
            </w:pPr>
            <w:r>
              <w:rPr>
                <w:rFonts w:ascii="Arial" w:cs="Arial" w:eastAsia="Arial" w:hAnsi="Arial"/>
                <w:sz w:val="11"/>
                <w:szCs w:val="11"/>
                <w:color w:val="auto"/>
              </w:rPr>
              <w:t>Unitholders' capital as of December 31, 2022</w:t>
            </w:r>
          </w:p>
        </w:tc>
        <w:tc>
          <w:tcPr>
            <w:tcW w:w="620" w:type="dxa"/>
            <w:vAlign w:val="bottom"/>
            <w:tcBorders>
              <w:top w:val="single" w:sz="8" w:color="auto"/>
            </w:tcBorders>
          </w:tcPr>
          <w:p>
            <w:pPr>
              <w:jc w:val="right"/>
              <w:ind w:right="5"/>
              <w:spacing w:after="0"/>
              <w:rPr>
                <w:sz w:val="20"/>
                <w:szCs w:val="20"/>
                <w:color w:val="auto"/>
              </w:rPr>
            </w:pPr>
            <w:r>
              <w:rPr>
                <w:rFonts w:ascii="Arial" w:cs="Arial" w:eastAsia="Arial" w:hAnsi="Arial"/>
                <w:sz w:val="11"/>
                <w:szCs w:val="11"/>
                <w:color w:val="auto"/>
              </w:rPr>
              <w:t>103,081</w:t>
            </w:r>
          </w:p>
        </w:tc>
        <w:tc>
          <w:tcPr>
            <w:tcW w:w="120" w:type="dxa"/>
            <w:vAlign w:val="bottom"/>
          </w:tcPr>
          <w:p>
            <w:pPr>
              <w:spacing w:after="0"/>
              <w:rPr>
                <w:sz w:val="12"/>
                <w:szCs w:val="12"/>
                <w:color w:val="auto"/>
              </w:rPr>
            </w:pPr>
          </w:p>
        </w:tc>
        <w:tc>
          <w:tcPr>
            <w:tcW w:w="640" w:type="dxa"/>
            <w:vAlign w:val="bottom"/>
            <w:tcBorders>
              <w:top w:val="single" w:sz="8" w:color="auto"/>
            </w:tcBorders>
          </w:tcPr>
          <w:p>
            <w:pPr>
              <w:jc w:val="right"/>
              <w:ind w:right="25"/>
              <w:spacing w:after="0"/>
              <w:rPr>
                <w:sz w:val="20"/>
                <w:szCs w:val="20"/>
                <w:color w:val="auto"/>
              </w:rPr>
            </w:pPr>
            <w:r>
              <w:rPr>
                <w:rFonts w:ascii="Arial" w:cs="Arial" w:eastAsia="Arial" w:hAnsi="Arial"/>
                <w:sz w:val="11"/>
                <w:szCs w:val="11"/>
                <w:color w:val="auto"/>
              </w:rPr>
              <w:t>56,922</w:t>
            </w:r>
          </w:p>
        </w:tc>
        <w:tc>
          <w:tcPr>
            <w:tcW w:w="100" w:type="dxa"/>
            <w:vAlign w:val="bottom"/>
          </w:tcPr>
          <w:p>
            <w:pPr>
              <w:spacing w:after="0"/>
              <w:rPr>
                <w:sz w:val="12"/>
                <w:szCs w:val="12"/>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Borders>
              <w:top w:val="single" w:sz="8" w:color="auto"/>
            </w:tcBorders>
          </w:tcPr>
          <w:p>
            <w:pPr>
              <w:jc w:val="right"/>
              <w:ind w:right="25"/>
              <w:spacing w:after="0"/>
              <w:rPr>
                <w:sz w:val="20"/>
                <w:szCs w:val="20"/>
                <w:color w:val="auto"/>
              </w:rPr>
            </w:pPr>
            <w:r>
              <w:rPr>
                <w:rFonts w:ascii="Arial" w:cs="Arial" w:eastAsia="Arial" w:hAnsi="Arial"/>
                <w:sz w:val="11"/>
                <w:szCs w:val="11"/>
                <w:color w:val="auto"/>
              </w:rPr>
              <w:t>173,669</w:t>
            </w:r>
          </w:p>
        </w:tc>
        <w:tc>
          <w:tcPr>
            <w:tcW w:w="100" w:type="dxa"/>
            <w:vAlign w:val="bottom"/>
          </w:tcPr>
          <w:p>
            <w:pPr>
              <w:spacing w:after="0"/>
              <w:rPr>
                <w:sz w:val="12"/>
                <w:szCs w:val="12"/>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Borders>
              <w:top w:val="single" w:sz="8" w:color="auto"/>
            </w:tcBorders>
          </w:tcPr>
          <w:p>
            <w:pPr>
              <w:jc w:val="right"/>
              <w:ind w:right="5"/>
              <w:spacing w:after="0"/>
              <w:rPr>
                <w:sz w:val="20"/>
                <w:szCs w:val="20"/>
                <w:color w:val="auto"/>
              </w:rPr>
            </w:pPr>
            <w:r>
              <w:rPr>
                <w:rFonts w:ascii="Arial" w:cs="Arial" w:eastAsia="Arial" w:hAnsi="Arial"/>
                <w:sz w:val="11"/>
                <w:szCs w:val="11"/>
                <w:color w:val="auto"/>
              </w:rPr>
              <w:t>226,915</w:t>
            </w:r>
          </w:p>
        </w:tc>
        <w:tc>
          <w:tcPr>
            <w:tcW w:w="100" w:type="dxa"/>
            <w:vAlign w:val="bottom"/>
          </w:tcPr>
          <w:p>
            <w:pPr>
              <w:spacing w:after="0"/>
              <w:rPr>
                <w:sz w:val="12"/>
                <w:szCs w:val="12"/>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Borders>
              <w:top w:val="single" w:sz="8" w:color="auto"/>
            </w:tcBorders>
          </w:tcPr>
          <w:p>
            <w:pPr>
              <w:jc w:val="right"/>
              <w:ind w:right="5"/>
              <w:spacing w:after="0"/>
              <w:rPr>
                <w:sz w:val="20"/>
                <w:szCs w:val="20"/>
                <w:color w:val="auto"/>
              </w:rPr>
            </w:pPr>
            <w:r>
              <w:rPr>
                <w:rFonts w:ascii="Arial" w:cs="Arial" w:eastAsia="Arial" w:hAnsi="Arial"/>
                <w:sz w:val="11"/>
                <w:szCs w:val="11"/>
                <w:color w:val="auto"/>
              </w:rPr>
              <w:t>908,142</w:t>
            </w:r>
          </w:p>
        </w:tc>
        <w:tc>
          <w:tcPr>
            <w:tcW w:w="120" w:type="dxa"/>
            <w:vAlign w:val="bottom"/>
          </w:tcPr>
          <w:p>
            <w:pPr>
              <w:spacing w:after="0"/>
              <w:rPr>
                <w:sz w:val="12"/>
                <w:szCs w:val="12"/>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580" w:type="dxa"/>
            <w:vAlign w:val="bottom"/>
            <w:tcBorders>
              <w:top w:val="single" w:sz="8" w:color="auto"/>
            </w:tcBorders>
          </w:tcPr>
          <w:p>
            <w:pPr>
              <w:jc w:val="right"/>
              <w:ind w:right="5"/>
              <w:spacing w:after="0"/>
              <w:rPr>
                <w:sz w:val="20"/>
                <w:szCs w:val="20"/>
                <w:color w:val="auto"/>
              </w:rPr>
            </w:pPr>
            <w:r>
              <w:rPr>
                <w:rFonts w:ascii="Arial" w:cs="Arial" w:eastAsia="Arial" w:hAnsi="Arial"/>
                <w:sz w:val="11"/>
                <w:szCs w:val="11"/>
                <w:color w:val="auto"/>
              </w:rPr>
              <w:t>246,353</w:t>
            </w:r>
          </w:p>
        </w:tc>
        <w:tc>
          <w:tcPr>
            <w:tcW w:w="100" w:type="dxa"/>
            <w:vAlign w:val="bottom"/>
          </w:tcPr>
          <w:p>
            <w:pPr>
              <w:spacing w:after="0"/>
              <w:rPr>
                <w:sz w:val="12"/>
                <w:szCs w:val="12"/>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(9,101)</w:t>
            </w:r>
          </w:p>
        </w:tc>
        <w:tc>
          <w:tcPr>
            <w:tcW w:w="120" w:type="dxa"/>
            <w:vAlign w:val="bottom"/>
          </w:tcPr>
          <w:p>
            <w:pPr>
              <w:spacing w:after="0"/>
              <w:rPr>
                <w:sz w:val="12"/>
                <w:szCs w:val="12"/>
                <w:color w:val="auto"/>
              </w:rPr>
            </w:pPr>
          </w:p>
        </w:tc>
        <w:tc>
          <w:tcPr>
            <w:tcW w:w="6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tcBorders>
          </w:tcPr>
          <w:p>
            <w:pPr>
              <w:jc w:val="right"/>
              <w:ind w:right="5"/>
              <w:spacing w:after="0"/>
              <w:rPr>
                <w:sz w:val="20"/>
                <w:szCs w:val="20"/>
                <w:color w:val="auto"/>
              </w:rPr>
            </w:pPr>
            <w:r>
              <w:rPr>
                <w:rFonts w:ascii="Arial" w:cs="Arial" w:eastAsia="Arial" w:hAnsi="Arial"/>
                <w:sz w:val="11"/>
                <w:szCs w:val="11"/>
                <w:color w:val="auto"/>
              </w:rPr>
              <w:t>360,660</w:t>
            </w:r>
          </w:p>
        </w:tc>
        <w:tc>
          <w:tcPr>
            <w:tcW w:w="120" w:type="dxa"/>
            <w:vAlign w:val="bottom"/>
          </w:tcPr>
          <w:p>
            <w:pPr>
              <w:spacing w:after="0"/>
              <w:rPr>
                <w:sz w:val="12"/>
                <w:szCs w:val="12"/>
                <w:color w:val="auto"/>
              </w:rPr>
            </w:pPr>
          </w:p>
        </w:tc>
        <w:tc>
          <w:tcPr>
            <w:tcW w:w="660" w:type="dxa"/>
            <w:vAlign w:val="bottom"/>
            <w:tcBorders>
              <w:top w:val="single" w:sz="8" w:color="auto"/>
            </w:tcBorders>
          </w:tcPr>
          <w:p>
            <w:pPr>
              <w:jc w:val="right"/>
              <w:ind w:right="25"/>
              <w:spacing w:after="0"/>
              <w:rPr>
                <w:sz w:val="20"/>
                <w:szCs w:val="20"/>
                <w:color w:val="auto"/>
              </w:rPr>
            </w:pPr>
            <w:r>
              <w:rPr>
                <w:rFonts w:ascii="Arial" w:cs="Arial" w:eastAsia="Arial" w:hAnsi="Arial"/>
                <w:sz w:val="11"/>
                <w:szCs w:val="11"/>
                <w:color w:val="auto"/>
                <w:w w:val="96"/>
              </w:rPr>
              <w:t>$ 1,906,638</w:t>
            </w:r>
          </w:p>
        </w:tc>
        <w:tc>
          <w:tcPr>
            <w:tcW w:w="0" w:type="dxa"/>
            <w:vAlign w:val="bottom"/>
          </w:tcPr>
          <w:p>
            <w:pPr>
              <w:spacing w:after="0"/>
              <w:rPr>
                <w:sz w:val="1"/>
                <w:szCs w:val="1"/>
                <w:color w:val="auto"/>
              </w:rPr>
            </w:pPr>
          </w:p>
        </w:tc>
      </w:tr>
      <w:tr>
        <w:trPr>
          <w:trHeight w:val="168"/>
        </w:trPr>
        <w:tc>
          <w:tcPr>
            <w:tcW w:w="3620" w:type="dxa"/>
            <w:vAlign w:val="bottom"/>
          </w:tcPr>
          <w:p>
            <w:pPr>
              <w:spacing w:after="0"/>
              <w:rPr>
                <w:sz w:val="20"/>
                <w:szCs w:val="20"/>
                <w:color w:val="auto"/>
              </w:rPr>
            </w:pPr>
            <w:r>
              <w:rPr>
                <w:rFonts w:ascii="Arial" w:cs="Arial" w:eastAsia="Arial" w:hAnsi="Arial"/>
                <w:sz w:val="11"/>
                <w:szCs w:val="11"/>
                <w:color w:val="auto"/>
              </w:rPr>
              <w:t>Activity for the year ended December 31, 2023:</w:t>
            </w: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620" w:type="dxa"/>
            <w:vAlign w:val="bottom"/>
          </w:tcPr>
          <w:p>
            <w:pPr>
              <w:ind w:left="320"/>
              <w:spacing w:after="0"/>
              <w:rPr>
                <w:sz w:val="20"/>
                <w:szCs w:val="20"/>
                <w:color w:val="auto"/>
              </w:rPr>
            </w:pPr>
            <w:r>
              <w:rPr>
                <w:rFonts w:ascii="Arial" w:cs="Arial" w:eastAsia="Arial" w:hAnsi="Arial"/>
                <w:sz w:val="11"/>
                <w:szCs w:val="11"/>
                <w:color w:val="auto"/>
              </w:rPr>
              <w:t>Issuance of units</w:t>
            </w:r>
          </w:p>
        </w:tc>
        <w:tc>
          <w:tcPr>
            <w:tcW w:w="74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640" w:type="dxa"/>
            <w:vAlign w:val="bottom"/>
          </w:tcPr>
          <w:p>
            <w:pPr>
              <w:jc w:val="right"/>
              <w:ind w:right="25"/>
              <w:spacing w:after="0"/>
              <w:rPr>
                <w:sz w:val="20"/>
                <w:szCs w:val="20"/>
                <w:color w:val="auto"/>
              </w:rPr>
            </w:pPr>
            <w:r>
              <w:rPr>
                <w:rFonts w:ascii="Arial" w:cs="Arial" w:eastAsia="Arial" w:hAnsi="Arial"/>
                <w:sz w:val="11"/>
                <w:szCs w:val="11"/>
                <w:color w:val="auto"/>
              </w:rPr>
              <w:t>137</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4"/>
                <w:szCs w:val="14"/>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4"/>
                <w:szCs w:val="14"/>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4"/>
                <w:szCs w:val="14"/>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4"/>
                <w:szCs w:val="14"/>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4"/>
                <w:szCs w:val="14"/>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660" w:type="dxa"/>
            <w:vAlign w:val="bottom"/>
          </w:tcPr>
          <w:p>
            <w:pPr>
              <w:jc w:val="right"/>
              <w:ind w:right="25"/>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68"/>
        </w:trPr>
        <w:tc>
          <w:tcPr>
            <w:tcW w:w="3620" w:type="dxa"/>
            <w:vAlign w:val="bottom"/>
          </w:tcPr>
          <w:p>
            <w:pPr>
              <w:ind w:left="320"/>
              <w:spacing w:after="0"/>
              <w:rPr>
                <w:sz w:val="20"/>
                <w:szCs w:val="20"/>
                <w:color w:val="auto"/>
              </w:rPr>
            </w:pPr>
            <w:r>
              <w:rPr>
                <w:rFonts w:ascii="Arial" w:cs="Arial" w:eastAsia="Arial" w:hAnsi="Arial"/>
                <w:sz w:val="11"/>
                <w:szCs w:val="11"/>
                <w:color w:val="auto"/>
              </w:rPr>
              <w:t>Unit Exchange</w:t>
            </w:r>
          </w:p>
        </w:tc>
        <w:tc>
          <w:tcPr>
            <w:tcW w:w="620" w:type="dxa"/>
            <w:vAlign w:val="bottom"/>
          </w:tcPr>
          <w:p>
            <w:pPr>
              <w:jc w:val="right"/>
              <w:ind w:right="5"/>
              <w:spacing w:after="0"/>
              <w:rPr>
                <w:sz w:val="20"/>
                <w:szCs w:val="20"/>
                <w:color w:val="auto"/>
              </w:rPr>
            </w:pPr>
            <w:r>
              <w:rPr>
                <w:rFonts w:ascii="Arial" w:cs="Arial" w:eastAsia="Arial" w:hAnsi="Arial"/>
                <w:sz w:val="11"/>
                <w:szCs w:val="11"/>
                <w:color w:val="auto"/>
              </w:rPr>
              <w:t>6,118</w:t>
            </w:r>
          </w:p>
        </w:tc>
        <w:tc>
          <w:tcPr>
            <w:tcW w:w="1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(6,118)</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4"/>
                <w:szCs w:val="14"/>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4"/>
                <w:szCs w:val="14"/>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4"/>
                <w:szCs w:val="14"/>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4"/>
                <w:szCs w:val="14"/>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4"/>
                <w:szCs w:val="14"/>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660" w:type="dxa"/>
            <w:vAlign w:val="bottom"/>
          </w:tcPr>
          <w:p>
            <w:pPr>
              <w:jc w:val="right"/>
              <w:ind w:right="25"/>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68"/>
        </w:trPr>
        <w:tc>
          <w:tcPr>
            <w:tcW w:w="3620" w:type="dxa"/>
            <w:vAlign w:val="bottom"/>
          </w:tcPr>
          <w:p>
            <w:pPr>
              <w:ind w:left="320"/>
              <w:spacing w:after="0"/>
              <w:rPr>
                <w:sz w:val="20"/>
                <w:szCs w:val="20"/>
                <w:color w:val="auto"/>
              </w:rPr>
            </w:pPr>
            <w:r>
              <w:rPr>
                <w:rFonts w:ascii="Arial" w:cs="Arial" w:eastAsia="Arial" w:hAnsi="Arial"/>
                <w:sz w:val="11"/>
                <w:szCs w:val="11"/>
                <w:color w:val="auto"/>
              </w:rPr>
              <w:t>Cancellation of units associated with forfeitures</w:t>
            </w:r>
          </w:p>
        </w:tc>
        <w:tc>
          <w:tcPr>
            <w:tcW w:w="74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640" w:type="dxa"/>
            <w:vAlign w:val="bottom"/>
          </w:tcPr>
          <w:p>
            <w:pPr>
              <w:jc w:val="right"/>
              <w:spacing w:after="0"/>
              <w:rPr>
                <w:sz w:val="20"/>
                <w:szCs w:val="20"/>
                <w:color w:val="auto"/>
              </w:rPr>
            </w:pPr>
            <w:r>
              <w:rPr>
                <w:rFonts w:ascii="Arial" w:cs="Arial" w:eastAsia="Arial" w:hAnsi="Arial"/>
                <w:sz w:val="11"/>
                <w:szCs w:val="11"/>
                <w:color w:val="auto"/>
              </w:rPr>
              <w:t>(25)</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4"/>
                <w:szCs w:val="14"/>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4"/>
                <w:szCs w:val="14"/>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4"/>
                <w:szCs w:val="14"/>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4"/>
                <w:szCs w:val="14"/>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4"/>
                <w:szCs w:val="14"/>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660" w:type="dxa"/>
            <w:vAlign w:val="bottom"/>
          </w:tcPr>
          <w:p>
            <w:pPr>
              <w:jc w:val="right"/>
              <w:ind w:right="25"/>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68"/>
        </w:trPr>
        <w:tc>
          <w:tcPr>
            <w:tcW w:w="3620" w:type="dxa"/>
            <w:vAlign w:val="bottom"/>
          </w:tcPr>
          <w:p>
            <w:pPr>
              <w:ind w:left="320"/>
              <w:spacing w:after="0"/>
              <w:rPr>
                <w:sz w:val="20"/>
                <w:szCs w:val="20"/>
                <w:color w:val="auto"/>
              </w:rPr>
            </w:pPr>
            <w:r>
              <w:rPr>
                <w:rFonts w:ascii="Arial" w:cs="Arial" w:eastAsia="Arial" w:hAnsi="Arial"/>
                <w:sz w:val="11"/>
                <w:szCs w:val="11"/>
                <w:color w:val="auto"/>
              </w:rPr>
              <w:t>Capital contributions</w:t>
            </w:r>
          </w:p>
        </w:tc>
        <w:tc>
          <w:tcPr>
            <w:tcW w:w="74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74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4"/>
                <w:szCs w:val="14"/>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4"/>
                <w:szCs w:val="14"/>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4"/>
                <w:szCs w:val="14"/>
                <w:color w:val="auto"/>
              </w:rPr>
            </w:pPr>
          </w:p>
        </w:tc>
        <w:tc>
          <w:tcPr>
            <w:tcW w:w="560" w:type="dxa"/>
            <w:vAlign w:val="bottom"/>
          </w:tcPr>
          <w:p>
            <w:pPr>
              <w:jc w:val="right"/>
              <w:ind w:right="5"/>
              <w:spacing w:after="0"/>
              <w:rPr>
                <w:sz w:val="20"/>
                <w:szCs w:val="20"/>
                <w:color w:val="auto"/>
              </w:rPr>
            </w:pPr>
            <w:r>
              <w:rPr>
                <w:rFonts w:ascii="Arial" w:cs="Arial" w:eastAsia="Arial" w:hAnsi="Arial"/>
                <w:sz w:val="11"/>
                <w:szCs w:val="11"/>
                <w:color w:val="auto"/>
              </w:rPr>
              <w:t>583,402</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4"/>
                <w:szCs w:val="14"/>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4"/>
                <w:szCs w:val="14"/>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660" w:type="dxa"/>
            <w:vAlign w:val="bottom"/>
          </w:tcPr>
          <w:p>
            <w:pPr>
              <w:jc w:val="right"/>
              <w:ind w:right="25"/>
              <w:spacing w:after="0"/>
              <w:rPr>
                <w:sz w:val="20"/>
                <w:szCs w:val="20"/>
                <w:color w:val="auto"/>
              </w:rPr>
            </w:pPr>
            <w:r>
              <w:rPr>
                <w:rFonts w:ascii="Arial" w:cs="Arial" w:eastAsia="Arial" w:hAnsi="Arial"/>
                <w:sz w:val="11"/>
                <w:szCs w:val="11"/>
                <w:color w:val="auto"/>
              </w:rPr>
              <w:t>583,402</w:t>
            </w:r>
          </w:p>
        </w:tc>
        <w:tc>
          <w:tcPr>
            <w:tcW w:w="0" w:type="dxa"/>
            <w:vAlign w:val="bottom"/>
          </w:tcPr>
          <w:p>
            <w:pPr>
              <w:spacing w:after="0"/>
              <w:rPr>
                <w:sz w:val="1"/>
                <w:szCs w:val="1"/>
                <w:color w:val="auto"/>
              </w:rPr>
            </w:pPr>
          </w:p>
        </w:tc>
      </w:tr>
      <w:tr>
        <w:trPr>
          <w:trHeight w:val="137"/>
        </w:trPr>
        <w:tc>
          <w:tcPr>
            <w:tcW w:w="3620" w:type="dxa"/>
            <w:vAlign w:val="bottom"/>
          </w:tcPr>
          <w:p>
            <w:pPr>
              <w:ind w:left="320"/>
              <w:spacing w:after="0"/>
              <w:rPr>
                <w:sz w:val="20"/>
                <w:szCs w:val="20"/>
                <w:color w:val="auto"/>
              </w:rPr>
            </w:pPr>
            <w:r>
              <w:rPr>
                <w:rFonts w:ascii="Arial" w:cs="Arial" w:eastAsia="Arial" w:hAnsi="Arial"/>
                <w:sz w:val="11"/>
                <w:szCs w:val="11"/>
                <w:color w:val="auto"/>
              </w:rPr>
              <w:t>Equity reallocation between controlling and non-controlling</w:t>
            </w:r>
          </w:p>
        </w:tc>
        <w:tc>
          <w:tcPr>
            <w:tcW w:w="740" w:type="dxa"/>
            <w:vAlign w:val="bottom"/>
            <w:gridSpan w:val="2"/>
            <w:vMerge w:val="restart"/>
          </w:tcPr>
          <w:p>
            <w:pPr>
              <w:jc w:val="right"/>
              <w:ind w:right="180"/>
              <w:spacing w:after="0"/>
              <w:rPr>
                <w:sz w:val="20"/>
                <w:szCs w:val="20"/>
                <w:color w:val="auto"/>
              </w:rPr>
            </w:pPr>
            <w:r>
              <w:rPr>
                <w:rFonts w:ascii="Arial" w:cs="Arial" w:eastAsia="Arial" w:hAnsi="Arial"/>
                <w:sz w:val="11"/>
                <w:szCs w:val="11"/>
                <w:color w:val="auto"/>
              </w:rPr>
              <w:t>—</w:t>
            </w:r>
          </w:p>
        </w:tc>
        <w:tc>
          <w:tcPr>
            <w:tcW w:w="740" w:type="dxa"/>
            <w:vAlign w:val="bottom"/>
            <w:gridSpan w:val="2"/>
            <w:vMerge w:val="restart"/>
          </w:tcPr>
          <w:p>
            <w:pPr>
              <w:jc w:val="right"/>
              <w:ind w:right="18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660" w:type="dxa"/>
            <w:vAlign w:val="bottom"/>
            <w:gridSpan w:val="2"/>
            <w:vMerge w:val="restart"/>
          </w:tcPr>
          <w:p>
            <w:pPr>
              <w:jc w:val="right"/>
              <w:ind w:right="18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660" w:type="dxa"/>
            <w:vAlign w:val="bottom"/>
            <w:gridSpan w:val="2"/>
            <w:vMerge w:val="restart"/>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560" w:type="dxa"/>
            <w:vAlign w:val="bottom"/>
            <w:vMerge w:val="restart"/>
          </w:tcPr>
          <w:p>
            <w:pPr>
              <w:jc w:val="right"/>
              <w:ind w:right="5"/>
              <w:spacing w:after="0"/>
              <w:rPr>
                <w:sz w:val="20"/>
                <w:szCs w:val="20"/>
                <w:color w:val="auto"/>
              </w:rPr>
            </w:pPr>
            <w:r>
              <w:rPr>
                <w:rFonts w:ascii="Arial" w:cs="Arial" w:eastAsia="Arial" w:hAnsi="Arial"/>
                <w:sz w:val="11"/>
                <w:szCs w:val="11"/>
                <w:color w:val="auto"/>
              </w:rPr>
              <w:t>38,365</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gridSpan w:val="2"/>
            <w:vMerge w:val="restart"/>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800" w:type="dxa"/>
            <w:vAlign w:val="bottom"/>
            <w:gridSpan w:val="2"/>
            <w:vMerge w:val="restart"/>
          </w:tcPr>
          <w:p>
            <w:pPr>
              <w:jc w:val="right"/>
              <w:ind w:right="18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580" w:type="dxa"/>
            <w:vAlign w:val="bottom"/>
            <w:vMerge w:val="restart"/>
          </w:tcPr>
          <w:p>
            <w:pPr>
              <w:jc w:val="right"/>
              <w:spacing w:after="0"/>
              <w:rPr>
                <w:sz w:val="20"/>
                <w:szCs w:val="20"/>
                <w:color w:val="auto"/>
              </w:rPr>
            </w:pPr>
            <w:r>
              <w:rPr>
                <w:rFonts w:ascii="Arial" w:cs="Arial" w:eastAsia="Arial" w:hAnsi="Arial"/>
                <w:sz w:val="11"/>
                <w:szCs w:val="11"/>
                <w:color w:val="auto"/>
              </w:rPr>
              <w:t>(40,265)</w:t>
            </w:r>
          </w:p>
        </w:tc>
        <w:tc>
          <w:tcPr>
            <w:tcW w:w="120" w:type="dxa"/>
            <w:vAlign w:val="bottom"/>
          </w:tcPr>
          <w:p>
            <w:pPr>
              <w:spacing w:after="0"/>
              <w:rPr>
                <w:sz w:val="11"/>
                <w:szCs w:val="11"/>
                <w:color w:val="auto"/>
              </w:rPr>
            </w:pPr>
          </w:p>
        </w:tc>
        <w:tc>
          <w:tcPr>
            <w:tcW w:w="660" w:type="dxa"/>
            <w:vAlign w:val="bottom"/>
            <w:vMerge w:val="restart"/>
          </w:tcPr>
          <w:p>
            <w:pPr>
              <w:jc w:val="right"/>
              <w:spacing w:after="0"/>
              <w:rPr>
                <w:sz w:val="20"/>
                <w:szCs w:val="20"/>
                <w:color w:val="auto"/>
              </w:rPr>
            </w:pPr>
            <w:r>
              <w:rPr>
                <w:rFonts w:ascii="Arial" w:cs="Arial" w:eastAsia="Arial" w:hAnsi="Arial"/>
                <w:sz w:val="11"/>
                <w:szCs w:val="11"/>
                <w:color w:val="auto"/>
              </w:rPr>
              <w:t>(1,900)</w:t>
            </w:r>
          </w:p>
        </w:tc>
        <w:tc>
          <w:tcPr>
            <w:tcW w:w="0" w:type="dxa"/>
            <w:vAlign w:val="bottom"/>
          </w:tcPr>
          <w:p>
            <w:pPr>
              <w:spacing w:after="0"/>
              <w:rPr>
                <w:sz w:val="1"/>
                <w:szCs w:val="1"/>
                <w:color w:val="auto"/>
              </w:rPr>
            </w:pPr>
          </w:p>
        </w:tc>
      </w:tr>
      <w:tr>
        <w:trPr>
          <w:trHeight w:val="147"/>
        </w:trPr>
        <w:tc>
          <w:tcPr>
            <w:tcW w:w="3620" w:type="dxa"/>
            <w:vAlign w:val="bottom"/>
          </w:tcPr>
          <w:p>
            <w:pPr>
              <w:ind w:left="320"/>
              <w:spacing w:after="0"/>
              <w:rPr>
                <w:sz w:val="20"/>
                <w:szCs w:val="20"/>
                <w:color w:val="auto"/>
              </w:rPr>
            </w:pPr>
            <w:r>
              <w:rPr>
                <w:rFonts w:ascii="Arial" w:cs="Arial" w:eastAsia="Arial" w:hAnsi="Arial"/>
                <w:sz w:val="11"/>
                <w:szCs w:val="11"/>
                <w:color w:val="auto"/>
              </w:rPr>
              <w:t>interests</w:t>
            </w:r>
          </w:p>
        </w:tc>
        <w:tc>
          <w:tcPr>
            <w:tcW w:w="740" w:type="dxa"/>
            <w:vAlign w:val="bottom"/>
            <w:gridSpan w:val="2"/>
            <w:vMerge w:val="continue"/>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3620" w:type="dxa"/>
            <w:vAlign w:val="bottom"/>
          </w:tcPr>
          <w:p>
            <w:pPr>
              <w:ind w:left="320"/>
              <w:spacing w:after="0"/>
              <w:rPr>
                <w:sz w:val="20"/>
                <w:szCs w:val="20"/>
                <w:color w:val="auto"/>
              </w:rPr>
            </w:pPr>
            <w:r>
              <w:rPr>
                <w:rFonts w:ascii="Arial" w:cs="Arial" w:eastAsia="Arial" w:hAnsi="Arial"/>
                <w:sz w:val="11"/>
                <w:szCs w:val="11"/>
                <w:color w:val="auto"/>
              </w:rPr>
              <w:t>Capital increase related to equity-based compensation</w:t>
            </w:r>
          </w:p>
        </w:tc>
        <w:tc>
          <w:tcPr>
            <w:tcW w:w="74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74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3"/>
                <w:szCs w:val="13"/>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660" w:type="dxa"/>
            <w:vAlign w:val="bottom"/>
          </w:tcPr>
          <w:p>
            <w:pPr>
              <w:jc w:val="right"/>
              <w:ind w:right="25"/>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68"/>
        </w:trPr>
        <w:tc>
          <w:tcPr>
            <w:tcW w:w="3620" w:type="dxa"/>
            <w:vAlign w:val="bottom"/>
          </w:tcPr>
          <w:p>
            <w:pPr>
              <w:ind w:left="320"/>
              <w:spacing w:after="0"/>
              <w:rPr>
                <w:sz w:val="20"/>
                <w:szCs w:val="20"/>
                <w:color w:val="auto"/>
              </w:rPr>
            </w:pPr>
            <w:r>
              <w:rPr>
                <w:rFonts w:ascii="Arial" w:cs="Arial" w:eastAsia="Arial" w:hAnsi="Arial"/>
                <w:sz w:val="11"/>
                <w:szCs w:val="11"/>
                <w:color w:val="auto"/>
              </w:rPr>
              <w:t>Distributions declared</w:t>
            </w:r>
          </w:p>
        </w:tc>
        <w:tc>
          <w:tcPr>
            <w:tcW w:w="74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74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(11,924)</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(15,392)</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(105,900)</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(57,727)</w:t>
            </w: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(190,943)</w:t>
            </w:r>
          </w:p>
        </w:tc>
        <w:tc>
          <w:tcPr>
            <w:tcW w:w="0" w:type="dxa"/>
            <w:vAlign w:val="bottom"/>
          </w:tcPr>
          <w:p>
            <w:pPr>
              <w:spacing w:after="0"/>
              <w:rPr>
                <w:sz w:val="1"/>
                <w:szCs w:val="1"/>
                <w:color w:val="auto"/>
              </w:rPr>
            </w:pPr>
          </w:p>
        </w:tc>
      </w:tr>
      <w:tr>
        <w:trPr>
          <w:trHeight w:val="168"/>
        </w:trPr>
        <w:tc>
          <w:tcPr>
            <w:tcW w:w="3620" w:type="dxa"/>
            <w:vAlign w:val="bottom"/>
          </w:tcPr>
          <w:p>
            <w:pPr>
              <w:ind w:left="320"/>
              <w:spacing w:after="0"/>
              <w:rPr>
                <w:sz w:val="20"/>
                <w:szCs w:val="20"/>
                <w:color w:val="auto"/>
              </w:rPr>
            </w:pPr>
            <w:r>
              <w:rPr>
                <w:rFonts w:ascii="Arial" w:cs="Arial" w:eastAsia="Arial" w:hAnsi="Arial"/>
                <w:sz w:val="11"/>
                <w:szCs w:val="11"/>
                <w:color w:val="auto"/>
              </w:rPr>
              <w:t>Net income</w:t>
            </w:r>
          </w:p>
        </w:tc>
        <w:tc>
          <w:tcPr>
            <w:tcW w:w="74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74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4"/>
                <w:szCs w:val="14"/>
                <w:color w:val="auto"/>
              </w:rPr>
            </w:pPr>
          </w:p>
        </w:tc>
        <w:tc>
          <w:tcPr>
            <w:tcW w:w="560" w:type="dxa"/>
            <w:vAlign w:val="bottom"/>
          </w:tcPr>
          <w:p>
            <w:pPr>
              <w:jc w:val="right"/>
              <w:ind w:right="25"/>
              <w:spacing w:after="0"/>
              <w:rPr>
                <w:sz w:val="20"/>
                <w:szCs w:val="20"/>
                <w:color w:val="auto"/>
              </w:rPr>
            </w:pPr>
            <w:r>
              <w:rPr>
                <w:rFonts w:ascii="Arial" w:cs="Arial" w:eastAsia="Arial" w:hAnsi="Arial"/>
                <w:sz w:val="11"/>
                <w:szCs w:val="11"/>
                <w:color w:val="auto"/>
              </w:rPr>
              <w:t>11,924</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ind w:right="5"/>
              <w:spacing w:after="0"/>
              <w:rPr>
                <w:sz w:val="20"/>
                <w:szCs w:val="20"/>
                <w:color w:val="auto"/>
              </w:rPr>
            </w:pPr>
            <w:r>
              <w:rPr>
                <w:rFonts w:ascii="Arial" w:cs="Arial" w:eastAsia="Arial" w:hAnsi="Arial"/>
                <w:sz w:val="11"/>
                <w:szCs w:val="11"/>
                <w:color w:val="auto"/>
              </w:rPr>
              <w:t>15,392</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4"/>
                <w:szCs w:val="14"/>
                <w:color w:val="auto"/>
              </w:rPr>
            </w:pPr>
          </w:p>
        </w:tc>
        <w:tc>
          <w:tcPr>
            <w:tcW w:w="580" w:type="dxa"/>
            <w:vAlign w:val="bottom"/>
          </w:tcPr>
          <w:p>
            <w:pPr>
              <w:jc w:val="right"/>
              <w:ind w:right="5"/>
              <w:spacing w:after="0"/>
              <w:rPr>
                <w:sz w:val="20"/>
                <w:szCs w:val="20"/>
                <w:color w:val="auto"/>
              </w:rPr>
            </w:pPr>
            <w:r>
              <w:rPr>
                <w:rFonts w:ascii="Arial" w:cs="Arial" w:eastAsia="Arial" w:hAnsi="Arial"/>
                <w:sz w:val="11"/>
                <w:szCs w:val="11"/>
                <w:color w:val="auto"/>
              </w:rPr>
              <w:t>193,861</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4"/>
                <w:szCs w:val="14"/>
                <w:color w:val="auto"/>
              </w:rPr>
            </w:pPr>
          </w:p>
        </w:tc>
        <w:tc>
          <w:tcPr>
            <w:tcW w:w="580" w:type="dxa"/>
            <w:vAlign w:val="bottom"/>
          </w:tcPr>
          <w:p>
            <w:pPr>
              <w:jc w:val="right"/>
              <w:ind w:right="5"/>
              <w:spacing w:after="0"/>
              <w:rPr>
                <w:sz w:val="20"/>
                <w:szCs w:val="20"/>
                <w:color w:val="auto"/>
              </w:rPr>
            </w:pPr>
            <w:r>
              <w:rPr>
                <w:rFonts w:ascii="Arial" w:cs="Arial" w:eastAsia="Arial" w:hAnsi="Arial"/>
                <w:sz w:val="11"/>
                <w:szCs w:val="11"/>
                <w:color w:val="auto"/>
              </w:rPr>
              <w:t>73,061</w:t>
            </w:r>
          </w:p>
        </w:tc>
        <w:tc>
          <w:tcPr>
            <w:tcW w:w="120" w:type="dxa"/>
            <w:vAlign w:val="bottom"/>
          </w:tcPr>
          <w:p>
            <w:pPr>
              <w:spacing w:after="0"/>
              <w:rPr>
                <w:sz w:val="14"/>
                <w:szCs w:val="14"/>
                <w:color w:val="auto"/>
              </w:rPr>
            </w:pPr>
          </w:p>
        </w:tc>
        <w:tc>
          <w:tcPr>
            <w:tcW w:w="660" w:type="dxa"/>
            <w:vAlign w:val="bottom"/>
          </w:tcPr>
          <w:p>
            <w:pPr>
              <w:jc w:val="right"/>
              <w:ind w:right="25"/>
              <w:spacing w:after="0"/>
              <w:rPr>
                <w:sz w:val="20"/>
                <w:szCs w:val="20"/>
                <w:color w:val="auto"/>
              </w:rPr>
            </w:pPr>
            <w:r>
              <w:rPr>
                <w:rFonts w:ascii="Arial" w:cs="Arial" w:eastAsia="Arial" w:hAnsi="Arial"/>
                <w:sz w:val="11"/>
                <w:szCs w:val="11"/>
                <w:color w:val="auto"/>
              </w:rPr>
              <w:t>294,238</w:t>
            </w:r>
          </w:p>
        </w:tc>
        <w:tc>
          <w:tcPr>
            <w:tcW w:w="0" w:type="dxa"/>
            <w:vAlign w:val="bottom"/>
          </w:tcPr>
          <w:p>
            <w:pPr>
              <w:spacing w:after="0"/>
              <w:rPr>
                <w:sz w:val="1"/>
                <w:szCs w:val="1"/>
                <w:color w:val="auto"/>
              </w:rPr>
            </w:pPr>
          </w:p>
        </w:tc>
      </w:tr>
      <w:tr>
        <w:trPr>
          <w:trHeight w:val="168"/>
        </w:trPr>
        <w:tc>
          <w:tcPr>
            <w:tcW w:w="3620" w:type="dxa"/>
            <w:vAlign w:val="bottom"/>
          </w:tcPr>
          <w:p>
            <w:pPr>
              <w:ind w:left="320"/>
              <w:spacing w:after="0"/>
              <w:rPr>
                <w:sz w:val="20"/>
                <w:szCs w:val="20"/>
                <w:color w:val="auto"/>
              </w:rPr>
            </w:pPr>
            <w:r>
              <w:rPr>
                <w:rFonts w:ascii="Arial" w:cs="Arial" w:eastAsia="Arial" w:hAnsi="Arial"/>
                <w:sz w:val="11"/>
                <w:szCs w:val="11"/>
                <w:color w:val="auto"/>
              </w:rPr>
              <w:t>Foreign currency translation adjustment, net of tax</w:t>
            </w:r>
          </w:p>
        </w:tc>
        <w:tc>
          <w:tcPr>
            <w:tcW w:w="74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74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4"/>
                <w:szCs w:val="14"/>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4"/>
                <w:szCs w:val="14"/>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4"/>
                <w:szCs w:val="14"/>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4"/>
                <w:szCs w:val="14"/>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(3,995)</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(2,534)</w:t>
            </w: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(6,529)</w:t>
            </w:r>
          </w:p>
        </w:tc>
        <w:tc>
          <w:tcPr>
            <w:tcW w:w="0" w:type="dxa"/>
            <w:vAlign w:val="bottom"/>
          </w:tcPr>
          <w:p>
            <w:pPr>
              <w:spacing w:after="0"/>
              <w:rPr>
                <w:sz w:val="1"/>
                <w:szCs w:val="1"/>
                <w:color w:val="auto"/>
              </w:rPr>
            </w:pPr>
          </w:p>
        </w:tc>
      </w:tr>
      <w:tr>
        <w:trPr>
          <w:trHeight w:val="137"/>
        </w:trPr>
        <w:tc>
          <w:tcPr>
            <w:tcW w:w="3620" w:type="dxa"/>
            <w:vAlign w:val="bottom"/>
          </w:tcPr>
          <w:p>
            <w:pPr>
              <w:ind w:left="320"/>
              <w:spacing w:after="0"/>
              <w:rPr>
                <w:sz w:val="20"/>
                <w:szCs w:val="20"/>
                <w:color w:val="auto"/>
              </w:rPr>
            </w:pPr>
            <w:r>
              <w:rPr>
                <w:rFonts w:ascii="Arial" w:cs="Arial" w:eastAsia="Arial" w:hAnsi="Arial"/>
                <w:sz w:val="11"/>
                <w:szCs w:val="11"/>
                <w:color w:val="auto"/>
              </w:rPr>
              <w:t>Unrealized gain on interest-rate swap designated as cash-flow</w:t>
            </w:r>
          </w:p>
        </w:tc>
        <w:tc>
          <w:tcPr>
            <w:tcW w:w="740" w:type="dxa"/>
            <w:vAlign w:val="bottom"/>
            <w:gridSpan w:val="2"/>
            <w:vMerge w:val="restart"/>
          </w:tcPr>
          <w:p>
            <w:pPr>
              <w:jc w:val="right"/>
              <w:ind w:right="180"/>
              <w:spacing w:after="0"/>
              <w:rPr>
                <w:sz w:val="20"/>
                <w:szCs w:val="20"/>
                <w:color w:val="auto"/>
              </w:rPr>
            </w:pPr>
            <w:r>
              <w:rPr>
                <w:rFonts w:ascii="Arial" w:cs="Arial" w:eastAsia="Arial" w:hAnsi="Arial"/>
                <w:sz w:val="11"/>
                <w:szCs w:val="11"/>
                <w:color w:val="auto"/>
              </w:rPr>
              <w:t>—</w:t>
            </w:r>
          </w:p>
        </w:tc>
        <w:tc>
          <w:tcPr>
            <w:tcW w:w="740" w:type="dxa"/>
            <w:vAlign w:val="bottom"/>
            <w:gridSpan w:val="2"/>
            <w:vMerge w:val="restart"/>
          </w:tcPr>
          <w:p>
            <w:pPr>
              <w:jc w:val="right"/>
              <w:ind w:right="18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660" w:type="dxa"/>
            <w:vAlign w:val="bottom"/>
            <w:gridSpan w:val="2"/>
            <w:vMerge w:val="restart"/>
          </w:tcPr>
          <w:p>
            <w:pPr>
              <w:jc w:val="right"/>
              <w:ind w:right="18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660" w:type="dxa"/>
            <w:vAlign w:val="bottom"/>
            <w:gridSpan w:val="2"/>
            <w:vMerge w:val="restart"/>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680" w:type="dxa"/>
            <w:vAlign w:val="bottom"/>
            <w:gridSpan w:val="2"/>
            <w:vMerge w:val="restart"/>
          </w:tcPr>
          <w:p>
            <w:pPr>
              <w:jc w:val="right"/>
              <w:ind w:right="18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680" w:type="dxa"/>
            <w:vAlign w:val="bottom"/>
            <w:gridSpan w:val="2"/>
            <w:vMerge w:val="restart"/>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800" w:type="dxa"/>
            <w:vAlign w:val="bottom"/>
            <w:gridSpan w:val="2"/>
            <w:vMerge w:val="restart"/>
          </w:tcPr>
          <w:p>
            <w:pPr>
              <w:jc w:val="right"/>
              <w:ind w:right="18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700" w:type="dxa"/>
            <w:vAlign w:val="bottom"/>
            <w:gridSpan w:val="2"/>
            <w:vMerge w:val="restart"/>
          </w:tcPr>
          <w:p>
            <w:pPr>
              <w:jc w:val="right"/>
              <w:ind w:right="180"/>
              <w:spacing w:after="0"/>
              <w:rPr>
                <w:sz w:val="20"/>
                <w:szCs w:val="20"/>
                <w:color w:val="auto"/>
              </w:rPr>
            </w:pPr>
            <w:r>
              <w:rPr>
                <w:rFonts w:ascii="Arial" w:cs="Arial" w:eastAsia="Arial" w:hAnsi="Arial"/>
                <w:sz w:val="11"/>
                <w:szCs w:val="11"/>
                <w:color w:val="auto"/>
              </w:rPr>
              <w:t>—</w:t>
            </w:r>
          </w:p>
        </w:tc>
        <w:tc>
          <w:tcPr>
            <w:tcW w:w="660" w:type="dxa"/>
            <w:vAlign w:val="bottom"/>
            <w:vMerge w:val="restart"/>
          </w:tcPr>
          <w:p>
            <w:pPr>
              <w:jc w:val="right"/>
              <w:ind w:right="25"/>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7"/>
        </w:trPr>
        <w:tc>
          <w:tcPr>
            <w:tcW w:w="3620" w:type="dxa"/>
            <w:vAlign w:val="bottom"/>
          </w:tcPr>
          <w:p>
            <w:pPr>
              <w:ind w:left="320"/>
              <w:spacing w:after="0"/>
              <w:rPr>
                <w:sz w:val="20"/>
                <w:szCs w:val="20"/>
                <w:color w:val="auto"/>
              </w:rPr>
            </w:pPr>
            <w:r>
              <w:rPr>
                <w:rFonts w:ascii="Arial" w:cs="Arial" w:eastAsia="Arial" w:hAnsi="Arial"/>
                <w:sz w:val="11"/>
                <w:szCs w:val="11"/>
                <w:color w:val="auto"/>
              </w:rPr>
              <w:t>hedge, net of tax</w:t>
            </w:r>
          </w:p>
        </w:tc>
        <w:tc>
          <w:tcPr>
            <w:tcW w:w="740" w:type="dxa"/>
            <w:vAlign w:val="bottom"/>
            <w:gridSpan w:val="2"/>
            <w:vMerge w:val="continue"/>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6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20" w:type="dxa"/>
            <w:vAlign w:val="bottom"/>
          </w:tcPr>
          <w:p>
            <w:pPr>
              <w:spacing w:after="0"/>
              <w:rPr>
                <w:sz w:val="20"/>
                <w:szCs w:val="20"/>
                <w:color w:val="auto"/>
              </w:rPr>
            </w:pPr>
            <w:r>
              <w:rPr>
                <w:rFonts w:ascii="Arial" w:cs="Arial" w:eastAsia="Arial" w:hAnsi="Arial"/>
                <w:sz w:val="11"/>
                <w:szCs w:val="11"/>
                <w:color w:val="auto"/>
              </w:rPr>
              <w:t>Unitholders' capital as of December 31, 2023</w:t>
            </w:r>
          </w:p>
        </w:tc>
        <w:tc>
          <w:tcPr>
            <w:tcW w:w="620" w:type="dxa"/>
            <w:vAlign w:val="bottom"/>
            <w:tcBorders>
              <w:top w:val="single" w:sz="8" w:color="auto"/>
            </w:tcBorders>
          </w:tcPr>
          <w:p>
            <w:pPr>
              <w:jc w:val="right"/>
              <w:ind w:right="5"/>
              <w:spacing w:after="0"/>
              <w:rPr>
                <w:sz w:val="20"/>
                <w:szCs w:val="20"/>
                <w:color w:val="auto"/>
              </w:rPr>
            </w:pPr>
            <w:r>
              <w:rPr>
                <w:rFonts w:ascii="Arial" w:cs="Arial" w:eastAsia="Arial" w:hAnsi="Arial"/>
                <w:sz w:val="11"/>
                <w:szCs w:val="11"/>
                <w:color w:val="auto"/>
              </w:rPr>
              <w:t>109,199</w:t>
            </w:r>
          </w:p>
        </w:tc>
        <w:tc>
          <w:tcPr>
            <w:tcW w:w="120" w:type="dxa"/>
            <w:vAlign w:val="bottom"/>
          </w:tcPr>
          <w:p>
            <w:pPr>
              <w:spacing w:after="0"/>
              <w:rPr>
                <w:sz w:val="12"/>
                <w:szCs w:val="12"/>
                <w:color w:val="auto"/>
              </w:rPr>
            </w:pPr>
          </w:p>
        </w:tc>
        <w:tc>
          <w:tcPr>
            <w:tcW w:w="640" w:type="dxa"/>
            <w:vAlign w:val="bottom"/>
            <w:tcBorders>
              <w:top w:val="single" w:sz="8" w:color="auto"/>
            </w:tcBorders>
          </w:tcPr>
          <w:p>
            <w:pPr>
              <w:jc w:val="right"/>
              <w:ind w:right="25"/>
              <w:spacing w:after="0"/>
              <w:rPr>
                <w:sz w:val="20"/>
                <w:szCs w:val="20"/>
                <w:color w:val="auto"/>
              </w:rPr>
            </w:pPr>
            <w:r>
              <w:rPr>
                <w:rFonts w:ascii="Arial" w:cs="Arial" w:eastAsia="Arial" w:hAnsi="Arial"/>
                <w:sz w:val="11"/>
                <w:szCs w:val="11"/>
                <w:color w:val="auto"/>
              </w:rPr>
              <w:t>50,916</w:t>
            </w:r>
          </w:p>
        </w:tc>
        <w:tc>
          <w:tcPr>
            <w:tcW w:w="1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ind w:right="25"/>
              <w:spacing w:after="0"/>
              <w:rPr>
                <w:sz w:val="20"/>
                <w:szCs w:val="20"/>
                <w:color w:val="auto"/>
              </w:rPr>
            </w:pPr>
            <w:r>
              <w:rPr>
                <w:rFonts w:ascii="Arial" w:cs="Arial" w:eastAsia="Arial" w:hAnsi="Arial"/>
                <w:sz w:val="11"/>
                <w:szCs w:val="11"/>
                <w:color w:val="auto"/>
              </w:rPr>
              <w:t>173,669</w:t>
            </w:r>
          </w:p>
        </w:tc>
        <w:tc>
          <w:tcPr>
            <w:tcW w:w="1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ind w:right="5"/>
              <w:spacing w:after="0"/>
              <w:rPr>
                <w:sz w:val="20"/>
                <w:szCs w:val="20"/>
                <w:color w:val="auto"/>
              </w:rPr>
            </w:pPr>
            <w:r>
              <w:rPr>
                <w:rFonts w:ascii="Arial" w:cs="Arial" w:eastAsia="Arial" w:hAnsi="Arial"/>
                <w:sz w:val="11"/>
                <w:szCs w:val="11"/>
                <w:color w:val="auto"/>
              </w:rPr>
              <w:t>226,915</w:t>
            </w:r>
          </w:p>
        </w:tc>
        <w:tc>
          <w:tcPr>
            <w:tcW w:w="1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ind w:right="5"/>
              <w:spacing w:after="0"/>
              <w:rPr>
                <w:sz w:val="20"/>
                <w:szCs w:val="20"/>
                <w:color w:val="auto"/>
              </w:rPr>
            </w:pPr>
            <w:r>
              <w:rPr>
                <w:rFonts w:ascii="Arial" w:cs="Arial" w:eastAsia="Arial" w:hAnsi="Arial"/>
                <w:sz w:val="11"/>
                <w:szCs w:val="11"/>
                <w:color w:val="auto"/>
                <w:w w:val="97"/>
              </w:rPr>
              <w:t>1,529,909</w:t>
            </w:r>
          </w:p>
        </w:tc>
        <w:tc>
          <w:tcPr>
            <w:tcW w:w="1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5"/>
              <w:spacing w:after="0"/>
              <w:rPr>
                <w:sz w:val="20"/>
                <w:szCs w:val="20"/>
                <w:color w:val="auto"/>
              </w:rPr>
            </w:pPr>
            <w:r>
              <w:rPr>
                <w:rFonts w:ascii="Arial" w:cs="Arial" w:eastAsia="Arial" w:hAnsi="Arial"/>
                <w:sz w:val="11"/>
                <w:szCs w:val="11"/>
                <w:color w:val="auto"/>
              </w:rPr>
              <w:t>334,314</w:t>
            </w:r>
          </w:p>
        </w:tc>
        <w:tc>
          <w:tcPr>
            <w:tcW w:w="1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(13,096)</w:t>
            </w:r>
          </w:p>
        </w:tc>
        <w:tc>
          <w:tcPr>
            <w:tcW w:w="12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5"/>
              <w:spacing w:after="0"/>
              <w:rPr>
                <w:sz w:val="20"/>
                <w:szCs w:val="20"/>
                <w:color w:val="auto"/>
              </w:rPr>
            </w:pPr>
            <w:r>
              <w:rPr>
                <w:rFonts w:ascii="Arial" w:cs="Arial" w:eastAsia="Arial" w:hAnsi="Arial"/>
                <w:sz w:val="11"/>
                <w:szCs w:val="11"/>
                <w:color w:val="auto"/>
              </w:rPr>
              <w:t>333,195</w:t>
            </w:r>
          </w:p>
        </w:tc>
        <w:tc>
          <w:tcPr>
            <w:tcW w:w="120" w:type="dxa"/>
            <w:vAlign w:val="bottom"/>
          </w:tcPr>
          <w:p>
            <w:pPr>
              <w:spacing w:after="0"/>
              <w:rPr>
                <w:sz w:val="12"/>
                <w:szCs w:val="12"/>
                <w:color w:val="auto"/>
              </w:rPr>
            </w:pPr>
          </w:p>
        </w:tc>
        <w:tc>
          <w:tcPr>
            <w:tcW w:w="660" w:type="dxa"/>
            <w:vAlign w:val="bottom"/>
            <w:tcBorders>
              <w:top w:val="single" w:sz="8" w:color="auto"/>
            </w:tcBorders>
          </w:tcPr>
          <w:p>
            <w:pPr>
              <w:jc w:val="right"/>
              <w:ind w:right="25"/>
              <w:spacing w:after="0"/>
              <w:rPr>
                <w:sz w:val="20"/>
                <w:szCs w:val="20"/>
                <w:color w:val="auto"/>
              </w:rPr>
            </w:pPr>
            <w:r>
              <w:rPr>
                <w:rFonts w:ascii="Arial" w:cs="Arial" w:eastAsia="Arial" w:hAnsi="Arial"/>
                <w:sz w:val="11"/>
                <w:szCs w:val="11"/>
                <w:color w:val="auto"/>
              </w:rPr>
              <w:t>2,584,906</w:t>
            </w:r>
          </w:p>
        </w:tc>
        <w:tc>
          <w:tcPr>
            <w:tcW w:w="0" w:type="dxa"/>
            <w:vAlign w:val="bottom"/>
          </w:tcPr>
          <w:p>
            <w:pPr>
              <w:spacing w:after="0"/>
              <w:rPr>
                <w:sz w:val="1"/>
                <w:szCs w:val="1"/>
                <w:color w:val="auto"/>
              </w:rPr>
            </w:pPr>
          </w:p>
        </w:tc>
      </w:tr>
      <w:tr>
        <w:trPr>
          <w:trHeight w:val="168"/>
        </w:trPr>
        <w:tc>
          <w:tcPr>
            <w:tcW w:w="3620" w:type="dxa"/>
            <w:vAlign w:val="bottom"/>
          </w:tcPr>
          <w:p>
            <w:pPr>
              <w:spacing w:after="0"/>
              <w:rPr>
                <w:sz w:val="20"/>
                <w:szCs w:val="20"/>
                <w:color w:val="auto"/>
              </w:rPr>
            </w:pPr>
            <w:r>
              <w:rPr>
                <w:rFonts w:ascii="Arial" w:cs="Arial" w:eastAsia="Arial" w:hAnsi="Arial"/>
                <w:sz w:val="11"/>
                <w:szCs w:val="11"/>
                <w:color w:val="auto"/>
              </w:rPr>
              <w:t>Activity for the year ended December 31, 2024:</w:t>
            </w: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620" w:type="dxa"/>
            <w:vAlign w:val="bottom"/>
          </w:tcPr>
          <w:p>
            <w:pPr>
              <w:ind w:left="320"/>
              <w:spacing w:after="0"/>
              <w:rPr>
                <w:sz w:val="20"/>
                <w:szCs w:val="20"/>
                <w:color w:val="auto"/>
              </w:rPr>
            </w:pPr>
            <w:r>
              <w:rPr>
                <w:rFonts w:ascii="Arial" w:cs="Arial" w:eastAsia="Arial" w:hAnsi="Arial"/>
                <w:sz w:val="11"/>
                <w:szCs w:val="11"/>
                <w:color w:val="auto"/>
              </w:rPr>
              <w:t>Issuance of units</w:t>
            </w:r>
          </w:p>
        </w:tc>
        <w:tc>
          <w:tcPr>
            <w:tcW w:w="74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640" w:type="dxa"/>
            <w:vAlign w:val="bottom"/>
          </w:tcPr>
          <w:p>
            <w:pPr>
              <w:jc w:val="right"/>
              <w:ind w:right="25"/>
              <w:spacing w:after="0"/>
              <w:rPr>
                <w:sz w:val="20"/>
                <w:szCs w:val="20"/>
                <w:color w:val="auto"/>
              </w:rPr>
            </w:pPr>
            <w:r>
              <w:rPr>
                <w:rFonts w:ascii="Arial" w:cs="Arial" w:eastAsia="Arial" w:hAnsi="Arial"/>
                <w:sz w:val="11"/>
                <w:szCs w:val="11"/>
                <w:color w:val="auto"/>
              </w:rPr>
              <w:t>81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4"/>
                <w:szCs w:val="14"/>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4"/>
                <w:szCs w:val="14"/>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4"/>
                <w:szCs w:val="14"/>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4"/>
                <w:szCs w:val="14"/>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4"/>
                <w:szCs w:val="14"/>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660" w:type="dxa"/>
            <w:vAlign w:val="bottom"/>
          </w:tcPr>
          <w:p>
            <w:pPr>
              <w:jc w:val="right"/>
              <w:ind w:right="25"/>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68"/>
        </w:trPr>
        <w:tc>
          <w:tcPr>
            <w:tcW w:w="3620" w:type="dxa"/>
            <w:vAlign w:val="bottom"/>
          </w:tcPr>
          <w:p>
            <w:pPr>
              <w:ind w:left="320"/>
              <w:spacing w:after="0"/>
              <w:rPr>
                <w:sz w:val="20"/>
                <w:szCs w:val="20"/>
                <w:color w:val="auto"/>
              </w:rPr>
            </w:pPr>
            <w:r>
              <w:rPr>
                <w:rFonts w:ascii="Arial" w:cs="Arial" w:eastAsia="Arial" w:hAnsi="Arial"/>
                <w:sz w:val="11"/>
                <w:szCs w:val="11"/>
                <w:color w:val="auto"/>
              </w:rPr>
              <w:t>Unit Exchange</w:t>
            </w:r>
          </w:p>
        </w:tc>
        <w:tc>
          <w:tcPr>
            <w:tcW w:w="620" w:type="dxa"/>
            <w:vAlign w:val="bottom"/>
          </w:tcPr>
          <w:p>
            <w:pPr>
              <w:jc w:val="right"/>
              <w:ind w:right="5"/>
              <w:spacing w:after="0"/>
              <w:rPr>
                <w:sz w:val="20"/>
                <w:szCs w:val="20"/>
                <w:color w:val="auto"/>
              </w:rPr>
            </w:pPr>
            <w:r>
              <w:rPr>
                <w:rFonts w:ascii="Arial" w:cs="Arial" w:eastAsia="Arial" w:hAnsi="Arial"/>
                <w:sz w:val="11"/>
                <w:szCs w:val="11"/>
                <w:color w:val="auto"/>
              </w:rPr>
              <w:t>7,174</w:t>
            </w:r>
          </w:p>
        </w:tc>
        <w:tc>
          <w:tcPr>
            <w:tcW w:w="1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(7,174)</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4"/>
                <w:szCs w:val="14"/>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4"/>
                <w:szCs w:val="14"/>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4"/>
                <w:szCs w:val="14"/>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4"/>
                <w:szCs w:val="14"/>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4"/>
                <w:szCs w:val="14"/>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660" w:type="dxa"/>
            <w:vAlign w:val="bottom"/>
          </w:tcPr>
          <w:p>
            <w:pPr>
              <w:jc w:val="right"/>
              <w:ind w:right="25"/>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68"/>
        </w:trPr>
        <w:tc>
          <w:tcPr>
            <w:tcW w:w="3620" w:type="dxa"/>
            <w:vAlign w:val="bottom"/>
          </w:tcPr>
          <w:p>
            <w:pPr>
              <w:ind w:left="320"/>
              <w:spacing w:after="0"/>
              <w:rPr>
                <w:sz w:val="20"/>
                <w:szCs w:val="20"/>
                <w:color w:val="auto"/>
              </w:rPr>
            </w:pPr>
            <w:r>
              <w:rPr>
                <w:rFonts w:ascii="Arial" w:cs="Arial" w:eastAsia="Arial" w:hAnsi="Arial"/>
                <w:sz w:val="11"/>
                <w:szCs w:val="11"/>
                <w:color w:val="auto"/>
              </w:rPr>
              <w:t>Capital contributions</w:t>
            </w:r>
          </w:p>
        </w:tc>
        <w:tc>
          <w:tcPr>
            <w:tcW w:w="74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74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4"/>
                <w:szCs w:val="14"/>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4"/>
                <w:szCs w:val="14"/>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4"/>
                <w:szCs w:val="14"/>
                <w:color w:val="auto"/>
              </w:rPr>
            </w:pPr>
          </w:p>
        </w:tc>
        <w:tc>
          <w:tcPr>
            <w:tcW w:w="560" w:type="dxa"/>
            <w:vAlign w:val="bottom"/>
          </w:tcPr>
          <w:p>
            <w:pPr>
              <w:jc w:val="right"/>
              <w:ind w:right="5"/>
              <w:spacing w:after="0"/>
              <w:rPr>
                <w:sz w:val="20"/>
                <w:szCs w:val="20"/>
                <w:color w:val="auto"/>
              </w:rPr>
            </w:pPr>
            <w:r>
              <w:rPr>
                <w:rFonts w:ascii="Arial" w:cs="Arial" w:eastAsia="Arial" w:hAnsi="Arial"/>
                <w:sz w:val="11"/>
                <w:szCs w:val="11"/>
                <w:color w:val="auto"/>
              </w:rPr>
              <w:t>99,527</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4"/>
                <w:szCs w:val="14"/>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4"/>
                <w:szCs w:val="14"/>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660" w:type="dxa"/>
            <w:vAlign w:val="bottom"/>
          </w:tcPr>
          <w:p>
            <w:pPr>
              <w:jc w:val="right"/>
              <w:ind w:right="25"/>
              <w:spacing w:after="0"/>
              <w:rPr>
                <w:sz w:val="20"/>
                <w:szCs w:val="20"/>
                <w:color w:val="auto"/>
              </w:rPr>
            </w:pPr>
            <w:r>
              <w:rPr>
                <w:rFonts w:ascii="Arial" w:cs="Arial" w:eastAsia="Arial" w:hAnsi="Arial"/>
                <w:sz w:val="11"/>
                <w:szCs w:val="11"/>
                <w:color w:val="auto"/>
              </w:rPr>
              <w:t>99,527</w:t>
            </w:r>
          </w:p>
        </w:tc>
        <w:tc>
          <w:tcPr>
            <w:tcW w:w="0" w:type="dxa"/>
            <w:vAlign w:val="bottom"/>
          </w:tcPr>
          <w:p>
            <w:pPr>
              <w:spacing w:after="0"/>
              <w:rPr>
                <w:sz w:val="1"/>
                <w:szCs w:val="1"/>
                <w:color w:val="auto"/>
              </w:rPr>
            </w:pPr>
          </w:p>
        </w:tc>
      </w:tr>
      <w:tr>
        <w:trPr>
          <w:trHeight w:val="168"/>
        </w:trPr>
        <w:tc>
          <w:tcPr>
            <w:tcW w:w="3620" w:type="dxa"/>
            <w:vAlign w:val="bottom"/>
          </w:tcPr>
          <w:p>
            <w:pPr>
              <w:ind w:left="320"/>
              <w:spacing w:after="0"/>
              <w:rPr>
                <w:sz w:val="20"/>
                <w:szCs w:val="20"/>
                <w:color w:val="auto"/>
              </w:rPr>
            </w:pPr>
            <w:r>
              <w:rPr>
                <w:rFonts w:ascii="Arial" w:cs="Arial" w:eastAsia="Arial" w:hAnsi="Arial"/>
                <w:sz w:val="11"/>
                <w:szCs w:val="11"/>
                <w:color w:val="auto"/>
              </w:rPr>
              <w:t>Deconsolidation of Oaktree Capital I</w:t>
            </w:r>
          </w:p>
        </w:tc>
        <w:tc>
          <w:tcPr>
            <w:tcW w:w="74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74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4"/>
                <w:szCs w:val="14"/>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4"/>
                <w:szCs w:val="14"/>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4"/>
                <w:szCs w:val="14"/>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4"/>
                <w:szCs w:val="14"/>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4"/>
                <w:szCs w:val="14"/>
                <w:color w:val="auto"/>
              </w:rPr>
            </w:pPr>
          </w:p>
        </w:tc>
        <w:tc>
          <w:tcPr>
            <w:tcW w:w="680" w:type="dxa"/>
            <w:vAlign w:val="bottom"/>
          </w:tcPr>
          <w:p>
            <w:pPr>
              <w:jc w:val="right"/>
              <w:ind w:right="5"/>
              <w:spacing w:after="0"/>
              <w:rPr>
                <w:sz w:val="20"/>
                <w:szCs w:val="20"/>
                <w:color w:val="auto"/>
              </w:rPr>
            </w:pPr>
            <w:r>
              <w:rPr>
                <w:rFonts w:ascii="Arial" w:cs="Arial" w:eastAsia="Arial" w:hAnsi="Arial"/>
                <w:sz w:val="11"/>
                <w:szCs w:val="11"/>
                <w:color w:val="auto"/>
              </w:rPr>
              <w:t>14,122</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(283,685)</w:t>
            </w: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(269,563)</w:t>
            </w:r>
          </w:p>
        </w:tc>
        <w:tc>
          <w:tcPr>
            <w:tcW w:w="0" w:type="dxa"/>
            <w:vAlign w:val="bottom"/>
          </w:tcPr>
          <w:p>
            <w:pPr>
              <w:spacing w:after="0"/>
              <w:rPr>
                <w:sz w:val="1"/>
                <w:szCs w:val="1"/>
                <w:color w:val="auto"/>
              </w:rPr>
            </w:pPr>
          </w:p>
        </w:tc>
      </w:tr>
      <w:tr>
        <w:trPr>
          <w:trHeight w:val="137"/>
        </w:trPr>
        <w:tc>
          <w:tcPr>
            <w:tcW w:w="3620" w:type="dxa"/>
            <w:vAlign w:val="bottom"/>
          </w:tcPr>
          <w:p>
            <w:pPr>
              <w:ind w:left="320"/>
              <w:spacing w:after="0"/>
              <w:rPr>
                <w:sz w:val="20"/>
                <w:szCs w:val="20"/>
                <w:color w:val="auto"/>
              </w:rPr>
            </w:pPr>
            <w:r>
              <w:rPr>
                <w:rFonts w:ascii="Arial" w:cs="Arial" w:eastAsia="Arial" w:hAnsi="Arial"/>
                <w:sz w:val="11"/>
                <w:szCs w:val="11"/>
                <w:color w:val="auto"/>
              </w:rPr>
              <w:t>Equity reallocation between controlling and non-controlling</w:t>
            </w:r>
          </w:p>
        </w:tc>
        <w:tc>
          <w:tcPr>
            <w:tcW w:w="740" w:type="dxa"/>
            <w:vAlign w:val="bottom"/>
            <w:gridSpan w:val="2"/>
            <w:vMerge w:val="restart"/>
          </w:tcPr>
          <w:p>
            <w:pPr>
              <w:jc w:val="right"/>
              <w:ind w:right="180"/>
              <w:spacing w:after="0"/>
              <w:rPr>
                <w:sz w:val="20"/>
                <w:szCs w:val="20"/>
                <w:color w:val="auto"/>
              </w:rPr>
            </w:pPr>
            <w:r>
              <w:rPr>
                <w:rFonts w:ascii="Arial" w:cs="Arial" w:eastAsia="Arial" w:hAnsi="Arial"/>
                <w:sz w:val="11"/>
                <w:szCs w:val="11"/>
                <w:color w:val="auto"/>
              </w:rPr>
              <w:t>—</w:t>
            </w:r>
          </w:p>
        </w:tc>
        <w:tc>
          <w:tcPr>
            <w:tcW w:w="740" w:type="dxa"/>
            <w:vAlign w:val="bottom"/>
            <w:gridSpan w:val="2"/>
            <w:vMerge w:val="restart"/>
          </w:tcPr>
          <w:p>
            <w:pPr>
              <w:jc w:val="right"/>
              <w:ind w:right="18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660" w:type="dxa"/>
            <w:vAlign w:val="bottom"/>
            <w:gridSpan w:val="2"/>
            <w:vMerge w:val="restart"/>
          </w:tcPr>
          <w:p>
            <w:pPr>
              <w:jc w:val="right"/>
              <w:ind w:right="18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660" w:type="dxa"/>
            <w:vAlign w:val="bottom"/>
            <w:gridSpan w:val="2"/>
            <w:vMerge w:val="restart"/>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560" w:type="dxa"/>
            <w:vAlign w:val="bottom"/>
            <w:vMerge w:val="restart"/>
          </w:tcPr>
          <w:p>
            <w:pPr>
              <w:jc w:val="right"/>
              <w:ind w:right="5"/>
              <w:spacing w:after="0"/>
              <w:rPr>
                <w:sz w:val="20"/>
                <w:szCs w:val="20"/>
                <w:color w:val="auto"/>
              </w:rPr>
            </w:pPr>
            <w:r>
              <w:rPr>
                <w:rFonts w:ascii="Arial" w:cs="Arial" w:eastAsia="Arial" w:hAnsi="Arial"/>
                <w:sz w:val="11"/>
                <w:szCs w:val="11"/>
                <w:color w:val="auto"/>
              </w:rPr>
              <w:t>33,948</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gridSpan w:val="2"/>
            <w:vMerge w:val="restart"/>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800" w:type="dxa"/>
            <w:vAlign w:val="bottom"/>
            <w:gridSpan w:val="2"/>
            <w:vMerge w:val="restart"/>
          </w:tcPr>
          <w:p>
            <w:pPr>
              <w:jc w:val="right"/>
              <w:ind w:right="18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580" w:type="dxa"/>
            <w:vAlign w:val="bottom"/>
            <w:vMerge w:val="restart"/>
          </w:tcPr>
          <w:p>
            <w:pPr>
              <w:jc w:val="right"/>
              <w:spacing w:after="0"/>
              <w:rPr>
                <w:sz w:val="20"/>
                <w:szCs w:val="20"/>
                <w:color w:val="auto"/>
              </w:rPr>
            </w:pPr>
            <w:r>
              <w:rPr>
                <w:rFonts w:ascii="Arial" w:cs="Arial" w:eastAsia="Arial" w:hAnsi="Arial"/>
                <w:sz w:val="11"/>
                <w:szCs w:val="11"/>
                <w:color w:val="auto"/>
              </w:rPr>
              <w:t>(34,219)</w:t>
            </w:r>
          </w:p>
        </w:tc>
        <w:tc>
          <w:tcPr>
            <w:tcW w:w="120" w:type="dxa"/>
            <w:vAlign w:val="bottom"/>
          </w:tcPr>
          <w:p>
            <w:pPr>
              <w:spacing w:after="0"/>
              <w:rPr>
                <w:sz w:val="11"/>
                <w:szCs w:val="11"/>
                <w:color w:val="auto"/>
              </w:rPr>
            </w:pPr>
          </w:p>
        </w:tc>
        <w:tc>
          <w:tcPr>
            <w:tcW w:w="660" w:type="dxa"/>
            <w:vAlign w:val="bottom"/>
            <w:vMerge w:val="restart"/>
          </w:tcPr>
          <w:p>
            <w:pPr>
              <w:jc w:val="right"/>
              <w:spacing w:after="0"/>
              <w:rPr>
                <w:sz w:val="20"/>
                <w:szCs w:val="20"/>
                <w:color w:val="auto"/>
              </w:rPr>
            </w:pPr>
            <w:r>
              <w:rPr>
                <w:rFonts w:ascii="Arial" w:cs="Arial" w:eastAsia="Arial" w:hAnsi="Arial"/>
                <w:sz w:val="11"/>
                <w:szCs w:val="11"/>
                <w:color w:val="auto"/>
              </w:rPr>
              <w:t>(271)</w:t>
            </w:r>
          </w:p>
        </w:tc>
        <w:tc>
          <w:tcPr>
            <w:tcW w:w="0" w:type="dxa"/>
            <w:vAlign w:val="bottom"/>
          </w:tcPr>
          <w:p>
            <w:pPr>
              <w:spacing w:after="0"/>
              <w:rPr>
                <w:sz w:val="1"/>
                <w:szCs w:val="1"/>
                <w:color w:val="auto"/>
              </w:rPr>
            </w:pPr>
          </w:p>
        </w:tc>
      </w:tr>
      <w:tr>
        <w:trPr>
          <w:trHeight w:val="147"/>
        </w:trPr>
        <w:tc>
          <w:tcPr>
            <w:tcW w:w="3620" w:type="dxa"/>
            <w:vAlign w:val="bottom"/>
          </w:tcPr>
          <w:p>
            <w:pPr>
              <w:ind w:left="320"/>
              <w:spacing w:after="0"/>
              <w:rPr>
                <w:sz w:val="20"/>
                <w:szCs w:val="20"/>
                <w:color w:val="auto"/>
              </w:rPr>
            </w:pPr>
            <w:r>
              <w:rPr>
                <w:rFonts w:ascii="Arial" w:cs="Arial" w:eastAsia="Arial" w:hAnsi="Arial"/>
                <w:sz w:val="11"/>
                <w:szCs w:val="11"/>
                <w:color w:val="auto"/>
              </w:rPr>
              <w:t>interests</w:t>
            </w:r>
          </w:p>
        </w:tc>
        <w:tc>
          <w:tcPr>
            <w:tcW w:w="740" w:type="dxa"/>
            <w:vAlign w:val="bottom"/>
            <w:gridSpan w:val="2"/>
            <w:vMerge w:val="continue"/>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3620" w:type="dxa"/>
            <w:vAlign w:val="bottom"/>
          </w:tcPr>
          <w:p>
            <w:pPr>
              <w:ind w:left="320"/>
              <w:spacing w:after="0"/>
              <w:rPr>
                <w:sz w:val="20"/>
                <w:szCs w:val="20"/>
                <w:color w:val="auto"/>
              </w:rPr>
            </w:pPr>
            <w:r>
              <w:rPr>
                <w:rFonts w:ascii="Arial" w:cs="Arial" w:eastAsia="Arial" w:hAnsi="Arial"/>
                <w:sz w:val="11"/>
                <w:szCs w:val="11"/>
                <w:color w:val="auto"/>
              </w:rPr>
              <w:t>Distributions declared</w:t>
            </w:r>
          </w:p>
        </w:tc>
        <w:tc>
          <w:tcPr>
            <w:tcW w:w="74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74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(11,924)</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(15,392)</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(284,891)</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(68,688)</w:t>
            </w:r>
          </w:p>
        </w:tc>
        <w:tc>
          <w:tcPr>
            <w:tcW w:w="12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(380,895)</w:t>
            </w:r>
          </w:p>
        </w:tc>
        <w:tc>
          <w:tcPr>
            <w:tcW w:w="0" w:type="dxa"/>
            <w:vAlign w:val="bottom"/>
          </w:tcPr>
          <w:p>
            <w:pPr>
              <w:spacing w:after="0"/>
              <w:rPr>
                <w:sz w:val="1"/>
                <w:szCs w:val="1"/>
                <w:color w:val="auto"/>
              </w:rPr>
            </w:pPr>
          </w:p>
        </w:tc>
      </w:tr>
      <w:tr>
        <w:trPr>
          <w:trHeight w:val="168"/>
        </w:trPr>
        <w:tc>
          <w:tcPr>
            <w:tcW w:w="3620" w:type="dxa"/>
            <w:vAlign w:val="bottom"/>
          </w:tcPr>
          <w:p>
            <w:pPr>
              <w:ind w:left="320"/>
              <w:spacing w:after="0"/>
              <w:rPr>
                <w:sz w:val="20"/>
                <w:szCs w:val="20"/>
                <w:color w:val="auto"/>
              </w:rPr>
            </w:pPr>
            <w:r>
              <w:rPr>
                <w:rFonts w:ascii="Arial" w:cs="Arial" w:eastAsia="Arial" w:hAnsi="Arial"/>
                <w:sz w:val="11"/>
                <w:szCs w:val="11"/>
                <w:color w:val="auto"/>
              </w:rPr>
              <w:t>Net income</w:t>
            </w:r>
          </w:p>
        </w:tc>
        <w:tc>
          <w:tcPr>
            <w:tcW w:w="74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74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4"/>
                <w:szCs w:val="14"/>
                <w:color w:val="auto"/>
              </w:rPr>
            </w:pPr>
          </w:p>
        </w:tc>
        <w:tc>
          <w:tcPr>
            <w:tcW w:w="560" w:type="dxa"/>
            <w:vAlign w:val="bottom"/>
          </w:tcPr>
          <w:p>
            <w:pPr>
              <w:jc w:val="right"/>
              <w:ind w:right="25"/>
              <w:spacing w:after="0"/>
              <w:rPr>
                <w:sz w:val="20"/>
                <w:szCs w:val="20"/>
                <w:color w:val="auto"/>
              </w:rPr>
            </w:pPr>
            <w:r>
              <w:rPr>
                <w:rFonts w:ascii="Arial" w:cs="Arial" w:eastAsia="Arial" w:hAnsi="Arial"/>
                <w:sz w:val="11"/>
                <w:szCs w:val="11"/>
                <w:color w:val="auto"/>
              </w:rPr>
              <w:t>11,924</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ind w:right="5"/>
              <w:spacing w:after="0"/>
              <w:rPr>
                <w:sz w:val="20"/>
                <w:szCs w:val="20"/>
                <w:color w:val="auto"/>
              </w:rPr>
            </w:pPr>
            <w:r>
              <w:rPr>
                <w:rFonts w:ascii="Arial" w:cs="Arial" w:eastAsia="Arial" w:hAnsi="Arial"/>
                <w:sz w:val="11"/>
                <w:szCs w:val="11"/>
                <w:color w:val="auto"/>
              </w:rPr>
              <w:t>15,392</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4"/>
                <w:szCs w:val="14"/>
                <w:color w:val="auto"/>
              </w:rPr>
            </w:pPr>
          </w:p>
        </w:tc>
        <w:tc>
          <w:tcPr>
            <w:tcW w:w="580" w:type="dxa"/>
            <w:vAlign w:val="bottom"/>
          </w:tcPr>
          <w:p>
            <w:pPr>
              <w:jc w:val="right"/>
              <w:ind w:right="5"/>
              <w:spacing w:after="0"/>
              <w:rPr>
                <w:sz w:val="20"/>
                <w:szCs w:val="20"/>
                <w:color w:val="auto"/>
              </w:rPr>
            </w:pPr>
            <w:r>
              <w:rPr>
                <w:rFonts w:ascii="Arial" w:cs="Arial" w:eastAsia="Arial" w:hAnsi="Arial"/>
                <w:sz w:val="11"/>
                <w:szCs w:val="11"/>
                <w:color w:val="auto"/>
              </w:rPr>
              <w:t>280,208</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4"/>
                <w:szCs w:val="14"/>
                <w:color w:val="auto"/>
              </w:rPr>
            </w:pPr>
          </w:p>
        </w:tc>
        <w:tc>
          <w:tcPr>
            <w:tcW w:w="580" w:type="dxa"/>
            <w:vAlign w:val="bottom"/>
          </w:tcPr>
          <w:p>
            <w:pPr>
              <w:jc w:val="right"/>
              <w:ind w:right="5"/>
              <w:spacing w:after="0"/>
              <w:rPr>
                <w:sz w:val="20"/>
                <w:szCs w:val="20"/>
                <w:color w:val="auto"/>
              </w:rPr>
            </w:pPr>
            <w:r>
              <w:rPr>
                <w:rFonts w:ascii="Arial" w:cs="Arial" w:eastAsia="Arial" w:hAnsi="Arial"/>
                <w:sz w:val="11"/>
                <w:szCs w:val="11"/>
                <w:color w:val="auto"/>
              </w:rPr>
              <w:t>61,637</w:t>
            </w:r>
          </w:p>
        </w:tc>
        <w:tc>
          <w:tcPr>
            <w:tcW w:w="120" w:type="dxa"/>
            <w:vAlign w:val="bottom"/>
          </w:tcPr>
          <w:p>
            <w:pPr>
              <w:spacing w:after="0"/>
              <w:rPr>
                <w:sz w:val="14"/>
                <w:szCs w:val="14"/>
                <w:color w:val="auto"/>
              </w:rPr>
            </w:pPr>
          </w:p>
        </w:tc>
        <w:tc>
          <w:tcPr>
            <w:tcW w:w="660" w:type="dxa"/>
            <w:vAlign w:val="bottom"/>
          </w:tcPr>
          <w:p>
            <w:pPr>
              <w:jc w:val="right"/>
              <w:ind w:right="25"/>
              <w:spacing w:after="0"/>
              <w:rPr>
                <w:sz w:val="20"/>
                <w:szCs w:val="20"/>
                <w:color w:val="auto"/>
              </w:rPr>
            </w:pPr>
            <w:r>
              <w:rPr>
                <w:rFonts w:ascii="Arial" w:cs="Arial" w:eastAsia="Arial" w:hAnsi="Arial"/>
                <w:sz w:val="11"/>
                <w:szCs w:val="11"/>
                <w:color w:val="auto"/>
              </w:rPr>
              <w:t>369,161</w:t>
            </w:r>
          </w:p>
        </w:tc>
        <w:tc>
          <w:tcPr>
            <w:tcW w:w="0" w:type="dxa"/>
            <w:vAlign w:val="bottom"/>
          </w:tcPr>
          <w:p>
            <w:pPr>
              <w:spacing w:after="0"/>
              <w:rPr>
                <w:sz w:val="1"/>
                <w:szCs w:val="1"/>
                <w:color w:val="auto"/>
              </w:rPr>
            </w:pPr>
          </w:p>
        </w:tc>
      </w:tr>
      <w:tr>
        <w:trPr>
          <w:trHeight w:val="176"/>
        </w:trPr>
        <w:tc>
          <w:tcPr>
            <w:tcW w:w="3620" w:type="dxa"/>
            <w:vAlign w:val="bottom"/>
          </w:tcPr>
          <w:p>
            <w:pPr>
              <w:ind w:left="320"/>
              <w:spacing w:after="0"/>
              <w:rPr>
                <w:sz w:val="20"/>
                <w:szCs w:val="20"/>
                <w:color w:val="auto"/>
              </w:rPr>
            </w:pPr>
            <w:r>
              <w:rPr>
                <w:rFonts w:ascii="Arial" w:cs="Arial" w:eastAsia="Arial" w:hAnsi="Arial"/>
                <w:sz w:val="11"/>
                <w:szCs w:val="11"/>
                <w:color w:val="auto"/>
              </w:rPr>
              <w:t>Foreign currency translation adjustment, net of tax</w:t>
            </w:r>
          </w:p>
        </w:tc>
        <w:tc>
          <w:tcPr>
            <w:tcW w:w="620" w:type="dxa"/>
            <w:vAlign w:val="bottom"/>
            <w:tcBorders>
              <w:bottom w:val="single" w:sz="8" w:color="auto"/>
            </w:tcBorders>
          </w:tcPr>
          <w:p>
            <w:pPr>
              <w:jc w:val="right"/>
              <w:ind w:right="5"/>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5"/>
                <w:szCs w:val="15"/>
                <w:color w:val="auto"/>
              </w:rPr>
            </w:pPr>
          </w:p>
        </w:tc>
        <w:tc>
          <w:tcPr>
            <w:tcW w:w="640" w:type="dxa"/>
            <w:vAlign w:val="bottom"/>
            <w:tcBorders>
              <w:bottom w:val="single" w:sz="8" w:color="auto"/>
            </w:tcBorders>
          </w:tcPr>
          <w:p>
            <w:pPr>
              <w:jc w:val="right"/>
              <w:ind w:right="25"/>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25"/>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5"/>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5"/>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5"/>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(1,026)</w:t>
            </w:r>
          </w:p>
        </w:tc>
        <w:tc>
          <w:tcPr>
            <w:tcW w:w="120" w:type="dxa"/>
            <w:vAlign w:val="bottom"/>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(475)</w:t>
            </w:r>
          </w:p>
        </w:tc>
        <w:tc>
          <w:tcPr>
            <w:tcW w:w="120" w:type="dxa"/>
            <w:vAlign w:val="bottom"/>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(1,501)</w:t>
            </w:r>
          </w:p>
        </w:tc>
        <w:tc>
          <w:tcPr>
            <w:tcW w:w="0" w:type="dxa"/>
            <w:vAlign w:val="bottom"/>
          </w:tcPr>
          <w:p>
            <w:pPr>
              <w:spacing w:after="0"/>
              <w:rPr>
                <w:sz w:val="1"/>
                <w:szCs w:val="1"/>
                <w:color w:val="auto"/>
              </w:rPr>
            </w:pPr>
          </w:p>
        </w:tc>
      </w:tr>
      <w:tr>
        <w:trPr>
          <w:trHeight w:val="152"/>
        </w:trPr>
        <w:tc>
          <w:tcPr>
            <w:tcW w:w="3620" w:type="dxa"/>
            <w:vAlign w:val="bottom"/>
          </w:tcPr>
          <w:p>
            <w:pPr>
              <w:spacing w:after="0"/>
              <w:rPr>
                <w:sz w:val="20"/>
                <w:szCs w:val="20"/>
                <w:color w:val="auto"/>
              </w:rPr>
            </w:pPr>
            <w:r>
              <w:rPr>
                <w:rFonts w:ascii="Arial" w:cs="Arial" w:eastAsia="Arial" w:hAnsi="Arial"/>
                <w:sz w:val="11"/>
                <w:szCs w:val="11"/>
                <w:color w:val="auto"/>
              </w:rPr>
              <w:t>Unitholders’ capital as of December 31, 2024</w:t>
            </w:r>
          </w:p>
        </w:tc>
        <w:tc>
          <w:tcPr>
            <w:tcW w:w="620" w:type="dxa"/>
            <w:vAlign w:val="bottom"/>
          </w:tcPr>
          <w:p>
            <w:pPr>
              <w:jc w:val="right"/>
              <w:ind w:right="5"/>
              <w:spacing w:after="0"/>
              <w:rPr>
                <w:sz w:val="20"/>
                <w:szCs w:val="20"/>
                <w:color w:val="auto"/>
              </w:rPr>
            </w:pPr>
            <w:r>
              <w:rPr>
                <w:rFonts w:ascii="Arial" w:cs="Arial" w:eastAsia="Arial" w:hAnsi="Arial"/>
                <w:sz w:val="11"/>
                <w:szCs w:val="11"/>
                <w:color w:val="auto"/>
              </w:rPr>
              <w:t>116,373</w:t>
            </w:r>
          </w:p>
        </w:tc>
        <w:tc>
          <w:tcPr>
            <w:tcW w:w="120" w:type="dxa"/>
            <w:vAlign w:val="bottom"/>
          </w:tcPr>
          <w:p>
            <w:pPr>
              <w:spacing w:after="0"/>
              <w:rPr>
                <w:sz w:val="13"/>
                <w:szCs w:val="13"/>
                <w:color w:val="auto"/>
              </w:rPr>
            </w:pPr>
          </w:p>
        </w:tc>
        <w:tc>
          <w:tcPr>
            <w:tcW w:w="640" w:type="dxa"/>
            <w:vAlign w:val="bottom"/>
          </w:tcPr>
          <w:p>
            <w:pPr>
              <w:jc w:val="right"/>
              <w:ind w:right="25"/>
              <w:spacing w:after="0"/>
              <w:rPr>
                <w:sz w:val="20"/>
                <w:szCs w:val="20"/>
                <w:color w:val="auto"/>
              </w:rPr>
            </w:pPr>
            <w:r>
              <w:rPr>
                <w:rFonts w:ascii="Arial" w:cs="Arial" w:eastAsia="Arial" w:hAnsi="Arial"/>
                <w:sz w:val="11"/>
                <w:szCs w:val="11"/>
                <w:color w:val="auto"/>
              </w:rPr>
              <w:t>43,823</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jc w:val="right"/>
              <w:ind w:right="25"/>
              <w:spacing w:after="0"/>
              <w:rPr>
                <w:sz w:val="20"/>
                <w:szCs w:val="20"/>
                <w:color w:val="auto"/>
              </w:rPr>
            </w:pPr>
            <w:r>
              <w:rPr>
                <w:rFonts w:ascii="Arial" w:cs="Arial" w:eastAsia="Arial" w:hAnsi="Arial"/>
                <w:sz w:val="11"/>
                <w:szCs w:val="11"/>
                <w:color w:val="auto"/>
              </w:rPr>
              <w:t>173,669</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jc w:val="right"/>
              <w:ind w:right="5"/>
              <w:spacing w:after="0"/>
              <w:rPr>
                <w:sz w:val="20"/>
                <w:szCs w:val="20"/>
                <w:color w:val="auto"/>
              </w:rPr>
            </w:pPr>
            <w:r>
              <w:rPr>
                <w:rFonts w:ascii="Arial" w:cs="Arial" w:eastAsia="Arial" w:hAnsi="Arial"/>
                <w:sz w:val="11"/>
                <w:szCs w:val="11"/>
                <w:color w:val="auto"/>
              </w:rPr>
              <w:t>226,915</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jc w:val="right"/>
              <w:ind w:right="5"/>
              <w:spacing w:after="0"/>
              <w:rPr>
                <w:sz w:val="20"/>
                <w:szCs w:val="20"/>
                <w:color w:val="auto"/>
              </w:rPr>
            </w:pPr>
            <w:r>
              <w:rPr>
                <w:rFonts w:ascii="Arial" w:cs="Arial" w:eastAsia="Arial" w:hAnsi="Arial"/>
                <w:sz w:val="11"/>
                <w:szCs w:val="11"/>
                <w:color w:val="auto"/>
                <w:w w:val="97"/>
              </w:rPr>
              <w:t>1,663,384</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jc w:val="right"/>
              <w:ind w:right="5"/>
              <w:spacing w:after="0"/>
              <w:rPr>
                <w:sz w:val="20"/>
                <w:szCs w:val="20"/>
                <w:color w:val="auto"/>
              </w:rPr>
            </w:pPr>
            <w:r>
              <w:rPr>
                <w:rFonts w:ascii="Arial" w:cs="Arial" w:eastAsia="Arial" w:hAnsi="Arial"/>
                <w:sz w:val="11"/>
                <w:szCs w:val="11"/>
                <w:color w:val="auto"/>
              </w:rPr>
              <w:t>329,631</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3"/>
                <w:szCs w:val="13"/>
                <w:color w:val="auto"/>
              </w:rPr>
            </w:pPr>
          </w:p>
        </w:tc>
        <w:tc>
          <w:tcPr>
            <w:tcW w:w="580" w:type="dxa"/>
            <w:vAlign w:val="bottom"/>
          </w:tcPr>
          <w:p>
            <w:pPr>
              <w:jc w:val="right"/>
              <w:ind w:right="5"/>
              <w:spacing w:after="0"/>
              <w:rPr>
                <w:sz w:val="20"/>
                <w:szCs w:val="20"/>
                <w:color w:val="auto"/>
              </w:rPr>
            </w:pPr>
            <w:r>
              <w:rPr>
                <w:rFonts w:ascii="Arial" w:cs="Arial" w:eastAsia="Arial" w:hAnsi="Arial"/>
                <w:sz w:val="11"/>
                <w:szCs w:val="11"/>
                <w:color w:val="auto"/>
              </w:rPr>
              <w:t>7,765</w:t>
            </w:r>
          </w:p>
        </w:tc>
        <w:tc>
          <w:tcPr>
            <w:tcW w:w="120" w:type="dxa"/>
            <w:vAlign w:val="bottom"/>
          </w:tcPr>
          <w:p>
            <w:pPr>
              <w:spacing w:after="0"/>
              <w:rPr>
                <w:sz w:val="13"/>
                <w:szCs w:val="13"/>
                <w:color w:val="auto"/>
              </w:rPr>
            </w:pPr>
          </w:p>
        </w:tc>
        <w:tc>
          <w:tcPr>
            <w:tcW w:w="660" w:type="dxa"/>
            <w:vAlign w:val="bottom"/>
          </w:tcPr>
          <w:p>
            <w:pPr>
              <w:jc w:val="right"/>
              <w:ind w:right="25"/>
              <w:spacing w:after="0"/>
              <w:rPr>
                <w:sz w:val="20"/>
                <w:szCs w:val="20"/>
                <w:color w:val="auto"/>
              </w:rPr>
            </w:pPr>
            <w:r>
              <w:rPr>
                <w:rFonts w:ascii="Arial" w:cs="Arial" w:eastAsia="Arial" w:hAnsi="Arial"/>
                <w:sz w:val="11"/>
                <w:szCs w:val="11"/>
                <w:color w:val="auto"/>
              </w:rPr>
              <w:t>2,401,364</w:t>
            </w:r>
          </w:p>
        </w:tc>
        <w:tc>
          <w:tcPr>
            <w:tcW w:w="0" w:type="dxa"/>
            <w:vAlign w:val="bottom"/>
          </w:tcPr>
          <w:p>
            <w:pPr>
              <w:spacing w:after="0"/>
              <w:rPr>
                <w:sz w:val="1"/>
                <w:szCs w:val="1"/>
                <w:color w:val="auto"/>
              </w:rPr>
            </w:pPr>
          </w:p>
        </w:tc>
      </w:tr>
      <w:tr>
        <w:trPr>
          <w:trHeight w:val="168"/>
        </w:trPr>
        <w:tc>
          <w:tcPr>
            <w:tcW w:w="3620" w:type="dxa"/>
            <w:vAlign w:val="bottom"/>
          </w:tcPr>
          <w:p>
            <w:pPr>
              <w:spacing w:after="0"/>
              <w:rPr>
                <w:sz w:val="20"/>
                <w:szCs w:val="20"/>
                <w:color w:val="auto"/>
              </w:rPr>
            </w:pPr>
            <w:r>
              <w:rPr>
                <w:rFonts w:ascii="Arial" w:cs="Arial" w:eastAsia="Arial" w:hAnsi="Arial"/>
                <w:sz w:val="11"/>
                <w:szCs w:val="11"/>
                <w:color w:val="auto"/>
              </w:rPr>
              <w:t>Activity for the year ended December 31, 2025:</w:t>
            </w: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620" w:type="dxa"/>
            <w:vAlign w:val="bottom"/>
          </w:tcPr>
          <w:p>
            <w:pPr>
              <w:ind w:left="320"/>
              <w:spacing w:after="0"/>
              <w:rPr>
                <w:sz w:val="20"/>
                <w:szCs w:val="20"/>
                <w:color w:val="auto"/>
              </w:rPr>
            </w:pPr>
            <w:r>
              <w:rPr>
                <w:rFonts w:ascii="Arial" w:cs="Arial" w:eastAsia="Arial" w:hAnsi="Arial"/>
                <w:sz w:val="11"/>
                <w:szCs w:val="11"/>
                <w:color w:val="auto"/>
              </w:rPr>
              <w:t>Issuance of units</w:t>
            </w:r>
          </w:p>
        </w:tc>
        <w:tc>
          <w:tcPr>
            <w:tcW w:w="74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640" w:type="dxa"/>
            <w:vAlign w:val="bottom"/>
          </w:tcPr>
          <w:p>
            <w:pPr>
              <w:jc w:val="right"/>
              <w:ind w:right="25"/>
              <w:spacing w:after="0"/>
              <w:rPr>
                <w:sz w:val="20"/>
                <w:szCs w:val="20"/>
                <w:color w:val="auto"/>
              </w:rPr>
            </w:pPr>
            <w:r>
              <w:rPr>
                <w:rFonts w:ascii="Arial" w:cs="Arial" w:eastAsia="Arial" w:hAnsi="Arial"/>
                <w:sz w:val="11"/>
                <w:szCs w:val="11"/>
                <w:color w:val="auto"/>
              </w:rPr>
              <w:t>396</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4"/>
                <w:szCs w:val="14"/>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4"/>
                <w:szCs w:val="14"/>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4"/>
                <w:szCs w:val="14"/>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4"/>
                <w:szCs w:val="14"/>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4"/>
                <w:szCs w:val="14"/>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660" w:type="dxa"/>
            <w:vAlign w:val="bottom"/>
          </w:tcPr>
          <w:p>
            <w:pPr>
              <w:jc w:val="right"/>
              <w:ind w:right="25"/>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68"/>
        </w:trPr>
        <w:tc>
          <w:tcPr>
            <w:tcW w:w="3620" w:type="dxa"/>
            <w:vAlign w:val="bottom"/>
          </w:tcPr>
          <w:p>
            <w:pPr>
              <w:ind w:left="320"/>
              <w:spacing w:after="0"/>
              <w:rPr>
                <w:sz w:val="20"/>
                <w:szCs w:val="20"/>
                <w:color w:val="auto"/>
              </w:rPr>
            </w:pPr>
            <w:r>
              <w:rPr>
                <w:rFonts w:ascii="Arial" w:cs="Arial" w:eastAsia="Arial" w:hAnsi="Arial"/>
                <w:sz w:val="11"/>
                <w:szCs w:val="11"/>
                <w:color w:val="auto"/>
              </w:rPr>
              <w:t>Unit exchange</w:t>
            </w:r>
          </w:p>
        </w:tc>
        <w:tc>
          <w:tcPr>
            <w:tcW w:w="620" w:type="dxa"/>
            <w:vAlign w:val="bottom"/>
          </w:tcPr>
          <w:p>
            <w:pPr>
              <w:jc w:val="right"/>
              <w:ind w:right="5"/>
              <w:spacing w:after="0"/>
              <w:rPr>
                <w:sz w:val="20"/>
                <w:szCs w:val="20"/>
                <w:color w:val="auto"/>
              </w:rPr>
            </w:pPr>
            <w:r>
              <w:rPr>
                <w:rFonts w:ascii="Arial" w:cs="Arial" w:eastAsia="Arial" w:hAnsi="Arial"/>
                <w:sz w:val="11"/>
                <w:szCs w:val="11"/>
                <w:color w:val="auto"/>
              </w:rPr>
              <w:t>2,459</w:t>
            </w:r>
          </w:p>
        </w:tc>
        <w:tc>
          <w:tcPr>
            <w:tcW w:w="1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(2,459)</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4"/>
                <w:szCs w:val="14"/>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4"/>
                <w:szCs w:val="14"/>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4"/>
                <w:szCs w:val="14"/>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4"/>
                <w:szCs w:val="14"/>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4"/>
                <w:szCs w:val="14"/>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660" w:type="dxa"/>
            <w:vAlign w:val="bottom"/>
          </w:tcPr>
          <w:p>
            <w:pPr>
              <w:jc w:val="right"/>
              <w:ind w:right="25"/>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68"/>
        </w:trPr>
        <w:tc>
          <w:tcPr>
            <w:tcW w:w="3620" w:type="dxa"/>
            <w:vAlign w:val="bottom"/>
          </w:tcPr>
          <w:p>
            <w:pPr>
              <w:ind w:left="320"/>
              <w:spacing w:after="0"/>
              <w:rPr>
                <w:sz w:val="20"/>
                <w:szCs w:val="20"/>
                <w:color w:val="auto"/>
              </w:rPr>
            </w:pPr>
            <w:r>
              <w:rPr>
                <w:rFonts w:ascii="Arial" w:cs="Arial" w:eastAsia="Arial" w:hAnsi="Arial"/>
                <w:sz w:val="11"/>
                <w:szCs w:val="11"/>
                <w:color w:val="auto"/>
              </w:rPr>
              <w:t>Capital contributions</w:t>
            </w:r>
          </w:p>
        </w:tc>
        <w:tc>
          <w:tcPr>
            <w:tcW w:w="74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74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4"/>
                <w:szCs w:val="14"/>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4"/>
                <w:szCs w:val="14"/>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4"/>
                <w:szCs w:val="14"/>
                <w:color w:val="auto"/>
              </w:rPr>
            </w:pPr>
          </w:p>
        </w:tc>
        <w:tc>
          <w:tcPr>
            <w:tcW w:w="560" w:type="dxa"/>
            <w:vAlign w:val="bottom"/>
          </w:tcPr>
          <w:p>
            <w:pPr>
              <w:jc w:val="right"/>
              <w:ind w:right="5"/>
              <w:spacing w:after="0"/>
              <w:rPr>
                <w:sz w:val="20"/>
                <w:szCs w:val="20"/>
                <w:color w:val="auto"/>
              </w:rPr>
            </w:pPr>
            <w:r>
              <w:rPr>
                <w:rFonts w:ascii="Arial" w:cs="Arial" w:eastAsia="Arial" w:hAnsi="Arial"/>
                <w:sz w:val="11"/>
                <w:szCs w:val="11"/>
                <w:color w:val="auto"/>
              </w:rPr>
              <w:t>114,437</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4"/>
                <w:szCs w:val="14"/>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4"/>
                <w:szCs w:val="14"/>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660" w:type="dxa"/>
            <w:vAlign w:val="bottom"/>
          </w:tcPr>
          <w:p>
            <w:pPr>
              <w:jc w:val="right"/>
              <w:ind w:right="25"/>
              <w:spacing w:after="0"/>
              <w:rPr>
                <w:sz w:val="20"/>
                <w:szCs w:val="20"/>
                <w:color w:val="auto"/>
              </w:rPr>
            </w:pPr>
            <w:r>
              <w:rPr>
                <w:rFonts w:ascii="Arial" w:cs="Arial" w:eastAsia="Arial" w:hAnsi="Arial"/>
                <w:sz w:val="11"/>
                <w:szCs w:val="11"/>
                <w:color w:val="auto"/>
              </w:rPr>
              <w:t>114,437</w:t>
            </w:r>
          </w:p>
        </w:tc>
        <w:tc>
          <w:tcPr>
            <w:tcW w:w="0" w:type="dxa"/>
            <w:vAlign w:val="bottom"/>
          </w:tcPr>
          <w:p>
            <w:pPr>
              <w:spacing w:after="0"/>
              <w:rPr>
                <w:sz w:val="1"/>
                <w:szCs w:val="1"/>
                <w:color w:val="auto"/>
              </w:rPr>
            </w:pPr>
          </w:p>
        </w:tc>
      </w:tr>
      <w:tr>
        <w:trPr>
          <w:trHeight w:val="168"/>
        </w:trPr>
        <w:tc>
          <w:tcPr>
            <w:tcW w:w="3620" w:type="dxa"/>
            <w:vAlign w:val="bottom"/>
          </w:tcPr>
          <w:p>
            <w:pPr>
              <w:ind w:left="320"/>
              <w:spacing w:after="0"/>
              <w:rPr>
                <w:sz w:val="20"/>
                <w:szCs w:val="20"/>
                <w:color w:val="auto"/>
              </w:rPr>
            </w:pPr>
            <w:r>
              <w:rPr>
                <w:rFonts w:ascii="Arial" w:cs="Arial" w:eastAsia="Arial" w:hAnsi="Arial"/>
                <w:sz w:val="11"/>
                <w:szCs w:val="11"/>
                <w:color w:val="auto"/>
              </w:rPr>
              <w:t>Distributions declared</w:t>
            </w:r>
          </w:p>
        </w:tc>
        <w:tc>
          <w:tcPr>
            <w:tcW w:w="74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74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(11,924)</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(15,392)</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(475,128)</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4"/>
                <w:szCs w:val="14"/>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(502,444)</w:t>
            </w:r>
          </w:p>
        </w:tc>
        <w:tc>
          <w:tcPr>
            <w:tcW w:w="0" w:type="dxa"/>
            <w:vAlign w:val="bottom"/>
          </w:tcPr>
          <w:p>
            <w:pPr>
              <w:spacing w:after="0"/>
              <w:rPr>
                <w:sz w:val="1"/>
                <w:szCs w:val="1"/>
                <w:color w:val="auto"/>
              </w:rPr>
            </w:pPr>
          </w:p>
        </w:tc>
      </w:tr>
      <w:tr>
        <w:trPr>
          <w:trHeight w:val="176"/>
        </w:trPr>
        <w:tc>
          <w:tcPr>
            <w:tcW w:w="3620" w:type="dxa"/>
            <w:vAlign w:val="bottom"/>
          </w:tcPr>
          <w:p>
            <w:pPr>
              <w:ind w:left="320"/>
              <w:spacing w:after="0"/>
              <w:rPr>
                <w:sz w:val="20"/>
                <w:szCs w:val="20"/>
                <w:color w:val="auto"/>
              </w:rPr>
            </w:pPr>
            <w:r>
              <w:rPr>
                <w:rFonts w:ascii="Arial" w:cs="Arial" w:eastAsia="Arial" w:hAnsi="Arial"/>
                <w:sz w:val="11"/>
                <w:szCs w:val="11"/>
                <w:color w:val="auto"/>
              </w:rPr>
              <w:t>Net income</w:t>
            </w:r>
          </w:p>
        </w:tc>
        <w:tc>
          <w:tcPr>
            <w:tcW w:w="620" w:type="dxa"/>
            <w:vAlign w:val="bottom"/>
            <w:tcBorders>
              <w:bottom w:val="single" w:sz="8" w:color="auto"/>
            </w:tcBorders>
          </w:tcPr>
          <w:p>
            <w:pPr>
              <w:jc w:val="right"/>
              <w:ind w:right="5"/>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5"/>
                <w:szCs w:val="15"/>
                <w:color w:val="auto"/>
              </w:rPr>
            </w:pPr>
          </w:p>
        </w:tc>
        <w:tc>
          <w:tcPr>
            <w:tcW w:w="640" w:type="dxa"/>
            <w:vAlign w:val="bottom"/>
            <w:tcBorders>
              <w:bottom w:val="single" w:sz="8" w:color="auto"/>
            </w:tcBorders>
          </w:tcPr>
          <w:p>
            <w:pPr>
              <w:jc w:val="right"/>
              <w:ind w:right="25"/>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25"/>
              <w:spacing w:after="0"/>
              <w:rPr>
                <w:sz w:val="20"/>
                <w:szCs w:val="20"/>
                <w:color w:val="auto"/>
              </w:rPr>
            </w:pPr>
            <w:r>
              <w:rPr>
                <w:rFonts w:ascii="Arial" w:cs="Arial" w:eastAsia="Arial" w:hAnsi="Arial"/>
                <w:sz w:val="11"/>
                <w:szCs w:val="11"/>
                <w:color w:val="auto"/>
              </w:rPr>
              <w:t>11,924</w:t>
            </w: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5"/>
              <w:spacing w:after="0"/>
              <w:rPr>
                <w:sz w:val="20"/>
                <w:szCs w:val="20"/>
                <w:color w:val="auto"/>
              </w:rPr>
            </w:pPr>
            <w:r>
              <w:rPr>
                <w:rFonts w:ascii="Arial" w:cs="Arial" w:eastAsia="Arial" w:hAnsi="Arial"/>
                <w:sz w:val="11"/>
                <w:szCs w:val="11"/>
                <w:color w:val="auto"/>
              </w:rPr>
              <w:t>15,392</w:t>
            </w: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5"/>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5"/>
              <w:spacing w:after="0"/>
              <w:rPr>
                <w:sz w:val="20"/>
                <w:szCs w:val="20"/>
                <w:color w:val="auto"/>
              </w:rPr>
            </w:pPr>
            <w:r>
              <w:rPr>
                <w:rFonts w:ascii="Arial" w:cs="Arial" w:eastAsia="Arial" w:hAnsi="Arial"/>
                <w:sz w:val="11"/>
                <w:szCs w:val="11"/>
                <w:color w:val="auto"/>
              </w:rPr>
              <w:t>221,922</w:t>
            </w:r>
          </w:p>
        </w:tc>
        <w:tc>
          <w:tcPr>
            <w:tcW w:w="1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5"/>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5"/>
              <w:spacing w:after="0"/>
              <w:rPr>
                <w:sz w:val="20"/>
                <w:szCs w:val="20"/>
                <w:color w:val="auto"/>
              </w:rPr>
            </w:pPr>
            <w:r>
              <w:rPr>
                <w:rFonts w:ascii="Arial" w:cs="Arial" w:eastAsia="Arial" w:hAnsi="Arial"/>
                <w:sz w:val="11"/>
                <w:szCs w:val="11"/>
                <w:color w:val="auto"/>
              </w:rPr>
              <w:t>1,627</w:t>
            </w:r>
          </w:p>
        </w:tc>
        <w:tc>
          <w:tcPr>
            <w:tcW w:w="120" w:type="dxa"/>
            <w:vAlign w:val="bottom"/>
          </w:tcPr>
          <w:p>
            <w:pPr>
              <w:spacing w:after="0"/>
              <w:rPr>
                <w:sz w:val="15"/>
                <w:szCs w:val="15"/>
                <w:color w:val="auto"/>
              </w:rPr>
            </w:pPr>
          </w:p>
        </w:tc>
        <w:tc>
          <w:tcPr>
            <w:tcW w:w="660" w:type="dxa"/>
            <w:vAlign w:val="bottom"/>
            <w:tcBorders>
              <w:bottom w:val="single" w:sz="8" w:color="auto"/>
            </w:tcBorders>
          </w:tcPr>
          <w:p>
            <w:pPr>
              <w:jc w:val="right"/>
              <w:ind w:right="25"/>
              <w:spacing w:after="0"/>
              <w:rPr>
                <w:sz w:val="20"/>
                <w:szCs w:val="20"/>
                <w:color w:val="auto"/>
              </w:rPr>
            </w:pPr>
            <w:r>
              <w:rPr>
                <w:rFonts w:ascii="Arial" w:cs="Arial" w:eastAsia="Arial" w:hAnsi="Arial"/>
                <w:sz w:val="11"/>
                <w:szCs w:val="11"/>
                <w:color w:val="auto"/>
              </w:rPr>
              <w:t>250,865</w:t>
            </w:r>
          </w:p>
        </w:tc>
        <w:tc>
          <w:tcPr>
            <w:tcW w:w="0" w:type="dxa"/>
            <w:vAlign w:val="bottom"/>
          </w:tcPr>
          <w:p>
            <w:pPr>
              <w:spacing w:after="0"/>
              <w:rPr>
                <w:sz w:val="1"/>
                <w:szCs w:val="1"/>
                <w:color w:val="auto"/>
              </w:rPr>
            </w:pPr>
          </w:p>
        </w:tc>
      </w:tr>
      <w:tr>
        <w:trPr>
          <w:trHeight w:val="168"/>
        </w:trPr>
        <w:tc>
          <w:tcPr>
            <w:tcW w:w="3620" w:type="dxa"/>
            <w:vAlign w:val="bottom"/>
          </w:tcPr>
          <w:p>
            <w:pPr>
              <w:spacing w:after="0"/>
              <w:rPr>
                <w:sz w:val="20"/>
                <w:szCs w:val="20"/>
                <w:color w:val="auto"/>
              </w:rPr>
            </w:pPr>
            <w:r>
              <w:rPr>
                <w:rFonts w:ascii="Arial" w:cs="Arial" w:eastAsia="Arial" w:hAnsi="Arial"/>
                <w:sz w:val="11"/>
                <w:szCs w:val="11"/>
                <w:color w:val="auto"/>
              </w:rPr>
              <w:t>Unitholders’ capital as of December 31, 2025</w:t>
            </w:r>
          </w:p>
        </w:tc>
        <w:tc>
          <w:tcPr>
            <w:tcW w:w="620" w:type="dxa"/>
            <w:vAlign w:val="bottom"/>
          </w:tcPr>
          <w:p>
            <w:pPr>
              <w:jc w:val="right"/>
              <w:ind w:right="5"/>
              <w:spacing w:after="0"/>
              <w:rPr>
                <w:sz w:val="20"/>
                <w:szCs w:val="20"/>
                <w:color w:val="auto"/>
              </w:rPr>
            </w:pPr>
            <w:r>
              <w:rPr>
                <w:rFonts w:ascii="Arial" w:cs="Arial" w:eastAsia="Arial" w:hAnsi="Arial"/>
                <w:sz w:val="11"/>
                <w:szCs w:val="11"/>
                <w:color w:val="auto"/>
              </w:rPr>
              <w:t>118,832</w:t>
            </w:r>
          </w:p>
        </w:tc>
        <w:tc>
          <w:tcPr>
            <w:tcW w:w="120" w:type="dxa"/>
            <w:vAlign w:val="bottom"/>
          </w:tcPr>
          <w:p>
            <w:pPr>
              <w:spacing w:after="0"/>
              <w:rPr>
                <w:sz w:val="14"/>
                <w:szCs w:val="14"/>
                <w:color w:val="auto"/>
              </w:rPr>
            </w:pPr>
          </w:p>
        </w:tc>
        <w:tc>
          <w:tcPr>
            <w:tcW w:w="640" w:type="dxa"/>
            <w:vAlign w:val="bottom"/>
          </w:tcPr>
          <w:p>
            <w:pPr>
              <w:jc w:val="right"/>
              <w:ind w:right="25"/>
              <w:spacing w:after="0"/>
              <w:rPr>
                <w:sz w:val="20"/>
                <w:szCs w:val="20"/>
                <w:color w:val="auto"/>
              </w:rPr>
            </w:pPr>
            <w:r>
              <w:rPr>
                <w:rFonts w:ascii="Arial" w:cs="Arial" w:eastAsia="Arial" w:hAnsi="Arial"/>
                <w:sz w:val="11"/>
                <w:szCs w:val="11"/>
                <w:color w:val="auto"/>
              </w:rPr>
              <w:t>41,760</w:t>
            </w:r>
          </w:p>
        </w:tc>
        <w:tc>
          <w:tcPr>
            <w:tcW w:w="1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25"/>
              <w:spacing w:after="0"/>
              <w:rPr>
                <w:sz w:val="20"/>
                <w:szCs w:val="20"/>
                <w:color w:val="auto"/>
              </w:rPr>
            </w:pPr>
            <w:r>
              <w:rPr>
                <w:rFonts w:ascii="Arial" w:cs="Arial" w:eastAsia="Arial" w:hAnsi="Arial"/>
                <w:sz w:val="11"/>
                <w:szCs w:val="11"/>
                <w:color w:val="auto"/>
              </w:rPr>
              <w:t>173,669</w:t>
            </w:r>
          </w:p>
        </w:tc>
        <w:tc>
          <w:tcPr>
            <w:tcW w:w="1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5"/>
              <w:spacing w:after="0"/>
              <w:rPr>
                <w:sz w:val="20"/>
                <w:szCs w:val="20"/>
                <w:color w:val="auto"/>
              </w:rPr>
            </w:pPr>
            <w:r>
              <w:rPr>
                <w:rFonts w:ascii="Arial" w:cs="Arial" w:eastAsia="Arial" w:hAnsi="Arial"/>
                <w:sz w:val="11"/>
                <w:szCs w:val="11"/>
                <w:color w:val="auto"/>
              </w:rPr>
              <w:t>226,915</w:t>
            </w:r>
          </w:p>
        </w:tc>
        <w:tc>
          <w:tcPr>
            <w:tcW w:w="1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5"/>
              <w:spacing w:after="0"/>
              <w:rPr>
                <w:sz w:val="20"/>
                <w:szCs w:val="20"/>
                <w:color w:val="auto"/>
              </w:rPr>
            </w:pPr>
            <w:r>
              <w:rPr>
                <w:rFonts w:ascii="Arial" w:cs="Arial" w:eastAsia="Arial" w:hAnsi="Arial"/>
                <w:sz w:val="11"/>
                <w:szCs w:val="11"/>
                <w:color w:val="auto"/>
                <w:w w:val="97"/>
              </w:rPr>
              <w:t>1,777,821</w:t>
            </w:r>
          </w:p>
        </w:tc>
        <w:tc>
          <w:tcPr>
            <w:tcW w:w="1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80" w:type="dxa"/>
            <w:vAlign w:val="bottom"/>
          </w:tcPr>
          <w:p>
            <w:pPr>
              <w:jc w:val="right"/>
              <w:ind w:right="5"/>
              <w:spacing w:after="0"/>
              <w:rPr>
                <w:sz w:val="20"/>
                <w:szCs w:val="20"/>
                <w:color w:val="auto"/>
              </w:rPr>
            </w:pPr>
            <w:r>
              <w:rPr>
                <w:rFonts w:ascii="Arial" w:cs="Arial" w:eastAsia="Arial" w:hAnsi="Arial"/>
                <w:sz w:val="11"/>
                <w:szCs w:val="11"/>
                <w:color w:val="auto"/>
              </w:rPr>
              <w:t>76,425</w:t>
            </w:r>
          </w:p>
        </w:tc>
        <w:tc>
          <w:tcPr>
            <w:tcW w:w="10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80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Pr>
          <w:p>
            <w:pPr>
              <w:jc w:val="right"/>
              <w:ind w:right="5"/>
              <w:spacing w:after="0"/>
              <w:rPr>
                <w:sz w:val="20"/>
                <w:szCs w:val="20"/>
                <w:color w:val="auto"/>
              </w:rPr>
            </w:pPr>
            <w:r>
              <w:rPr>
                <w:rFonts w:ascii="Arial" w:cs="Arial" w:eastAsia="Arial" w:hAnsi="Arial"/>
                <w:sz w:val="11"/>
                <w:szCs w:val="11"/>
                <w:color w:val="auto"/>
              </w:rPr>
              <w:t>9,392</w:t>
            </w:r>
          </w:p>
        </w:tc>
        <w:tc>
          <w:tcPr>
            <w:tcW w:w="120" w:type="dxa"/>
            <w:vAlign w:val="bottom"/>
          </w:tcPr>
          <w:p>
            <w:pPr>
              <w:spacing w:after="0"/>
              <w:rPr>
                <w:sz w:val="14"/>
                <w:szCs w:val="14"/>
                <w:color w:val="auto"/>
              </w:rPr>
            </w:pPr>
          </w:p>
        </w:tc>
        <w:tc>
          <w:tcPr>
            <w:tcW w:w="660" w:type="dxa"/>
            <w:vAlign w:val="bottom"/>
          </w:tcPr>
          <w:p>
            <w:pPr>
              <w:jc w:val="right"/>
              <w:ind w:right="25"/>
              <w:spacing w:after="0"/>
              <w:rPr>
                <w:sz w:val="20"/>
                <w:szCs w:val="20"/>
                <w:color w:val="auto"/>
              </w:rPr>
            </w:pPr>
            <w:r>
              <w:rPr>
                <w:rFonts w:ascii="Arial" w:cs="Arial" w:eastAsia="Arial" w:hAnsi="Arial"/>
                <w:sz w:val="11"/>
                <w:szCs w:val="11"/>
                <w:color w:val="auto"/>
                <w:w w:val="96"/>
              </w:rPr>
              <w:t>$ 2,264,222</w:t>
            </w: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40"/>
        <w:spacing w:after="0"/>
        <w:rPr>
          <w:sz w:val="20"/>
          <w:szCs w:val="20"/>
          <w:color w:val="auto"/>
        </w:rPr>
      </w:pPr>
      <w:r>
        <w:rPr>
          <w:rFonts w:ascii="Arial" w:cs="Arial" w:eastAsia="Arial" w:hAnsi="Arial"/>
          <w:sz w:val="17"/>
          <w:szCs w:val="17"/>
          <w:i w:val="1"/>
          <w:iCs w:val="1"/>
          <w:color w:val="auto"/>
        </w:rPr>
        <w:t>Please see accompanying notes to consolidated financial statements.</w:t>
      </w:r>
    </w:p>
    <w:p>
      <w:pPr>
        <w:spacing w:after="0" w:line="344"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-264160</wp:posOffset>
            </wp:positionH>
            <wp:positionV relativeFrom="paragraph">
              <wp:posOffset>70485</wp:posOffset>
            </wp:positionV>
            <wp:extent cx="7164070" cy="419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0480"/>
          </w:cols>
          <w:pgMar w:left="720" w:top="662" w:right="699" w:bottom="1440" w:gutter="0" w:footer="0" w:header="0"/>
        </w:sectPr>
      </w:pPr>
    </w:p>
    <w:bookmarkStart w:id="70" w:name="page71"/>
    <w:bookmarkEnd w:id="70"/>
    <w:p>
      <w:pPr>
        <w:jc w:val="center"/>
        <w:ind w:right="-39"/>
        <w:spacing w:after="0"/>
        <w:rPr>
          <w:sz w:val="20"/>
          <w:szCs w:val="20"/>
          <w:color w:val="auto"/>
        </w:rPr>
      </w:pPr>
      <w:r>
        <w:rPr>
          <w:rFonts w:ascii="Arial" w:cs="Arial" w:eastAsia="Arial" w:hAnsi="Arial"/>
          <w:sz w:val="17"/>
          <w:szCs w:val="17"/>
          <w:b w:val="1"/>
          <w:bCs w:val="1"/>
          <w:color w:val="auto"/>
        </w:rPr>
        <w:t>Brookfield Oaktree Holdings, LLC</w:t>
      </w:r>
    </w:p>
    <w:p>
      <w:pPr>
        <w:spacing w:after="0" w:line="15"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1"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December 31, 2025</w:t>
      </w:r>
    </w:p>
    <w:p>
      <w:pPr>
        <w:spacing w:after="0" w:line="11"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 in thousands, except where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 ORGANIZATION AND BASIS OF PRESENTATION</w:t>
      </w:r>
    </w:p>
    <w:p>
      <w:pPr>
        <w:spacing w:after="0" w:line="168" w:lineRule="exact"/>
        <w:rPr>
          <w:sz w:val="20"/>
          <w:szCs w:val="20"/>
          <w:color w:val="auto"/>
        </w:rPr>
      </w:pPr>
    </w:p>
    <w:p>
      <w:pPr>
        <w:ind w:left="620"/>
        <w:spacing w:after="0"/>
        <w:rPr>
          <w:sz w:val="20"/>
          <w:szCs w:val="20"/>
          <w:color w:val="auto"/>
        </w:rPr>
      </w:pPr>
      <w:r>
        <w:rPr>
          <w:rFonts w:ascii="Arial" w:cs="Arial" w:eastAsia="Arial" w:hAnsi="Arial"/>
          <w:sz w:val="17"/>
          <w:szCs w:val="17"/>
          <w:color w:val="auto"/>
        </w:rPr>
        <w:t>As used in these consolidated financial statements:</w:t>
      </w:r>
    </w:p>
    <w:p>
      <w:pPr>
        <w:spacing w:after="0" w:line="165" w:lineRule="exact"/>
        <w:rPr>
          <w:sz w:val="20"/>
          <w:szCs w:val="20"/>
          <w:color w:val="auto"/>
        </w:rPr>
      </w:pPr>
    </w:p>
    <w:p>
      <w:pPr>
        <w:ind w:left="620" w:right="840"/>
        <w:spacing w:after="0" w:line="464" w:lineRule="auto"/>
        <w:rPr>
          <w:sz w:val="20"/>
          <w:szCs w:val="20"/>
          <w:color w:val="auto"/>
        </w:rPr>
      </w:pPr>
      <w:r>
        <w:rPr>
          <w:rFonts w:ascii="Arial" w:cs="Arial" w:eastAsia="Arial" w:hAnsi="Arial"/>
          <w:sz w:val="17"/>
          <w:szCs w:val="17"/>
          <w:color w:val="auto"/>
        </w:rPr>
        <w:t>“Oaktree” refers to the Oaktree Operating Group members and, where applicable, their respective subsidiaries and affiliates; and the “Company” refers to Brookfield Oaktree Holdings, LLC and, where applicable, its subsidiaries and affiliates.</w:t>
      </w:r>
    </w:p>
    <w:p>
      <w:pPr>
        <w:spacing w:after="0" w:line="18" w:lineRule="exact"/>
        <w:rPr>
          <w:sz w:val="20"/>
          <w:szCs w:val="20"/>
          <w:color w:val="auto"/>
        </w:rPr>
      </w:pPr>
    </w:p>
    <w:p>
      <w:pPr>
        <w:ind w:right="120" w:firstLine="619"/>
        <w:spacing w:after="0" w:line="246" w:lineRule="auto"/>
        <w:rPr>
          <w:sz w:val="20"/>
          <w:szCs w:val="20"/>
          <w:color w:val="auto"/>
        </w:rPr>
      </w:pPr>
      <w:r>
        <w:rPr>
          <w:rFonts w:ascii="Arial" w:cs="Arial" w:eastAsia="Arial" w:hAnsi="Arial"/>
          <w:sz w:val="17"/>
          <w:szCs w:val="17"/>
          <w:color w:val="auto"/>
        </w:rPr>
        <w:t>The Company holds Credit, Real Estate and Equity investments managed by leading alternative asset management firms Oaktree Capital Management, L.P. and Brookfield Asset Management Ltd. The Company both directly invests in funds and has indirect exposure through its equity method investment in Oaktree Capital I, L.P. (“Oaktree Capital I”), which as of December 31, 2025, represented an approximately 74% economic interest in Oaktree Capital I, which acts as or controls the general partner of certain Oaktree funds and which holds a majority of Oaktree’s investments in its funds.</w:t>
      </w:r>
    </w:p>
    <w:p>
      <w:pPr>
        <w:spacing w:after="0" w:line="120" w:lineRule="exact"/>
        <w:rPr>
          <w:sz w:val="20"/>
          <w:szCs w:val="20"/>
          <w:color w:val="auto"/>
        </w:rPr>
      </w:pPr>
    </w:p>
    <w:p>
      <w:pPr>
        <w:ind w:right="40" w:firstLine="619"/>
        <w:spacing w:after="0" w:line="253" w:lineRule="auto"/>
        <w:rPr>
          <w:sz w:val="20"/>
          <w:szCs w:val="20"/>
          <w:color w:val="auto"/>
        </w:rPr>
      </w:pPr>
      <w:r>
        <w:rPr>
          <w:rFonts w:ascii="Arial" w:cs="Arial" w:eastAsia="Arial" w:hAnsi="Arial"/>
          <w:sz w:val="17"/>
          <w:szCs w:val="17"/>
          <w:color w:val="auto"/>
        </w:rPr>
        <w:t>The Company is a Delaware limited liability company that was formed on April 13, 2007 under the name of Oaktree Capital Group, LLC. The Company’s issued and outstanding member interests are divided into certain classes and series of units. The Company’s outstanding units are</w:t>
      </w:r>
    </w:p>
    <w:p>
      <w:pPr>
        <w:ind w:right="20"/>
        <w:spacing w:after="0" w:line="242" w:lineRule="auto"/>
        <w:rPr>
          <w:sz w:val="20"/>
          <w:szCs w:val="20"/>
          <w:color w:val="auto"/>
        </w:rPr>
      </w:pPr>
      <w:r>
        <w:rPr>
          <w:rFonts w:ascii="Arial" w:cs="Arial" w:eastAsia="Arial" w:hAnsi="Arial"/>
          <w:sz w:val="17"/>
          <w:szCs w:val="17"/>
          <w:color w:val="auto"/>
        </w:rPr>
        <w:t>held by (i) an affiliate of Brookfield Corporation (formerly known as Brookfield Asset Management, Inc.) (“Brookfield”) as the sole holder of the Company’s Class A common units, (ii) preferred unitholders as the holders of Series A and Series B preferred units listed on the NYSE, which represent only the right to receive certain distributions from the Company and such other rights as are specified in the relevant preferred unit designations, and (iii) Oaktree Capital Group Holdings, L.P. (“OCGH”) as the sole holder of the Company’s Class B common units, which units do not represent an economic interest in the Company. OCGH is owned by Oaktree’s senior executives, current and former Oaktree employees, and their respective transferees (collectively, the “OCGH unitholders”). Subject to the operating agreement of the Company, to the extent the approval of any matter requires the vote of the Company’s unitholders, the Class A units are entitled to one vote per unit and the Class B units are entitled to ten votes per unit, voting together as a single class.</w:t>
      </w:r>
    </w:p>
    <w:p>
      <w:pPr>
        <w:spacing w:after="0" w:line="202" w:lineRule="exact"/>
        <w:rPr>
          <w:sz w:val="20"/>
          <w:szCs w:val="20"/>
          <w:color w:val="auto"/>
        </w:rPr>
      </w:pPr>
    </w:p>
    <w:p>
      <w:pPr>
        <w:ind w:right="20" w:firstLine="619"/>
        <w:spacing w:after="0" w:line="243" w:lineRule="auto"/>
        <w:rPr>
          <w:sz w:val="20"/>
          <w:szCs w:val="20"/>
          <w:color w:val="auto"/>
        </w:rPr>
      </w:pPr>
      <w:r>
        <w:rPr>
          <w:rFonts w:ascii="Arial" w:cs="Arial" w:eastAsia="Arial" w:hAnsi="Arial"/>
          <w:sz w:val="17"/>
          <w:szCs w:val="17"/>
          <w:color w:val="auto"/>
        </w:rPr>
        <w:t>The Company’s ownership and operational structure through December 31, 2025 were the result of (i) certain mergers with affiliates of Brookfield completed on September 30, 2019 (the “Mergers”) and the subsequent restructuring completed on October 1, 2019 in connection with the Mergers (the “2019 Restructuring”), (ii) the restructuring completed on November 30, 2022 in connection with an internal Oaktree reorganization</w:t>
      </w:r>
    </w:p>
    <w:p>
      <w:pPr>
        <w:spacing w:after="0" w:line="2" w:lineRule="exact"/>
        <w:rPr>
          <w:sz w:val="20"/>
          <w:szCs w:val="20"/>
          <w:color w:val="auto"/>
        </w:rPr>
      </w:pPr>
    </w:p>
    <w:p>
      <w:pPr>
        <w:ind w:right="380"/>
        <w:spacing w:after="0" w:line="229" w:lineRule="auto"/>
        <w:rPr>
          <w:sz w:val="20"/>
          <w:szCs w:val="20"/>
          <w:color w:val="auto"/>
        </w:rPr>
      </w:pPr>
      <w:r>
        <w:rPr>
          <w:rFonts w:ascii="Arial" w:cs="Arial" w:eastAsia="Arial" w:hAnsi="Arial"/>
          <w:sz w:val="17"/>
          <w:szCs w:val="17"/>
          <w:color w:val="auto"/>
        </w:rPr>
        <w:t>to facilitate the separation of Brookfield’s capital business and asset management business (the “2022 Restructuring”) and (iii) the restructuring completed on July 1, 2024 in connection with an internal Oaktree reorganization which resulted in the change of the general partner of Oaktree</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Capital I, L.P. (“Oaktree Capital I”) from Brookfield OCM Holdings II, LLC, a subsidiary of the Company, to Oaktree Capital I GP, LLC, a newly formed subsidiary of Oaktree Capital Holdings, LLC (“OCH”) (the “2024 Restructuring”). See Part I, Item I included in the Company’s Annual Report on Form 10-K for the year ended December 31, 2019 filed with the SEC on March 2, 2020 for more information regarding the Mergers and the 2019 Restructuring. See Item 1.01 of the Company’s Current Report on Form 8-K filed with the SEC on December 6, 2022 for more information about the 2022 Restructuring. See Item 8.01 of the Company’s Current Report on Form 8-K filed with the SEC on July 1, 2024 for more information about the 2024 Restructuring.</w:t>
      </w:r>
    </w:p>
    <w:p>
      <w:pPr>
        <w:spacing w:after="0" w:line="203" w:lineRule="exact"/>
        <w:rPr>
          <w:sz w:val="20"/>
          <w:szCs w:val="20"/>
          <w:color w:val="auto"/>
        </w:rPr>
      </w:pPr>
    </w:p>
    <w:p>
      <w:pPr>
        <w:ind w:right="160" w:firstLine="619"/>
        <w:spacing w:after="0" w:line="249" w:lineRule="auto"/>
        <w:rPr>
          <w:sz w:val="20"/>
          <w:szCs w:val="20"/>
          <w:color w:val="auto"/>
        </w:rPr>
      </w:pPr>
      <w:r>
        <w:rPr>
          <w:rFonts w:ascii="Arial" w:cs="Arial" w:eastAsia="Arial" w:hAnsi="Arial"/>
          <w:sz w:val="17"/>
          <w:szCs w:val="17"/>
          <w:color w:val="auto"/>
        </w:rPr>
        <w:t>Following the above restructurings, the Company’s holdings and operations primarily represent (i) limited partner investments in certain of Oaktree’s flagship opportunistic funds, (ii) its equity method investment in Oaktree Capital I, which as of December 31, 2025, represented an approximately 74% economic interest in Oaktree Capital I, which holds a majority of Oaktree’s investments in its funds, and (iii) an indirect ownership interest in Brookfield Real Estate Income Trust Inc. (“Brookfield REIT”).</w:t>
      </w:r>
    </w:p>
    <w:p>
      <w:pPr>
        <w:spacing w:after="0" w:line="117" w:lineRule="exact"/>
        <w:rPr>
          <w:sz w:val="20"/>
          <w:szCs w:val="20"/>
          <w:color w:val="auto"/>
        </w:rPr>
      </w:pPr>
    </w:p>
    <w:p>
      <w:pPr>
        <w:ind w:left="620"/>
        <w:spacing w:after="0"/>
        <w:rPr>
          <w:sz w:val="20"/>
          <w:szCs w:val="20"/>
          <w:color w:val="auto"/>
        </w:rPr>
      </w:pPr>
      <w:r>
        <w:rPr>
          <w:rFonts w:ascii="Arial" w:cs="Arial" w:eastAsia="Arial" w:hAnsi="Arial"/>
          <w:sz w:val="17"/>
          <w:szCs w:val="17"/>
          <w:color w:val="auto"/>
        </w:rPr>
        <w:t>Oaktree is a leader among global investment managers specializing in alternative investments.</w:t>
      </w:r>
    </w:p>
    <w:p>
      <w:pPr>
        <w:spacing w:after="0" w:line="27" w:lineRule="exact"/>
        <w:rPr>
          <w:sz w:val="20"/>
          <w:szCs w:val="20"/>
          <w:color w:val="auto"/>
        </w:rPr>
      </w:pPr>
    </w:p>
    <w:p>
      <w:pPr>
        <w:ind w:right="60"/>
        <w:spacing w:after="0" w:line="253" w:lineRule="auto"/>
        <w:rPr>
          <w:sz w:val="20"/>
          <w:szCs w:val="20"/>
          <w:color w:val="auto"/>
        </w:rPr>
      </w:pPr>
      <w:r>
        <w:rPr>
          <w:rFonts w:ascii="Arial" w:cs="Arial" w:eastAsia="Arial" w:hAnsi="Arial"/>
          <w:sz w:val="17"/>
          <w:szCs w:val="17"/>
          <w:color w:val="auto"/>
        </w:rPr>
        <w:t>Oaktree emphasizes an opportunistic, value-oriented and risk-controlled approach to investments in credit, equity, and real estate. Funds managed by Oaktree (the “Oaktree funds”) include commingled funds,</w:t>
      </w:r>
    </w:p>
    <w:p>
      <w:pPr>
        <w:spacing w:after="0"/>
        <w:rPr>
          <w:sz w:val="20"/>
          <w:szCs w:val="20"/>
          <w:color w:val="auto"/>
        </w:rPr>
      </w:pPr>
      <w:r>
        <w:rPr>
          <w:rFonts w:ascii="Arial" w:cs="Arial" w:eastAsia="Arial" w:hAnsi="Arial"/>
          <w:sz w:val="17"/>
          <w:szCs w:val="17"/>
          <w:color w:val="auto"/>
        </w:rPr>
        <w:t>separate accounts, collateralized loan obligation vehicles (“CLOs”) and business development companies (“BDCs”).</w:t>
      </w:r>
    </w:p>
    <w:p>
      <w:pPr>
        <w:spacing w:after="0" w:line="214" w:lineRule="exact"/>
        <w:rPr>
          <w:sz w:val="20"/>
          <w:szCs w:val="20"/>
          <w:color w:val="auto"/>
        </w:rPr>
      </w:pPr>
    </w:p>
    <w:p>
      <w:pPr>
        <w:ind w:right="180" w:firstLine="619"/>
        <w:spacing w:after="0" w:line="239" w:lineRule="auto"/>
        <w:rPr>
          <w:sz w:val="20"/>
          <w:szCs w:val="20"/>
          <w:color w:val="auto"/>
        </w:rPr>
      </w:pPr>
      <w:r>
        <w:rPr>
          <w:rFonts w:ascii="Arial" w:cs="Arial" w:eastAsia="Arial" w:hAnsi="Arial"/>
          <w:sz w:val="17"/>
          <w:szCs w:val="17"/>
          <w:color w:val="auto"/>
        </w:rPr>
        <w:t>Following the 2022 Restructuring and prior to the 2024 Restructuring, the Company’s operations were conducted through an indirect economic interest in Oaktree Capital I, and the Company’s revenue included the incentive income generated by certain funds that OCM manages</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for which the Company, via Oaktree Capital I,</w:t>
      </w:r>
    </w:p>
    <w:p>
      <w:pPr>
        <w:spacing w:after="0" w:line="200" w:lineRule="exact"/>
        <w:rPr>
          <w:sz w:val="20"/>
          <w:szCs w:val="20"/>
          <w:color w:val="auto"/>
        </w:rPr>
      </w:pPr>
    </w:p>
    <w:p>
      <w:pPr>
        <w:spacing w:after="0" w:line="36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1" w:name="page72"/>
    <w:bookmarkEnd w:id="71"/>
    <w:p>
      <w:pPr>
        <w:jc w:val="center"/>
        <w:ind w:right="-19"/>
        <w:spacing w:after="0"/>
        <w:rPr>
          <w:sz w:val="20"/>
          <w:szCs w:val="20"/>
          <w:color w:val="auto"/>
        </w:rPr>
      </w:pPr>
      <w:r>
        <w:rPr>
          <w:rFonts w:ascii="Arial" w:cs="Arial" w:eastAsia="Arial" w:hAnsi="Arial"/>
          <w:sz w:val="17"/>
          <w:szCs w:val="17"/>
          <w:b w:val="1"/>
          <w:bCs w:val="1"/>
          <w:color w:val="auto"/>
        </w:rPr>
        <w:t>Brookfield Oaktree Holdings, LLC</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Consolidated Financial Statements — (Continued)</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December 31, 2025</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 in thousands, except where noted)</w:t>
      </w:r>
    </w:p>
    <w:p>
      <w:pPr>
        <w:spacing w:after="0" w:line="200" w:lineRule="exact"/>
        <w:rPr>
          <w:sz w:val="20"/>
          <w:szCs w:val="20"/>
          <w:color w:val="auto"/>
        </w:rPr>
      </w:pPr>
    </w:p>
    <w:p>
      <w:pPr>
        <w:spacing w:after="0" w:line="207" w:lineRule="exact"/>
        <w:rPr>
          <w:sz w:val="20"/>
          <w:szCs w:val="20"/>
          <w:color w:val="auto"/>
        </w:rPr>
      </w:pPr>
    </w:p>
    <w:p>
      <w:pPr>
        <w:spacing w:after="0" w:line="251" w:lineRule="auto"/>
        <w:rPr>
          <w:sz w:val="20"/>
          <w:szCs w:val="20"/>
          <w:color w:val="auto"/>
        </w:rPr>
      </w:pPr>
      <w:r>
        <w:rPr>
          <w:rFonts w:ascii="Arial" w:cs="Arial" w:eastAsia="Arial" w:hAnsi="Arial"/>
          <w:sz w:val="17"/>
          <w:szCs w:val="17"/>
          <w:color w:val="auto"/>
        </w:rPr>
        <w:t>acted as general partner and the investment income earned from the investments the Company makes in Oaktree funds, third-party funds and other companies. Investment income during such period generally reflected the investment return on a mark-to-market basis and the Company’s equity</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participation on the amounts that it invested in Oaktree and third-party funds</w:t>
      </w:r>
      <w:r>
        <w:rPr>
          <w:rFonts w:ascii="Arial" w:cs="Arial" w:eastAsia="Arial" w:hAnsi="Arial"/>
          <w:sz w:val="20"/>
          <w:szCs w:val="20"/>
          <w:color w:val="008080"/>
        </w:rPr>
        <w:t>.</w:t>
      </w:r>
    </w:p>
    <w:p>
      <w:pPr>
        <w:spacing w:after="0" w:line="211" w:lineRule="exact"/>
        <w:rPr>
          <w:sz w:val="20"/>
          <w:szCs w:val="20"/>
          <w:color w:val="auto"/>
        </w:rPr>
      </w:pPr>
    </w:p>
    <w:p>
      <w:pPr>
        <w:ind w:right="40" w:firstLine="619"/>
        <w:spacing w:after="0" w:line="249" w:lineRule="auto"/>
        <w:rPr>
          <w:sz w:val="20"/>
          <w:szCs w:val="20"/>
          <w:color w:val="auto"/>
        </w:rPr>
      </w:pPr>
      <w:r>
        <w:rPr>
          <w:rFonts w:ascii="Arial" w:cs="Arial" w:eastAsia="Arial" w:hAnsi="Arial"/>
          <w:sz w:val="17"/>
          <w:szCs w:val="17"/>
          <w:color w:val="auto"/>
        </w:rPr>
        <w:t>As a result of the 2024 Restructuring, the Company no longer consolidates the operations of Oaktree Capital I, but rather accounts for its approximately 74% interest in Oaktree Capital I as of December 31, 2025 under the equity method of accounting. The Company’s revenue is primarily the investment income earned from (i) limited partner investments in certain of Oaktree’s flagship opportunistic funds, (ii) an equity method investment in Oaktree Capital I, and (iii) an indirect ownership interest in Brookfield REIT.</w:t>
      </w:r>
    </w:p>
    <w:p>
      <w:pPr>
        <w:spacing w:after="0" w:line="181" w:lineRule="exact"/>
        <w:rPr>
          <w:sz w:val="20"/>
          <w:szCs w:val="20"/>
          <w:color w:val="auto"/>
        </w:rPr>
      </w:pPr>
    </w:p>
    <w:p>
      <w:pPr>
        <w:ind w:right="60" w:firstLine="619"/>
        <w:spacing w:after="0" w:line="274" w:lineRule="auto"/>
        <w:rPr>
          <w:sz w:val="20"/>
          <w:szCs w:val="20"/>
          <w:color w:val="auto"/>
        </w:rPr>
      </w:pPr>
      <w:r>
        <w:rPr>
          <w:rFonts w:ascii="Arial" w:cs="Arial" w:eastAsia="Arial" w:hAnsi="Arial"/>
          <w:sz w:val="17"/>
          <w:szCs w:val="17"/>
          <w:color w:val="auto"/>
        </w:rPr>
        <w:t>Payments to the preferred unitholders must be satisfied prior to declaration of any distributions to Class A or Class B unitholders, subject to the terms of the Series A and Series B preferred units and certain limitations and exceptions set forth therein.</w:t>
      </w:r>
    </w:p>
    <w:p>
      <w:pPr>
        <w:spacing w:after="0" w:line="108"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OCM, an affiliate of the Company, has since the 2019 Restructuring provided certain administrative and other services relating to the</w:t>
      </w:r>
    </w:p>
    <w:p>
      <w:pPr>
        <w:spacing w:after="0" w:line="49" w:lineRule="exact"/>
        <w:rPr>
          <w:sz w:val="20"/>
          <w:szCs w:val="20"/>
          <w:color w:val="auto"/>
        </w:rPr>
      </w:pPr>
    </w:p>
    <w:p>
      <w:pPr>
        <w:ind w:right="580"/>
        <w:spacing w:after="0" w:line="290" w:lineRule="auto"/>
        <w:rPr>
          <w:sz w:val="20"/>
          <w:szCs w:val="20"/>
          <w:color w:val="auto"/>
        </w:rPr>
      </w:pPr>
      <w:r>
        <w:rPr>
          <w:rFonts w:ascii="Arial" w:cs="Arial" w:eastAsia="Arial" w:hAnsi="Arial"/>
          <w:sz w:val="17"/>
          <w:szCs w:val="17"/>
          <w:color w:val="auto"/>
        </w:rPr>
        <w:t>operations of the Company’s business. These services are provided pursuant to a Services Agreement between the Company and OCM (as amended from time to time, the “Services Agreement”).</w:t>
      </w:r>
    </w:p>
    <w:p>
      <w:pPr>
        <w:spacing w:after="0" w:line="9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Basis of Presentation</w:t>
      </w:r>
    </w:p>
    <w:p>
      <w:pPr>
        <w:spacing w:after="0" w:line="168" w:lineRule="exact"/>
        <w:rPr>
          <w:sz w:val="20"/>
          <w:szCs w:val="20"/>
          <w:color w:val="auto"/>
        </w:rPr>
      </w:pPr>
    </w:p>
    <w:p>
      <w:pPr>
        <w:ind w:right="100" w:firstLine="619"/>
        <w:spacing w:after="0" w:line="262" w:lineRule="auto"/>
        <w:rPr>
          <w:sz w:val="20"/>
          <w:szCs w:val="20"/>
          <w:color w:val="auto"/>
        </w:rPr>
      </w:pPr>
      <w:r>
        <w:rPr>
          <w:rFonts w:ascii="Arial" w:cs="Arial" w:eastAsia="Arial" w:hAnsi="Arial"/>
          <w:sz w:val="17"/>
          <w:szCs w:val="17"/>
          <w:color w:val="auto"/>
        </w:rPr>
        <w:t>The accompanying consolidated financial statements are prepared in accordance with accounting principles generally accepted in the United States of America (“GAAP”). The consolidated financial statements include the accounts of the Company, its wholly-owned or majority-owned subsidiaries and entities in which the Company is deemed to have a direct or indirect controlling financial interest based on either a variable interest model or voting interest model. Certain of the Oaktree funds consolidated by the Company are investment companies that follow a specialized basis of accounting established by GAAP. All intercompany transactions and balances have been eliminated in consolidation.</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Use of Estimates</w:t>
      </w:r>
    </w:p>
    <w:p>
      <w:pPr>
        <w:spacing w:after="0" w:line="168" w:lineRule="exact"/>
        <w:rPr>
          <w:sz w:val="20"/>
          <w:szCs w:val="20"/>
          <w:color w:val="auto"/>
        </w:rPr>
      </w:pPr>
    </w:p>
    <w:p>
      <w:pPr>
        <w:ind w:right="60" w:firstLine="619"/>
        <w:spacing w:after="0" w:line="271" w:lineRule="auto"/>
        <w:rPr>
          <w:sz w:val="20"/>
          <w:szCs w:val="20"/>
          <w:color w:val="auto"/>
        </w:rPr>
      </w:pPr>
      <w:r>
        <w:rPr>
          <w:rFonts w:ascii="Arial" w:cs="Arial" w:eastAsia="Arial" w:hAnsi="Arial"/>
          <w:sz w:val="17"/>
          <w:szCs w:val="17"/>
          <w:color w:val="auto"/>
        </w:rPr>
        <w:t>The preparation of the consolidated financial statements in accordance with GAAP requires the Company to make estimates and assumptions that affect the reported amounts of assets and liabilities as of the date of the consolidated financial statements, as well as the reported amounts of income and expenses during the period then ended. Actual results could differ from these estimates.</w:t>
      </w: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2" w:name="page73"/>
    <w:bookmarkEnd w:id="72"/>
    <w:p>
      <w:pPr>
        <w:jc w:val="center"/>
        <w:spacing w:after="0"/>
        <w:rPr>
          <w:sz w:val="20"/>
          <w:szCs w:val="20"/>
          <w:color w:val="auto"/>
        </w:rPr>
      </w:pPr>
      <w:r>
        <w:rPr>
          <w:rFonts w:ascii="Arial" w:cs="Arial" w:eastAsia="Arial" w:hAnsi="Arial"/>
          <w:sz w:val="17"/>
          <w:szCs w:val="17"/>
          <w:b w:val="1"/>
          <w:bCs w:val="1"/>
          <w:color w:val="auto"/>
        </w:rPr>
        <w:t>Brookfield Oaktree Holdings, LLC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 (Continued)</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December 31, 2025</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 in thousands, except where noted)</w:t>
      </w:r>
    </w:p>
    <w:p>
      <w:pPr>
        <w:spacing w:after="0" w:line="200" w:lineRule="exact"/>
        <w:rPr>
          <w:sz w:val="20"/>
          <w:szCs w:val="20"/>
          <w:color w:val="auto"/>
        </w:rPr>
      </w:pPr>
    </w:p>
    <w:p>
      <w:pPr>
        <w:spacing w:after="0" w:line="373" w:lineRule="exact"/>
        <w:rPr>
          <w:sz w:val="20"/>
          <w:szCs w:val="20"/>
          <w:color w:val="auto"/>
        </w:rPr>
      </w:pPr>
    </w:p>
    <w:p>
      <w:pPr>
        <w:ind w:right="6680" w:firstLine="3"/>
        <w:spacing w:after="0" w:line="444" w:lineRule="auto"/>
        <w:tabs>
          <w:tab w:leader="none" w:pos="191" w:val="left"/>
        </w:tabs>
        <w:numPr>
          <w:ilvl w:val="0"/>
          <w:numId w:val="29"/>
        </w:numPr>
        <w:rPr>
          <w:rFonts w:ascii="Arial" w:cs="Arial" w:eastAsia="Arial" w:hAnsi="Arial"/>
          <w:sz w:val="17"/>
          <w:szCs w:val="17"/>
          <w:b w:val="1"/>
          <w:bCs w:val="1"/>
          <w:color w:val="auto"/>
        </w:rPr>
      </w:pPr>
      <w:r>
        <w:rPr>
          <w:rFonts w:ascii="Arial" w:cs="Arial" w:eastAsia="Arial" w:hAnsi="Arial"/>
          <w:sz w:val="17"/>
          <w:szCs w:val="17"/>
          <w:b w:val="1"/>
          <w:bCs w:val="1"/>
          <w:color w:val="auto"/>
        </w:rPr>
        <w:t>SUMMARY OF SIGNIFICANT ACCOUNTING POLICIES Accounting Policies of the Company</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Consolidation</w:t>
      </w:r>
    </w:p>
    <w:p>
      <w:pPr>
        <w:spacing w:after="0" w:line="165" w:lineRule="exact"/>
        <w:rPr>
          <w:sz w:val="20"/>
          <w:szCs w:val="20"/>
          <w:color w:val="auto"/>
        </w:rPr>
      </w:pPr>
    </w:p>
    <w:p>
      <w:pPr>
        <w:ind w:firstLine="619"/>
        <w:spacing w:after="0" w:line="256" w:lineRule="auto"/>
        <w:rPr>
          <w:sz w:val="20"/>
          <w:szCs w:val="20"/>
          <w:color w:val="auto"/>
        </w:rPr>
      </w:pPr>
      <w:r>
        <w:rPr>
          <w:rFonts w:ascii="Arial" w:cs="Arial" w:eastAsia="Arial" w:hAnsi="Arial"/>
          <w:sz w:val="17"/>
          <w:szCs w:val="17"/>
          <w:color w:val="auto"/>
        </w:rPr>
        <w:t>The Company consolidates entities in which it has a direct or indirect controlling financial interest based on either a variable interest model or voting interest model. A limited partnership or similar entity is a variable interest entity (“VIE”) if the unaffiliated limited partners do not have substantive kick-out or participating rights. Most of the Oaktree funds are VIEs because they have not granted unaffiliated limited partners substantive kick-out or participating rights. The Company consolidates those VIEs in which it is the primary beneficiary. An entity is deemed to be the primary beneficiary if it holds a controlling financial interest. A controlling financial interest is defined as (a) the power to direct the activities of a VIE that most significantly impact the entity’s economic performance and (b) the obligation to absorb losses of the entity or the right to receive benefits from the entity that could potentially be significant to the VIE. The consolidation guidance requires an analysis to determine (a) whether an entity in which the Company holds a variable interest is a VIE and (b) whether the Company’s involvement, through holding interests directly or indirectly in the entity or contractually through other variable interests (e.g., management and performance-based fees), would give it a controlling financial interest. A decision maker’s fee arrangement is not considered a variable interest if (a) it is compensation for services provided, commensurate with the level of effort required to provide those services, and part of a compensation arrangement that includes only terms, conditions or amounts that are customarily present in arrangements for similar services negotiated at arm’s length (“at-market”), and (b) the decision maker does not hold any other variable interests that absorb more than an insignificant amount of the potential VIE’s expected residual returns.</w:t>
      </w:r>
    </w:p>
    <w:p>
      <w:pPr>
        <w:spacing w:after="0" w:line="126" w:lineRule="exact"/>
        <w:rPr>
          <w:sz w:val="20"/>
          <w:szCs w:val="20"/>
          <w:color w:val="auto"/>
        </w:rPr>
      </w:pPr>
    </w:p>
    <w:p>
      <w:pPr>
        <w:ind w:firstLine="619"/>
        <w:spacing w:after="0" w:line="256" w:lineRule="auto"/>
        <w:rPr>
          <w:sz w:val="20"/>
          <w:szCs w:val="20"/>
          <w:color w:val="auto"/>
        </w:rPr>
      </w:pPr>
      <w:r>
        <w:rPr>
          <w:rFonts w:ascii="Arial" w:cs="Arial" w:eastAsia="Arial" w:hAnsi="Arial"/>
          <w:sz w:val="17"/>
          <w:szCs w:val="17"/>
          <w:color w:val="auto"/>
        </w:rPr>
        <w:t>The Company determines whether it is the primary beneficiary of a VIE at the time it becomes involved with a VIE and reconsiders that conclusion at each reporting date. In evaluating whether the Company is the primary beneficiary, the Company evaluates its economic interests in the entity held either directly by the Company or indirectly through related parties. In situations where power over an entity’s most significant activities is shared among related parties, a qualitative analysis is required to determine which party within the related party group is most closely associated with the VIE. The party within the related party group that is most closely associated with the VIE is the primary beneficiary and is required to consolidate and disclose the impact of the VIE. The consolidation analysis can generally be performed qualitatively; however, if it is not readily apparent that the Company is not the primary beneficiary, a quantitative analysis may also be performed. Investments and redemptions (either by the Company, affiliates of the Company or third parties) or amendments to the governing documents of the respective Oaktree funds could affect an entity’s status as a VIE or the determination of the primary beneficiary. The Company does not consolidate most of the Oaktree funds because it is not the primary beneficiary of those funds due to the fact that its fee arrangements are considered at-market and thus not deemed to be variable interests, and it does not hold any other interests in those funds that are considered to be more than insignificant. Please see note 4 for more information regarding both consolidated and unconsolidated VIEs. For entities that are not VIEs, consolidation is evaluated through a majority voting interest model.</w:t>
      </w:r>
    </w:p>
    <w:p>
      <w:pPr>
        <w:spacing w:after="0" w:line="334" w:lineRule="exact"/>
        <w:rPr>
          <w:sz w:val="20"/>
          <w:szCs w:val="20"/>
          <w:color w:val="auto"/>
        </w:rPr>
      </w:pPr>
    </w:p>
    <w:p>
      <w:pPr>
        <w:ind w:right="60" w:firstLine="619"/>
        <w:spacing w:after="0" w:line="260" w:lineRule="auto"/>
        <w:rPr>
          <w:sz w:val="20"/>
          <w:szCs w:val="20"/>
          <w:color w:val="auto"/>
        </w:rPr>
      </w:pPr>
      <w:r>
        <w:rPr>
          <w:rFonts w:ascii="Arial" w:cs="Arial" w:eastAsia="Arial" w:hAnsi="Arial"/>
          <w:sz w:val="17"/>
          <w:szCs w:val="17"/>
          <w:color w:val="auto"/>
        </w:rPr>
        <w:t>“Consolidated funds” historically refers to Oaktree-managed funds and CLOs that the Company is required to consolidate. When funds or CLOs are consolidated, the Company reflects the assets, liabilities, revenues, expenses and cash flows of the funds or CLOs on a gross basis, and the majority of the economic interests in those funds or CLOs, which are held by third-party investors, are reflected as non-controlling interests in consolidated funds or debt obligations of CLOs in the consolidated financial statements. All of the revenues earned by the Company as investment manager of the consolidated funds are eliminated in consolidation. However, because the eliminated amounts are earned from and funded by third-party investors, the consolidation of a fund does not impact net income or loss attributable to the Company.</w:t>
      </w:r>
    </w:p>
    <w:p>
      <w:pPr>
        <w:spacing w:after="0" w:line="109" w:lineRule="exact"/>
        <w:rPr>
          <w:sz w:val="20"/>
          <w:szCs w:val="20"/>
          <w:color w:val="auto"/>
        </w:rPr>
      </w:pPr>
    </w:p>
    <w:p>
      <w:pPr>
        <w:ind w:right="180" w:firstLine="619"/>
        <w:spacing w:after="0" w:line="249" w:lineRule="auto"/>
        <w:rPr>
          <w:sz w:val="20"/>
          <w:szCs w:val="20"/>
          <w:color w:val="auto"/>
        </w:rPr>
      </w:pPr>
      <w:r>
        <w:rPr>
          <w:rFonts w:ascii="Arial" w:cs="Arial" w:eastAsia="Arial" w:hAnsi="Arial"/>
          <w:sz w:val="17"/>
          <w:szCs w:val="17"/>
          <w:color w:val="auto"/>
        </w:rPr>
        <w:t>As a result of the 2024 Restructuring, the Company no longer controls Oaktree Capital I. Therefore, Oaktree Capital I was deconsolidated as of July 1, 2024. As such, certain Oaktree funds and CLOs which were consolidated by Oaktree Capital I are no longer consolidated by the Company. The Company continues to consolidate the respective vehicles through which interests are held in Oaktree Opportunities Fund XI, L.P. and Oaktree Opportunities Fund XII, L.P. as the Company remains the primary beneficiary.</w:t>
      </w:r>
    </w:p>
    <w:p>
      <w:pPr>
        <w:spacing w:after="0" w:line="130" w:lineRule="exact"/>
        <w:rPr>
          <w:sz w:val="20"/>
          <w:szCs w:val="20"/>
          <w:color w:val="auto"/>
        </w:rPr>
      </w:pPr>
    </w:p>
    <w:p>
      <w:pPr>
        <w:ind w:right="420" w:firstLine="619"/>
        <w:spacing w:after="0" w:line="290" w:lineRule="auto"/>
        <w:rPr>
          <w:sz w:val="20"/>
          <w:szCs w:val="20"/>
          <w:color w:val="auto"/>
        </w:rPr>
      </w:pPr>
      <w:r>
        <w:rPr>
          <w:rFonts w:ascii="Arial" w:cs="Arial" w:eastAsia="Arial" w:hAnsi="Arial"/>
          <w:sz w:val="17"/>
          <w:szCs w:val="17"/>
          <w:color w:val="auto"/>
        </w:rPr>
        <w:t>Certain entities in which the Company is deemed to have significant influence, including Oaktree Capital I, are accounted for under the equity method of accounting.</w:t>
      </w: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3" w:name="page74"/>
    <w:bookmarkEnd w:id="73"/>
    <w:p>
      <w:pPr>
        <w:jc w:val="center"/>
        <w:ind w:right="-19"/>
        <w:spacing w:after="0"/>
        <w:rPr>
          <w:sz w:val="20"/>
          <w:szCs w:val="20"/>
          <w:color w:val="auto"/>
        </w:rPr>
      </w:pPr>
      <w:r>
        <w:rPr>
          <w:rFonts w:ascii="Arial" w:cs="Arial" w:eastAsia="Arial" w:hAnsi="Arial"/>
          <w:sz w:val="17"/>
          <w:szCs w:val="17"/>
          <w:b w:val="1"/>
          <w:bCs w:val="1"/>
          <w:color w:val="auto"/>
        </w:rPr>
        <w:t>Brookfield Oaktree Holdings, LLC</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Consolidated Financial Statements — (Continued)</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December 31, 2025</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 in thousands, except where noted)</w:t>
      </w: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Non-controlling Redeemable Interests in Consolidated Funds</w:t>
      </w:r>
    </w:p>
    <w:p>
      <w:pPr>
        <w:spacing w:after="0" w:line="165" w:lineRule="exact"/>
        <w:rPr>
          <w:sz w:val="20"/>
          <w:szCs w:val="20"/>
          <w:color w:val="auto"/>
        </w:rPr>
      </w:pPr>
    </w:p>
    <w:p>
      <w:pPr>
        <w:ind w:right="20" w:firstLine="619"/>
        <w:spacing w:after="0" w:line="257" w:lineRule="auto"/>
        <w:rPr>
          <w:sz w:val="20"/>
          <w:szCs w:val="20"/>
          <w:color w:val="auto"/>
        </w:rPr>
      </w:pPr>
      <w:r>
        <w:rPr>
          <w:rFonts w:ascii="Arial" w:cs="Arial" w:eastAsia="Arial" w:hAnsi="Arial"/>
          <w:sz w:val="17"/>
          <w:szCs w:val="17"/>
          <w:color w:val="auto"/>
        </w:rPr>
        <w:t>The Company records non-controlling interests to reflect the economic interests of the unaffiliated limited partners in Oaktree-managed funds and the class A ordinary shareholders in Oaktree sponsored SPACs. These interests are presented as non-controlling redeemable interests in consolidated funds within the consolidated statements of financial condition, outside of the permanent capital section. Limited partners in open-end and evergreen funds generally have the right to withdraw their capital, subject to the terms of the respective limited partnership agreements, over periods ranging from one month to three years. While limited partners in consolidated closed-end funds generally have not been granted redemption rights, these limited partners do have withdrawal or redemption rights in certain limited circumstances that are beyond the control of the Company, such as instances in which retaining the limited partnership interest could cause the limited partner to violate a law, regulation or rule. For Oaktree sponsored SPACs, the class A ordinary shareholders have redemption rights that are considered to be outside of the Company’s control. These shares are presented as non-controlling redeemable interests on the Company’s consolidated statements of financial condition.</w:t>
      </w:r>
    </w:p>
    <w:p>
      <w:pPr>
        <w:spacing w:after="0" w:line="127" w:lineRule="exact"/>
        <w:rPr>
          <w:sz w:val="20"/>
          <w:szCs w:val="20"/>
          <w:color w:val="auto"/>
        </w:rPr>
      </w:pPr>
    </w:p>
    <w:p>
      <w:pPr>
        <w:jc w:val="both"/>
        <w:ind w:right="120" w:firstLine="619"/>
        <w:spacing w:after="0" w:line="265" w:lineRule="auto"/>
        <w:rPr>
          <w:sz w:val="20"/>
          <w:szCs w:val="20"/>
          <w:color w:val="auto"/>
        </w:rPr>
      </w:pPr>
      <w:r>
        <w:rPr>
          <w:rFonts w:ascii="Arial" w:cs="Arial" w:eastAsia="Arial" w:hAnsi="Arial"/>
          <w:sz w:val="17"/>
          <w:szCs w:val="17"/>
          <w:color w:val="auto"/>
        </w:rPr>
        <w:t>The allocation of net income or loss to non-controlling redeemable interests in consolidated funds and Oaktree sponsored SPACs is based on the relative ownership interests of the unaffiliated limited partners after the consideration of contractual arrangements that govern allocations of income or loss. At the consolidated level, potential incentives are allocated to non-controlling redeemable interests in consolidated funds until such incentives become allocable to the Company under the substantive contractual terms of the limited partnership agreements of the funds.</w:t>
      </w:r>
    </w:p>
    <w:p>
      <w:pPr>
        <w:spacing w:after="0" w:line="116" w:lineRule="exact"/>
        <w:rPr>
          <w:sz w:val="20"/>
          <w:szCs w:val="20"/>
          <w:color w:val="auto"/>
        </w:rPr>
      </w:pPr>
    </w:p>
    <w:p>
      <w:pPr>
        <w:ind w:right="80" w:firstLine="619"/>
        <w:spacing w:after="0" w:line="290" w:lineRule="auto"/>
        <w:rPr>
          <w:sz w:val="20"/>
          <w:szCs w:val="20"/>
          <w:color w:val="auto"/>
        </w:rPr>
      </w:pPr>
      <w:r>
        <w:rPr>
          <w:rFonts w:ascii="Arial" w:cs="Arial" w:eastAsia="Arial" w:hAnsi="Arial"/>
          <w:sz w:val="17"/>
          <w:szCs w:val="17"/>
          <w:color w:val="auto"/>
        </w:rPr>
        <w:t>As a result of the 2024 Restructuring, Oaktree Capital I was deconsolidated as of July 1, 2024. As such, the funds consolidated by Oaktree Capital I are no longer consolidated by the Company.</w:t>
      </w:r>
    </w:p>
    <w:p>
      <w:pPr>
        <w:spacing w:after="0" w:line="9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Non-controlling Interests in Consolidated Subsidiaries</w:t>
      </w:r>
    </w:p>
    <w:p>
      <w:pPr>
        <w:spacing w:after="0" w:line="165" w:lineRule="exact"/>
        <w:rPr>
          <w:sz w:val="20"/>
          <w:szCs w:val="20"/>
          <w:color w:val="auto"/>
        </w:rPr>
      </w:pPr>
    </w:p>
    <w:p>
      <w:pPr>
        <w:ind w:right="300" w:firstLine="619"/>
        <w:spacing w:after="0" w:line="265" w:lineRule="auto"/>
        <w:rPr>
          <w:sz w:val="20"/>
          <w:szCs w:val="20"/>
          <w:color w:val="auto"/>
        </w:rPr>
      </w:pPr>
      <w:r>
        <w:rPr>
          <w:rFonts w:ascii="Arial" w:cs="Arial" w:eastAsia="Arial" w:hAnsi="Arial"/>
          <w:sz w:val="17"/>
          <w:szCs w:val="17"/>
          <w:color w:val="auto"/>
        </w:rPr>
        <w:t>Non-controlling interests in consolidated subsidiaries reflect the portion of unitholders’ capital attributable to OCGH unitholders (“OCGH non-controlling interest”) and third parties. All non-controlling interests in consolidated subsidiaries are attributed a share of income or loss in the respective consolidated subsidiary based on the relative economic interests of the OCGH unitholders or third parties after consideration of contractual arrangements that govern allocations of income or loss.</w:t>
      </w:r>
    </w:p>
    <w:p>
      <w:pPr>
        <w:spacing w:after="0" w:line="116" w:lineRule="exact"/>
        <w:rPr>
          <w:sz w:val="20"/>
          <w:szCs w:val="20"/>
          <w:color w:val="auto"/>
        </w:rPr>
      </w:pPr>
    </w:p>
    <w:p>
      <w:pPr>
        <w:ind w:right="720" w:firstLine="619"/>
        <w:spacing w:after="0" w:line="290" w:lineRule="auto"/>
        <w:rPr>
          <w:sz w:val="20"/>
          <w:szCs w:val="20"/>
          <w:color w:val="auto"/>
        </w:rPr>
      </w:pPr>
      <w:r>
        <w:rPr>
          <w:rFonts w:ascii="Arial" w:cs="Arial" w:eastAsia="Arial" w:hAnsi="Arial"/>
          <w:sz w:val="17"/>
          <w:szCs w:val="17"/>
          <w:color w:val="auto"/>
        </w:rPr>
        <w:t>As a result of the 2024 Restructuring, Oaktree Capital I was deconsolidated as of July 1, 2024. BOH no longer reports OCGH non-controlling interests in Oaktree Capital I.</w:t>
      </w:r>
    </w:p>
    <w:p>
      <w:pPr>
        <w:spacing w:after="0" w:line="9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Fair Value of Financial Instruments</w:t>
      </w:r>
    </w:p>
    <w:p>
      <w:pPr>
        <w:spacing w:after="0" w:line="165" w:lineRule="exact"/>
        <w:rPr>
          <w:sz w:val="20"/>
          <w:szCs w:val="20"/>
          <w:color w:val="auto"/>
        </w:rPr>
      </w:pPr>
    </w:p>
    <w:p>
      <w:pPr>
        <w:ind w:right="20" w:firstLine="619"/>
        <w:spacing w:after="0" w:line="262" w:lineRule="auto"/>
        <w:rPr>
          <w:sz w:val="20"/>
          <w:szCs w:val="20"/>
          <w:color w:val="auto"/>
        </w:rPr>
      </w:pPr>
      <w:r>
        <w:rPr>
          <w:rFonts w:ascii="Arial" w:cs="Arial" w:eastAsia="Arial" w:hAnsi="Arial"/>
          <w:sz w:val="17"/>
          <w:szCs w:val="17"/>
          <w:color w:val="auto"/>
        </w:rPr>
        <w:t>GAAP establishes a hierarchical disclosure framework that prioritizes the inputs used in measuring financial instruments at fair value into three levels based on their market observability. Market price observability is affected by a number of factors, such as the type of instrument and the characteristics specific to the instrument. Financial instruments with readily available quoted prices from an active market or for which fair value can be measured based on actively quoted prices generally will have a higher degree of market price observability and a lesser degree of judgment inherent in measuring fair value.</w:t>
      </w:r>
    </w:p>
    <w:p>
      <w:pPr>
        <w:spacing w:after="0" w:line="119" w:lineRule="exact"/>
        <w:rPr>
          <w:sz w:val="20"/>
          <w:szCs w:val="20"/>
          <w:color w:val="auto"/>
        </w:rPr>
      </w:pPr>
    </w:p>
    <w:p>
      <w:pPr>
        <w:ind w:left="620"/>
        <w:spacing w:after="0"/>
        <w:rPr>
          <w:sz w:val="20"/>
          <w:szCs w:val="20"/>
          <w:color w:val="auto"/>
        </w:rPr>
      </w:pPr>
      <w:r>
        <w:rPr>
          <w:rFonts w:ascii="Arial" w:cs="Arial" w:eastAsia="Arial" w:hAnsi="Arial"/>
          <w:sz w:val="17"/>
          <w:szCs w:val="17"/>
          <w:color w:val="auto"/>
        </w:rPr>
        <w:t>Financial assets and liabilities measured and reported at fair value are classified as follows:</w:t>
      </w:r>
    </w:p>
    <w:p>
      <w:pPr>
        <w:spacing w:after="0" w:line="27" w:lineRule="exact"/>
        <w:rPr>
          <w:sz w:val="20"/>
          <w:szCs w:val="20"/>
          <w:color w:val="auto"/>
        </w:rPr>
      </w:pPr>
    </w:p>
    <w:p>
      <w:pPr>
        <w:jc w:val="both"/>
        <w:ind w:left="940" w:right="800" w:hanging="318"/>
        <w:spacing w:after="0" w:line="254" w:lineRule="auto"/>
        <w:tabs>
          <w:tab w:leader="none" w:pos="936" w:val="left"/>
        </w:tabs>
        <w:numPr>
          <w:ilvl w:val="0"/>
          <w:numId w:val="30"/>
        </w:numPr>
        <w:rPr>
          <w:rFonts w:ascii="Arial" w:cs="Arial" w:eastAsia="Arial" w:hAnsi="Arial"/>
          <w:sz w:val="17"/>
          <w:szCs w:val="17"/>
          <w:color w:val="auto"/>
        </w:rPr>
      </w:pPr>
      <w:r>
        <w:rPr>
          <w:rFonts w:ascii="Arial" w:cs="Arial" w:eastAsia="Arial" w:hAnsi="Arial"/>
          <w:sz w:val="17"/>
          <w:szCs w:val="17"/>
          <w:i w:val="1"/>
          <w:iCs w:val="1"/>
          <w:color w:val="auto"/>
        </w:rPr>
        <w:t xml:space="preserve">Level I - </w:t>
      </w:r>
      <w:r>
        <w:rPr>
          <w:rFonts w:ascii="Arial" w:cs="Arial" w:eastAsia="Arial" w:hAnsi="Arial"/>
          <w:sz w:val="17"/>
          <w:szCs w:val="17"/>
          <w:color w:val="auto"/>
        </w:rPr>
        <w:t>Quoted unadjusted prices for identical instruments in active markets to which the Company has access at the date of</w:t>
      </w:r>
      <w:r>
        <w:rPr>
          <w:rFonts w:ascii="Arial" w:cs="Arial" w:eastAsia="Arial" w:hAnsi="Arial"/>
          <w:sz w:val="17"/>
          <w:szCs w:val="17"/>
          <w:i w:val="1"/>
          <w:iCs w:val="1"/>
          <w:color w:val="auto"/>
        </w:rPr>
        <w:t xml:space="preserve"> </w:t>
      </w:r>
      <w:r>
        <w:rPr>
          <w:rFonts w:ascii="Arial" w:cs="Arial" w:eastAsia="Arial" w:hAnsi="Arial"/>
          <w:sz w:val="17"/>
          <w:szCs w:val="17"/>
          <w:color w:val="auto"/>
        </w:rPr>
        <w:t>measurement. The types of investments in Level I include exchange-traded equities, debt and derivatives with quoted prices.</w:t>
      </w:r>
    </w:p>
    <w:p>
      <w:pPr>
        <w:spacing w:after="0" w:line="124" w:lineRule="exact"/>
        <w:rPr>
          <w:rFonts w:ascii="Arial" w:cs="Arial" w:eastAsia="Arial" w:hAnsi="Arial"/>
          <w:sz w:val="17"/>
          <w:szCs w:val="17"/>
          <w:color w:val="auto"/>
        </w:rPr>
      </w:pPr>
    </w:p>
    <w:p>
      <w:pPr>
        <w:ind w:left="940" w:hanging="318"/>
        <w:spacing w:after="0" w:line="262" w:lineRule="auto"/>
        <w:tabs>
          <w:tab w:leader="none" w:pos="936" w:val="left"/>
        </w:tabs>
        <w:numPr>
          <w:ilvl w:val="0"/>
          <w:numId w:val="30"/>
        </w:numPr>
        <w:rPr>
          <w:rFonts w:ascii="Arial" w:cs="Arial" w:eastAsia="Arial" w:hAnsi="Arial"/>
          <w:sz w:val="17"/>
          <w:szCs w:val="17"/>
          <w:color w:val="auto"/>
        </w:rPr>
      </w:pPr>
      <w:r>
        <w:rPr>
          <w:rFonts w:ascii="Arial" w:cs="Arial" w:eastAsia="Arial" w:hAnsi="Arial"/>
          <w:sz w:val="17"/>
          <w:szCs w:val="17"/>
          <w:i w:val="1"/>
          <w:iCs w:val="1"/>
          <w:color w:val="auto"/>
        </w:rPr>
        <w:t xml:space="preserve">Level II - </w:t>
      </w:r>
      <w:r>
        <w:rPr>
          <w:rFonts w:ascii="Arial" w:cs="Arial" w:eastAsia="Arial" w:hAnsi="Arial"/>
          <w:sz w:val="17"/>
          <w:szCs w:val="17"/>
          <w:color w:val="auto"/>
        </w:rPr>
        <w:t>Quoted prices for similar instruments in active markets; quoted prices for identical or similar instruments in markets that are</w:t>
      </w:r>
      <w:r>
        <w:rPr>
          <w:rFonts w:ascii="Arial" w:cs="Arial" w:eastAsia="Arial" w:hAnsi="Arial"/>
          <w:sz w:val="17"/>
          <w:szCs w:val="17"/>
          <w:i w:val="1"/>
          <w:iCs w:val="1"/>
          <w:color w:val="auto"/>
        </w:rPr>
        <w:t xml:space="preserve"> </w:t>
      </w:r>
      <w:r>
        <w:rPr>
          <w:rFonts w:ascii="Arial" w:cs="Arial" w:eastAsia="Arial" w:hAnsi="Arial"/>
          <w:sz w:val="17"/>
          <w:szCs w:val="17"/>
          <w:color w:val="auto"/>
        </w:rPr>
        <w:t>not active; and model-derived valuations in which all significant inputs are directly or indirectly observable. Level II inputs include interest rates, yield curves, volatilities, prepayment risks, loss severities, credit risks and default rates. The types of investments in Level II generally include corporate bonds and loans, government and agency securities, less liquid and restricted equity investments, over-the-counter traded derivatives, and other investments where the fair value is based on observable inputs.</w:t>
      </w: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4" w:name="page75"/>
    <w:bookmarkEnd w:id="74"/>
    <w:p>
      <w:pPr>
        <w:jc w:val="center"/>
        <w:spacing w:after="0"/>
        <w:rPr>
          <w:sz w:val="20"/>
          <w:szCs w:val="20"/>
          <w:color w:val="auto"/>
        </w:rPr>
      </w:pPr>
      <w:r>
        <w:rPr>
          <w:rFonts w:ascii="Arial" w:cs="Arial" w:eastAsia="Arial" w:hAnsi="Arial"/>
          <w:sz w:val="17"/>
          <w:szCs w:val="17"/>
          <w:b w:val="1"/>
          <w:bCs w:val="1"/>
          <w:color w:val="auto"/>
        </w:rPr>
        <w:t>Brookfield Oaktree Holdings, LLC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 (Continued)</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December 31, 2025</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 in thousands, except where noted)</w:t>
      </w:r>
    </w:p>
    <w:p>
      <w:pPr>
        <w:spacing w:after="0" w:line="200" w:lineRule="exact"/>
        <w:rPr>
          <w:sz w:val="20"/>
          <w:szCs w:val="20"/>
          <w:color w:val="auto"/>
        </w:rPr>
      </w:pPr>
    </w:p>
    <w:p>
      <w:pPr>
        <w:spacing w:after="0" w:line="375" w:lineRule="exact"/>
        <w:rPr>
          <w:sz w:val="20"/>
          <w:szCs w:val="20"/>
          <w:color w:val="auto"/>
        </w:rPr>
      </w:pPr>
    </w:p>
    <w:p>
      <w:pPr>
        <w:ind w:left="940" w:right="40" w:hanging="318"/>
        <w:spacing w:after="0" w:line="265" w:lineRule="auto"/>
        <w:tabs>
          <w:tab w:leader="none" w:pos="936" w:val="left"/>
        </w:tabs>
        <w:numPr>
          <w:ilvl w:val="0"/>
          <w:numId w:val="31"/>
        </w:numPr>
        <w:rPr>
          <w:rFonts w:ascii="Arial" w:cs="Arial" w:eastAsia="Arial" w:hAnsi="Arial"/>
          <w:sz w:val="17"/>
          <w:szCs w:val="17"/>
          <w:color w:val="auto"/>
        </w:rPr>
      </w:pPr>
      <w:r>
        <w:rPr>
          <w:rFonts w:ascii="Arial" w:cs="Arial" w:eastAsia="Arial" w:hAnsi="Arial"/>
          <w:sz w:val="17"/>
          <w:szCs w:val="17"/>
          <w:i w:val="1"/>
          <w:iCs w:val="1"/>
          <w:color w:val="auto"/>
        </w:rPr>
        <w:t xml:space="preserve">Level III - </w:t>
      </w:r>
      <w:r>
        <w:rPr>
          <w:rFonts w:ascii="Arial" w:cs="Arial" w:eastAsia="Arial" w:hAnsi="Arial"/>
          <w:sz w:val="17"/>
          <w:szCs w:val="17"/>
          <w:color w:val="auto"/>
        </w:rPr>
        <w:t>Valuations for which one or more significant inputs are unobservable. These inputs reflect the Company’s assessment of the</w:t>
      </w:r>
      <w:r>
        <w:rPr>
          <w:rFonts w:ascii="Arial" w:cs="Arial" w:eastAsia="Arial" w:hAnsi="Arial"/>
          <w:sz w:val="17"/>
          <w:szCs w:val="17"/>
          <w:i w:val="1"/>
          <w:iCs w:val="1"/>
          <w:color w:val="auto"/>
        </w:rPr>
        <w:t xml:space="preserve"> </w:t>
      </w:r>
      <w:r>
        <w:rPr>
          <w:rFonts w:ascii="Arial" w:cs="Arial" w:eastAsia="Arial" w:hAnsi="Arial"/>
          <w:sz w:val="17"/>
          <w:szCs w:val="17"/>
          <w:color w:val="auto"/>
        </w:rPr>
        <w:t>assumptions that market participants use to value the investment based on the best available information. Level III inputs include prices of quoted securities in markets for which there are few transactions, less public information exists or prices vary among brokered market makers. The types of investments in Level III include non-publicly traded equity, debt, real estate and derivatives.</w:t>
      </w:r>
    </w:p>
    <w:p>
      <w:pPr>
        <w:spacing w:after="0" w:line="116" w:lineRule="exact"/>
        <w:rPr>
          <w:sz w:val="20"/>
          <w:szCs w:val="20"/>
          <w:color w:val="auto"/>
        </w:rPr>
      </w:pPr>
    </w:p>
    <w:p>
      <w:pPr>
        <w:ind w:right="280" w:firstLine="619"/>
        <w:spacing w:after="0" w:line="260" w:lineRule="auto"/>
        <w:rPr>
          <w:sz w:val="20"/>
          <w:szCs w:val="20"/>
          <w:color w:val="auto"/>
        </w:rPr>
      </w:pPr>
      <w:r>
        <w:rPr>
          <w:rFonts w:ascii="Arial" w:cs="Arial" w:eastAsia="Arial" w:hAnsi="Arial"/>
          <w:sz w:val="17"/>
          <w:szCs w:val="17"/>
          <w:color w:val="auto"/>
        </w:rPr>
        <w:t>In some instances, the inputs used to value an instrument may fall into multiple levels of the fair-value hierarchy. In such instances, the instrument’s level within the fair-value hierarchy is based on the lowest of the three levels (with Level III being the lowest) that is significant to the fair-value measurement. The Company’s assessment of the significance of an input requires judgment and considers factors specific to the instrument. Transfers of assets into or out of each fair value hierarchy level as a result of changes in the observability of the inputs used in measuring fair value are accounted for as of the beginning of the reporting period. Transfers resulting from a specific event, such as a reorganization or restructuring, are accounted for as of the date of the event that caused the transfer.</w:t>
      </w:r>
    </w:p>
    <w:p>
      <w:pPr>
        <w:spacing w:after="0" w:line="122" w:lineRule="exact"/>
        <w:rPr>
          <w:sz w:val="20"/>
          <w:szCs w:val="20"/>
          <w:color w:val="auto"/>
        </w:rPr>
      </w:pPr>
    </w:p>
    <w:p>
      <w:pPr>
        <w:ind w:right="120" w:firstLine="619"/>
        <w:spacing w:after="0" w:line="256" w:lineRule="auto"/>
        <w:rPr>
          <w:sz w:val="20"/>
          <w:szCs w:val="20"/>
          <w:color w:val="auto"/>
        </w:rPr>
      </w:pPr>
      <w:r>
        <w:rPr>
          <w:rFonts w:ascii="Arial" w:cs="Arial" w:eastAsia="Arial" w:hAnsi="Arial"/>
          <w:sz w:val="17"/>
          <w:szCs w:val="17"/>
          <w:color w:val="auto"/>
        </w:rPr>
        <w:t>In the absence of observable market prices, the Company values Level III investments inclusive of the Company’s investments in unconsolidated Oaktree funds using valuation methodologies applied on a consistent basis. The quarterly valuation process for Level III investments begins with each portfolio company, property or security being valued by the investment and/or valuation teams. With the exception of open-end funds, all unquoted Level III investment values are reviewed and approved by (i) the Company’s valuation officer, who is independent of the investment teams, (ii) a designated investment professional of each strategy and (iii) for a substantial majority of unquoted Level III holdings as measured by market value, a valuation committee of the respective strategy. For open-end funds, unquoted Level III investment values are reviewed and approved by the Company’s valuation officer. For certain investments, the valuation process also includes a review by independent valuation parties, at least annually, to determine whether the fair values determined by management are reasonable. Results of the valuation process are evaluated each quarter, including an assessment of whether the underlying calculations should be adjusted or recalibrated. In connection with this process, the Company periodically evaluates changes in fair-value measurements for reasonableness, considering items such as industry trends, general economic and market conditions, and factors specific to the investment.</w:t>
      </w:r>
    </w:p>
    <w:p>
      <w:pPr>
        <w:spacing w:after="0" w:line="130" w:lineRule="exact"/>
        <w:rPr>
          <w:sz w:val="20"/>
          <w:szCs w:val="20"/>
          <w:color w:val="auto"/>
        </w:rPr>
      </w:pPr>
    </w:p>
    <w:p>
      <w:pPr>
        <w:ind w:firstLine="619"/>
        <w:spacing w:after="0" w:line="257" w:lineRule="auto"/>
        <w:rPr>
          <w:sz w:val="20"/>
          <w:szCs w:val="20"/>
          <w:color w:val="auto"/>
        </w:rPr>
      </w:pPr>
      <w:r>
        <w:rPr>
          <w:rFonts w:ascii="Arial" w:cs="Arial" w:eastAsia="Arial" w:hAnsi="Arial"/>
          <w:sz w:val="17"/>
          <w:szCs w:val="17"/>
          <w:color w:val="auto"/>
        </w:rPr>
        <w:t>Certain assets are valued using prices obtained from pricing vendors or brokers. The Company seeks to obtain prices from at least two pricing vendors for the subject or similar securities. In cases where vendor pricing is not reflective of fair value, a secondary vendor is unavailable, or no vendor pricing is available, a comparison value made up of quotes for the subject or similar securities received from broker dealers may be used. These investments may be classified as Level III because the quoted prices may be indicative in nature for securities that are in an inactive market, may be for similar securities, or may require adjustment for investment-specific factors or restrictions. The Company evaluates the prices obtained from brokers or pricing vendors based on available market information, including trading activity of the subject or similar securities, or by performing a comparable security analysis to ensure that fair values are reasonably estimated. The Company also performs back-testing of valuation information obtained from pricing vendors and brokers against actual prices received in transactions. In addition to ongoing monitoring and back-testing, the Company performs due diligence procedures surrounding pricing vendors to understand their methodology and controls to support their use in the valuation process.</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Fair Value Option</w:t>
      </w:r>
    </w:p>
    <w:p>
      <w:pPr>
        <w:spacing w:after="0" w:line="165" w:lineRule="exact"/>
        <w:rPr>
          <w:sz w:val="20"/>
          <w:szCs w:val="20"/>
          <w:color w:val="auto"/>
        </w:rPr>
      </w:pPr>
    </w:p>
    <w:p>
      <w:pPr>
        <w:ind w:right="60" w:firstLine="619"/>
        <w:spacing w:after="0" w:line="257" w:lineRule="auto"/>
        <w:rPr>
          <w:sz w:val="20"/>
          <w:szCs w:val="20"/>
          <w:color w:val="auto"/>
        </w:rPr>
      </w:pPr>
      <w:r>
        <w:rPr>
          <w:rFonts w:ascii="Arial" w:cs="Arial" w:eastAsia="Arial" w:hAnsi="Arial"/>
          <w:sz w:val="17"/>
          <w:szCs w:val="17"/>
          <w:color w:val="auto"/>
        </w:rPr>
        <w:t>The Company has elected the fair value option for the financial assets and financial liabilities of its consolidated CLOs. The assets and liabilities of CLOs are primarily reflected within the investments, at fair value and within the debt obligations of CLOs line items in the condensed consolidated statements of financial condition. The Company’s accounting for CLO assets is similar to its accounting for its funds with respect to both carrying investments held by CLOs at fair value and the valuation methods used to determine the fair value of those investments. The fair value of CLO liabilities are measured as the fair value of CLO assets less the sum of (a) the fair value of any beneficial interests held by the Company and (b) the carrying value of any beneficial interests that represent compensation for services. Realized gains or losses and changes in the fair value of CLO assets, respectively, are included in net realized gain on consolidated funds’ investments and net change in unrealized appreciation (depreciation) on consolidated funds’ investments in the condensed consolidated statements of operations. Interest income of CLOs is included in interest and dividend income, and interest expense and other</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5" w:name="page76"/>
    <w:bookmarkEnd w:id="75"/>
    <w:p>
      <w:pPr>
        <w:jc w:val="center"/>
        <w:ind w:right="-19"/>
        <w:spacing w:after="0"/>
        <w:rPr>
          <w:sz w:val="20"/>
          <w:szCs w:val="20"/>
          <w:color w:val="auto"/>
        </w:rPr>
      </w:pPr>
      <w:r>
        <w:rPr>
          <w:rFonts w:ascii="Arial" w:cs="Arial" w:eastAsia="Arial" w:hAnsi="Arial"/>
          <w:sz w:val="17"/>
          <w:szCs w:val="17"/>
          <w:b w:val="1"/>
          <w:bCs w:val="1"/>
          <w:color w:val="auto"/>
        </w:rPr>
        <w:t>Brookfield Oaktree Holdings, LLC</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Consolidated Financial Statements — (Continued)</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December 31, 2025</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 in thousands, except where noted)</w:t>
      </w:r>
    </w:p>
    <w:p>
      <w:pPr>
        <w:spacing w:after="0" w:line="200" w:lineRule="exact"/>
        <w:rPr>
          <w:sz w:val="20"/>
          <w:szCs w:val="20"/>
          <w:color w:val="auto"/>
        </w:rPr>
      </w:pPr>
    </w:p>
    <w:p>
      <w:pPr>
        <w:spacing w:after="0" w:line="375" w:lineRule="exact"/>
        <w:rPr>
          <w:sz w:val="20"/>
          <w:szCs w:val="20"/>
          <w:color w:val="auto"/>
        </w:rPr>
      </w:pPr>
    </w:p>
    <w:p>
      <w:pPr>
        <w:ind w:right="20"/>
        <w:spacing w:after="0" w:line="260" w:lineRule="auto"/>
        <w:rPr>
          <w:sz w:val="20"/>
          <w:szCs w:val="20"/>
          <w:color w:val="auto"/>
        </w:rPr>
      </w:pPr>
      <w:r>
        <w:rPr>
          <w:rFonts w:ascii="Arial" w:cs="Arial" w:eastAsia="Arial" w:hAnsi="Arial"/>
          <w:sz w:val="17"/>
          <w:szCs w:val="17"/>
          <w:color w:val="auto"/>
        </w:rPr>
        <w:t>expenses, respectively, are included in interest expense and consolidated fund expenses in the condensed consolidated statements of operations. Changes in the fair value of a CLO’s financial liabilities in accordance with the CLO measurement guidance are included in net change in unrealized appreciation (depreciation) on consolidated funds’ investments in the condensed consolidated statements of operations. Please see notes 6 and 9 for more information. Subsequent to the 2024 Restructuring, the Company no longer consolidates the CLOs due to the deconsolidation of Oaktree Capital I and as a result, changes in the fair value of the CLOs’ financial liabilities are not included in the condensed consolidated statements of operations for periods subsequent to July 1, 2024.</w:t>
      </w:r>
    </w:p>
    <w:p>
      <w:pPr>
        <w:spacing w:after="0" w:line="12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Derivatives and Hedging</w:t>
      </w:r>
    </w:p>
    <w:p>
      <w:pPr>
        <w:spacing w:after="0" w:line="165" w:lineRule="exact"/>
        <w:rPr>
          <w:sz w:val="20"/>
          <w:szCs w:val="20"/>
          <w:color w:val="auto"/>
        </w:rPr>
      </w:pPr>
    </w:p>
    <w:p>
      <w:pPr>
        <w:ind w:right="140" w:firstLine="619"/>
        <w:spacing w:after="0" w:line="265" w:lineRule="auto"/>
        <w:rPr>
          <w:sz w:val="20"/>
          <w:szCs w:val="20"/>
          <w:color w:val="auto"/>
        </w:rPr>
      </w:pPr>
      <w:r>
        <w:rPr>
          <w:rFonts w:ascii="Arial" w:cs="Arial" w:eastAsia="Arial" w:hAnsi="Arial"/>
          <w:sz w:val="17"/>
          <w:szCs w:val="17"/>
          <w:color w:val="auto"/>
        </w:rPr>
        <w:t>A derivative is a financial instrument whose value is derived from an underlying financial instrument or index, such as interest rates, equity securities, currencies, commodities or credit spreads. Derivatives include futures, forwards, swaps or option contracts, and other financial instruments with similar characteristics. Derivative contracts often involve future commitments to exchange interest payment streams or currencies based on a notional or contractual amount (e.g., interest-rate swaps, foreign-currency forwards or cross-currency swaps).</w:t>
      </w:r>
    </w:p>
    <w:p>
      <w:pPr>
        <w:spacing w:after="0" w:line="116" w:lineRule="exact"/>
        <w:rPr>
          <w:sz w:val="20"/>
          <w:szCs w:val="20"/>
          <w:color w:val="auto"/>
        </w:rPr>
      </w:pPr>
    </w:p>
    <w:p>
      <w:pPr>
        <w:ind w:right="100" w:firstLine="619"/>
        <w:spacing w:after="0" w:line="257" w:lineRule="auto"/>
        <w:rPr>
          <w:sz w:val="20"/>
          <w:szCs w:val="20"/>
          <w:color w:val="auto"/>
        </w:rPr>
      </w:pPr>
      <w:r>
        <w:rPr>
          <w:rFonts w:ascii="Arial" w:cs="Arial" w:eastAsia="Arial" w:hAnsi="Arial"/>
          <w:sz w:val="17"/>
          <w:szCs w:val="17"/>
          <w:color w:val="auto"/>
        </w:rPr>
        <w:t>The Company enters into derivatives as part of its overall risk management strategy or to facilitate its investment management activities. The Company manages its exposure to interest rate and foreign exchange market risks, when deemed appropriate, through the use of derivatives, including foreign currency forward and option contracts, interest-rate and cross currency swaps with financial counterparties. Risks associated with fluctuations in interest rates and foreign-currency exchange rates in the normal course of business are addressed as part of the Company’s overall risk management strategy that may result in the use of derivatives to economically hedge or reduce these exposures. From time to time, the Company may enter into (a) foreign-currency option and forward contracts to reduce earnings and cash-flow volatility associated with changes in foreign-currency exchange rates, and (b) interest-rate swaps to manage all or a portion of the interest-rate risk associated with its variable-rate borrowings. As a result of the use of these or other derivative contracts, the Company is exposed to the risk that counterparties will fail to fulfill their contractual obligations. The Company attempts to mitigate this counterparty risk by entering into derivative contracts only with major financial institutions that have investment-grade credit ratings. Counterparty credit risk is evaluated in determining the fair value of derivatives.</w:t>
      </w:r>
    </w:p>
    <w:p>
      <w:pPr>
        <w:spacing w:after="0" w:line="124" w:lineRule="exact"/>
        <w:rPr>
          <w:sz w:val="20"/>
          <w:szCs w:val="20"/>
          <w:color w:val="auto"/>
        </w:rPr>
      </w:pPr>
    </w:p>
    <w:p>
      <w:pPr>
        <w:ind w:right="20" w:firstLine="619"/>
        <w:spacing w:after="0" w:line="260" w:lineRule="auto"/>
        <w:rPr>
          <w:sz w:val="20"/>
          <w:szCs w:val="20"/>
          <w:color w:val="auto"/>
        </w:rPr>
      </w:pPr>
      <w:r>
        <w:rPr>
          <w:rFonts w:ascii="Arial" w:cs="Arial" w:eastAsia="Arial" w:hAnsi="Arial"/>
          <w:sz w:val="17"/>
          <w:szCs w:val="17"/>
          <w:color w:val="auto"/>
        </w:rPr>
        <w:t>The Company recognizes all derivatives as assets or liabilities in its consolidated statements of financial condition at fair value. In connection with its derivative activities, the Company generally enters into agreements subject to enforceable master netting arrangements that allow the Company to offset derivative assets and liabilities in the same currency by specific derivative type or, in the event of default by the counterparty, to offset derivative assets and liabilities with the same counterparty. While these derivatives are eligible to be offset in accordance with applicable accounting guidance, the Company has elected to present derivative assets and liabilities based on gross fair value in its consolidated statements of financial condition.</w:t>
      </w:r>
    </w:p>
    <w:p>
      <w:pPr>
        <w:spacing w:after="0" w:line="122" w:lineRule="exact"/>
        <w:rPr>
          <w:sz w:val="20"/>
          <w:szCs w:val="20"/>
          <w:color w:val="auto"/>
        </w:rPr>
      </w:pPr>
    </w:p>
    <w:p>
      <w:pPr>
        <w:ind w:firstLine="619"/>
        <w:spacing w:after="0" w:line="262" w:lineRule="auto"/>
        <w:rPr>
          <w:sz w:val="20"/>
          <w:szCs w:val="20"/>
          <w:color w:val="auto"/>
        </w:rPr>
      </w:pPr>
      <w:r>
        <w:rPr>
          <w:rFonts w:ascii="Arial" w:cs="Arial" w:eastAsia="Arial" w:hAnsi="Arial"/>
          <w:sz w:val="17"/>
          <w:szCs w:val="17"/>
          <w:color w:val="auto"/>
        </w:rPr>
        <w:t>When the Company enters into a derivative contract, it may or may not elect to designate the derivative as a hedging instrument and apply hedge accounting as part of its overall risk management strategy. In other situations, when a derivative does not qualify for hedge accounting or when the derivative and the hedged item are both recorded in current-period earnings and thus deemed to be economic hedges, hedge accounting is not applied. Freestanding derivatives are financial instruments that we enter into as part of our overall risk management strategy but do not utilize hedge accounting. These financial instruments may include foreign-currency exchange contracts, interest-rate swaps and other derivative contracts.</w:t>
      </w:r>
    </w:p>
    <w:p>
      <w:pPr>
        <w:spacing w:after="0" w:line="119" w:lineRule="exact"/>
        <w:rPr>
          <w:sz w:val="20"/>
          <w:szCs w:val="20"/>
          <w:color w:val="auto"/>
        </w:rPr>
      </w:pPr>
    </w:p>
    <w:p>
      <w:pPr>
        <w:ind w:right="2740" w:firstLine="619"/>
        <w:spacing w:after="0" w:line="290" w:lineRule="auto"/>
        <w:rPr>
          <w:sz w:val="20"/>
          <w:szCs w:val="20"/>
          <w:color w:val="auto"/>
        </w:rPr>
      </w:pPr>
      <w:r>
        <w:rPr>
          <w:rFonts w:ascii="Arial" w:cs="Arial" w:eastAsia="Arial" w:hAnsi="Arial"/>
          <w:sz w:val="17"/>
          <w:szCs w:val="17"/>
          <w:color w:val="auto"/>
        </w:rPr>
        <w:t>Subsequent to the 2024 Restructuring and deconsolidation of Oaktree Capital I, the Company no longer records activity related to derivative and hedging activity.</w:t>
      </w:r>
    </w:p>
    <w:p>
      <w:pPr>
        <w:spacing w:after="0" w:line="9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Cash and Cash-equivalents</w:t>
      </w:r>
    </w:p>
    <w:p>
      <w:pPr>
        <w:spacing w:after="0" w:line="165" w:lineRule="exact"/>
        <w:rPr>
          <w:sz w:val="20"/>
          <w:szCs w:val="20"/>
          <w:color w:val="auto"/>
        </w:rPr>
      </w:pPr>
    </w:p>
    <w:p>
      <w:pPr>
        <w:ind w:right="340" w:firstLine="619"/>
        <w:spacing w:after="0" w:line="290" w:lineRule="auto"/>
        <w:rPr>
          <w:sz w:val="20"/>
          <w:szCs w:val="20"/>
          <w:color w:val="auto"/>
        </w:rPr>
      </w:pPr>
      <w:r>
        <w:rPr>
          <w:rFonts w:ascii="Arial" w:cs="Arial" w:eastAsia="Arial" w:hAnsi="Arial"/>
          <w:sz w:val="17"/>
          <w:szCs w:val="17"/>
          <w:color w:val="auto"/>
        </w:rPr>
        <w:t>Cash and cash-equivalents include demand deposit accounts, money market funds, and other short-term investments with maturities of three months or less at the date of acquisition.</w:t>
      </w:r>
    </w:p>
    <w:p>
      <w:pPr>
        <w:spacing w:after="0" w:line="95" w:lineRule="exact"/>
        <w:rPr>
          <w:sz w:val="20"/>
          <w:szCs w:val="20"/>
          <w:color w:val="auto"/>
        </w:rPr>
      </w:pPr>
    </w:p>
    <w:p>
      <w:pPr>
        <w:ind w:right="620" w:firstLine="619"/>
        <w:spacing w:after="0" w:line="290" w:lineRule="auto"/>
        <w:rPr>
          <w:sz w:val="20"/>
          <w:szCs w:val="20"/>
          <w:color w:val="auto"/>
        </w:rPr>
      </w:pPr>
      <w:r>
        <w:rPr>
          <w:rFonts w:ascii="Arial" w:cs="Arial" w:eastAsia="Arial" w:hAnsi="Arial"/>
          <w:sz w:val="17"/>
          <w:szCs w:val="17"/>
          <w:color w:val="auto"/>
        </w:rPr>
        <w:t>At December 31, 2025 and 2024, the Company had cash balances with financial institutions in excess of Federal Deposit Insurance Corporation insured limits. The Company monitors the credit standing of these financial institutions.</w:t>
      </w: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6" w:name="page77"/>
    <w:bookmarkEnd w:id="76"/>
    <w:p>
      <w:pPr>
        <w:jc w:val="center"/>
        <w:ind w:right="-59"/>
        <w:spacing w:after="0"/>
        <w:rPr>
          <w:sz w:val="20"/>
          <w:szCs w:val="20"/>
          <w:color w:val="auto"/>
        </w:rPr>
      </w:pPr>
      <w:r>
        <w:rPr>
          <w:rFonts w:ascii="Arial" w:cs="Arial" w:eastAsia="Arial" w:hAnsi="Arial"/>
          <w:sz w:val="17"/>
          <w:szCs w:val="17"/>
          <w:b w:val="1"/>
          <w:bCs w:val="1"/>
          <w:color w:val="auto"/>
        </w:rPr>
        <w:t>Brookfield Oaktree Holdings, LLC</w:t>
      </w:r>
    </w:p>
    <w:p>
      <w:pPr>
        <w:spacing w:after="0" w:line="15"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Notes to Consolidated Financial Statements — (Continued)</w:t>
      </w:r>
    </w:p>
    <w:p>
      <w:pPr>
        <w:spacing w:after="0" w:line="11"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December 31, 2025</w:t>
      </w:r>
    </w:p>
    <w:p>
      <w:pPr>
        <w:spacing w:after="0" w:line="11"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 in thousands, except where noted)</w:t>
      </w: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Corporate Investments</w:t>
      </w:r>
    </w:p>
    <w:p>
      <w:pPr>
        <w:spacing w:after="0" w:line="153" w:lineRule="exact"/>
        <w:rPr>
          <w:sz w:val="20"/>
          <w:szCs w:val="20"/>
          <w:color w:val="auto"/>
        </w:rPr>
      </w:pPr>
    </w:p>
    <w:p>
      <w:pPr>
        <w:ind w:firstLine="619"/>
        <w:spacing w:after="0" w:line="249" w:lineRule="auto"/>
        <w:rPr>
          <w:sz w:val="20"/>
          <w:szCs w:val="20"/>
          <w:color w:val="auto"/>
        </w:rPr>
      </w:pPr>
      <w:r>
        <w:rPr>
          <w:rFonts w:ascii="Arial" w:cs="Arial" w:eastAsia="Arial" w:hAnsi="Arial"/>
          <w:sz w:val="17"/>
          <w:szCs w:val="17"/>
          <w:color w:val="auto"/>
        </w:rPr>
        <w:t>Corporate investments have historically consisted of investments in funds, companies in which the Company does not have a controlling financial interest, equities received as part of our sponsorship of SPACs, and non-investment grade debt securities. Prior to the 2024 Restructuring, these investments largely represented</w:t>
      </w:r>
    </w:p>
    <w:p>
      <w:pPr>
        <w:spacing w:after="0" w:line="1" w:lineRule="exact"/>
        <w:rPr>
          <w:sz w:val="20"/>
          <w:szCs w:val="20"/>
          <w:color w:val="auto"/>
        </w:rPr>
      </w:pPr>
    </w:p>
    <w:p>
      <w:pPr>
        <w:jc w:val="both"/>
        <w:ind w:right="100"/>
        <w:spacing w:after="0" w:line="261" w:lineRule="auto"/>
        <w:rPr>
          <w:sz w:val="20"/>
          <w:szCs w:val="20"/>
          <w:color w:val="auto"/>
        </w:rPr>
      </w:pPr>
      <w:r>
        <w:rPr>
          <w:rFonts w:ascii="Arial" w:cs="Arial" w:eastAsia="Arial" w:hAnsi="Arial"/>
          <w:sz w:val="17"/>
          <w:szCs w:val="17"/>
          <w:color w:val="auto"/>
        </w:rPr>
        <w:t>investments held by Oaktree Capital I. As a result of the 2024 Restructuring, the Company no longer consolidates Oaktree Capital I and instead, it accounts for its interest in Oaktree Capital I under the equity method of accounting. The carrying value of BOH’s investment in Oaktree Capital I is reflected in Corporate investments. Additionally, Corporate investments also includes the Company’s indirect ownership in Brookfield REIT.</w:t>
      </w:r>
    </w:p>
    <w:p>
      <w:pPr>
        <w:spacing w:after="0" w:line="107" w:lineRule="exact"/>
        <w:rPr>
          <w:sz w:val="20"/>
          <w:szCs w:val="20"/>
          <w:color w:val="auto"/>
        </w:rPr>
      </w:pPr>
    </w:p>
    <w:p>
      <w:pPr>
        <w:ind w:right="140" w:firstLine="619"/>
        <w:spacing w:after="0" w:line="243" w:lineRule="auto"/>
        <w:rPr>
          <w:sz w:val="20"/>
          <w:szCs w:val="20"/>
          <w:color w:val="auto"/>
        </w:rPr>
      </w:pPr>
      <w:r>
        <w:rPr>
          <w:rFonts w:ascii="Arial" w:cs="Arial" w:eastAsia="Arial" w:hAnsi="Arial"/>
          <w:sz w:val="17"/>
          <w:szCs w:val="17"/>
          <w:color w:val="auto"/>
        </w:rPr>
        <w:t>Investments for which the Company is deemed to have significant influence are accounted for under the equity method of accounting and have historically reflected the Company’s ownership interest in each fund or company. In the case of investments for which the Company is not deemed to have significant influence or control, the fair value option of accounting has been elected. Oaktree Capital I’s underlying general</w:t>
      </w:r>
    </w:p>
    <w:p>
      <w:pPr>
        <w:spacing w:after="0" w:line="2" w:lineRule="exact"/>
        <w:rPr>
          <w:sz w:val="20"/>
          <w:szCs w:val="20"/>
          <w:color w:val="auto"/>
        </w:rPr>
      </w:pPr>
    </w:p>
    <w:p>
      <w:pPr>
        <w:ind w:right="260"/>
        <w:spacing w:after="0" w:line="229" w:lineRule="auto"/>
        <w:rPr>
          <w:sz w:val="20"/>
          <w:szCs w:val="20"/>
          <w:color w:val="auto"/>
        </w:rPr>
      </w:pPr>
      <w:r>
        <w:rPr>
          <w:rFonts w:ascii="Arial" w:cs="Arial" w:eastAsia="Arial" w:hAnsi="Arial"/>
          <w:sz w:val="17"/>
          <w:szCs w:val="17"/>
          <w:color w:val="auto"/>
        </w:rPr>
        <w:t>partnership interests are substantially illiquid. While Oaktree Capital I’s investments in funds reflect each respective fund’s holdings at fair value, equity-method investments in companies are not adjusted to reflect the fair value of the underlying company. The fair value of the underlying</w:t>
      </w:r>
    </w:p>
    <w:p>
      <w:pPr>
        <w:spacing w:after="0" w:line="1" w:lineRule="exact"/>
        <w:rPr>
          <w:sz w:val="20"/>
          <w:szCs w:val="20"/>
          <w:color w:val="auto"/>
        </w:rPr>
      </w:pPr>
    </w:p>
    <w:p>
      <w:pPr>
        <w:ind w:right="20"/>
        <w:spacing w:after="0" w:line="246" w:lineRule="auto"/>
        <w:rPr>
          <w:sz w:val="20"/>
          <w:szCs w:val="20"/>
          <w:color w:val="auto"/>
        </w:rPr>
      </w:pPr>
      <w:r>
        <w:rPr>
          <w:rFonts w:ascii="Arial" w:cs="Arial" w:eastAsia="Arial" w:hAnsi="Arial"/>
          <w:sz w:val="17"/>
          <w:szCs w:val="17"/>
          <w:color w:val="auto"/>
        </w:rPr>
        <w:t>investments in Oaktree funds is based on the Company’s assessment, which takes into account expected cash flows, earnings multiples and/or comparisons to similar market transactions, among other factors. Valuation adjustments reflecting consideration of credit quality, concentration risk, sales restrictions and other liquidity factors are integral to valuing these instruments.</w:t>
      </w:r>
    </w:p>
    <w:p>
      <w:pPr>
        <w:spacing w:after="0" w:line="131" w:lineRule="exact"/>
        <w:rPr>
          <w:sz w:val="20"/>
          <w:szCs w:val="20"/>
          <w:color w:val="auto"/>
        </w:rPr>
      </w:pPr>
    </w:p>
    <w:p>
      <w:pPr>
        <w:ind w:right="400" w:firstLine="619"/>
        <w:spacing w:after="0" w:line="290" w:lineRule="auto"/>
        <w:rPr>
          <w:sz w:val="20"/>
          <w:szCs w:val="20"/>
          <w:color w:val="auto"/>
        </w:rPr>
      </w:pPr>
      <w:r>
        <w:rPr>
          <w:rFonts w:ascii="Arial" w:cs="Arial" w:eastAsia="Arial" w:hAnsi="Arial"/>
          <w:sz w:val="17"/>
          <w:szCs w:val="17"/>
          <w:color w:val="auto"/>
        </w:rPr>
        <w:t>Non-investment grade debt securities include domestic and international corporate fixed and floating rate debt and structured credit investments. These securities are classified as trading and are recorded at fair value with changes in fair value included in investment income.</w:t>
      </w:r>
    </w:p>
    <w:p>
      <w:pPr>
        <w:spacing w:after="0" w:line="9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Revenue Recognition</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Incentive Income</w:t>
      </w:r>
    </w:p>
    <w:p>
      <w:pPr>
        <w:spacing w:after="0" w:line="153" w:lineRule="exact"/>
        <w:rPr>
          <w:sz w:val="20"/>
          <w:szCs w:val="20"/>
          <w:color w:val="auto"/>
        </w:rPr>
      </w:pPr>
    </w:p>
    <w:p>
      <w:pPr>
        <w:ind w:right="80" w:firstLine="619"/>
        <w:spacing w:after="0" w:line="261" w:lineRule="auto"/>
        <w:rPr>
          <w:sz w:val="20"/>
          <w:szCs w:val="20"/>
          <w:color w:val="auto"/>
        </w:rPr>
      </w:pPr>
      <w:r>
        <w:rPr>
          <w:rFonts w:ascii="Arial" w:cs="Arial" w:eastAsia="Arial" w:hAnsi="Arial"/>
          <w:sz w:val="17"/>
          <w:szCs w:val="17"/>
          <w:color w:val="auto"/>
        </w:rPr>
        <w:t>Prior to the 2024 Restructuring, the Company earned incentive income from the investment advisory services provided to its customers by Oaktree Capital I. Revenue was recognized when control of the promised services was transferred to customers in an amount that reflects the</w:t>
      </w:r>
    </w:p>
    <w:p>
      <w:pPr>
        <w:ind w:right="160"/>
        <w:spacing w:after="0" w:line="274" w:lineRule="auto"/>
        <w:rPr>
          <w:sz w:val="20"/>
          <w:szCs w:val="20"/>
          <w:color w:val="auto"/>
        </w:rPr>
      </w:pPr>
      <w:r>
        <w:rPr>
          <w:rFonts w:ascii="Arial" w:cs="Arial" w:eastAsia="Arial" w:hAnsi="Arial"/>
          <w:sz w:val="17"/>
          <w:szCs w:val="17"/>
          <w:color w:val="auto"/>
        </w:rPr>
        <w:t>consideration the Company expects to receive in exchange for those services. These services are generally capable of being distinct and each is accounted for as separate performance obligations comprised of distinct service periods because the services are performed over time.</w:t>
      </w:r>
    </w:p>
    <w:p>
      <w:pPr>
        <w:spacing w:after="0" w:line="108" w:lineRule="exact"/>
        <w:rPr>
          <w:sz w:val="20"/>
          <w:szCs w:val="20"/>
          <w:color w:val="auto"/>
        </w:rPr>
      </w:pPr>
    </w:p>
    <w:p>
      <w:pPr>
        <w:ind w:firstLine="619"/>
        <w:spacing w:after="0" w:line="256" w:lineRule="auto"/>
        <w:rPr>
          <w:sz w:val="20"/>
          <w:szCs w:val="20"/>
          <w:color w:val="auto"/>
        </w:rPr>
      </w:pPr>
      <w:r>
        <w:rPr>
          <w:rFonts w:ascii="Arial" w:cs="Arial" w:eastAsia="Arial" w:hAnsi="Arial"/>
          <w:sz w:val="17"/>
          <w:szCs w:val="17"/>
          <w:color w:val="auto"/>
        </w:rPr>
        <w:t>Incentive income generally represents 20% of each closed-end fund’s profits, subject to the return of contributed capital and a preferred return of typically 8% per annum, and up to 20% of certain evergreen fund’s annual profits, subject to high-water marks or hurdle rates. Incentive income is recognized when it is probable that a significant reversal will not occur. Revenue recognition is typically met (a) for closed-end funds, only after all contributed capital and the preferred return on that capital have been distributed to the fund’s investors, and (b) for certain evergreen funds, at the conclusion of each annual measurement period. Potential incentive income is highly susceptible to market volatility, the judgment and actions of third parties, and other factors outside of the Company’s control. The Company’s experience has demonstrated little predictive value in the amount of potential incentive income ultimately earned due to the highly uncertain nature of returns inherent in the markets and contingencies associated with many realization events. As a result, the amount of incentive income recognized in any given period is generally determined after giving consideration to a number of factors, including whether the fund is in its investment or liquidation period, and the nature and level of risk associated with changes in fair value of the remaining assets in the fund. In general, it would be unlikely that any amount of potential incentive income would be recognized until (a) the uncertainty is resolved or (b) the fund is near final liquidation, assets are under contract for sale or are at low risk of significant fluctuation in fair value, and the assets are significantly in excess of the threshold at which incentive income would be earned.</w:t>
      </w:r>
    </w:p>
    <w:p>
      <w:pPr>
        <w:spacing w:after="0" w:line="128" w:lineRule="exact"/>
        <w:rPr>
          <w:sz w:val="20"/>
          <w:szCs w:val="20"/>
          <w:color w:val="auto"/>
        </w:rPr>
      </w:pPr>
    </w:p>
    <w:p>
      <w:pPr>
        <w:ind w:right="260" w:firstLine="619"/>
        <w:spacing w:after="0" w:line="265" w:lineRule="auto"/>
        <w:rPr>
          <w:sz w:val="20"/>
          <w:szCs w:val="20"/>
          <w:color w:val="auto"/>
        </w:rPr>
      </w:pPr>
      <w:r>
        <w:rPr>
          <w:rFonts w:ascii="Arial" w:cs="Arial" w:eastAsia="Arial" w:hAnsi="Arial"/>
          <w:sz w:val="17"/>
          <w:szCs w:val="17"/>
          <w:color w:val="auto"/>
        </w:rPr>
        <w:t>Incentives received by Oaktree Capital I before the revenue recognition criteria have been met are deferred and recorded as a deferred incentive income liability within accounts payable, accrued expenses and other liabilities in the consolidated statements of financial condition. Oaktree Capital I may have received tax distributions related to taxable income allocated by funds, which are treated as an advance of incentive income and subject to the same recognition criteria. Tax distributions are contractually not subject to clawback.</w:t>
      </w:r>
    </w:p>
    <w:p>
      <w:pPr>
        <w:spacing w:after="0" w:line="200" w:lineRule="exact"/>
        <w:rPr>
          <w:sz w:val="20"/>
          <w:szCs w:val="20"/>
          <w:color w:val="auto"/>
        </w:rPr>
      </w:pPr>
    </w:p>
    <w:p>
      <w:pPr>
        <w:spacing w:after="0" w:line="329"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77" w:name="page78"/>
    <w:bookmarkEnd w:id="77"/>
    <w:p>
      <w:pPr>
        <w:jc w:val="center"/>
        <w:ind w:right="-19"/>
        <w:spacing w:after="0"/>
        <w:rPr>
          <w:sz w:val="20"/>
          <w:szCs w:val="20"/>
          <w:color w:val="auto"/>
        </w:rPr>
      </w:pPr>
      <w:r>
        <w:rPr>
          <w:rFonts w:ascii="Arial" w:cs="Arial" w:eastAsia="Arial" w:hAnsi="Arial"/>
          <w:sz w:val="17"/>
          <w:szCs w:val="17"/>
          <w:b w:val="1"/>
          <w:bCs w:val="1"/>
          <w:color w:val="auto"/>
        </w:rPr>
        <w:t>Brookfield Oaktree Holdings, LLC</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Consolidated Financial Statements — (Continued)</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December 31, 2025</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 in thousands, except where noted)</w:t>
      </w:r>
    </w:p>
    <w:p>
      <w:pPr>
        <w:spacing w:after="0" w:line="200" w:lineRule="exact"/>
        <w:rPr>
          <w:sz w:val="20"/>
          <w:szCs w:val="20"/>
          <w:color w:val="auto"/>
        </w:rPr>
      </w:pPr>
    </w:p>
    <w:p>
      <w:pPr>
        <w:spacing w:after="0" w:line="375" w:lineRule="exact"/>
        <w:rPr>
          <w:sz w:val="20"/>
          <w:szCs w:val="20"/>
          <w:color w:val="auto"/>
        </w:rPr>
      </w:pPr>
    </w:p>
    <w:p>
      <w:pPr>
        <w:ind w:right="180" w:firstLine="619"/>
        <w:spacing w:after="0" w:line="265" w:lineRule="auto"/>
        <w:rPr>
          <w:sz w:val="20"/>
          <w:szCs w:val="20"/>
          <w:color w:val="auto"/>
        </w:rPr>
      </w:pPr>
      <w:r>
        <w:rPr>
          <w:rFonts w:ascii="Arial" w:cs="Arial" w:eastAsia="Arial" w:hAnsi="Arial"/>
          <w:sz w:val="17"/>
          <w:szCs w:val="17"/>
          <w:color w:val="auto"/>
        </w:rPr>
        <w:t>Oaktree Capital I may have earned incentive income upon deconsolidation of a SPAC arising from the completion of a merger with an identified target. Upon deconsolidation, Oaktree Capital I derecognizes the net assets of the entity and records any gain or loss related to the remeasurement of its investments to fair value as incentive income in its consolidated statements of operations. Subsequent fair value changes in Oaktree Capital I’s investments held in the entity were recorded in investment income in its consolidated statements of operations.</w:t>
      </w:r>
    </w:p>
    <w:p>
      <w:pPr>
        <w:spacing w:after="0" w:line="116" w:lineRule="exact"/>
        <w:rPr>
          <w:sz w:val="20"/>
          <w:szCs w:val="20"/>
          <w:color w:val="auto"/>
        </w:rPr>
      </w:pPr>
    </w:p>
    <w:p>
      <w:pPr>
        <w:ind w:right="40" w:firstLine="619"/>
        <w:spacing w:after="0" w:line="271" w:lineRule="auto"/>
        <w:rPr>
          <w:sz w:val="20"/>
          <w:szCs w:val="20"/>
          <w:color w:val="auto"/>
        </w:rPr>
      </w:pPr>
      <w:r>
        <w:rPr>
          <w:rFonts w:ascii="Arial" w:cs="Arial" w:eastAsia="Arial" w:hAnsi="Arial"/>
          <w:sz w:val="17"/>
          <w:szCs w:val="17"/>
          <w:color w:val="auto"/>
        </w:rPr>
        <w:t>Subsequent to the 2024 Restructuring, the Company no longer earns incentive income as a result of the deconsolidation of Oaktree Capital I. Rather the economics resulting from Oaktree Capital I’s right to earn incentive income are reflected in the Company’s results through investment income earned from its equity method investment in Oaktree Capital I.</w:t>
      </w:r>
    </w:p>
    <w:p>
      <w:pPr>
        <w:spacing w:after="0" w:line="11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Investment Income</w:t>
      </w:r>
    </w:p>
    <w:p>
      <w:pPr>
        <w:spacing w:after="0" w:line="243"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Company records investment income (loss) from its equity method investments which</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color w:val="auto"/>
        </w:rPr>
        <w:t>represents the Company’s pro-rata share of income or loss from these investments, or the change in fair value of</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the investment, as applicable, and consists of both unrealized and realized gains and losses. Investment income</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(loss) is realized when the Company sells all or a portion of its investments or when the Company receives or is due</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cash income. Unrealized investment income (loss) results from the proportionate share of the investments’</w:t>
      </w:r>
    </w:p>
    <w:p>
      <w:pPr>
        <w:spacing w:after="0" w:line="11" w:lineRule="exact"/>
        <w:rPr>
          <w:sz w:val="20"/>
          <w:szCs w:val="20"/>
          <w:color w:val="auto"/>
        </w:rPr>
      </w:pPr>
    </w:p>
    <w:p>
      <w:pPr>
        <w:ind w:right="40"/>
        <w:spacing w:after="0" w:line="259" w:lineRule="auto"/>
        <w:rPr>
          <w:sz w:val="20"/>
          <w:szCs w:val="20"/>
          <w:color w:val="auto"/>
        </w:rPr>
      </w:pPr>
      <w:r>
        <w:rPr>
          <w:rFonts w:ascii="Arial" w:cs="Arial" w:eastAsia="Arial" w:hAnsi="Arial"/>
          <w:sz w:val="17"/>
          <w:szCs w:val="17"/>
          <w:color w:val="auto"/>
        </w:rPr>
        <w:t>unrealized earnings, including changes in the fair value of the underlying investments. The cash distributions from the Company’s equity investments are classified based the nature of the underlying transaction which resulted in the distribution. Cash distributions that are determined to be realized gains (losses) are included in Cash Flows from Operating Activities and distributions that are returns of capital are included in the Cash Flows from Investing Activities section of the Consolidated Statements of Cash Flows.</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Compensation and Benefits</w:t>
      </w:r>
    </w:p>
    <w:p>
      <w:pPr>
        <w:spacing w:after="0" w:line="165" w:lineRule="exact"/>
        <w:rPr>
          <w:sz w:val="20"/>
          <w:szCs w:val="20"/>
          <w:color w:val="auto"/>
        </w:rPr>
      </w:pPr>
    </w:p>
    <w:p>
      <w:pPr>
        <w:ind w:firstLine="619"/>
        <w:spacing w:after="0" w:line="255" w:lineRule="auto"/>
        <w:rPr>
          <w:sz w:val="20"/>
          <w:szCs w:val="20"/>
          <w:color w:val="auto"/>
        </w:rPr>
      </w:pPr>
      <w:r>
        <w:rPr>
          <w:rFonts w:ascii="Arial" w:cs="Arial" w:eastAsia="Arial" w:hAnsi="Arial"/>
          <w:sz w:val="17"/>
          <w:szCs w:val="17"/>
          <w:color w:val="auto"/>
        </w:rPr>
        <w:t>Compensation and benefits has historically reflected incentive income compensation expense, which primarily reflected compensation directly related to incentive income, which generally consists of percentage interests (sometimes referred to as “points” or an allocation of shares received upon the completion of a successful SPAC merger) that the Company grants to its investment professionals associated with the particular fund or SPAC that generated the incentive income, and secondarily, compensation directly related to investment income. The Company has an obligation to pay a fixed percentage of the incentive income earned from a particular fund or SPAC, including income from consolidated funds that is eliminated in consolidation, to specified investment professionals responsible for the management of the fund or SPAC. Amounts payable pursuant to these arrangements are recorded as compensation expense when they have become probable and reasonably estimable. The Company’s determination of the point at which it becomes probable and reasonably estimable that incentive income compensation expense should be recorded is based on its assessment of numerous factors, particularly those related to the profitability, realizations, distribution status, investment profile and commitments or contingencies of the individual funds that may give rise to incentive income or the completion of a merger by an Oaktree sponsored SPAC. Incentive income compensation is generally expensed in the period in which the underlying income is recognized. Payment of incentive income compensation generally occurs in the same period the related income is received or in the next period. Participation in incentive income generated by the funds or SPACs is subject to forfeiture upon departure and to vesting provisions (generally over a period of five years), in each case, under certain circumstances set forth in the applicable governing documents. These provisions are generally only applicable to incentive income compensation that has not yet been recognized as an expense by the Company or paid to the participant.</w:t>
      </w:r>
    </w:p>
    <w:p>
      <w:pPr>
        <w:spacing w:after="0" w:line="133" w:lineRule="exact"/>
        <w:rPr>
          <w:sz w:val="20"/>
          <w:szCs w:val="20"/>
          <w:color w:val="auto"/>
        </w:rPr>
      </w:pPr>
    </w:p>
    <w:p>
      <w:pPr>
        <w:ind w:right="40" w:firstLine="619"/>
        <w:spacing w:after="0" w:line="271" w:lineRule="auto"/>
        <w:rPr>
          <w:sz w:val="20"/>
          <w:szCs w:val="20"/>
          <w:color w:val="auto"/>
        </w:rPr>
      </w:pPr>
      <w:r>
        <w:rPr>
          <w:rFonts w:ascii="Arial" w:cs="Arial" w:eastAsia="Arial" w:hAnsi="Arial"/>
          <w:sz w:val="17"/>
          <w:szCs w:val="17"/>
          <w:color w:val="auto"/>
        </w:rPr>
        <w:t>Subsequent to the 2024 Restructuring, the Company no longer earns incentive income as a result of the deconsolidation of Oaktree Capital I, and therefore will no longer record incentive compensation expense. Compensation and benefits following the 2024 Restructuring primarily reflects compensation to the Company’s board of directors.</w:t>
      </w: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8" w:name="page79"/>
    <w:bookmarkEnd w:id="78"/>
    <w:p>
      <w:pPr>
        <w:jc w:val="center"/>
        <w:spacing w:after="0"/>
        <w:rPr>
          <w:sz w:val="20"/>
          <w:szCs w:val="20"/>
          <w:color w:val="auto"/>
        </w:rPr>
      </w:pPr>
      <w:r>
        <w:rPr>
          <w:rFonts w:ascii="Arial" w:cs="Arial" w:eastAsia="Arial" w:hAnsi="Arial"/>
          <w:sz w:val="17"/>
          <w:szCs w:val="17"/>
          <w:b w:val="1"/>
          <w:bCs w:val="1"/>
          <w:color w:val="auto"/>
        </w:rPr>
        <w:t>Brookfield Oaktree Holdings, LLC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 (Continued)</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December 31, 2025</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 in thousands, except where noted)</w:t>
      </w: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Income Taxes</w:t>
      </w:r>
    </w:p>
    <w:p>
      <w:pPr>
        <w:spacing w:after="0" w:line="165" w:lineRule="exact"/>
        <w:rPr>
          <w:sz w:val="20"/>
          <w:szCs w:val="20"/>
          <w:color w:val="auto"/>
        </w:rPr>
      </w:pPr>
    </w:p>
    <w:p>
      <w:pPr>
        <w:ind w:firstLine="619"/>
        <w:spacing w:after="0" w:line="290" w:lineRule="auto"/>
        <w:rPr>
          <w:sz w:val="20"/>
          <w:szCs w:val="20"/>
          <w:color w:val="auto"/>
        </w:rPr>
      </w:pPr>
      <w:r>
        <w:rPr>
          <w:rFonts w:ascii="Arial" w:cs="Arial" w:eastAsia="Arial" w:hAnsi="Arial"/>
          <w:sz w:val="17"/>
          <w:szCs w:val="17"/>
          <w:color w:val="auto"/>
        </w:rPr>
        <w:t>The Company is a publicly traded partnership. Because it satisfies the qualifying income test, it is not required to be treated as a corporation for U.S. federal and state income tax purposes; rather it is taxed as a partnership.</w:t>
      </w:r>
    </w:p>
    <w:p>
      <w:pPr>
        <w:spacing w:after="0" w:line="95" w:lineRule="exact"/>
        <w:rPr>
          <w:sz w:val="20"/>
          <w:szCs w:val="20"/>
          <w:color w:val="auto"/>
        </w:rPr>
      </w:pPr>
    </w:p>
    <w:p>
      <w:pPr>
        <w:ind w:right="20" w:firstLine="619"/>
        <w:spacing w:after="0" w:line="271" w:lineRule="auto"/>
        <w:rPr>
          <w:sz w:val="20"/>
          <w:szCs w:val="20"/>
          <w:color w:val="auto"/>
        </w:rPr>
      </w:pPr>
      <w:r>
        <w:rPr>
          <w:rFonts w:ascii="Arial" w:cs="Arial" w:eastAsia="Arial" w:hAnsi="Arial"/>
          <w:sz w:val="17"/>
          <w:szCs w:val="17"/>
          <w:color w:val="auto"/>
        </w:rPr>
        <w:t>The Company analyzes its tax filing positions for all open tax years in all of the U.S. federal, state and local tax jurisdictions where it is required to file income tax returns. If the Company determines that uncertainties in tax positions exist, a reserve is established. The Company recognizes accrued interest and penalties related to uncertain tax positions within income tax expense in the consolidated statements of operations.</w:t>
      </w:r>
    </w:p>
    <w:p>
      <w:pPr>
        <w:spacing w:after="0" w:line="111" w:lineRule="exact"/>
        <w:rPr>
          <w:sz w:val="20"/>
          <w:szCs w:val="20"/>
          <w:color w:val="auto"/>
        </w:rPr>
      </w:pPr>
    </w:p>
    <w:p>
      <w:pPr>
        <w:jc w:val="both"/>
        <w:ind w:right="300" w:firstLine="619"/>
        <w:spacing w:after="0" w:line="271" w:lineRule="auto"/>
        <w:rPr>
          <w:sz w:val="20"/>
          <w:szCs w:val="20"/>
          <w:color w:val="auto"/>
        </w:rPr>
      </w:pPr>
      <w:r>
        <w:rPr>
          <w:rFonts w:ascii="Arial" w:cs="Arial" w:eastAsia="Arial" w:hAnsi="Arial"/>
          <w:sz w:val="17"/>
          <w:szCs w:val="17"/>
          <w:color w:val="auto"/>
        </w:rPr>
        <w:t>Tax laws are complex and subject to different interpretations by the taxpayer and respective governmental taxing authorities. Significant judgment is required in determining tax expense and in evaluating tax positions, including evaluating uncertainties. The Company reviews its tax positions quarterly and adjusts its tax balances as new information becomes available.</w:t>
      </w:r>
    </w:p>
    <w:p>
      <w:pPr>
        <w:spacing w:after="0" w:line="111" w:lineRule="exact"/>
        <w:rPr>
          <w:sz w:val="20"/>
          <w:szCs w:val="20"/>
          <w:color w:val="auto"/>
        </w:rPr>
      </w:pPr>
    </w:p>
    <w:p>
      <w:pPr>
        <w:ind w:right="220" w:firstLine="619"/>
        <w:spacing w:after="0" w:line="271" w:lineRule="auto"/>
        <w:rPr>
          <w:sz w:val="20"/>
          <w:szCs w:val="20"/>
          <w:color w:val="auto"/>
        </w:rPr>
      </w:pPr>
      <w:r>
        <w:rPr>
          <w:rFonts w:ascii="Arial" w:cs="Arial" w:eastAsia="Arial" w:hAnsi="Arial"/>
          <w:sz w:val="17"/>
          <w:szCs w:val="17"/>
          <w:color w:val="auto"/>
        </w:rPr>
        <w:t>The Oaktree funds are generally not subject to U.S. federal and state income taxes and, consequently, no income tax provision has been made in the accompanying consolidated financial statements because individual partners are responsible for their proportionate share of the taxable income.</w:t>
      </w:r>
    </w:p>
    <w:p>
      <w:pPr>
        <w:spacing w:after="0" w:line="11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Comprehensive Income (Loss)</w:t>
      </w:r>
    </w:p>
    <w:p>
      <w:pPr>
        <w:spacing w:after="0" w:line="165" w:lineRule="exact"/>
        <w:rPr>
          <w:sz w:val="20"/>
          <w:szCs w:val="20"/>
          <w:color w:val="auto"/>
        </w:rPr>
      </w:pPr>
    </w:p>
    <w:p>
      <w:pPr>
        <w:ind w:right="100" w:firstLine="619"/>
        <w:spacing w:after="0" w:line="290" w:lineRule="auto"/>
        <w:rPr>
          <w:sz w:val="20"/>
          <w:szCs w:val="20"/>
          <w:color w:val="auto"/>
        </w:rPr>
      </w:pPr>
      <w:r>
        <w:rPr>
          <w:rFonts w:ascii="Arial" w:cs="Arial" w:eastAsia="Arial" w:hAnsi="Arial"/>
          <w:sz w:val="17"/>
          <w:szCs w:val="17"/>
          <w:color w:val="auto"/>
        </w:rPr>
        <w:t>Comprehensive income (loss) consists of net income (loss) and other gains and losses affecting unitholders’ capital that are excluded from net income (loss). Other gains and losses result from foreign-currency translation adjustments, net of tax.</w:t>
      </w:r>
    </w:p>
    <w:p>
      <w:pPr>
        <w:spacing w:after="0" w:line="95" w:lineRule="exact"/>
        <w:rPr>
          <w:sz w:val="20"/>
          <w:szCs w:val="20"/>
          <w:color w:val="auto"/>
        </w:rPr>
      </w:pPr>
    </w:p>
    <w:p>
      <w:pPr>
        <w:ind w:right="520" w:firstLine="619"/>
        <w:spacing w:after="0" w:line="290" w:lineRule="auto"/>
        <w:rPr>
          <w:sz w:val="20"/>
          <w:szCs w:val="20"/>
          <w:color w:val="auto"/>
        </w:rPr>
      </w:pPr>
      <w:r>
        <w:rPr>
          <w:rFonts w:ascii="Arial" w:cs="Arial" w:eastAsia="Arial" w:hAnsi="Arial"/>
          <w:sz w:val="17"/>
          <w:szCs w:val="17"/>
          <w:color w:val="auto"/>
        </w:rPr>
        <w:t>Following the 2024 Restructuring and the deconsolidation of Oaktree Capital I, the Company is generally not subject to direct foreign-currency translation adjustments.</w:t>
      </w:r>
    </w:p>
    <w:p>
      <w:pPr>
        <w:spacing w:after="0" w:line="9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Accounting Policies of Consolidated Funds</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Investment Transactions and Income Recognition</w:t>
      </w:r>
    </w:p>
    <w:p>
      <w:pPr>
        <w:spacing w:after="0" w:line="165" w:lineRule="exact"/>
        <w:rPr>
          <w:sz w:val="20"/>
          <w:szCs w:val="20"/>
          <w:color w:val="auto"/>
        </w:rPr>
      </w:pPr>
    </w:p>
    <w:p>
      <w:pPr>
        <w:ind w:right="20" w:firstLine="619"/>
        <w:spacing w:after="0" w:line="261" w:lineRule="auto"/>
        <w:rPr>
          <w:sz w:val="20"/>
          <w:szCs w:val="20"/>
          <w:color w:val="auto"/>
        </w:rPr>
      </w:pPr>
      <w:r>
        <w:rPr>
          <w:rFonts w:ascii="Arial" w:cs="Arial" w:eastAsia="Arial" w:hAnsi="Arial"/>
          <w:sz w:val="17"/>
          <w:szCs w:val="17"/>
          <w:color w:val="auto"/>
        </w:rPr>
        <w:t>The consolidated funds record investment transactions at cost on trade date for publicly-traded securities or when they have an enforceable right to acquire the security, which is generally on the closing date if not publicly traded. Realized gains and losses on investments are recorded on a specific-identification basis. The consolidated funds record dividend income on the ex-dividend date and interest income on an accrual basis, unless the related investment is in default or if collection of the income is otherwise considered doubtful. The consolidated funds may hold investments that provide for interest payable in-kind rather than in cash, in which case the related income is recorded at its estimated net realizable amount.</w:t>
      </w:r>
    </w:p>
    <w:p>
      <w:pPr>
        <w:spacing w:after="0" w:line="32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Income Taxes</w:t>
      </w:r>
    </w:p>
    <w:p>
      <w:pPr>
        <w:spacing w:after="0" w:line="165" w:lineRule="exact"/>
        <w:rPr>
          <w:sz w:val="20"/>
          <w:szCs w:val="20"/>
          <w:color w:val="auto"/>
        </w:rPr>
      </w:pPr>
    </w:p>
    <w:p>
      <w:pPr>
        <w:ind w:right="60" w:firstLine="619"/>
        <w:spacing w:after="0" w:line="260" w:lineRule="auto"/>
        <w:rPr>
          <w:sz w:val="20"/>
          <w:szCs w:val="20"/>
          <w:color w:val="auto"/>
        </w:rPr>
      </w:pPr>
      <w:r>
        <w:rPr>
          <w:rFonts w:ascii="Arial" w:cs="Arial" w:eastAsia="Arial" w:hAnsi="Arial"/>
          <w:sz w:val="17"/>
          <w:szCs w:val="17"/>
          <w:color w:val="auto"/>
        </w:rPr>
        <w:t>The consolidated funds may invest in operating entities that are treated as partnerships for U.S. federal income tax purposes which may give rise to unrelated business taxable income or income effectively connected with a U.S. trade or business. In such situations, the consolidated funds permit certain investors to elect to participate in these investments through a “blocker structure” using entities that are treated as corporations for U.S. federal income tax purposes and are generally subject to U.S. federal, state and local taxes. The consolidated funds withhold blocker expenses and tax payments from electing limited partners, which are treated as deemed distributions to such limited partners pursuant to the terms of the respective limited partnership agreement.</w:t>
      </w:r>
    </w:p>
    <w:p>
      <w:pPr>
        <w:spacing w:after="0" w:line="12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Foreign Currency</w:t>
      </w:r>
    </w:p>
    <w:p>
      <w:pPr>
        <w:spacing w:after="0" w:line="165" w:lineRule="exact"/>
        <w:rPr>
          <w:sz w:val="20"/>
          <w:szCs w:val="20"/>
          <w:color w:val="auto"/>
        </w:rPr>
      </w:pPr>
    </w:p>
    <w:p>
      <w:pPr>
        <w:ind w:right="340" w:firstLine="619"/>
        <w:spacing w:after="0" w:line="265" w:lineRule="auto"/>
        <w:rPr>
          <w:sz w:val="20"/>
          <w:szCs w:val="20"/>
          <w:color w:val="auto"/>
        </w:rPr>
      </w:pPr>
      <w:r>
        <w:rPr>
          <w:rFonts w:ascii="Arial" w:cs="Arial" w:eastAsia="Arial" w:hAnsi="Arial"/>
          <w:sz w:val="17"/>
          <w:szCs w:val="17"/>
          <w:color w:val="auto"/>
        </w:rPr>
        <w:t>Investments denominated in non-U.S. currencies are recorded in the consolidated financial statements after translation into U.S. dollars utilizing rates of exchange on the last business day of the period. Interest and dividend income is recorded net of foreign withholding taxes and calculated using the exchange rate in effect when the income is recognized. The effect of changes in exchange rates on assets and liabilities, income, and realized gains or losses is included as part of net realized gain (loss) on consolidated funds’ investments and net change in</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9" w:name="page80"/>
    <w:bookmarkEnd w:id="79"/>
    <w:p>
      <w:pPr>
        <w:jc w:val="center"/>
        <w:ind w:right="-19"/>
        <w:spacing w:after="0"/>
        <w:rPr>
          <w:sz w:val="20"/>
          <w:szCs w:val="20"/>
          <w:color w:val="auto"/>
        </w:rPr>
      </w:pPr>
      <w:r>
        <w:rPr>
          <w:rFonts w:ascii="Arial" w:cs="Arial" w:eastAsia="Arial" w:hAnsi="Arial"/>
          <w:sz w:val="17"/>
          <w:szCs w:val="17"/>
          <w:b w:val="1"/>
          <w:bCs w:val="1"/>
          <w:color w:val="auto"/>
        </w:rPr>
        <w:t>Brookfield Oaktree Holdings, LLC</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Consolidated Financial Statements — (Continued)</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December 31, 2025</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 in thousands, except where noted)</w:t>
      </w:r>
    </w:p>
    <w:p>
      <w:pPr>
        <w:spacing w:after="0" w:line="200" w:lineRule="exact"/>
        <w:rPr>
          <w:sz w:val="20"/>
          <w:szCs w:val="20"/>
          <w:color w:val="auto"/>
        </w:rPr>
      </w:pPr>
    </w:p>
    <w:p>
      <w:pPr>
        <w:spacing w:after="0" w:line="375" w:lineRule="exact"/>
        <w:rPr>
          <w:sz w:val="20"/>
          <w:szCs w:val="20"/>
          <w:color w:val="auto"/>
        </w:rPr>
      </w:pPr>
    </w:p>
    <w:p>
      <w:pPr>
        <w:ind w:right="2180"/>
        <w:spacing w:after="0" w:line="443" w:lineRule="auto"/>
        <w:rPr>
          <w:sz w:val="20"/>
          <w:szCs w:val="20"/>
          <w:color w:val="auto"/>
        </w:rPr>
      </w:pPr>
      <w:r>
        <w:rPr>
          <w:rFonts w:ascii="Arial" w:cs="Arial" w:eastAsia="Arial" w:hAnsi="Arial"/>
          <w:sz w:val="17"/>
          <w:szCs w:val="17"/>
          <w:color w:val="auto"/>
        </w:rPr>
        <w:t xml:space="preserve">unrealized appreciation (depreciation) on consolidated funds’ investments in the consolidated statements of operations. </w:t>
      </w:r>
      <w:r>
        <w:rPr>
          <w:rFonts w:ascii="Arial" w:cs="Arial" w:eastAsia="Arial" w:hAnsi="Arial"/>
          <w:sz w:val="17"/>
          <w:szCs w:val="17"/>
          <w:b w:val="1"/>
          <w:bCs w:val="1"/>
          <w:i w:val="1"/>
          <w:iCs w:val="1"/>
          <w:color w:val="auto"/>
        </w:rPr>
        <w:t>Cash and Cash-equivalents</w:t>
      </w:r>
    </w:p>
    <w:p>
      <w:pPr>
        <w:jc w:val="both"/>
        <w:ind w:right="40" w:firstLine="619"/>
        <w:spacing w:after="0" w:line="265" w:lineRule="auto"/>
        <w:rPr>
          <w:sz w:val="20"/>
          <w:szCs w:val="20"/>
          <w:color w:val="auto"/>
        </w:rPr>
      </w:pPr>
      <w:r>
        <w:rPr>
          <w:rFonts w:ascii="Arial" w:cs="Arial" w:eastAsia="Arial" w:hAnsi="Arial"/>
          <w:sz w:val="17"/>
          <w:szCs w:val="17"/>
          <w:color w:val="auto"/>
        </w:rPr>
        <w:t>Cash and cash-equivalents held at the consolidated funds represent cash that, although not legally restricted, is not available to support the general liquidity needs of the Company as the use of such amounts is generally limited to the investment activities of the consolidated funds. Cash-equivalents, a Level I valuation, include highly liquid investments such as money market funds, whose carrying value approximates fair value due to its short-term nature.</w:t>
      </w:r>
    </w:p>
    <w:p>
      <w:pPr>
        <w:spacing w:after="0" w:line="11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Receivable for Investments Sold</w:t>
      </w:r>
    </w:p>
    <w:p>
      <w:pPr>
        <w:spacing w:after="0" w:line="165" w:lineRule="exact"/>
        <w:rPr>
          <w:sz w:val="20"/>
          <w:szCs w:val="20"/>
          <w:color w:val="auto"/>
        </w:rPr>
      </w:pPr>
    </w:p>
    <w:p>
      <w:pPr>
        <w:ind w:right="340" w:firstLine="619"/>
        <w:spacing w:after="0" w:line="271" w:lineRule="auto"/>
        <w:rPr>
          <w:sz w:val="20"/>
          <w:szCs w:val="20"/>
          <w:color w:val="auto"/>
        </w:rPr>
      </w:pPr>
      <w:r>
        <w:rPr>
          <w:rFonts w:ascii="Arial" w:cs="Arial" w:eastAsia="Arial" w:hAnsi="Arial"/>
          <w:sz w:val="17"/>
          <w:szCs w:val="17"/>
          <w:color w:val="auto"/>
        </w:rPr>
        <w:t>Receivables for investments sold by the consolidated funds are recorded at net realizable value. Changes in net realizable value are reflected within net change in unrealized appreciation (depreciation) on consolidated funds’ investments and realizations are reflected within net realized gain on consolidated funds’ investments in the consolidated statements of operations.</w:t>
      </w:r>
    </w:p>
    <w:p>
      <w:pPr>
        <w:spacing w:after="0" w:line="11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Investments, at Fair Value</w:t>
      </w:r>
    </w:p>
    <w:p>
      <w:pPr>
        <w:spacing w:after="0" w:line="165" w:lineRule="exact"/>
        <w:rPr>
          <w:sz w:val="20"/>
          <w:szCs w:val="20"/>
          <w:color w:val="auto"/>
        </w:rPr>
      </w:pPr>
    </w:p>
    <w:p>
      <w:pPr>
        <w:ind w:right="60" w:firstLine="619"/>
        <w:spacing w:after="0" w:line="259" w:lineRule="auto"/>
        <w:rPr>
          <w:sz w:val="20"/>
          <w:szCs w:val="20"/>
          <w:color w:val="auto"/>
        </w:rPr>
      </w:pPr>
      <w:r>
        <w:rPr>
          <w:rFonts w:ascii="Arial" w:cs="Arial" w:eastAsia="Arial" w:hAnsi="Arial"/>
          <w:sz w:val="17"/>
          <w:szCs w:val="17"/>
          <w:color w:val="auto"/>
        </w:rPr>
        <w:t>The consolidated funds include investment limited partnerships and CLOs that reflect their investments, including majority-owned and controlled investments, at fair value. The Company has retained the specialized investment company accounting guidance for investment limited partnerships with respect to consolidated investments and has elected the fair value option for the financial assets of CLOs. Thus, the consolidated investments are reflected in the consolidated statements of financial condition at fair value, with unrealized gains and losses resulting from changes in fair value reflected as a component of net change in unrealized appreciation (depreciation) on consolidated funds’ investments in the consolidated statements of operations. Fair value is the amount that would be received to sell an asset or paid to transfer a liability in an orderly transaction between market participants at the measurement date (i.e., the exit price).</w:t>
      </w:r>
    </w:p>
    <w:p>
      <w:pPr>
        <w:spacing w:after="0" w:line="122" w:lineRule="exact"/>
        <w:rPr>
          <w:sz w:val="20"/>
          <w:szCs w:val="20"/>
          <w:color w:val="auto"/>
        </w:rPr>
      </w:pPr>
    </w:p>
    <w:p>
      <w:pPr>
        <w:ind w:firstLine="619"/>
        <w:spacing w:after="0" w:line="259" w:lineRule="auto"/>
        <w:rPr>
          <w:sz w:val="20"/>
          <w:szCs w:val="20"/>
          <w:color w:val="auto"/>
        </w:rPr>
      </w:pPr>
      <w:r>
        <w:rPr>
          <w:rFonts w:ascii="Arial" w:cs="Arial" w:eastAsia="Arial" w:hAnsi="Arial"/>
          <w:sz w:val="17"/>
          <w:szCs w:val="17"/>
          <w:color w:val="auto"/>
        </w:rPr>
        <w:t>Non-publicly traded debt and equity securities and other securities or instruments for which reliable market quotations are not available are valued by management using valuation methodologies applied on a consistent basis. These securities may initially be valued at the acquisition price as the best indicator of fair value. The Company reviews the significant unobservable inputs, valuations of comparable investments and other similar transactions for investments valued at acquisition price to determine whether another valuation methodology should be utilized. Subsequent valuations will depend on the facts and circumstances known as of the valuation date and the application of valuation methodologies as further described below under “—Non-publicly Traded Equity and Real Estate Investments.” The fair value may also be based on a pending transaction expected to close after the valuation date.</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Exchange-traded Investments</w:t>
      </w:r>
    </w:p>
    <w:p>
      <w:pPr>
        <w:spacing w:after="0" w:line="163" w:lineRule="exact"/>
        <w:rPr>
          <w:sz w:val="20"/>
          <w:szCs w:val="20"/>
          <w:color w:val="auto"/>
        </w:rPr>
      </w:pPr>
    </w:p>
    <w:p>
      <w:pPr>
        <w:ind w:right="40" w:firstLine="619"/>
        <w:spacing w:after="0" w:line="257" w:lineRule="auto"/>
        <w:rPr>
          <w:sz w:val="20"/>
          <w:szCs w:val="20"/>
          <w:color w:val="auto"/>
        </w:rPr>
      </w:pPr>
      <w:r>
        <w:rPr>
          <w:rFonts w:ascii="Arial" w:cs="Arial" w:eastAsia="Arial" w:hAnsi="Arial"/>
          <w:sz w:val="17"/>
          <w:szCs w:val="17"/>
          <w:color w:val="auto"/>
        </w:rPr>
        <w:t>Securities listed on one or more national securities exchanges are valued at their last reported sales price on the date of valuation. If no sale occurred on the valuation date, the security is valued at the mean of the last “bid” and “ask” prices on the valuation date. Securities that are not readily marketable due to legal restrictions that may limit or restrict transferability are generally valued at a discount from quoted market prices. The discount would reflect the amount market participants would require due to the risk relating to the inability to access a public market for the security for the specified period and would vary depending on the nature and duration of the restriction and the perceived risk and volatility of the underlying securities. Securities with longer duration restrictions or higher volatility are generally valued at a higher discount. Such discounts are generally estimated based on put option models or an analysis of market studies. Instances where the Company has applied discounts to quoted prices of restricted listed securities have been infrequent. The impact of such discounts is not material to the Company’s consolidated statements of financial condition and results of operations for all periods presented.</w:t>
      </w:r>
    </w:p>
    <w:p>
      <w:pPr>
        <w:spacing w:after="0" w:line="12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Credit-oriented Investments (including Real Estate Loan Portfolios)</w:t>
      </w:r>
    </w:p>
    <w:p>
      <w:pPr>
        <w:spacing w:after="0" w:line="163" w:lineRule="exact"/>
        <w:rPr>
          <w:sz w:val="20"/>
          <w:szCs w:val="20"/>
          <w:color w:val="auto"/>
        </w:rPr>
      </w:pPr>
    </w:p>
    <w:p>
      <w:pPr>
        <w:ind w:right="320" w:firstLine="619"/>
        <w:spacing w:after="0" w:line="271" w:lineRule="auto"/>
        <w:rPr>
          <w:sz w:val="20"/>
          <w:szCs w:val="20"/>
          <w:color w:val="auto"/>
        </w:rPr>
      </w:pPr>
      <w:r>
        <w:rPr>
          <w:rFonts w:ascii="Arial" w:cs="Arial" w:eastAsia="Arial" w:hAnsi="Arial"/>
          <w:sz w:val="17"/>
          <w:szCs w:val="17"/>
          <w:color w:val="auto"/>
        </w:rPr>
        <w:t>Investments in corporate and government debt which are not listed or admitted to trading on any securities exchange are valued at the mean of the last bid and ask prices on the valuation date based on quotations supplied by recognized quotation services or by reputable broker-dealers.</w:t>
      </w: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0" w:name="page81"/>
    <w:bookmarkEnd w:id="80"/>
    <w:p>
      <w:pPr>
        <w:jc w:val="center"/>
        <w:ind w:right="-19"/>
        <w:spacing w:after="0"/>
        <w:rPr>
          <w:sz w:val="20"/>
          <w:szCs w:val="20"/>
          <w:color w:val="auto"/>
        </w:rPr>
      </w:pPr>
      <w:r>
        <w:rPr>
          <w:rFonts w:ascii="Arial" w:cs="Arial" w:eastAsia="Arial" w:hAnsi="Arial"/>
          <w:sz w:val="17"/>
          <w:szCs w:val="17"/>
          <w:b w:val="1"/>
          <w:bCs w:val="1"/>
          <w:color w:val="auto"/>
        </w:rPr>
        <w:t>Brookfield Oaktree Holdings, LLC</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Consolidated Financial Statements — (Continued)</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December 31, 2025</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 in thousands, except where noted)</w:t>
      </w:r>
    </w:p>
    <w:p>
      <w:pPr>
        <w:spacing w:after="0" w:line="200" w:lineRule="exact"/>
        <w:rPr>
          <w:sz w:val="20"/>
          <w:szCs w:val="20"/>
          <w:color w:val="auto"/>
        </w:rPr>
      </w:pPr>
    </w:p>
    <w:p>
      <w:pPr>
        <w:spacing w:after="0" w:line="375" w:lineRule="exact"/>
        <w:rPr>
          <w:sz w:val="20"/>
          <w:szCs w:val="20"/>
          <w:color w:val="auto"/>
        </w:rPr>
      </w:pPr>
    </w:p>
    <w:p>
      <w:pPr>
        <w:ind w:firstLine="619"/>
        <w:spacing w:after="0" w:line="262" w:lineRule="auto"/>
        <w:rPr>
          <w:sz w:val="20"/>
          <w:szCs w:val="20"/>
          <w:color w:val="auto"/>
        </w:rPr>
      </w:pPr>
      <w:r>
        <w:rPr>
          <w:rFonts w:ascii="Arial" w:cs="Arial" w:eastAsia="Arial" w:hAnsi="Arial"/>
          <w:sz w:val="17"/>
          <w:szCs w:val="17"/>
          <w:color w:val="auto"/>
        </w:rPr>
        <w:t>The market-yield approach is considered in the valuation of non-publicly traded debt securities, utilizing expected future cash flows and discounted using estimated current market rates. Discounted cash-flow calculations may be adjusted to reflect current market conditions and/or the perceived credit risk of the borrower. Consideration is also given to a borrower’s ability to meet principal and interest obligations; this may include an evaluation of collateral and/or the underlying value of the borrower utilizing techniques described below under “—Non-publicly Traded Equity and Real Estate Investments.”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Non-publicly Traded Equity and Real Estate Investments</w:t>
      </w:r>
    </w:p>
    <w:p>
      <w:pPr>
        <w:spacing w:after="0" w:line="163" w:lineRule="exact"/>
        <w:rPr>
          <w:sz w:val="20"/>
          <w:szCs w:val="20"/>
          <w:color w:val="auto"/>
        </w:rPr>
      </w:pPr>
    </w:p>
    <w:p>
      <w:pPr>
        <w:ind w:right="40" w:firstLine="619"/>
        <w:spacing w:after="0" w:line="256" w:lineRule="auto"/>
        <w:rPr>
          <w:sz w:val="20"/>
          <w:szCs w:val="20"/>
          <w:color w:val="auto"/>
        </w:rPr>
      </w:pPr>
      <w:r>
        <w:rPr>
          <w:rFonts w:ascii="Arial" w:cs="Arial" w:eastAsia="Arial" w:hAnsi="Arial"/>
          <w:sz w:val="17"/>
          <w:szCs w:val="17"/>
          <w:color w:val="auto"/>
        </w:rPr>
        <w:t>The fair value of equity and real estate investments is determined using a cost, market or income approach. The cost approach is based on the current cost of reproducing a real estate investment less deterioration and functional and economic obsolescence. The market approach utilizes valuations of comparable public companies and transactions, and generally seeks to establish the enterprise value of the portfolio company or investment property using a market-multiple methodology. This approach takes into account the financial measure (such as EBITDA, adjusted EBITDA, free cash flow, net operating income, net income, book value or net asset value) believed to be most relevant for the given company or investment property. Consideration also may be given to factors such as acquisition price of the security or investment property, historical and projected operational and financial results for the portfolio company, the strengths and weaknesses of the portfolio company or investment property relative to its comparable companies or properties, industry trends, general economic and market conditions, and others deemed relevant. The income approach is typically a discounted cash-flow method that incorporates expected timing and level of cash flows. It incorporates assumptions in determining growth rates, income and expense projections, discount and capitalization rates, capital structure, terminal values, and other factors. The applicability and weight assigned to market and income approaches are determined based on the availability of reliable projections and comparable companies and transactions.</w:t>
      </w:r>
    </w:p>
    <w:p>
      <w:pPr>
        <w:spacing w:after="0" w:line="128" w:lineRule="exact"/>
        <w:rPr>
          <w:sz w:val="20"/>
          <w:szCs w:val="20"/>
          <w:color w:val="auto"/>
        </w:rPr>
      </w:pPr>
    </w:p>
    <w:p>
      <w:pPr>
        <w:ind w:right="80" w:firstLine="619"/>
        <w:spacing w:after="0" w:line="265" w:lineRule="auto"/>
        <w:rPr>
          <w:sz w:val="20"/>
          <w:szCs w:val="20"/>
          <w:color w:val="auto"/>
        </w:rPr>
      </w:pPr>
      <w:r>
        <w:rPr>
          <w:rFonts w:ascii="Arial" w:cs="Arial" w:eastAsia="Arial" w:hAnsi="Arial"/>
          <w:sz w:val="17"/>
          <w:szCs w:val="17"/>
          <w:color w:val="auto"/>
        </w:rPr>
        <w:t>The valuation of securities may be impacted by expectations of investors’ receptiveness to a public offering of the securities, the size of the holding of the securities and any associated control, information with respect to transactions or offers for the securities (including the transaction pursuant to which the investment was made and the elapsed time from the date of the investment to the valuation date), and applicable restrictions on the transferability of the securities.</w:t>
      </w:r>
    </w:p>
    <w:p>
      <w:pPr>
        <w:spacing w:after="0" w:line="116" w:lineRule="exact"/>
        <w:rPr>
          <w:sz w:val="20"/>
          <w:szCs w:val="20"/>
          <w:color w:val="auto"/>
        </w:rPr>
      </w:pPr>
    </w:p>
    <w:p>
      <w:pPr>
        <w:ind w:right="20" w:firstLine="619"/>
        <w:spacing w:after="0" w:line="265" w:lineRule="auto"/>
        <w:rPr>
          <w:sz w:val="20"/>
          <w:szCs w:val="20"/>
          <w:color w:val="auto"/>
        </w:rPr>
      </w:pPr>
      <w:r>
        <w:rPr>
          <w:rFonts w:ascii="Arial" w:cs="Arial" w:eastAsia="Arial" w:hAnsi="Arial"/>
          <w:sz w:val="17"/>
          <w:szCs w:val="17"/>
          <w:color w:val="auto"/>
        </w:rPr>
        <w:t>These valuation methodologies involve a significant degree of management judgment. Accordingly, valuations by the Company do not necessarily represent the amounts that eventually may be realized from sales or other dispositions of investments. Fair values may differ from the values that would have been used had a ready market for the investment existed, and the differences could be material to the consolidated financial statements.</w:t>
      </w:r>
    </w:p>
    <w:p>
      <w:pPr>
        <w:spacing w:after="0" w:line="11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Securities Sold Short</w:t>
      </w:r>
    </w:p>
    <w:p>
      <w:pPr>
        <w:spacing w:after="0" w:line="165" w:lineRule="exact"/>
        <w:rPr>
          <w:sz w:val="20"/>
          <w:szCs w:val="20"/>
          <w:color w:val="auto"/>
        </w:rPr>
      </w:pPr>
    </w:p>
    <w:p>
      <w:pPr>
        <w:ind w:right="260" w:firstLine="619"/>
        <w:spacing w:after="0" w:line="265" w:lineRule="auto"/>
        <w:rPr>
          <w:sz w:val="20"/>
          <w:szCs w:val="20"/>
          <w:color w:val="auto"/>
        </w:rPr>
      </w:pPr>
      <w:r>
        <w:rPr>
          <w:rFonts w:ascii="Arial" w:cs="Arial" w:eastAsia="Arial" w:hAnsi="Arial"/>
          <w:sz w:val="17"/>
          <w:szCs w:val="17"/>
          <w:color w:val="auto"/>
        </w:rPr>
        <w:t>Securities sold short represent obligations of the consolidated funds to make a future delivery of a specific security and, correspondingly, create an obligation to purchase the security at prevailing market prices (or deliver the security, if owned by the consolidated funds) as of the delivery date. As a result, these short sales create the risk that the funds’ obligations to satisfy the delivery requirement may exceed the amount recorded in the accompanying consolidated statements of financial condition.</w:t>
      </w:r>
    </w:p>
    <w:p>
      <w:pPr>
        <w:spacing w:after="0" w:line="116" w:lineRule="exact"/>
        <w:rPr>
          <w:sz w:val="20"/>
          <w:szCs w:val="20"/>
          <w:color w:val="auto"/>
        </w:rPr>
      </w:pPr>
    </w:p>
    <w:p>
      <w:pPr>
        <w:ind w:right="60" w:firstLine="619"/>
        <w:spacing w:after="0" w:line="265" w:lineRule="auto"/>
        <w:rPr>
          <w:sz w:val="20"/>
          <w:szCs w:val="20"/>
          <w:color w:val="auto"/>
        </w:rPr>
      </w:pPr>
      <w:r>
        <w:rPr>
          <w:rFonts w:ascii="Arial" w:cs="Arial" w:eastAsia="Arial" w:hAnsi="Arial"/>
          <w:sz w:val="17"/>
          <w:szCs w:val="17"/>
          <w:color w:val="auto"/>
        </w:rPr>
        <w:t>Securities sold short are recorded at fair value, with the resulting change in value reflected as a component of net change in unrealized appreciation (depreciation) on consolidated funds’ investments in the consolidated statements of operations. When the securities are delivered, any gain or loss is included in net realized gain on consolidated funds’ investments. The funds maintain cash deposits with prime brokers in order to cover their obligations on short sales. These amounts are included in due from brokers in the consolidated statements of financial condition.</w:t>
      </w:r>
    </w:p>
    <w:p>
      <w:pPr>
        <w:spacing w:after="0" w:line="11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Options</w:t>
      </w:r>
    </w:p>
    <w:p>
      <w:pPr>
        <w:spacing w:after="0" w:line="165" w:lineRule="exact"/>
        <w:rPr>
          <w:sz w:val="20"/>
          <w:szCs w:val="20"/>
          <w:color w:val="auto"/>
        </w:rPr>
      </w:pPr>
    </w:p>
    <w:p>
      <w:pPr>
        <w:ind w:right="40" w:firstLine="619"/>
        <w:spacing w:after="0" w:line="265" w:lineRule="auto"/>
        <w:rPr>
          <w:sz w:val="20"/>
          <w:szCs w:val="20"/>
          <w:color w:val="auto"/>
        </w:rPr>
      </w:pPr>
      <w:r>
        <w:rPr>
          <w:rFonts w:ascii="Arial" w:cs="Arial" w:eastAsia="Arial" w:hAnsi="Arial"/>
          <w:sz w:val="17"/>
          <w:szCs w:val="17"/>
          <w:color w:val="auto"/>
        </w:rPr>
        <w:t>The purchase price of a call option or a put option is recorded as an investment, which is carried at fair value. If a purchased option expires, a loss in the amount of the cost of the option is realized. When there is a closing sale transaction, a gain or loss is realized if the proceeds are greater or less than, respectively, the cost of the option. When a call option is exercised, the cost of the security purchased upon exercise is increased by the premium originally paid.</w:t>
      </w: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1" w:name="page82"/>
    <w:bookmarkEnd w:id="81"/>
    <w:p>
      <w:pPr>
        <w:jc w:val="center"/>
        <w:ind w:right="-19"/>
        <w:spacing w:after="0"/>
        <w:rPr>
          <w:sz w:val="20"/>
          <w:szCs w:val="20"/>
          <w:color w:val="auto"/>
        </w:rPr>
      </w:pPr>
      <w:r>
        <w:rPr>
          <w:rFonts w:ascii="Arial" w:cs="Arial" w:eastAsia="Arial" w:hAnsi="Arial"/>
          <w:sz w:val="17"/>
          <w:szCs w:val="17"/>
          <w:b w:val="1"/>
          <w:bCs w:val="1"/>
          <w:color w:val="auto"/>
        </w:rPr>
        <w:t>Brookfield Oaktree Holdings, LLC</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Consolidated Financial Statements — (Continued)</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December 31, 2025</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 in thousands, except where noted)</w:t>
      </w:r>
    </w:p>
    <w:p>
      <w:pPr>
        <w:spacing w:after="0" w:line="200" w:lineRule="exact"/>
        <w:rPr>
          <w:sz w:val="20"/>
          <w:szCs w:val="20"/>
          <w:color w:val="auto"/>
        </w:rPr>
      </w:pPr>
    </w:p>
    <w:p>
      <w:pPr>
        <w:spacing w:after="0" w:line="375" w:lineRule="exact"/>
        <w:rPr>
          <w:sz w:val="20"/>
          <w:szCs w:val="20"/>
          <w:color w:val="auto"/>
        </w:rPr>
      </w:pPr>
    </w:p>
    <w:p>
      <w:pPr>
        <w:ind w:right="20" w:firstLine="619"/>
        <w:spacing w:after="0" w:line="262" w:lineRule="auto"/>
        <w:rPr>
          <w:sz w:val="20"/>
          <w:szCs w:val="20"/>
          <w:color w:val="auto"/>
        </w:rPr>
      </w:pPr>
      <w:r>
        <w:rPr>
          <w:rFonts w:ascii="Arial" w:cs="Arial" w:eastAsia="Arial" w:hAnsi="Arial"/>
          <w:sz w:val="17"/>
          <w:szCs w:val="17"/>
          <w:color w:val="auto"/>
        </w:rPr>
        <w:t>When a consolidated fund writes an option, the premium received is recorded as a liability and is subsequently adjusted to the current fair value of the option written. If a written option expires, a gain is realized in the amount of the premium received. The difference between the premium and the amount paid on effecting a closing purchase transaction, including brokerage commissions, is also treated as a realized gain or loss. The writer of an option bears the market risk of an unfavorable change in the price of the security underlying the written option. Options written are included in accounts payable, accrued expenses and other liabilities in the consolidated statements of financial condition.</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Total-return Swaps</w:t>
      </w:r>
    </w:p>
    <w:p>
      <w:pPr>
        <w:spacing w:after="0" w:line="165" w:lineRule="exact"/>
        <w:rPr>
          <w:sz w:val="20"/>
          <w:szCs w:val="20"/>
          <w:color w:val="auto"/>
        </w:rPr>
      </w:pPr>
    </w:p>
    <w:p>
      <w:pPr>
        <w:ind w:right="40" w:firstLine="619"/>
        <w:spacing w:after="0" w:line="258" w:lineRule="auto"/>
        <w:rPr>
          <w:sz w:val="20"/>
          <w:szCs w:val="20"/>
          <w:color w:val="auto"/>
        </w:rPr>
      </w:pPr>
      <w:r>
        <w:rPr>
          <w:rFonts w:ascii="Arial" w:cs="Arial" w:eastAsia="Arial" w:hAnsi="Arial"/>
          <w:sz w:val="17"/>
          <w:szCs w:val="17"/>
          <w:color w:val="auto"/>
        </w:rPr>
        <w:t>A total-return swap is an agreement to exchange cash flows based on an underlying asset. Pursuant to these agreements, a fund may deposit collateral with the counterparty and may pay a swap fee equal to a fixed percentage of the value of the underlying security (notional amount). A fund earns interest on cash collateral held on account with the counterparty and may be required to deposit additional collateral equal to the unrealized appreciation or depreciation on the underlying asset. Changes in the value of the swaps, which are recorded as unrealized gains or losses, are based on changes in the underlying value of the security. All amounts exchanged with the swap counterparty representing capital appreciation or depreciation, dividend income and expense, items of interest income on short proceeds, borrowing costs on short sales, and commissions are recorded as realized gains or losses. Dividend income and expense on the underlying assets are accrued as unrealized gains or losses on the ex-date.</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Due From Brokers</w:t>
      </w:r>
    </w:p>
    <w:p>
      <w:pPr>
        <w:spacing w:after="0" w:line="165" w:lineRule="exact"/>
        <w:rPr>
          <w:sz w:val="20"/>
          <w:szCs w:val="20"/>
          <w:color w:val="auto"/>
        </w:rPr>
      </w:pPr>
    </w:p>
    <w:p>
      <w:pPr>
        <w:ind w:right="80" w:firstLine="619"/>
        <w:spacing w:after="0" w:line="290" w:lineRule="auto"/>
        <w:rPr>
          <w:sz w:val="20"/>
          <w:szCs w:val="20"/>
          <w:color w:val="auto"/>
        </w:rPr>
      </w:pPr>
      <w:r>
        <w:rPr>
          <w:rFonts w:ascii="Arial" w:cs="Arial" w:eastAsia="Arial" w:hAnsi="Arial"/>
          <w:sz w:val="17"/>
          <w:szCs w:val="17"/>
          <w:color w:val="auto"/>
        </w:rPr>
        <w:t>Due from brokers represents cash owned by the consolidated funds and cash collateral on deposit with brokers and counterparties that are used as collateral for the consolidated funds’ securities and swaps.</w:t>
      </w:r>
    </w:p>
    <w:p>
      <w:pPr>
        <w:spacing w:after="0" w:line="9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Risks and Uncertainties</w:t>
      </w:r>
    </w:p>
    <w:p>
      <w:pPr>
        <w:spacing w:after="0" w:line="165" w:lineRule="exact"/>
        <w:rPr>
          <w:sz w:val="20"/>
          <w:szCs w:val="20"/>
          <w:color w:val="auto"/>
        </w:rPr>
      </w:pPr>
    </w:p>
    <w:p>
      <w:pPr>
        <w:ind w:firstLine="619"/>
        <w:spacing w:after="0" w:line="257" w:lineRule="auto"/>
        <w:rPr>
          <w:sz w:val="20"/>
          <w:szCs w:val="20"/>
          <w:color w:val="auto"/>
        </w:rPr>
      </w:pPr>
      <w:r>
        <w:rPr>
          <w:rFonts w:ascii="Arial" w:cs="Arial" w:eastAsia="Arial" w:hAnsi="Arial"/>
          <w:sz w:val="17"/>
          <w:szCs w:val="17"/>
          <w:color w:val="auto"/>
        </w:rPr>
        <w:t>Certain consolidated funds invest primarily in the securities of entities that are undergoing, or are considered likely to undergo, reorganization, debt restructuring, liquidation or other extraordinary transactions. Investments in such entities are considered speculative and involve substantial risk of principal loss. Certain of the consolidated funds’ investments may also consist of securities that are thinly traded, securities and other assets for which no market exists, and securities which are restricted as to their transferability. Additionally, investments are subject to concentration and industry risks, reflecting numerous factors, including political, regulatory or economic issues that could cause the investments and their markets to be relatively illiquid and their prices relatively volatile. Investments denominated in non-U.S. currencies or involving non-U.S. domiciled entities are subject to risks and special considerations not typically associated with U.S. investments. Such risks may include, but are not limited to, investment and repatriation restrictions; currency exchange-rate fluctuations; adverse political, social and economic developments; less liquidity; smaller capital markets; and certain local tax law considerations.</w:t>
      </w:r>
    </w:p>
    <w:p>
      <w:pPr>
        <w:spacing w:after="0" w:line="127" w:lineRule="exact"/>
        <w:rPr>
          <w:sz w:val="20"/>
          <w:szCs w:val="20"/>
          <w:color w:val="auto"/>
        </w:rPr>
      </w:pPr>
    </w:p>
    <w:p>
      <w:pPr>
        <w:ind w:right="40" w:firstLine="619"/>
        <w:spacing w:after="0" w:line="262" w:lineRule="auto"/>
        <w:rPr>
          <w:sz w:val="20"/>
          <w:szCs w:val="20"/>
          <w:color w:val="auto"/>
        </w:rPr>
      </w:pPr>
      <w:r>
        <w:rPr>
          <w:rFonts w:ascii="Arial" w:cs="Arial" w:eastAsia="Arial" w:hAnsi="Arial"/>
          <w:sz w:val="17"/>
          <w:szCs w:val="17"/>
          <w:color w:val="auto"/>
        </w:rPr>
        <w:t>Credit risk is the potential loss that may be incurred from the failure of a counterparty or an issuer to make payments according to the terms of a contract. Some consolidated funds are subject to additional credit risk due to strategies of investing in debt of financially distressed issuers or derivatives, as well as involvement in privately-negotiated structured notes and structured-credit transactions. Counterparties include custodian banks, major brokerage houses and their affiliates. The Company monitors the creditworthiness of the financial institutions with which it conducts business.</w:t>
      </w:r>
    </w:p>
    <w:p>
      <w:pPr>
        <w:spacing w:after="0" w:line="119" w:lineRule="exact"/>
        <w:rPr>
          <w:sz w:val="20"/>
          <w:szCs w:val="20"/>
          <w:color w:val="auto"/>
        </w:rPr>
      </w:pPr>
    </w:p>
    <w:p>
      <w:pPr>
        <w:ind w:right="80" w:firstLine="619"/>
        <w:spacing w:after="0" w:line="265" w:lineRule="auto"/>
        <w:rPr>
          <w:sz w:val="20"/>
          <w:szCs w:val="20"/>
          <w:color w:val="auto"/>
        </w:rPr>
      </w:pPr>
      <w:r>
        <w:rPr>
          <w:rFonts w:ascii="Arial" w:cs="Arial" w:eastAsia="Arial" w:hAnsi="Arial"/>
          <w:sz w:val="17"/>
          <w:szCs w:val="17"/>
          <w:color w:val="auto"/>
        </w:rPr>
        <w:t>Bank debt has exposure to certain types of risk, including interest rate, market, and the potential non-payment of principal and interest as a result of default or bankruptcy of the issuer. Loans are generally subject to prepayment risk, which will affect the maturity of such loans. The consolidated funds may enter into bank debt participation agreements through contractual relationships with a third-party intermediary, causing the consolidated funds to assume the credit risk of both the borrower and the intermediary.</w:t>
      </w:r>
    </w:p>
    <w:p>
      <w:pPr>
        <w:spacing w:after="0" w:line="116" w:lineRule="exact"/>
        <w:rPr>
          <w:sz w:val="20"/>
          <w:szCs w:val="20"/>
          <w:color w:val="auto"/>
        </w:rPr>
      </w:pPr>
    </w:p>
    <w:p>
      <w:pPr>
        <w:ind w:right="220" w:firstLine="619"/>
        <w:spacing w:after="0" w:line="265" w:lineRule="auto"/>
        <w:rPr>
          <w:sz w:val="20"/>
          <w:szCs w:val="20"/>
          <w:color w:val="auto"/>
        </w:rPr>
      </w:pPr>
      <w:r>
        <w:rPr>
          <w:rFonts w:ascii="Arial" w:cs="Arial" w:eastAsia="Arial" w:hAnsi="Arial"/>
          <w:sz w:val="17"/>
          <w:szCs w:val="17"/>
          <w:color w:val="auto"/>
        </w:rPr>
        <w:t>Certain consolidated funds may invest in real property and real estate-related investments, including commercial mortgage-backed securities (“CMBS”) and real estate loans, that entail substantial inherent risks. There can be no assurance that such investments will increase in value or that significant losses will not be incurred. CMBS are subject to a number of risks, including credit, interest rate, prepayment and market. These risks can be affected by a number of factors, including general economic conditions, particularly those in the area where the</w:t>
      </w: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2" w:name="page83"/>
    <w:bookmarkEnd w:id="82"/>
    <w:p>
      <w:pPr>
        <w:jc w:val="center"/>
        <w:ind w:right="-19"/>
        <w:spacing w:after="0"/>
        <w:rPr>
          <w:sz w:val="20"/>
          <w:szCs w:val="20"/>
          <w:color w:val="auto"/>
        </w:rPr>
      </w:pPr>
      <w:r>
        <w:rPr>
          <w:rFonts w:ascii="Arial" w:cs="Arial" w:eastAsia="Arial" w:hAnsi="Arial"/>
          <w:sz w:val="17"/>
          <w:szCs w:val="17"/>
          <w:b w:val="1"/>
          <w:bCs w:val="1"/>
          <w:color w:val="auto"/>
        </w:rPr>
        <w:t>Brookfield Oaktree Holdings, LLC</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Consolidated Financial Statements — (Continued)</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December 31, 2025</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 in thousands, except where noted)</w:t>
      </w:r>
    </w:p>
    <w:p>
      <w:pPr>
        <w:spacing w:after="0" w:line="200" w:lineRule="exact"/>
        <w:rPr>
          <w:sz w:val="20"/>
          <w:szCs w:val="20"/>
          <w:color w:val="auto"/>
        </w:rPr>
      </w:pPr>
    </w:p>
    <w:p>
      <w:pPr>
        <w:spacing w:after="0" w:line="375" w:lineRule="exact"/>
        <w:rPr>
          <w:sz w:val="20"/>
          <w:szCs w:val="20"/>
          <w:color w:val="auto"/>
        </w:rPr>
      </w:pPr>
    </w:p>
    <w:p>
      <w:pPr>
        <w:ind w:right="80"/>
        <w:spacing w:after="0" w:line="256" w:lineRule="auto"/>
        <w:rPr>
          <w:sz w:val="20"/>
          <w:szCs w:val="20"/>
          <w:color w:val="auto"/>
        </w:rPr>
      </w:pPr>
      <w:r>
        <w:rPr>
          <w:rFonts w:ascii="Arial" w:cs="Arial" w:eastAsia="Arial" w:hAnsi="Arial"/>
          <w:sz w:val="17"/>
          <w:szCs w:val="17"/>
          <w:color w:val="auto"/>
        </w:rPr>
        <w:t>related mortgaged properties are located, the level of the borrowers’ equity in the mortgaged properties, and the relative timing and rate of delinquencies and prepayments of mortgage loans bearing a higher rate of interest. Real estate loans include residential or commercial loans that are non-performing at the time of their acquisition or that become non-performing following their acquisition. Non-performing real estate loans may require a substantial amount of workout negotiations or restructuring, which may entail, among other things, a substantial reduction in the interest rate and/or write-down of the principal balance. Moreover, foreclosure on collateral securing one or more real estate loans held by the consolidated funds may be necessary, which may be lengthy and expensive. Residential loans are typically subject to risks associated with the value of the underlying properties, which may be affected by a number of factors including general economic conditions, mortgage qualification standards, local market conditions such as employment levels, the supply of homes, and the safety, convenience and attractiveness of the properties and neighborhoods. Commercial loans are typically subject to risks associated with the ability of the borrower to repay, which may be impacted by general economic conditions, as well as borrower specific factors including the quality of management, the ability to generate sufficient income to make scheduled principal and interest payments, or the ability to obtain alternative financing to repay the loan.</w:t>
      </w:r>
    </w:p>
    <w:p>
      <w:pPr>
        <w:spacing w:after="0" w:line="130" w:lineRule="exact"/>
        <w:rPr>
          <w:sz w:val="20"/>
          <w:szCs w:val="20"/>
          <w:color w:val="auto"/>
        </w:rPr>
      </w:pPr>
    </w:p>
    <w:p>
      <w:pPr>
        <w:ind w:firstLine="619"/>
        <w:spacing w:after="0" w:line="290" w:lineRule="auto"/>
        <w:rPr>
          <w:sz w:val="20"/>
          <w:szCs w:val="20"/>
          <w:color w:val="auto"/>
        </w:rPr>
      </w:pPr>
      <w:r>
        <w:rPr>
          <w:rFonts w:ascii="Arial" w:cs="Arial" w:eastAsia="Arial" w:hAnsi="Arial"/>
          <w:sz w:val="17"/>
          <w:szCs w:val="17"/>
          <w:color w:val="auto"/>
        </w:rPr>
        <w:t>Certain consolidated funds hold over-the-counter derivatives that may allow counterparties to terminate derivative contracts prior to maturity under certain circumstances, thereby resulting in an accelerated payment of any net liability owed to the counterparty.</w:t>
      </w:r>
    </w:p>
    <w:p>
      <w:pPr>
        <w:spacing w:after="0" w:line="9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Effects of 2024 Restructuring</w:t>
      </w:r>
    </w:p>
    <w:p>
      <w:pPr>
        <w:spacing w:after="0" w:line="155" w:lineRule="exact"/>
        <w:rPr>
          <w:sz w:val="20"/>
          <w:szCs w:val="20"/>
          <w:color w:val="auto"/>
        </w:rPr>
      </w:pPr>
    </w:p>
    <w:p>
      <w:pPr>
        <w:ind w:right="440" w:firstLine="619"/>
        <w:spacing w:after="0" w:line="274" w:lineRule="auto"/>
        <w:rPr>
          <w:sz w:val="20"/>
          <w:szCs w:val="20"/>
          <w:color w:val="auto"/>
        </w:rPr>
      </w:pPr>
      <w:r>
        <w:rPr>
          <w:rFonts w:ascii="Arial" w:cs="Arial" w:eastAsia="Arial" w:hAnsi="Arial"/>
          <w:sz w:val="17"/>
          <w:szCs w:val="17"/>
          <w:color w:val="auto"/>
        </w:rPr>
        <w:t>As a result of the 2024 Restructuring and the deconsolidation of Oaktree Capital I, certain accounts related to Oaktree Capital I are no longer included in the Company’s consolidated financial statements. The effects of the 2024 Restructuring are summarized as follows:</w:t>
      </w:r>
    </w:p>
    <w:p>
      <w:pPr>
        <w:spacing w:after="0" w:line="108" w:lineRule="exact"/>
        <w:rPr>
          <w:sz w:val="20"/>
          <w:szCs w:val="20"/>
          <w:color w:val="auto"/>
        </w:rPr>
      </w:pPr>
    </w:p>
    <w:p>
      <w:pPr>
        <w:ind w:left="620" w:right="60" w:firstLine="311"/>
        <w:spacing w:after="0" w:line="290" w:lineRule="auto"/>
        <w:tabs>
          <w:tab w:leader="none" w:pos="1234"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Company’s economic interest in Oaktree Capital I is accounted for as an equity method investment, and the Company records its pro-rata share of Oaktree Capital I’s net income as investment income.</w:t>
      </w:r>
    </w:p>
    <w:p>
      <w:pPr>
        <w:spacing w:after="0" w:line="94" w:lineRule="exact"/>
        <w:rPr>
          <w:rFonts w:ascii="Arial" w:cs="Arial" w:eastAsia="Arial" w:hAnsi="Arial"/>
          <w:sz w:val="17"/>
          <w:szCs w:val="17"/>
          <w:color w:val="auto"/>
        </w:rPr>
      </w:pPr>
    </w:p>
    <w:p>
      <w:pPr>
        <w:ind w:left="620" w:right="160" w:firstLine="311"/>
        <w:spacing w:after="0" w:line="271" w:lineRule="auto"/>
        <w:tabs>
          <w:tab w:leader="none" w:pos="1234"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Company’s incentive income consisted primarily of fees earned from funds managed by Oaktree Capital I. Subsequent to the 2024 Restructuring, the Company no longer earns incentive income. The Company’s proportionate share of incentive income earned by Oaktree Capital I is included as a component of investment income.</w:t>
      </w:r>
    </w:p>
    <w:p>
      <w:pPr>
        <w:spacing w:after="0" w:line="111" w:lineRule="exact"/>
        <w:rPr>
          <w:rFonts w:ascii="Arial" w:cs="Arial" w:eastAsia="Arial" w:hAnsi="Arial"/>
          <w:sz w:val="17"/>
          <w:szCs w:val="17"/>
          <w:color w:val="auto"/>
        </w:rPr>
      </w:pPr>
    </w:p>
    <w:p>
      <w:pPr>
        <w:ind w:left="620" w:right="360" w:firstLine="311"/>
        <w:spacing w:after="0" w:line="271" w:lineRule="auto"/>
        <w:tabs>
          <w:tab w:leader="none" w:pos="1234" w:val="left"/>
        </w:tabs>
        <w:numPr>
          <w:ilvl w:val="0"/>
          <w:numId w:val="32"/>
        </w:numPr>
        <w:rPr>
          <w:rFonts w:ascii="Arial" w:cs="Arial" w:eastAsia="Arial" w:hAnsi="Arial"/>
          <w:sz w:val="17"/>
          <w:szCs w:val="17"/>
          <w:color w:val="auto"/>
        </w:rPr>
      </w:pPr>
      <w:r>
        <w:rPr>
          <w:rFonts w:ascii="Arial" w:cs="Arial" w:eastAsia="Arial" w:hAnsi="Arial"/>
          <w:sz w:val="17"/>
          <w:szCs w:val="17"/>
          <w:color w:val="auto"/>
        </w:rPr>
        <w:t>Incentive compensation expense primarily reflected compensation directly related to incentive income. Subsequent to the 2024 Restructuring, the Company no longer recognizes incentive compensation expense, as it no longer earns the corresponding incentive income.</w:t>
      </w:r>
    </w:p>
    <w:p>
      <w:pPr>
        <w:spacing w:after="0" w:line="111" w:lineRule="exact"/>
        <w:rPr>
          <w:rFonts w:ascii="Arial" w:cs="Arial" w:eastAsia="Arial" w:hAnsi="Arial"/>
          <w:sz w:val="17"/>
          <w:szCs w:val="17"/>
          <w:color w:val="auto"/>
        </w:rPr>
      </w:pPr>
    </w:p>
    <w:p>
      <w:pPr>
        <w:ind w:left="1240" w:hanging="309"/>
        <w:spacing w:after="0"/>
        <w:tabs>
          <w:tab w:leader="none" w:pos="1240" w:val="left"/>
        </w:tabs>
        <w:numPr>
          <w:ilvl w:val="0"/>
          <w:numId w:val="32"/>
        </w:numPr>
        <w:rPr>
          <w:rFonts w:ascii="Arial" w:cs="Arial" w:eastAsia="Arial" w:hAnsi="Arial"/>
          <w:sz w:val="17"/>
          <w:szCs w:val="17"/>
          <w:color w:val="auto"/>
        </w:rPr>
      </w:pPr>
      <w:r>
        <w:rPr>
          <w:rFonts w:ascii="Arial" w:cs="Arial" w:eastAsia="Arial" w:hAnsi="Arial"/>
          <w:sz w:val="17"/>
          <w:szCs w:val="17"/>
          <w:color w:val="auto"/>
        </w:rPr>
        <w:t>Certain funds and CLOs that were previously consolidated by Oaktree Capital I are no longer consolidated by the Company.</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Recent Accounting Developments</w:t>
      </w:r>
    </w:p>
    <w:p>
      <w:pPr>
        <w:spacing w:after="0" w:line="155" w:lineRule="exact"/>
        <w:rPr>
          <w:sz w:val="20"/>
          <w:szCs w:val="20"/>
          <w:color w:val="auto"/>
        </w:rPr>
      </w:pPr>
    </w:p>
    <w:p>
      <w:pPr>
        <w:ind w:right="40" w:firstLine="619"/>
        <w:spacing w:after="0" w:line="242" w:lineRule="auto"/>
        <w:rPr>
          <w:sz w:val="20"/>
          <w:szCs w:val="20"/>
          <w:color w:val="auto"/>
        </w:rPr>
      </w:pPr>
      <w:r>
        <w:rPr>
          <w:rFonts w:ascii="Arial" w:cs="Arial" w:eastAsia="Arial" w:hAnsi="Arial"/>
          <w:sz w:val="17"/>
          <w:szCs w:val="17"/>
          <w:color w:val="auto"/>
        </w:rPr>
        <w:t>In December 2023, the FASB issued ASU 2023-09, Improvements to Income Tax Disclosures, which enhances existing annual income tax disclosures, primarily disaggregation of: (i) effective tax rate reconciliation using both percentages and amounts into specific categories, with further disaggregation by nature and/or jurisdiction of certain categories that meet the threshold of 5% of expected tax; and (ii) income taxes paid (net of refunds received) between federal, state/local and foreign, with further disaggregation by jurisdiction if 5% or more of total income taxes paid (net of</w:t>
      </w:r>
    </w:p>
    <w:p>
      <w:pPr>
        <w:spacing w:after="0" w:line="1" w:lineRule="exact"/>
        <w:rPr>
          <w:sz w:val="20"/>
          <w:szCs w:val="20"/>
          <w:color w:val="auto"/>
        </w:rPr>
      </w:pPr>
    </w:p>
    <w:p>
      <w:pPr>
        <w:spacing w:after="0" w:line="229" w:lineRule="auto"/>
        <w:rPr>
          <w:sz w:val="20"/>
          <w:szCs w:val="20"/>
          <w:color w:val="auto"/>
        </w:rPr>
      </w:pPr>
      <w:r>
        <w:rPr>
          <w:rFonts w:ascii="Arial" w:cs="Arial" w:eastAsia="Arial" w:hAnsi="Arial"/>
          <w:sz w:val="17"/>
          <w:szCs w:val="17"/>
          <w:color w:val="auto"/>
        </w:rPr>
        <w:t>refunds received). The ASU also eliminates existing disclosures related to: (a) reasonably possible significant changes in total amount of unrecognized tax benefits within 12 months of reporting date; and (b) cumulative amount of each type of temporary difference for which deferred tax</w:t>
      </w:r>
    </w:p>
    <w:p>
      <w:pPr>
        <w:spacing w:after="0" w:line="1" w:lineRule="exact"/>
        <w:rPr>
          <w:sz w:val="20"/>
          <w:szCs w:val="20"/>
          <w:color w:val="auto"/>
        </w:rPr>
      </w:pPr>
    </w:p>
    <w:p>
      <w:pPr>
        <w:ind w:right="200"/>
        <w:spacing w:after="0" w:line="243" w:lineRule="auto"/>
        <w:rPr>
          <w:sz w:val="20"/>
          <w:szCs w:val="20"/>
          <w:color w:val="auto"/>
        </w:rPr>
      </w:pPr>
      <w:r>
        <w:rPr>
          <w:rFonts w:ascii="Arial" w:cs="Arial" w:eastAsia="Arial" w:hAnsi="Arial"/>
          <w:sz w:val="17"/>
          <w:szCs w:val="17"/>
          <w:color w:val="auto"/>
        </w:rPr>
        <w:t>liability has not been recognized (due to exception to recognizing deferred taxes related to subsidiaries and corporate joint ventures). This ASU is effective January 1, 2025, with early adoption permitted in the interim or annual periods. Transition is prospective with the option to apply retrospective application. The Company adopted the ASU effective January 1, 2025, and the adoption did not have a material impact on its consolidated financial statements.</w:t>
      </w:r>
    </w:p>
    <w:p>
      <w:pPr>
        <w:spacing w:after="0" w:line="198" w:lineRule="exact"/>
        <w:rPr>
          <w:sz w:val="20"/>
          <w:szCs w:val="20"/>
          <w:color w:val="auto"/>
        </w:rPr>
      </w:pPr>
    </w:p>
    <w:p>
      <w:pPr>
        <w:ind w:right="40" w:firstLine="619"/>
        <w:spacing w:after="0" w:line="239" w:lineRule="auto"/>
        <w:rPr>
          <w:sz w:val="20"/>
          <w:szCs w:val="20"/>
          <w:color w:val="auto"/>
        </w:rPr>
      </w:pPr>
      <w:r>
        <w:rPr>
          <w:rFonts w:ascii="Arial" w:cs="Arial" w:eastAsia="Arial" w:hAnsi="Arial"/>
          <w:sz w:val="17"/>
          <w:szCs w:val="17"/>
          <w:color w:val="auto"/>
        </w:rPr>
        <w:t>In November 2024, the FASB issued ASU 2024-03, Income Statement - Reporting Comprehensive Income - Expense Disaggregation Disclosures (subtopic 220-40), which requires disclosure of disaggregation of certain relevant expenses included in the statements of operations on</w:t>
      </w:r>
    </w:p>
    <w:p>
      <w:pPr>
        <w:spacing w:after="0" w:line="1" w:lineRule="exact"/>
        <w:rPr>
          <w:sz w:val="20"/>
          <w:szCs w:val="20"/>
          <w:color w:val="auto"/>
        </w:rPr>
      </w:pPr>
    </w:p>
    <w:p>
      <w:pPr>
        <w:ind w:right="20"/>
        <w:spacing w:after="0" w:line="239" w:lineRule="auto"/>
        <w:rPr>
          <w:sz w:val="20"/>
          <w:szCs w:val="20"/>
          <w:color w:val="auto"/>
        </w:rPr>
      </w:pPr>
      <w:r>
        <w:rPr>
          <w:rFonts w:ascii="Arial" w:cs="Arial" w:eastAsia="Arial" w:hAnsi="Arial"/>
          <w:sz w:val="17"/>
          <w:szCs w:val="17"/>
          <w:color w:val="auto"/>
        </w:rPr>
        <w:t>an annual and interim basis. ASU 2024-03 will be effective for our annual periods beginning January 1, 2027 and interim periods beginning January 1, 2028. The</w:t>
      </w: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3" w:name="page84"/>
    <w:bookmarkEnd w:id="83"/>
    <w:p>
      <w:pPr>
        <w:jc w:val="center"/>
        <w:ind w:right="-939"/>
        <w:spacing w:after="0"/>
        <w:rPr>
          <w:sz w:val="20"/>
          <w:szCs w:val="20"/>
          <w:color w:val="auto"/>
        </w:rPr>
      </w:pPr>
      <w:r>
        <w:rPr>
          <w:rFonts w:ascii="Arial" w:cs="Arial" w:eastAsia="Arial" w:hAnsi="Arial"/>
          <w:sz w:val="17"/>
          <w:szCs w:val="17"/>
          <w:b w:val="1"/>
          <w:bCs w:val="1"/>
          <w:color w:val="auto"/>
        </w:rPr>
        <w:t>Brookfield Oaktree Holdings, LLC</w:t>
      </w:r>
    </w:p>
    <w:p>
      <w:pPr>
        <w:spacing w:after="0" w:line="15" w:lineRule="exact"/>
        <w:rPr>
          <w:sz w:val="20"/>
          <w:szCs w:val="20"/>
          <w:color w:val="auto"/>
        </w:rPr>
      </w:pPr>
    </w:p>
    <w:p>
      <w:pPr>
        <w:jc w:val="center"/>
        <w:ind w:right="-939"/>
        <w:spacing w:after="0"/>
        <w:rPr>
          <w:sz w:val="20"/>
          <w:szCs w:val="20"/>
          <w:color w:val="auto"/>
        </w:rPr>
      </w:pPr>
      <w:r>
        <w:rPr>
          <w:rFonts w:ascii="Arial" w:cs="Arial" w:eastAsia="Arial" w:hAnsi="Arial"/>
          <w:sz w:val="17"/>
          <w:szCs w:val="17"/>
          <w:b w:val="1"/>
          <w:bCs w:val="1"/>
          <w:color w:val="auto"/>
        </w:rPr>
        <w:t>Notes to Consolidated Financial Statements — (Continued)</w:t>
      </w:r>
    </w:p>
    <w:p>
      <w:pPr>
        <w:spacing w:after="0" w:line="11" w:lineRule="exact"/>
        <w:rPr>
          <w:sz w:val="20"/>
          <w:szCs w:val="20"/>
          <w:color w:val="auto"/>
        </w:rPr>
      </w:pPr>
    </w:p>
    <w:p>
      <w:pPr>
        <w:jc w:val="center"/>
        <w:ind w:right="-939"/>
        <w:spacing w:after="0"/>
        <w:rPr>
          <w:sz w:val="20"/>
          <w:szCs w:val="20"/>
          <w:color w:val="auto"/>
        </w:rPr>
      </w:pPr>
      <w:r>
        <w:rPr>
          <w:rFonts w:ascii="Arial" w:cs="Arial" w:eastAsia="Arial" w:hAnsi="Arial"/>
          <w:sz w:val="17"/>
          <w:szCs w:val="17"/>
          <w:b w:val="1"/>
          <w:bCs w:val="1"/>
          <w:color w:val="auto"/>
        </w:rPr>
        <w:t>December 31, 2025</w:t>
      </w:r>
    </w:p>
    <w:p>
      <w:pPr>
        <w:spacing w:after="0" w:line="11" w:lineRule="exact"/>
        <w:rPr>
          <w:sz w:val="20"/>
          <w:szCs w:val="20"/>
          <w:color w:val="auto"/>
        </w:rPr>
      </w:pPr>
    </w:p>
    <w:p>
      <w:pPr>
        <w:jc w:val="center"/>
        <w:ind w:right="-939"/>
        <w:spacing w:after="0"/>
        <w:rPr>
          <w:sz w:val="20"/>
          <w:szCs w:val="20"/>
          <w:color w:val="auto"/>
        </w:rPr>
      </w:pPr>
      <w:r>
        <w:rPr>
          <w:rFonts w:ascii="Arial" w:cs="Arial" w:eastAsia="Arial" w:hAnsi="Arial"/>
          <w:sz w:val="17"/>
          <w:szCs w:val="17"/>
          <w:b w:val="1"/>
          <w:bCs w:val="1"/>
          <w:color w:val="auto"/>
        </w:rPr>
        <w:t>($ in thousands, except where noted)</w:t>
      </w:r>
    </w:p>
    <w:p>
      <w:pPr>
        <w:spacing w:after="0" w:line="200" w:lineRule="exact"/>
        <w:rPr>
          <w:sz w:val="20"/>
          <w:szCs w:val="20"/>
          <w:color w:val="auto"/>
        </w:rPr>
      </w:pPr>
    </w:p>
    <w:p>
      <w:pPr>
        <w:spacing w:after="0" w:line="207" w:lineRule="exact"/>
        <w:rPr>
          <w:sz w:val="20"/>
          <w:szCs w:val="20"/>
          <w:color w:val="auto"/>
        </w:rPr>
      </w:pPr>
    </w:p>
    <w:p>
      <w:pPr>
        <w:spacing w:after="0" w:line="258" w:lineRule="auto"/>
        <w:rPr>
          <w:sz w:val="20"/>
          <w:szCs w:val="20"/>
          <w:color w:val="auto"/>
        </w:rPr>
      </w:pPr>
      <w:r>
        <w:rPr>
          <w:rFonts w:ascii="Arial" w:cs="Arial" w:eastAsia="Arial" w:hAnsi="Arial"/>
          <w:sz w:val="17"/>
          <w:szCs w:val="17"/>
          <w:color w:val="auto"/>
        </w:rPr>
        <w:t>amendments must be applied retrospectively, and early adoption is permitted. We are currently evaluating the effects of adoption on our consolidated financial statements.</w:t>
      </w:r>
    </w:p>
    <w:p>
      <w:pPr>
        <w:spacing w:after="0" w:line="200" w:lineRule="exact"/>
        <w:rPr>
          <w:sz w:val="20"/>
          <w:szCs w:val="20"/>
          <w:color w:val="auto"/>
        </w:rPr>
      </w:pPr>
    </w:p>
    <w:p>
      <w:pPr>
        <w:spacing w:after="0" w:line="334" w:lineRule="exact"/>
        <w:rPr>
          <w:sz w:val="20"/>
          <w:szCs w:val="20"/>
          <w:color w:val="auto"/>
        </w:rPr>
      </w:pPr>
    </w:p>
    <w:p>
      <w:pPr>
        <w:ind w:left="5520"/>
        <w:spacing w:after="0"/>
        <w:rPr>
          <w:sz w:val="20"/>
          <w:szCs w:val="20"/>
          <w:color w:val="auto"/>
        </w:rPr>
      </w:pPr>
      <w:r>
        <w:rPr>
          <w:rFonts w:ascii="Arial" w:cs="Arial" w:eastAsia="Arial" w:hAnsi="Arial"/>
          <w:sz w:val="17"/>
          <w:szCs w:val="17"/>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0300"/>
          </w:cols>
          <w:pgMar w:left="320" w:top="121" w:right="1279" w:bottom="1440" w:gutter="0" w:footer="0" w:header="0"/>
        </w:sectPr>
      </w:pPr>
    </w:p>
    <w:bookmarkStart w:id="84" w:name="page85"/>
    <w:bookmarkEnd w:id="84"/>
    <w:p>
      <w:pPr>
        <w:jc w:val="center"/>
        <w:spacing w:after="0"/>
        <w:rPr>
          <w:sz w:val="20"/>
          <w:szCs w:val="20"/>
          <w:color w:val="auto"/>
        </w:rPr>
      </w:pPr>
      <w:r>
        <w:rPr>
          <w:rFonts w:ascii="Arial" w:cs="Arial" w:eastAsia="Arial" w:hAnsi="Arial"/>
          <w:sz w:val="17"/>
          <w:szCs w:val="17"/>
          <w:b w:val="1"/>
          <w:bCs w:val="1"/>
          <w:color w:val="auto"/>
        </w:rPr>
        <w:t>Brookfield Oaktree Holdings, LLC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 (Continued)</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December 31, 2025</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 in thousands, except where noted)</w:t>
      </w: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3. REVENUES</w:t>
      </w:r>
    </w:p>
    <w:p>
      <w:pPr>
        <w:spacing w:after="0" w:line="158" w:lineRule="exact"/>
        <w:rPr>
          <w:sz w:val="20"/>
          <w:szCs w:val="20"/>
          <w:color w:val="auto"/>
        </w:rPr>
      </w:pPr>
    </w:p>
    <w:p>
      <w:pPr>
        <w:ind w:right="40" w:firstLine="619"/>
        <w:spacing w:after="0" w:line="246" w:lineRule="auto"/>
        <w:rPr>
          <w:sz w:val="20"/>
          <w:szCs w:val="20"/>
          <w:color w:val="auto"/>
        </w:rPr>
      </w:pPr>
      <w:r>
        <w:rPr>
          <w:rFonts w:ascii="Arial" w:cs="Arial" w:eastAsia="Arial" w:hAnsi="Arial"/>
          <w:sz w:val="17"/>
          <w:szCs w:val="17"/>
          <w:color w:val="auto"/>
        </w:rPr>
        <w:t>Prior to the 2024 Restructuring, the Company earned incentive income generated by the funds</w:t>
      </w:r>
      <w:r>
        <w:rPr>
          <w:rFonts w:ascii="Arial" w:cs="Arial" w:eastAsia="Arial" w:hAnsi="Arial"/>
          <w:sz w:val="20"/>
          <w:szCs w:val="20"/>
          <w:color w:val="008080"/>
        </w:rPr>
        <w:t>,</w:t>
      </w:r>
      <w:r>
        <w:rPr>
          <w:rFonts w:ascii="Arial" w:cs="Arial" w:eastAsia="Arial" w:hAnsi="Arial"/>
          <w:sz w:val="17"/>
          <w:szCs w:val="17"/>
          <w:color w:val="auto"/>
        </w:rPr>
        <w:t xml:space="preserve"> for which Oaktree Capital I served as general partner. These revenues were affected by economic factors related to the asset class composition of the holdings and the contractual terms such as the basis for calculating the incentive income and investors’ ability to redeem. As a result of the 2024 Restructuring, incentive income is no longer recognized by the Company due to the deconsolidation of Oaktree Capital I. The Company’s proportionate share of incentive income earned by Oaktree Capital I is included as a component of investment income.</w:t>
      </w:r>
    </w:p>
    <w:p>
      <w:pPr>
        <w:spacing w:after="0" w:line="120" w:lineRule="exact"/>
        <w:rPr>
          <w:sz w:val="20"/>
          <w:szCs w:val="20"/>
          <w:color w:val="auto"/>
        </w:rPr>
      </w:pPr>
    </w:p>
    <w:p>
      <w:pPr>
        <w:ind w:left="620"/>
        <w:spacing w:after="0"/>
        <w:rPr>
          <w:sz w:val="20"/>
          <w:szCs w:val="20"/>
          <w:color w:val="auto"/>
        </w:rPr>
      </w:pPr>
      <w:r>
        <w:rPr>
          <w:rFonts w:ascii="Arial" w:cs="Arial" w:eastAsia="Arial" w:hAnsi="Arial"/>
          <w:sz w:val="17"/>
          <w:szCs w:val="17"/>
          <w:color w:val="auto"/>
        </w:rPr>
        <w:t>Incentive income revenues by fund structure are set forth below.</w:t>
      </w:r>
    </w:p>
    <w:p>
      <w:pPr>
        <w:spacing w:after="0" w:line="126" w:lineRule="exact"/>
        <w:rPr>
          <w:sz w:val="20"/>
          <w:szCs w:val="20"/>
          <w:color w:val="auto"/>
        </w:rPr>
      </w:pPr>
    </w:p>
    <w:tbl>
      <w:tblPr>
        <w:tblLayout w:type="fixed"/>
        <w:tblInd w:w="40" w:type="dxa"/>
        <w:tblCellMar>
          <w:top w:w="0" w:type="dxa"/>
          <w:left w:w="0" w:type="dxa"/>
          <w:bottom w:w="0" w:type="dxa"/>
          <w:right w:w="0" w:type="dxa"/>
        </w:tblCellMar>
      </w:tblPr>
      <w:tr>
        <w:trPr>
          <w:trHeight w:val="169"/>
        </w:trPr>
        <w:tc>
          <w:tcPr>
            <w:tcW w:w="1120" w:type="dxa"/>
            <w:vAlign w:val="bottom"/>
          </w:tcPr>
          <w:p>
            <w:pPr>
              <w:spacing w:after="0"/>
              <w:rPr>
                <w:sz w:val="14"/>
                <w:szCs w:val="14"/>
                <w:color w:val="auto"/>
              </w:rPr>
            </w:pPr>
          </w:p>
        </w:tc>
        <w:tc>
          <w:tcPr>
            <w:tcW w:w="5780" w:type="dxa"/>
            <w:vAlign w:val="bottom"/>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4"/>
          </w:tcPr>
          <w:p>
            <w:pPr>
              <w:ind w:left="120"/>
              <w:spacing w:after="0"/>
              <w:rPr>
                <w:sz w:val="20"/>
                <w:szCs w:val="20"/>
                <w:color w:val="auto"/>
              </w:rPr>
            </w:pPr>
            <w:r>
              <w:rPr>
                <w:rFonts w:ascii="Arial" w:cs="Arial" w:eastAsia="Arial" w:hAnsi="Arial"/>
                <w:sz w:val="12"/>
                <w:szCs w:val="12"/>
                <w:b w:val="1"/>
                <w:bCs w:val="1"/>
                <w:color w:val="auto"/>
              </w:rPr>
              <w:t>Year Ended December 31,</w:t>
            </w:r>
          </w:p>
        </w:tc>
        <w:tc>
          <w:tcPr>
            <w:tcW w:w="3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r>
      <w:tr>
        <w:trPr>
          <w:trHeight w:val="162"/>
        </w:trPr>
        <w:tc>
          <w:tcPr>
            <w:tcW w:w="1120" w:type="dxa"/>
            <w:vAlign w:val="bottom"/>
          </w:tcPr>
          <w:p>
            <w:pPr>
              <w:spacing w:after="0"/>
              <w:rPr>
                <w:sz w:val="14"/>
                <w:szCs w:val="14"/>
                <w:color w:val="auto"/>
              </w:rPr>
            </w:pPr>
          </w:p>
        </w:tc>
        <w:tc>
          <w:tcPr>
            <w:tcW w:w="5780" w:type="dxa"/>
            <w:vAlign w:val="bottom"/>
          </w:tcPr>
          <w:p>
            <w:pPr>
              <w:spacing w:after="0"/>
              <w:rPr>
                <w:sz w:val="14"/>
                <w:szCs w:val="14"/>
                <w:color w:val="auto"/>
              </w:rPr>
            </w:pPr>
          </w:p>
        </w:tc>
        <w:tc>
          <w:tcPr>
            <w:tcW w:w="900" w:type="dxa"/>
            <w:vAlign w:val="bottom"/>
            <w:tcBorders>
              <w:bottom w:val="single" w:sz="8" w:color="auto"/>
            </w:tcBorders>
          </w:tcPr>
          <w:p>
            <w:pPr>
              <w:jc w:val="right"/>
              <w:ind w:right="68"/>
              <w:spacing w:after="0"/>
              <w:rPr>
                <w:sz w:val="20"/>
                <w:szCs w:val="20"/>
                <w:color w:val="auto"/>
              </w:rPr>
            </w:pPr>
            <w:r>
              <w:rPr>
                <w:rFonts w:ascii="Arial" w:cs="Arial" w:eastAsia="Arial" w:hAnsi="Arial"/>
                <w:sz w:val="12"/>
                <w:szCs w:val="12"/>
                <w:b w:val="1"/>
                <w:bCs w:val="1"/>
                <w:color w:val="auto"/>
              </w:rPr>
              <w:t>2025</w:t>
            </w:r>
          </w:p>
        </w:tc>
        <w:tc>
          <w:tcPr>
            <w:tcW w:w="3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427"/>
              <w:spacing w:after="0"/>
              <w:rPr>
                <w:sz w:val="20"/>
                <w:szCs w:val="20"/>
                <w:color w:val="auto"/>
              </w:rPr>
            </w:pPr>
            <w:r>
              <w:rPr>
                <w:rFonts w:ascii="Arial" w:cs="Arial" w:eastAsia="Arial" w:hAnsi="Arial"/>
                <w:sz w:val="12"/>
                <w:szCs w:val="12"/>
                <w:b w:val="1"/>
                <w:bCs w:val="1"/>
                <w:color w:val="auto"/>
              </w:rPr>
              <w:t>2024</w:t>
            </w:r>
          </w:p>
        </w:tc>
        <w:tc>
          <w:tcPr>
            <w:tcW w:w="2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447"/>
              <w:spacing w:after="0"/>
              <w:rPr>
                <w:sz w:val="20"/>
                <w:szCs w:val="20"/>
                <w:color w:val="auto"/>
              </w:rPr>
            </w:pPr>
            <w:r>
              <w:rPr>
                <w:rFonts w:ascii="Arial" w:cs="Arial" w:eastAsia="Arial" w:hAnsi="Arial"/>
                <w:sz w:val="12"/>
                <w:szCs w:val="12"/>
                <w:b w:val="1"/>
                <w:bCs w:val="1"/>
                <w:color w:val="auto"/>
              </w:rPr>
              <w:t>2023</w:t>
            </w:r>
          </w:p>
        </w:tc>
      </w:tr>
      <w:tr>
        <w:trPr>
          <w:trHeight w:val="137"/>
        </w:trPr>
        <w:tc>
          <w:tcPr>
            <w:tcW w:w="1120" w:type="dxa"/>
            <w:vAlign w:val="bottom"/>
            <w:tcBorders>
              <w:bottom w:val="single" w:sz="8" w:color="auto"/>
            </w:tcBorders>
          </w:tcPr>
          <w:p>
            <w:pPr>
              <w:spacing w:after="0" w:line="137" w:lineRule="exact"/>
              <w:rPr>
                <w:sz w:val="20"/>
                <w:szCs w:val="20"/>
                <w:color w:val="auto"/>
              </w:rPr>
            </w:pPr>
            <w:r>
              <w:rPr>
                <w:rFonts w:ascii="Arial" w:cs="Arial" w:eastAsia="Arial" w:hAnsi="Arial"/>
                <w:sz w:val="14"/>
                <w:szCs w:val="14"/>
                <w:b w:val="1"/>
                <w:bCs w:val="1"/>
                <w:color w:val="auto"/>
                <w:w w:val="96"/>
              </w:rPr>
              <w:t>Incentive Income</w:t>
            </w:r>
          </w:p>
        </w:tc>
        <w:tc>
          <w:tcPr>
            <w:tcW w:w="57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80" w:type="dxa"/>
            <w:vAlign w:val="bottom"/>
          </w:tcPr>
          <w:p>
            <w:pPr>
              <w:spacing w:after="0"/>
              <w:rPr>
                <w:sz w:val="11"/>
                <w:szCs w:val="11"/>
                <w:color w:val="auto"/>
              </w:rPr>
            </w:pPr>
          </w:p>
        </w:tc>
      </w:tr>
      <w:tr>
        <w:trPr>
          <w:trHeight w:val="223"/>
        </w:trPr>
        <w:tc>
          <w:tcPr>
            <w:tcW w:w="6900" w:type="dxa"/>
            <w:vAlign w:val="bottom"/>
            <w:gridSpan w:val="2"/>
          </w:tcPr>
          <w:p>
            <w:pPr>
              <w:spacing w:after="0"/>
              <w:rPr>
                <w:sz w:val="20"/>
                <w:szCs w:val="20"/>
                <w:color w:val="auto"/>
              </w:rPr>
            </w:pPr>
            <w:r>
              <w:rPr>
                <w:rFonts w:ascii="Arial" w:cs="Arial" w:eastAsia="Arial" w:hAnsi="Arial"/>
                <w:sz w:val="15"/>
                <w:szCs w:val="15"/>
                <w:color w:val="auto"/>
              </w:rPr>
              <w:t>Closed-end</w:t>
            </w:r>
          </w:p>
        </w:tc>
        <w:tc>
          <w:tcPr>
            <w:tcW w:w="900" w:type="dxa"/>
            <w:vAlign w:val="bottom"/>
          </w:tcPr>
          <w:p>
            <w:pPr>
              <w:jc w:val="right"/>
              <w:ind w:right="728"/>
              <w:spacing w:after="0"/>
              <w:rPr>
                <w:sz w:val="20"/>
                <w:szCs w:val="20"/>
                <w:color w:val="auto"/>
              </w:rPr>
            </w:pPr>
            <w:r>
              <w:rPr>
                <w:rFonts w:ascii="Arial" w:cs="Arial" w:eastAsia="Arial" w:hAnsi="Arial"/>
                <w:sz w:val="15"/>
                <w:szCs w:val="15"/>
                <w:color w:val="auto"/>
                <w:w w:val="95"/>
              </w:rPr>
              <w:t>$</w:t>
            </w:r>
          </w:p>
        </w:tc>
        <w:tc>
          <w:tcPr>
            <w:tcW w:w="380" w:type="dxa"/>
            <w:vAlign w:val="bottom"/>
          </w:tcPr>
          <w:p>
            <w:pPr>
              <w:ind w:left="140"/>
              <w:spacing w:after="0"/>
              <w:rPr>
                <w:sz w:val="20"/>
                <w:szCs w:val="20"/>
                <w:color w:val="auto"/>
              </w:rPr>
            </w:pPr>
            <w:r>
              <w:rPr>
                <w:rFonts w:ascii="Arial" w:cs="Arial" w:eastAsia="Arial" w:hAnsi="Arial"/>
                <w:sz w:val="15"/>
                <w:szCs w:val="15"/>
                <w:color w:val="auto"/>
              </w:rPr>
              <w:t>—</w:t>
            </w:r>
          </w:p>
        </w:tc>
        <w:tc>
          <w:tcPr>
            <w:tcW w:w="52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980" w:type="dxa"/>
            <w:vAlign w:val="bottom"/>
          </w:tcPr>
          <w:p>
            <w:pPr>
              <w:jc w:val="right"/>
              <w:ind w:right="7"/>
              <w:spacing w:after="0"/>
              <w:rPr>
                <w:sz w:val="20"/>
                <w:szCs w:val="20"/>
                <w:color w:val="auto"/>
              </w:rPr>
            </w:pPr>
            <w:r>
              <w:rPr>
                <w:rFonts w:ascii="Arial" w:cs="Arial" w:eastAsia="Arial" w:hAnsi="Arial"/>
                <w:sz w:val="15"/>
                <w:szCs w:val="15"/>
                <w:color w:val="auto"/>
              </w:rPr>
              <w:t>112,496</w:t>
            </w:r>
          </w:p>
        </w:tc>
        <w:tc>
          <w:tcPr>
            <w:tcW w:w="240" w:type="dxa"/>
            <w:vAlign w:val="bottom"/>
          </w:tcPr>
          <w:p>
            <w:pPr>
              <w:spacing w:after="0"/>
              <w:rPr>
                <w:sz w:val="19"/>
                <w:szCs w:val="19"/>
                <w:color w:val="auto"/>
              </w:rPr>
            </w:pPr>
          </w:p>
        </w:tc>
        <w:tc>
          <w:tcPr>
            <w:tcW w:w="300" w:type="dxa"/>
            <w:vAlign w:val="bottom"/>
          </w:tcPr>
          <w:p>
            <w:pPr>
              <w:jc w:val="right"/>
              <w:ind w:right="123"/>
              <w:spacing w:after="0"/>
              <w:rPr>
                <w:sz w:val="20"/>
                <w:szCs w:val="20"/>
                <w:color w:val="auto"/>
              </w:rPr>
            </w:pPr>
            <w:r>
              <w:rPr>
                <w:rFonts w:ascii="Arial" w:cs="Arial" w:eastAsia="Arial" w:hAnsi="Arial"/>
                <w:sz w:val="15"/>
                <w:szCs w:val="15"/>
                <w:color w:val="auto"/>
                <w:w w:val="95"/>
              </w:rPr>
              <w:t>$</w:t>
            </w:r>
          </w:p>
        </w:tc>
        <w:tc>
          <w:tcPr>
            <w:tcW w:w="980" w:type="dxa"/>
            <w:vAlign w:val="bottom"/>
          </w:tcPr>
          <w:p>
            <w:pPr>
              <w:jc w:val="right"/>
              <w:ind w:right="7"/>
              <w:spacing w:after="0"/>
              <w:rPr>
                <w:sz w:val="20"/>
                <w:szCs w:val="20"/>
                <w:color w:val="auto"/>
              </w:rPr>
            </w:pPr>
            <w:r>
              <w:rPr>
                <w:rFonts w:ascii="Arial" w:cs="Arial" w:eastAsia="Arial" w:hAnsi="Arial"/>
                <w:sz w:val="15"/>
                <w:szCs w:val="15"/>
                <w:color w:val="auto"/>
              </w:rPr>
              <w:t>257,296</w:t>
            </w:r>
          </w:p>
        </w:tc>
      </w:tr>
      <w:tr>
        <w:trPr>
          <w:trHeight w:val="207"/>
        </w:trPr>
        <w:tc>
          <w:tcPr>
            <w:tcW w:w="6900" w:type="dxa"/>
            <w:vAlign w:val="bottom"/>
            <w:gridSpan w:val="2"/>
          </w:tcPr>
          <w:p>
            <w:pPr>
              <w:spacing w:after="0"/>
              <w:rPr>
                <w:sz w:val="20"/>
                <w:szCs w:val="20"/>
                <w:color w:val="auto"/>
              </w:rPr>
            </w:pPr>
            <w:r>
              <w:rPr>
                <w:rFonts w:ascii="Arial" w:cs="Arial" w:eastAsia="Arial" w:hAnsi="Arial"/>
                <w:sz w:val="15"/>
                <w:szCs w:val="15"/>
                <w:color w:val="auto"/>
              </w:rPr>
              <w:t>Evergreen</w:t>
            </w:r>
          </w:p>
        </w:tc>
        <w:tc>
          <w:tcPr>
            <w:tcW w:w="9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ind w:left="140"/>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rPr>
              <w:t>5,033</w:t>
            </w:r>
          </w:p>
        </w:tc>
        <w:tc>
          <w:tcPr>
            <w:tcW w:w="2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rPr>
              <w:t>10,029</w:t>
            </w:r>
          </w:p>
        </w:tc>
      </w:tr>
      <w:tr>
        <w:trPr>
          <w:trHeight w:val="200"/>
        </w:trPr>
        <w:tc>
          <w:tcPr>
            <w:tcW w:w="6900" w:type="dxa"/>
            <w:vAlign w:val="bottom"/>
            <w:gridSpan w:val="2"/>
          </w:tcPr>
          <w:p>
            <w:pPr>
              <w:ind w:left="300"/>
              <w:spacing w:after="0"/>
              <w:rPr>
                <w:sz w:val="20"/>
                <w:szCs w:val="20"/>
                <w:color w:val="auto"/>
              </w:rPr>
            </w:pPr>
            <w:r>
              <w:rPr>
                <w:rFonts w:ascii="Arial" w:cs="Arial" w:eastAsia="Arial" w:hAnsi="Arial"/>
                <w:sz w:val="15"/>
                <w:szCs w:val="15"/>
                <w:color w:val="auto"/>
              </w:rPr>
              <w:t>Total</w:t>
            </w:r>
          </w:p>
        </w:tc>
        <w:tc>
          <w:tcPr>
            <w:tcW w:w="900" w:type="dxa"/>
            <w:vAlign w:val="bottom"/>
          </w:tcPr>
          <w:p>
            <w:pPr>
              <w:jc w:val="right"/>
              <w:ind w:right="728"/>
              <w:spacing w:after="0"/>
              <w:rPr>
                <w:sz w:val="20"/>
                <w:szCs w:val="20"/>
                <w:color w:val="auto"/>
              </w:rPr>
            </w:pPr>
            <w:r>
              <w:rPr>
                <w:rFonts w:ascii="Arial" w:cs="Arial" w:eastAsia="Arial" w:hAnsi="Arial"/>
                <w:sz w:val="15"/>
                <w:szCs w:val="15"/>
                <w:color w:val="auto"/>
                <w:w w:val="95"/>
              </w:rPr>
              <w:t>$</w:t>
            </w:r>
          </w:p>
        </w:tc>
        <w:tc>
          <w:tcPr>
            <w:tcW w:w="380" w:type="dxa"/>
            <w:vAlign w:val="bottom"/>
          </w:tcPr>
          <w:p>
            <w:pPr>
              <w:ind w:left="140"/>
              <w:spacing w:after="0"/>
              <w:rPr>
                <w:sz w:val="20"/>
                <w:szCs w:val="20"/>
                <w:color w:val="auto"/>
              </w:rPr>
            </w:pPr>
            <w:r>
              <w:rPr>
                <w:rFonts w:ascii="Arial" w:cs="Arial" w:eastAsia="Arial" w:hAnsi="Arial"/>
                <w:sz w:val="15"/>
                <w:szCs w:val="15"/>
                <w:color w:val="auto"/>
              </w:rPr>
              <w:t>—</w:t>
            </w:r>
          </w:p>
        </w:tc>
        <w:tc>
          <w:tcPr>
            <w:tcW w:w="52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980" w:type="dxa"/>
            <w:vAlign w:val="bottom"/>
          </w:tcPr>
          <w:p>
            <w:pPr>
              <w:jc w:val="right"/>
              <w:ind w:right="7"/>
              <w:spacing w:after="0"/>
              <w:rPr>
                <w:sz w:val="20"/>
                <w:szCs w:val="20"/>
                <w:color w:val="auto"/>
              </w:rPr>
            </w:pPr>
            <w:r>
              <w:rPr>
                <w:rFonts w:ascii="Arial" w:cs="Arial" w:eastAsia="Arial" w:hAnsi="Arial"/>
                <w:sz w:val="15"/>
                <w:szCs w:val="15"/>
                <w:color w:val="auto"/>
              </w:rPr>
              <w:t>117,529</w:t>
            </w:r>
          </w:p>
        </w:tc>
        <w:tc>
          <w:tcPr>
            <w:tcW w:w="240" w:type="dxa"/>
            <w:vAlign w:val="bottom"/>
          </w:tcPr>
          <w:p>
            <w:pPr>
              <w:spacing w:after="0"/>
              <w:rPr>
                <w:sz w:val="17"/>
                <w:szCs w:val="17"/>
                <w:color w:val="auto"/>
              </w:rPr>
            </w:pPr>
          </w:p>
        </w:tc>
        <w:tc>
          <w:tcPr>
            <w:tcW w:w="300" w:type="dxa"/>
            <w:vAlign w:val="bottom"/>
          </w:tcPr>
          <w:p>
            <w:pPr>
              <w:jc w:val="right"/>
              <w:ind w:right="123"/>
              <w:spacing w:after="0"/>
              <w:rPr>
                <w:sz w:val="20"/>
                <w:szCs w:val="20"/>
                <w:color w:val="auto"/>
              </w:rPr>
            </w:pPr>
            <w:r>
              <w:rPr>
                <w:rFonts w:ascii="Arial" w:cs="Arial" w:eastAsia="Arial" w:hAnsi="Arial"/>
                <w:sz w:val="15"/>
                <w:szCs w:val="15"/>
                <w:color w:val="auto"/>
                <w:w w:val="95"/>
              </w:rPr>
              <w:t>$</w:t>
            </w:r>
          </w:p>
        </w:tc>
        <w:tc>
          <w:tcPr>
            <w:tcW w:w="980" w:type="dxa"/>
            <w:vAlign w:val="bottom"/>
          </w:tcPr>
          <w:p>
            <w:pPr>
              <w:jc w:val="right"/>
              <w:ind w:right="7"/>
              <w:spacing w:after="0"/>
              <w:rPr>
                <w:sz w:val="20"/>
                <w:szCs w:val="20"/>
                <w:color w:val="auto"/>
              </w:rPr>
            </w:pPr>
            <w:r>
              <w:rPr>
                <w:rFonts w:ascii="Arial" w:cs="Arial" w:eastAsia="Arial" w:hAnsi="Arial"/>
                <w:sz w:val="15"/>
                <w:szCs w:val="15"/>
                <w:color w:val="auto"/>
              </w:rPr>
              <w:t>267,325</w:t>
            </w:r>
          </w:p>
        </w:tc>
      </w:tr>
      <w:tr>
        <w:trPr>
          <w:trHeight w:val="20"/>
        </w:trPr>
        <w:tc>
          <w:tcPr>
            <w:tcW w:w="1120" w:type="dxa"/>
            <w:vAlign w:val="bottom"/>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318" w:lineRule="exact"/>
        <w:rPr>
          <w:sz w:val="20"/>
          <w:szCs w:val="20"/>
          <w:color w:val="auto"/>
        </w:rPr>
      </w:pPr>
    </w:p>
    <w:p>
      <w:pPr>
        <w:ind w:right="560" w:firstLine="619"/>
        <w:spacing w:after="0" w:line="274" w:lineRule="auto"/>
        <w:rPr>
          <w:sz w:val="20"/>
          <w:szCs w:val="20"/>
          <w:color w:val="auto"/>
        </w:rPr>
      </w:pPr>
      <w:r>
        <w:rPr>
          <w:rFonts w:ascii="Arial" w:cs="Arial" w:eastAsia="Arial" w:hAnsi="Arial"/>
          <w:sz w:val="17"/>
          <w:szCs w:val="17"/>
          <w:color w:val="auto"/>
        </w:rPr>
        <w:t>Additionally, the Company earns investment income from the investments the Company makes in its investment in Oaktree Capital I, Oaktree funds, third-party funds and other companies. Revenues by investment types are set forth below.</w:t>
      </w:r>
    </w:p>
    <w:p>
      <w:pPr>
        <w:spacing w:after="0" w:line="249" w:lineRule="exact"/>
        <w:rPr>
          <w:sz w:val="20"/>
          <w:szCs w:val="20"/>
          <w:color w:val="auto"/>
        </w:rPr>
      </w:pPr>
    </w:p>
    <w:tbl>
      <w:tblPr>
        <w:tblLayout w:type="fixed"/>
        <w:tblInd w:w="20" w:type="dxa"/>
        <w:tblCellMar>
          <w:top w:w="0" w:type="dxa"/>
          <w:left w:w="0" w:type="dxa"/>
          <w:bottom w:w="0" w:type="dxa"/>
          <w:right w:w="0" w:type="dxa"/>
        </w:tblCellMar>
      </w:tblPr>
      <w:tr>
        <w:trPr>
          <w:trHeight w:val="165"/>
        </w:trPr>
        <w:tc>
          <w:tcPr>
            <w:tcW w:w="1240" w:type="dxa"/>
            <w:vAlign w:val="bottom"/>
          </w:tcPr>
          <w:p>
            <w:pPr>
              <w:spacing w:after="0"/>
              <w:rPr>
                <w:sz w:val="14"/>
                <w:szCs w:val="14"/>
                <w:color w:val="auto"/>
              </w:rPr>
            </w:pPr>
          </w:p>
        </w:tc>
        <w:tc>
          <w:tcPr>
            <w:tcW w:w="55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4"/>
          </w:tcPr>
          <w:p>
            <w:pPr>
              <w:ind w:left="140"/>
              <w:spacing w:after="0"/>
              <w:rPr>
                <w:sz w:val="20"/>
                <w:szCs w:val="20"/>
                <w:color w:val="auto"/>
              </w:rPr>
            </w:pPr>
            <w:r>
              <w:rPr>
                <w:rFonts w:ascii="Arial" w:cs="Arial" w:eastAsia="Arial" w:hAnsi="Arial"/>
                <w:sz w:val="12"/>
                <w:szCs w:val="12"/>
                <w:b w:val="1"/>
                <w:bCs w:val="1"/>
                <w:color w:val="auto"/>
              </w:rPr>
              <w:t>Year Ended December 31,</w:t>
            </w:r>
          </w:p>
        </w:tc>
        <w:tc>
          <w:tcPr>
            <w:tcW w:w="3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82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Investment Income</w:t>
            </w:r>
          </w:p>
        </w:tc>
        <w:tc>
          <w:tcPr>
            <w:tcW w:w="320" w:type="dxa"/>
            <w:vAlign w:val="bottom"/>
          </w:tcPr>
          <w:p>
            <w:pPr>
              <w:spacing w:after="0"/>
              <w:rPr>
                <w:sz w:val="12"/>
                <w:szCs w:val="12"/>
                <w:color w:val="auto"/>
              </w:rPr>
            </w:pPr>
          </w:p>
        </w:tc>
        <w:tc>
          <w:tcPr>
            <w:tcW w:w="1020" w:type="dxa"/>
            <w:vAlign w:val="bottom"/>
          </w:tcPr>
          <w:p>
            <w:pPr>
              <w:jc w:val="right"/>
              <w:ind w:right="466"/>
              <w:spacing w:after="0"/>
              <w:rPr>
                <w:sz w:val="20"/>
                <w:szCs w:val="20"/>
                <w:color w:val="auto"/>
              </w:rPr>
            </w:pPr>
            <w:r>
              <w:rPr>
                <w:rFonts w:ascii="Arial" w:cs="Arial" w:eastAsia="Arial" w:hAnsi="Arial"/>
                <w:sz w:val="12"/>
                <w:szCs w:val="12"/>
                <w:b w:val="1"/>
                <w:bCs w:val="1"/>
                <w:color w:val="auto"/>
              </w:rPr>
              <w:t>2025</w:t>
            </w: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20" w:type="dxa"/>
            <w:vAlign w:val="bottom"/>
          </w:tcPr>
          <w:p>
            <w:pPr>
              <w:jc w:val="right"/>
              <w:ind w:right="466"/>
              <w:spacing w:after="0"/>
              <w:rPr>
                <w:sz w:val="20"/>
                <w:szCs w:val="20"/>
                <w:color w:val="auto"/>
              </w:rPr>
            </w:pPr>
            <w:r>
              <w:rPr>
                <w:rFonts w:ascii="Arial" w:cs="Arial" w:eastAsia="Arial" w:hAnsi="Arial"/>
                <w:sz w:val="12"/>
                <w:szCs w:val="12"/>
                <w:b w:val="1"/>
                <w:bCs w:val="1"/>
                <w:color w:val="auto"/>
              </w:rPr>
              <w:t>2024</w:t>
            </w: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0" w:type="dxa"/>
            <w:vAlign w:val="bottom"/>
          </w:tcPr>
          <w:p>
            <w:pPr>
              <w:jc w:val="right"/>
              <w:ind w:right="446"/>
              <w:spacing w:after="0"/>
              <w:rPr>
                <w:sz w:val="20"/>
                <w:szCs w:val="20"/>
                <w:color w:val="auto"/>
              </w:rPr>
            </w:pPr>
            <w:r>
              <w:rPr>
                <w:rFonts w:ascii="Arial" w:cs="Arial" w:eastAsia="Arial" w:hAnsi="Arial"/>
                <w:sz w:val="12"/>
                <w:szCs w:val="12"/>
                <w:b w:val="1"/>
                <w:bCs w:val="1"/>
                <w:color w:val="auto"/>
              </w:rPr>
              <w:t>2023</w:t>
            </w:r>
          </w:p>
        </w:tc>
        <w:tc>
          <w:tcPr>
            <w:tcW w:w="0" w:type="dxa"/>
            <w:vAlign w:val="bottom"/>
          </w:tcPr>
          <w:p>
            <w:pPr>
              <w:spacing w:after="0"/>
              <w:rPr>
                <w:sz w:val="1"/>
                <w:szCs w:val="1"/>
                <w:color w:val="auto"/>
              </w:rPr>
            </w:pPr>
          </w:p>
        </w:tc>
      </w:tr>
      <w:tr>
        <w:trPr>
          <w:trHeight w:val="20"/>
        </w:trPr>
        <w:tc>
          <w:tcPr>
            <w:tcW w:w="1240" w:type="dxa"/>
            <w:vAlign w:val="bottom"/>
            <w:shd w:val="clear" w:color="auto" w:fill="000000"/>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6820" w:type="dxa"/>
            <w:vAlign w:val="bottom"/>
            <w:gridSpan w:val="2"/>
            <w:vMerge w:val="restart"/>
          </w:tcPr>
          <w:p>
            <w:pPr>
              <w:spacing w:after="0"/>
              <w:rPr>
                <w:sz w:val="20"/>
                <w:szCs w:val="20"/>
                <w:color w:val="auto"/>
              </w:rPr>
            </w:pPr>
            <w:r>
              <w:rPr>
                <w:rFonts w:ascii="Arial" w:cs="Arial" w:eastAsia="Arial" w:hAnsi="Arial"/>
                <w:sz w:val="15"/>
                <w:szCs w:val="15"/>
                <w:color w:val="auto"/>
              </w:rPr>
              <w:t>Equity-method investments:</w:t>
            </w: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820" w:type="dxa"/>
            <w:vAlign w:val="bottom"/>
            <w:gridSpan w:val="2"/>
            <w:vMerge w:val="continue"/>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6820" w:type="dxa"/>
            <w:vAlign w:val="bottom"/>
            <w:gridSpan w:val="2"/>
          </w:tcPr>
          <w:p>
            <w:pPr>
              <w:ind w:left="160"/>
              <w:spacing w:after="0"/>
              <w:rPr>
                <w:sz w:val="20"/>
                <w:szCs w:val="20"/>
                <w:color w:val="auto"/>
              </w:rPr>
            </w:pPr>
            <w:r>
              <w:rPr>
                <w:rFonts w:ascii="Arial" w:cs="Arial" w:eastAsia="Arial" w:hAnsi="Arial"/>
                <w:sz w:val="15"/>
                <w:szCs w:val="15"/>
                <w:color w:val="auto"/>
              </w:rPr>
              <w:t>Funds</w:t>
            </w:r>
          </w:p>
        </w:tc>
        <w:tc>
          <w:tcPr>
            <w:tcW w:w="320" w:type="dxa"/>
            <w:vAlign w:val="bottom"/>
          </w:tcPr>
          <w:p>
            <w:pPr>
              <w:jc w:val="right"/>
              <w:ind w:right="123"/>
              <w:spacing w:after="0"/>
              <w:rPr>
                <w:sz w:val="20"/>
                <w:szCs w:val="20"/>
                <w:color w:val="auto"/>
              </w:rPr>
            </w:pPr>
            <w:r>
              <w:rPr>
                <w:rFonts w:ascii="Arial" w:cs="Arial" w:eastAsia="Arial" w:hAnsi="Arial"/>
                <w:sz w:val="15"/>
                <w:szCs w:val="15"/>
                <w:color w:val="auto"/>
              </w:rPr>
              <w:t>$</w:t>
            </w:r>
          </w:p>
        </w:tc>
        <w:tc>
          <w:tcPr>
            <w:tcW w:w="1020" w:type="dxa"/>
            <w:vAlign w:val="bottom"/>
          </w:tcPr>
          <w:p>
            <w:pPr>
              <w:jc w:val="right"/>
              <w:ind w:right="6"/>
              <w:spacing w:after="0"/>
              <w:rPr>
                <w:sz w:val="20"/>
                <w:szCs w:val="20"/>
                <w:color w:val="auto"/>
              </w:rPr>
            </w:pPr>
            <w:r>
              <w:rPr>
                <w:rFonts w:ascii="Arial" w:cs="Arial" w:eastAsia="Arial" w:hAnsi="Arial"/>
                <w:sz w:val="15"/>
                <w:szCs w:val="15"/>
                <w:color w:val="auto"/>
              </w:rPr>
              <w:t>3,546</w:t>
            </w:r>
          </w:p>
        </w:tc>
        <w:tc>
          <w:tcPr>
            <w:tcW w:w="5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020" w:type="dxa"/>
            <w:vAlign w:val="bottom"/>
          </w:tcPr>
          <w:p>
            <w:pPr>
              <w:jc w:val="right"/>
              <w:ind w:right="6"/>
              <w:spacing w:after="0"/>
              <w:rPr>
                <w:sz w:val="20"/>
                <w:szCs w:val="20"/>
                <w:color w:val="auto"/>
              </w:rPr>
            </w:pPr>
            <w:r>
              <w:rPr>
                <w:rFonts w:ascii="Arial" w:cs="Arial" w:eastAsia="Arial" w:hAnsi="Arial"/>
                <w:sz w:val="15"/>
                <w:szCs w:val="15"/>
                <w:color w:val="auto"/>
              </w:rPr>
              <w:t>30,956</w:t>
            </w:r>
          </w:p>
        </w:tc>
        <w:tc>
          <w:tcPr>
            <w:tcW w:w="200" w:type="dxa"/>
            <w:vAlign w:val="bottom"/>
          </w:tcPr>
          <w:p>
            <w:pPr>
              <w:spacing w:after="0"/>
              <w:rPr>
                <w:sz w:val="17"/>
                <w:szCs w:val="17"/>
                <w:color w:val="auto"/>
              </w:rPr>
            </w:pPr>
          </w:p>
        </w:tc>
        <w:tc>
          <w:tcPr>
            <w:tcW w:w="320" w:type="dxa"/>
            <w:vAlign w:val="bottom"/>
          </w:tcPr>
          <w:p>
            <w:pPr>
              <w:jc w:val="right"/>
              <w:ind w:right="143"/>
              <w:spacing w:after="0"/>
              <w:rPr>
                <w:sz w:val="20"/>
                <w:szCs w:val="20"/>
                <w:color w:val="auto"/>
              </w:rPr>
            </w:pPr>
            <w:r>
              <w:rPr>
                <w:rFonts w:ascii="Arial" w:cs="Arial" w:eastAsia="Arial" w:hAnsi="Arial"/>
                <w:sz w:val="15"/>
                <w:szCs w:val="15"/>
                <w:color w:val="auto"/>
                <w:w w:val="95"/>
              </w:rPr>
              <w:t>$</w:t>
            </w:r>
          </w:p>
        </w:tc>
        <w:tc>
          <w:tcPr>
            <w:tcW w:w="1000" w:type="dxa"/>
            <w:vAlign w:val="bottom"/>
          </w:tcPr>
          <w:p>
            <w:pPr>
              <w:jc w:val="right"/>
              <w:spacing w:after="0"/>
              <w:rPr>
                <w:sz w:val="20"/>
                <w:szCs w:val="20"/>
                <w:color w:val="auto"/>
              </w:rPr>
            </w:pPr>
            <w:r>
              <w:rPr>
                <w:rFonts w:ascii="Arial" w:cs="Arial" w:eastAsia="Arial" w:hAnsi="Arial"/>
                <w:sz w:val="15"/>
                <w:szCs w:val="15"/>
                <w:color w:val="auto"/>
              </w:rPr>
              <w:t>58,791</w:t>
            </w:r>
          </w:p>
        </w:tc>
        <w:tc>
          <w:tcPr>
            <w:tcW w:w="0" w:type="dxa"/>
            <w:vAlign w:val="bottom"/>
          </w:tcPr>
          <w:p>
            <w:pPr>
              <w:spacing w:after="0"/>
              <w:rPr>
                <w:sz w:val="1"/>
                <w:szCs w:val="1"/>
                <w:color w:val="auto"/>
              </w:rPr>
            </w:pPr>
          </w:p>
        </w:tc>
      </w:tr>
      <w:tr>
        <w:trPr>
          <w:trHeight w:val="206"/>
        </w:trPr>
        <w:tc>
          <w:tcPr>
            <w:tcW w:w="6820" w:type="dxa"/>
            <w:vAlign w:val="bottom"/>
            <w:gridSpan w:val="2"/>
          </w:tcPr>
          <w:p>
            <w:pPr>
              <w:ind w:left="160"/>
              <w:spacing w:after="0"/>
              <w:rPr>
                <w:sz w:val="20"/>
                <w:szCs w:val="20"/>
                <w:color w:val="auto"/>
              </w:rPr>
            </w:pPr>
            <w:r>
              <w:rPr>
                <w:rFonts w:ascii="Arial" w:cs="Arial" w:eastAsia="Arial" w:hAnsi="Arial"/>
                <w:sz w:val="15"/>
                <w:szCs w:val="15"/>
                <w:color w:val="auto"/>
              </w:rPr>
              <w:t>Companies</w:t>
            </w:r>
          </w:p>
        </w:tc>
        <w:tc>
          <w:tcPr>
            <w:tcW w:w="320" w:type="dxa"/>
            <w:vAlign w:val="bottom"/>
          </w:tcPr>
          <w:p>
            <w:pPr>
              <w:spacing w:after="0"/>
              <w:rPr>
                <w:sz w:val="17"/>
                <w:szCs w:val="17"/>
                <w:color w:val="auto"/>
              </w:rPr>
            </w:pPr>
          </w:p>
        </w:tc>
        <w:tc>
          <w:tcPr>
            <w:tcW w:w="1020" w:type="dxa"/>
            <w:vAlign w:val="bottom"/>
          </w:tcPr>
          <w:p>
            <w:pPr>
              <w:jc w:val="right"/>
              <w:ind w:right="6"/>
              <w:spacing w:after="0"/>
              <w:rPr>
                <w:sz w:val="20"/>
                <w:szCs w:val="20"/>
                <w:color w:val="auto"/>
              </w:rPr>
            </w:pPr>
            <w:r>
              <w:rPr>
                <w:rFonts w:ascii="Arial" w:cs="Arial" w:eastAsia="Arial" w:hAnsi="Arial"/>
                <w:sz w:val="15"/>
                <w:szCs w:val="15"/>
                <w:color w:val="auto"/>
              </w:rPr>
              <w:t>192,975</w:t>
            </w: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jc w:val="right"/>
              <w:ind w:right="6"/>
              <w:spacing w:after="0"/>
              <w:rPr>
                <w:sz w:val="20"/>
                <w:szCs w:val="20"/>
                <w:color w:val="auto"/>
              </w:rPr>
            </w:pPr>
            <w:r>
              <w:rPr>
                <w:rFonts w:ascii="Arial" w:cs="Arial" w:eastAsia="Arial" w:hAnsi="Arial"/>
                <w:sz w:val="15"/>
                <w:szCs w:val="15"/>
                <w:color w:val="auto"/>
              </w:rPr>
              <w:t>127,413</w:t>
            </w: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5</w:t>
            </w:r>
          </w:p>
        </w:tc>
        <w:tc>
          <w:tcPr>
            <w:tcW w:w="0" w:type="dxa"/>
            <w:vAlign w:val="bottom"/>
          </w:tcPr>
          <w:p>
            <w:pPr>
              <w:spacing w:after="0"/>
              <w:rPr>
                <w:sz w:val="1"/>
                <w:szCs w:val="1"/>
                <w:color w:val="auto"/>
              </w:rPr>
            </w:pPr>
          </w:p>
        </w:tc>
      </w:tr>
      <w:tr>
        <w:trPr>
          <w:trHeight w:val="207"/>
        </w:trPr>
        <w:tc>
          <w:tcPr>
            <w:tcW w:w="6820" w:type="dxa"/>
            <w:vAlign w:val="bottom"/>
            <w:gridSpan w:val="2"/>
          </w:tcPr>
          <w:p>
            <w:pPr>
              <w:spacing w:after="0"/>
              <w:rPr>
                <w:sz w:val="20"/>
                <w:szCs w:val="20"/>
                <w:color w:val="auto"/>
              </w:rPr>
            </w:pPr>
            <w:r>
              <w:rPr>
                <w:rFonts w:ascii="Arial" w:cs="Arial" w:eastAsia="Arial" w:hAnsi="Arial"/>
                <w:sz w:val="15"/>
                <w:szCs w:val="15"/>
                <w:color w:val="auto"/>
              </w:rPr>
              <w:t>Other investments, at fair value</w:t>
            </w: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rPr>
              <w:t>11,663</w:t>
            </w:r>
          </w:p>
        </w:tc>
        <w:tc>
          <w:tcPr>
            <w:tcW w:w="2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13,868</w:t>
            </w:r>
          </w:p>
        </w:tc>
        <w:tc>
          <w:tcPr>
            <w:tcW w:w="0" w:type="dxa"/>
            <w:vAlign w:val="bottom"/>
          </w:tcPr>
          <w:p>
            <w:pPr>
              <w:spacing w:after="0"/>
              <w:rPr>
                <w:sz w:val="1"/>
                <w:szCs w:val="1"/>
                <w:color w:val="auto"/>
              </w:rPr>
            </w:pPr>
          </w:p>
        </w:tc>
      </w:tr>
      <w:tr>
        <w:trPr>
          <w:trHeight w:val="200"/>
        </w:trPr>
        <w:tc>
          <w:tcPr>
            <w:tcW w:w="6820" w:type="dxa"/>
            <w:vAlign w:val="bottom"/>
            <w:gridSpan w:val="2"/>
          </w:tcPr>
          <w:p>
            <w:pPr>
              <w:spacing w:after="0"/>
              <w:rPr>
                <w:sz w:val="20"/>
                <w:szCs w:val="20"/>
                <w:color w:val="auto"/>
              </w:rPr>
            </w:pPr>
            <w:r>
              <w:rPr>
                <w:rFonts w:ascii="Arial" w:cs="Arial" w:eastAsia="Arial" w:hAnsi="Arial"/>
                <w:sz w:val="15"/>
                <w:szCs w:val="15"/>
                <w:color w:val="auto"/>
              </w:rPr>
              <w:t>Total investment income</w:t>
            </w:r>
          </w:p>
        </w:tc>
        <w:tc>
          <w:tcPr>
            <w:tcW w:w="320" w:type="dxa"/>
            <w:vAlign w:val="bottom"/>
          </w:tcPr>
          <w:p>
            <w:pPr>
              <w:jc w:val="right"/>
              <w:ind w:right="123"/>
              <w:spacing w:after="0"/>
              <w:rPr>
                <w:sz w:val="20"/>
                <w:szCs w:val="20"/>
                <w:color w:val="auto"/>
              </w:rPr>
            </w:pPr>
            <w:r>
              <w:rPr>
                <w:rFonts w:ascii="Arial" w:cs="Arial" w:eastAsia="Arial" w:hAnsi="Arial"/>
                <w:sz w:val="15"/>
                <w:szCs w:val="15"/>
                <w:color w:val="auto"/>
              </w:rPr>
              <w:t>$</w:t>
            </w:r>
          </w:p>
        </w:tc>
        <w:tc>
          <w:tcPr>
            <w:tcW w:w="1020" w:type="dxa"/>
            <w:vAlign w:val="bottom"/>
          </w:tcPr>
          <w:p>
            <w:pPr>
              <w:jc w:val="right"/>
              <w:ind w:right="6"/>
              <w:spacing w:after="0"/>
              <w:rPr>
                <w:sz w:val="20"/>
                <w:szCs w:val="20"/>
                <w:color w:val="auto"/>
              </w:rPr>
            </w:pPr>
            <w:r>
              <w:rPr>
                <w:rFonts w:ascii="Arial" w:cs="Arial" w:eastAsia="Arial" w:hAnsi="Arial"/>
                <w:sz w:val="15"/>
                <w:szCs w:val="15"/>
                <w:color w:val="auto"/>
              </w:rPr>
              <w:t>196,521</w:t>
            </w:r>
          </w:p>
        </w:tc>
        <w:tc>
          <w:tcPr>
            <w:tcW w:w="5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020" w:type="dxa"/>
            <w:vAlign w:val="bottom"/>
          </w:tcPr>
          <w:p>
            <w:pPr>
              <w:jc w:val="right"/>
              <w:ind w:right="6"/>
              <w:spacing w:after="0"/>
              <w:rPr>
                <w:sz w:val="20"/>
                <w:szCs w:val="20"/>
                <w:color w:val="auto"/>
              </w:rPr>
            </w:pPr>
            <w:r>
              <w:rPr>
                <w:rFonts w:ascii="Arial" w:cs="Arial" w:eastAsia="Arial" w:hAnsi="Arial"/>
                <w:sz w:val="15"/>
                <w:szCs w:val="15"/>
                <w:color w:val="auto"/>
              </w:rPr>
              <w:t>170,032</w:t>
            </w:r>
          </w:p>
        </w:tc>
        <w:tc>
          <w:tcPr>
            <w:tcW w:w="200" w:type="dxa"/>
            <w:vAlign w:val="bottom"/>
          </w:tcPr>
          <w:p>
            <w:pPr>
              <w:spacing w:after="0"/>
              <w:rPr>
                <w:sz w:val="17"/>
                <w:szCs w:val="17"/>
                <w:color w:val="auto"/>
              </w:rPr>
            </w:pPr>
          </w:p>
        </w:tc>
        <w:tc>
          <w:tcPr>
            <w:tcW w:w="320" w:type="dxa"/>
            <w:vAlign w:val="bottom"/>
          </w:tcPr>
          <w:p>
            <w:pPr>
              <w:jc w:val="right"/>
              <w:ind w:right="143"/>
              <w:spacing w:after="0"/>
              <w:rPr>
                <w:sz w:val="20"/>
                <w:szCs w:val="20"/>
                <w:color w:val="auto"/>
              </w:rPr>
            </w:pPr>
            <w:r>
              <w:rPr>
                <w:rFonts w:ascii="Arial" w:cs="Arial" w:eastAsia="Arial" w:hAnsi="Arial"/>
                <w:sz w:val="15"/>
                <w:szCs w:val="15"/>
                <w:color w:val="auto"/>
                <w:w w:val="95"/>
              </w:rPr>
              <w:t>$</w:t>
            </w:r>
          </w:p>
        </w:tc>
        <w:tc>
          <w:tcPr>
            <w:tcW w:w="1000" w:type="dxa"/>
            <w:vAlign w:val="bottom"/>
          </w:tcPr>
          <w:p>
            <w:pPr>
              <w:jc w:val="right"/>
              <w:spacing w:after="0"/>
              <w:rPr>
                <w:sz w:val="20"/>
                <w:szCs w:val="20"/>
                <w:color w:val="auto"/>
              </w:rPr>
            </w:pPr>
            <w:r>
              <w:rPr>
                <w:rFonts w:ascii="Arial" w:cs="Arial" w:eastAsia="Arial" w:hAnsi="Arial"/>
                <w:sz w:val="15"/>
                <w:szCs w:val="15"/>
                <w:color w:val="auto"/>
              </w:rPr>
              <w:t>72,664</w:t>
            </w: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4. VARIABLE INTEREST ENTITIES</w:t>
      </w:r>
    </w:p>
    <w:p>
      <w:pPr>
        <w:spacing w:after="0" w:line="167" w:lineRule="exact"/>
        <w:rPr>
          <w:sz w:val="20"/>
          <w:szCs w:val="20"/>
          <w:color w:val="auto"/>
        </w:rPr>
      </w:pPr>
    </w:p>
    <w:p>
      <w:pPr>
        <w:ind w:right="60" w:firstLine="619"/>
        <w:spacing w:after="0" w:line="259" w:lineRule="auto"/>
        <w:rPr>
          <w:sz w:val="20"/>
          <w:szCs w:val="20"/>
          <w:color w:val="auto"/>
        </w:rPr>
      </w:pPr>
      <w:r>
        <w:rPr>
          <w:rFonts w:ascii="Arial" w:cs="Arial" w:eastAsia="Arial" w:hAnsi="Arial"/>
          <w:sz w:val="17"/>
          <w:szCs w:val="17"/>
          <w:color w:val="auto"/>
        </w:rPr>
        <w:t>The Company consolidates VIEs for which the Company is the primary beneficiary. VIEs include funds managed by Oaktree and CLOs for which Oaktree acts as collateral manager. The purpose of these VIEs is to provide investment opportunities for investors in exchange for management fees and, in certain cases, performance-based fees. While the investment strategies of the funds and CLOs differ by product, in general the fundamental risks of the funds and CLOs have similar characteristics, including loss of invested capital and reduction or absence of management and performance-based fees. As general partner or collateral manager, respectively, Oaktree generally considers itself the sponsor of the applicable fund or CLO. The Company does not provide performance guarantees and, other than capital commitments, has no financial obligation to provide funding to VIEs.</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Consolidated VIEs</w:t>
      </w:r>
    </w:p>
    <w:p>
      <w:pPr>
        <w:spacing w:after="0" w:line="167" w:lineRule="exact"/>
        <w:rPr>
          <w:sz w:val="20"/>
          <w:szCs w:val="20"/>
          <w:color w:val="auto"/>
        </w:rPr>
      </w:pPr>
    </w:p>
    <w:p>
      <w:pPr>
        <w:ind w:right="140" w:firstLine="619"/>
        <w:spacing w:after="0" w:line="290" w:lineRule="auto"/>
        <w:rPr>
          <w:sz w:val="20"/>
          <w:szCs w:val="20"/>
          <w:color w:val="auto"/>
        </w:rPr>
      </w:pPr>
      <w:r>
        <w:rPr>
          <w:rFonts w:ascii="Arial" w:cs="Arial" w:eastAsia="Arial" w:hAnsi="Arial"/>
          <w:sz w:val="17"/>
          <w:szCs w:val="17"/>
          <w:color w:val="auto"/>
        </w:rPr>
        <w:t>As of December 31, 2025 and 2024, the Company consolidated 2 VIEs through which interests are held in Oaktree Opportunities Fund XI, L.P. and Oaktree Opportunities Fund XII, L.P. as the Company was the primary beneficiary.</w:t>
      </w:r>
    </w:p>
    <w:p>
      <w:pPr>
        <w:spacing w:after="0" w:line="95" w:lineRule="exact"/>
        <w:rPr>
          <w:sz w:val="20"/>
          <w:szCs w:val="20"/>
          <w:color w:val="auto"/>
        </w:rPr>
      </w:pPr>
    </w:p>
    <w:p>
      <w:pPr>
        <w:ind w:right="260" w:firstLine="619"/>
        <w:spacing w:after="0" w:line="265" w:lineRule="auto"/>
        <w:rPr>
          <w:sz w:val="20"/>
          <w:szCs w:val="20"/>
          <w:color w:val="auto"/>
        </w:rPr>
      </w:pPr>
      <w:r>
        <w:rPr>
          <w:rFonts w:ascii="Arial" w:cs="Arial" w:eastAsia="Arial" w:hAnsi="Arial"/>
          <w:sz w:val="17"/>
          <w:szCs w:val="17"/>
          <w:color w:val="auto"/>
        </w:rPr>
        <w:t>As of December 31, 2025, the assets and liabilities of the 2 consolidated VIEs amounted to $5.3 billion and $1.5 billion, respectively. The assets of these consolidated VIEs primarily consisted of investments in debt and equity securities. The assets of these VIEs may be used only to settle obligations of the same VIE. In addition, there is no recourse to the Company for the VIEs’ liabilities. As of December 31, 2025, the Company’s investments in consolidated VIEs had a carrying value of $0.8 billion, which represented its maximum risk of loss as of that date.</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85" w:name="page86"/>
    <w:bookmarkEnd w:id="85"/>
    <w:p>
      <w:pPr>
        <w:jc w:val="center"/>
        <w:spacing w:after="0"/>
        <w:rPr>
          <w:sz w:val="20"/>
          <w:szCs w:val="20"/>
          <w:color w:val="auto"/>
        </w:rPr>
      </w:pPr>
      <w:r>
        <w:rPr>
          <w:rFonts w:ascii="Arial" w:cs="Arial" w:eastAsia="Arial" w:hAnsi="Arial"/>
          <w:sz w:val="17"/>
          <w:szCs w:val="17"/>
          <w:b w:val="1"/>
          <w:bCs w:val="1"/>
          <w:color w:val="auto"/>
        </w:rPr>
        <w:t>Brookfield Oaktree Holdings, LLC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 (Continued)</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December 31, 2025</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 in thousands, except where noted)</w:t>
      </w: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Unconsolidated VIEs</w:t>
      </w:r>
    </w:p>
    <w:p>
      <w:pPr>
        <w:spacing w:after="0" w:line="168" w:lineRule="exact"/>
        <w:rPr>
          <w:sz w:val="20"/>
          <w:szCs w:val="20"/>
          <w:color w:val="auto"/>
        </w:rPr>
      </w:pPr>
    </w:p>
    <w:p>
      <w:pPr>
        <w:ind w:right="160" w:firstLine="619"/>
        <w:spacing w:after="0" w:line="271" w:lineRule="auto"/>
        <w:rPr>
          <w:sz w:val="20"/>
          <w:szCs w:val="20"/>
          <w:color w:val="auto"/>
        </w:rPr>
      </w:pPr>
      <w:r>
        <w:rPr>
          <w:rFonts w:ascii="Arial" w:cs="Arial" w:eastAsia="Arial" w:hAnsi="Arial"/>
          <w:sz w:val="17"/>
          <w:szCs w:val="17"/>
          <w:color w:val="auto"/>
        </w:rPr>
        <w:t>The Company held variable interests in certain VIEs in the form of direct equity interests that are not consolidated because it is not the primary beneficiary, inasmuch as its fee arrangements are considered at-market and it does not hold interests in those entities that are considered more than insignificant.</w:t>
      </w:r>
    </w:p>
    <w:p>
      <w:pPr>
        <w:spacing w:after="0" w:line="111"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carrying value of the Company’s investments in VIEs that were not consolidated are shown below.</w:t>
      </w:r>
    </w:p>
    <w:p>
      <w:pPr>
        <w:spacing w:after="0" w:line="139" w:lineRule="exact"/>
        <w:rPr>
          <w:sz w:val="20"/>
          <w:szCs w:val="20"/>
          <w:color w:val="auto"/>
        </w:rPr>
      </w:pPr>
    </w:p>
    <w:tbl>
      <w:tblPr>
        <w:tblLayout w:type="fixed"/>
        <w:tblInd w:w="20" w:type="dxa"/>
        <w:tblCellMar>
          <w:top w:w="0" w:type="dxa"/>
          <w:left w:w="0" w:type="dxa"/>
          <w:bottom w:w="0" w:type="dxa"/>
          <w:right w:w="0" w:type="dxa"/>
        </w:tblCellMar>
      </w:tblPr>
      <w:tr>
        <w:trPr>
          <w:trHeight w:val="169"/>
        </w:trPr>
        <w:tc>
          <w:tcPr>
            <w:tcW w:w="798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3"/>
          </w:tcPr>
          <w:p>
            <w:pPr>
              <w:jc w:val="right"/>
              <w:ind w:right="3"/>
              <w:spacing w:after="0"/>
              <w:rPr>
                <w:sz w:val="20"/>
                <w:szCs w:val="20"/>
                <w:color w:val="auto"/>
              </w:rPr>
            </w:pPr>
            <w:r>
              <w:rPr>
                <w:rFonts w:ascii="Arial" w:cs="Arial" w:eastAsia="Arial" w:hAnsi="Arial"/>
                <w:sz w:val="12"/>
                <w:szCs w:val="12"/>
                <w:b w:val="1"/>
                <w:bCs w:val="1"/>
                <w:color w:val="auto"/>
              </w:rPr>
              <w:t>As of December 31,</w:t>
            </w:r>
          </w:p>
        </w:tc>
        <w:tc>
          <w:tcPr>
            <w:tcW w:w="980" w:type="dxa"/>
            <w:vAlign w:val="bottom"/>
            <w:tcBorders>
              <w:bottom w:val="single" w:sz="8" w:color="auto"/>
            </w:tcBorders>
          </w:tcPr>
          <w:p>
            <w:pPr>
              <w:spacing w:after="0"/>
              <w:rPr>
                <w:sz w:val="14"/>
                <w:szCs w:val="14"/>
                <w:color w:val="auto"/>
              </w:rPr>
            </w:pPr>
          </w:p>
        </w:tc>
      </w:tr>
      <w:tr>
        <w:trPr>
          <w:trHeight w:val="163"/>
        </w:trPr>
        <w:tc>
          <w:tcPr>
            <w:tcW w:w="798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550"/>
              <w:spacing w:after="0"/>
              <w:rPr>
                <w:sz w:val="20"/>
                <w:szCs w:val="20"/>
                <w:color w:val="auto"/>
              </w:rPr>
            </w:pPr>
            <w:r>
              <w:rPr>
                <w:rFonts w:ascii="Arial" w:cs="Arial" w:eastAsia="Arial" w:hAnsi="Arial"/>
                <w:sz w:val="12"/>
                <w:szCs w:val="12"/>
                <w:b w:val="1"/>
                <w:bCs w:val="1"/>
                <w:color w:val="auto"/>
              </w:rPr>
              <w:t>2025</w:t>
            </w:r>
          </w:p>
        </w:tc>
        <w:tc>
          <w:tcPr>
            <w:tcW w:w="20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547"/>
              <w:spacing w:after="0"/>
              <w:rPr>
                <w:sz w:val="20"/>
                <w:szCs w:val="20"/>
                <w:color w:val="auto"/>
              </w:rPr>
            </w:pPr>
            <w:r>
              <w:rPr>
                <w:rFonts w:ascii="Arial" w:cs="Arial" w:eastAsia="Arial" w:hAnsi="Arial"/>
                <w:sz w:val="12"/>
                <w:szCs w:val="12"/>
                <w:b w:val="1"/>
                <w:bCs w:val="1"/>
                <w:color w:val="auto"/>
              </w:rPr>
              <w:t>2024</w:t>
            </w:r>
          </w:p>
        </w:tc>
      </w:tr>
      <w:tr>
        <w:trPr>
          <w:trHeight w:val="289"/>
        </w:trPr>
        <w:tc>
          <w:tcPr>
            <w:tcW w:w="7980" w:type="dxa"/>
            <w:vAlign w:val="bottom"/>
          </w:tcPr>
          <w:p>
            <w:pPr>
              <w:spacing w:after="0"/>
              <w:rPr>
                <w:sz w:val="20"/>
                <w:szCs w:val="20"/>
                <w:color w:val="auto"/>
              </w:rPr>
            </w:pPr>
            <w:r>
              <w:rPr>
                <w:rFonts w:ascii="Arial" w:cs="Arial" w:eastAsia="Arial" w:hAnsi="Arial"/>
                <w:sz w:val="15"/>
                <w:szCs w:val="15"/>
                <w:color w:val="auto"/>
              </w:rPr>
              <w:t>Corporate investments</w:t>
            </w:r>
          </w:p>
        </w:tc>
        <w:tc>
          <w:tcPr>
            <w:tcW w:w="360" w:type="dxa"/>
            <w:vAlign w:val="bottom"/>
          </w:tcPr>
          <w:p>
            <w:pPr>
              <w:jc w:val="right"/>
              <w:ind w:right="183"/>
              <w:spacing w:after="0"/>
              <w:rPr>
                <w:sz w:val="20"/>
                <w:szCs w:val="20"/>
                <w:color w:val="auto"/>
              </w:rPr>
            </w:pPr>
            <w:r>
              <w:rPr>
                <w:rFonts w:ascii="Arial" w:cs="Arial" w:eastAsia="Arial" w:hAnsi="Arial"/>
                <w:sz w:val="15"/>
                <w:szCs w:val="15"/>
                <w:color w:val="auto"/>
                <w:w w:val="95"/>
              </w:rPr>
              <w:t>$</w:t>
            </w:r>
          </w:p>
        </w:tc>
        <w:tc>
          <w:tcPr>
            <w:tcW w:w="1160" w:type="dxa"/>
            <w:vAlign w:val="bottom"/>
          </w:tcPr>
          <w:p>
            <w:pPr>
              <w:jc w:val="right"/>
              <w:ind w:right="10"/>
              <w:spacing w:after="0"/>
              <w:rPr>
                <w:sz w:val="20"/>
                <w:szCs w:val="20"/>
                <w:color w:val="auto"/>
              </w:rPr>
            </w:pPr>
            <w:r>
              <w:rPr>
                <w:rFonts w:ascii="Arial" w:cs="Arial" w:eastAsia="Arial" w:hAnsi="Arial"/>
                <w:sz w:val="15"/>
                <w:szCs w:val="15"/>
                <w:color w:val="auto"/>
              </w:rPr>
              <w:t>1,119,817</w:t>
            </w:r>
          </w:p>
        </w:tc>
        <w:tc>
          <w:tcPr>
            <w:tcW w:w="200" w:type="dxa"/>
            <w:vAlign w:val="bottom"/>
          </w:tcPr>
          <w:p>
            <w:pPr>
              <w:spacing w:after="0"/>
              <w:rPr>
                <w:sz w:val="24"/>
                <w:szCs w:val="24"/>
                <w:color w:val="auto"/>
              </w:rPr>
            </w:pPr>
          </w:p>
        </w:tc>
        <w:tc>
          <w:tcPr>
            <w:tcW w:w="540" w:type="dxa"/>
            <w:vAlign w:val="bottom"/>
          </w:tcPr>
          <w:p>
            <w:pPr>
              <w:jc w:val="right"/>
              <w:ind w:right="363"/>
              <w:spacing w:after="0"/>
              <w:rPr>
                <w:sz w:val="20"/>
                <w:szCs w:val="20"/>
                <w:color w:val="auto"/>
              </w:rPr>
            </w:pPr>
            <w:r>
              <w:rPr>
                <w:rFonts w:ascii="Arial" w:cs="Arial" w:eastAsia="Arial" w:hAnsi="Arial"/>
                <w:sz w:val="15"/>
                <w:szCs w:val="15"/>
                <w:color w:val="auto"/>
                <w:w w:val="95"/>
              </w:rPr>
              <w:t>$</w:t>
            </w:r>
          </w:p>
        </w:tc>
        <w:tc>
          <w:tcPr>
            <w:tcW w:w="980" w:type="dxa"/>
            <w:vAlign w:val="bottom"/>
          </w:tcPr>
          <w:p>
            <w:pPr>
              <w:jc w:val="right"/>
              <w:spacing w:after="0"/>
              <w:rPr>
                <w:sz w:val="20"/>
                <w:szCs w:val="20"/>
                <w:color w:val="auto"/>
              </w:rPr>
            </w:pPr>
            <w:r>
              <w:rPr>
                <w:rFonts w:ascii="Arial" w:cs="Arial" w:eastAsia="Arial" w:hAnsi="Arial"/>
                <w:sz w:val="15"/>
                <w:szCs w:val="15"/>
                <w:color w:val="auto"/>
              </w:rPr>
              <w:t>1,212,435</w:t>
            </w:r>
          </w:p>
        </w:tc>
      </w:tr>
      <w:tr>
        <w:trPr>
          <w:trHeight w:val="207"/>
        </w:trPr>
        <w:tc>
          <w:tcPr>
            <w:tcW w:w="7980" w:type="dxa"/>
            <w:vAlign w:val="bottom"/>
          </w:tcPr>
          <w:p>
            <w:pPr>
              <w:spacing w:after="0"/>
              <w:rPr>
                <w:sz w:val="20"/>
                <w:szCs w:val="20"/>
                <w:color w:val="auto"/>
              </w:rPr>
            </w:pPr>
            <w:r>
              <w:rPr>
                <w:rFonts w:ascii="Arial" w:cs="Arial" w:eastAsia="Arial" w:hAnsi="Arial"/>
                <w:sz w:val="15"/>
                <w:szCs w:val="15"/>
                <w:color w:val="auto"/>
              </w:rPr>
              <w:t>Due from affiliates</w:t>
            </w: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10"/>
              <w:spacing w:after="0"/>
              <w:rPr>
                <w:sz w:val="20"/>
                <w:szCs w:val="20"/>
                <w:color w:val="auto"/>
              </w:rPr>
            </w:pPr>
            <w:r>
              <w:rPr>
                <w:rFonts w:ascii="Arial" w:cs="Arial" w:eastAsia="Arial" w:hAnsi="Arial"/>
                <w:sz w:val="15"/>
                <w:szCs w:val="15"/>
                <w:color w:val="auto"/>
              </w:rPr>
              <w:t>551</w:t>
            </w:r>
          </w:p>
        </w:tc>
        <w:tc>
          <w:tcPr>
            <w:tcW w:w="20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227</w:t>
            </w:r>
          </w:p>
        </w:tc>
      </w:tr>
      <w:tr>
        <w:trPr>
          <w:trHeight w:val="200"/>
        </w:trPr>
        <w:tc>
          <w:tcPr>
            <w:tcW w:w="7980" w:type="dxa"/>
            <w:vAlign w:val="bottom"/>
          </w:tcPr>
          <w:p>
            <w:pPr>
              <w:spacing w:after="0"/>
              <w:rPr>
                <w:sz w:val="20"/>
                <w:szCs w:val="20"/>
                <w:color w:val="auto"/>
              </w:rPr>
            </w:pPr>
            <w:r>
              <w:rPr>
                <w:rFonts w:ascii="Arial" w:cs="Arial" w:eastAsia="Arial" w:hAnsi="Arial"/>
                <w:sz w:val="15"/>
                <w:szCs w:val="15"/>
                <w:color w:val="auto"/>
              </w:rPr>
              <w:t>Maximum exposure to loss</w:t>
            </w:r>
          </w:p>
        </w:tc>
        <w:tc>
          <w:tcPr>
            <w:tcW w:w="360" w:type="dxa"/>
            <w:vAlign w:val="bottom"/>
            <w:tcBorders>
              <w:bottom w:val="single" w:sz="8" w:color="auto"/>
            </w:tcBorders>
          </w:tcPr>
          <w:p>
            <w:pPr>
              <w:jc w:val="right"/>
              <w:ind w:right="183"/>
              <w:spacing w:after="0"/>
              <w:rPr>
                <w:sz w:val="20"/>
                <w:szCs w:val="20"/>
                <w:color w:val="auto"/>
              </w:rPr>
            </w:pPr>
            <w:r>
              <w:rPr>
                <w:rFonts w:ascii="Arial" w:cs="Arial" w:eastAsia="Arial" w:hAnsi="Arial"/>
                <w:sz w:val="15"/>
                <w:szCs w:val="15"/>
                <w:color w:val="auto"/>
                <w:w w:val="95"/>
              </w:rPr>
              <w:t>$</w:t>
            </w:r>
          </w:p>
        </w:tc>
        <w:tc>
          <w:tcPr>
            <w:tcW w:w="1160" w:type="dxa"/>
            <w:vAlign w:val="bottom"/>
            <w:tcBorders>
              <w:bottom w:val="single" w:sz="8" w:color="auto"/>
            </w:tcBorders>
          </w:tcPr>
          <w:p>
            <w:pPr>
              <w:jc w:val="right"/>
              <w:ind w:right="10"/>
              <w:spacing w:after="0"/>
              <w:rPr>
                <w:sz w:val="20"/>
                <w:szCs w:val="20"/>
                <w:color w:val="auto"/>
              </w:rPr>
            </w:pPr>
            <w:r>
              <w:rPr>
                <w:rFonts w:ascii="Arial" w:cs="Arial" w:eastAsia="Arial" w:hAnsi="Arial"/>
                <w:sz w:val="15"/>
                <w:szCs w:val="15"/>
                <w:color w:val="auto"/>
              </w:rPr>
              <w:t>1,120,368</w:t>
            </w:r>
          </w:p>
        </w:tc>
        <w:tc>
          <w:tcPr>
            <w:tcW w:w="200" w:type="dxa"/>
            <w:vAlign w:val="bottom"/>
          </w:tcPr>
          <w:p>
            <w:pPr>
              <w:spacing w:after="0"/>
              <w:rPr>
                <w:sz w:val="17"/>
                <w:szCs w:val="17"/>
                <w:color w:val="auto"/>
              </w:rPr>
            </w:pPr>
          </w:p>
        </w:tc>
        <w:tc>
          <w:tcPr>
            <w:tcW w:w="540" w:type="dxa"/>
            <w:vAlign w:val="bottom"/>
            <w:tcBorders>
              <w:bottom w:val="single" w:sz="8" w:color="auto"/>
            </w:tcBorders>
          </w:tcPr>
          <w:p>
            <w:pPr>
              <w:jc w:val="right"/>
              <w:ind w:right="363"/>
              <w:spacing w:after="0"/>
              <w:rPr>
                <w:sz w:val="20"/>
                <w:szCs w:val="20"/>
                <w:color w:val="auto"/>
              </w:rPr>
            </w:pPr>
            <w:r>
              <w:rPr>
                <w:rFonts w:ascii="Arial" w:cs="Arial" w:eastAsia="Arial" w:hAnsi="Arial"/>
                <w:sz w:val="15"/>
                <w:szCs w:val="15"/>
                <w:color w:val="auto"/>
                <w:w w:val="95"/>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1,212,662</w:t>
            </w:r>
          </w:p>
        </w:tc>
      </w:tr>
      <w:tr>
        <w:trPr>
          <w:trHeight w:val="20"/>
        </w:trPr>
        <w:tc>
          <w:tcPr>
            <w:tcW w:w="79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00" w:firstLine="619"/>
        <w:spacing w:after="0" w:line="274" w:lineRule="auto"/>
        <w:rPr>
          <w:sz w:val="20"/>
          <w:szCs w:val="20"/>
          <w:color w:val="auto"/>
        </w:rPr>
      </w:pPr>
      <w:r>
        <w:rPr>
          <w:rFonts w:ascii="Arial" w:cs="Arial" w:eastAsia="Arial" w:hAnsi="Arial"/>
          <w:sz w:val="17"/>
          <w:szCs w:val="17"/>
          <w:color w:val="auto"/>
        </w:rPr>
        <w:t>The Company continues to consolidate the respective vehicles through which interests are held in Oaktree Opportunities Fund XI, L.P. and Oaktree Opportunities Fund XII, L.P. as the Company remains the primary beneficiary.</w:t>
      </w:r>
    </w:p>
    <w:p>
      <w:pPr>
        <w:spacing w:after="0" w:line="95" w:lineRule="exact"/>
        <w:rPr>
          <w:sz w:val="20"/>
          <w:szCs w:val="20"/>
          <w:color w:val="auto"/>
        </w:rPr>
      </w:pPr>
    </w:p>
    <w:p>
      <w:pPr>
        <w:ind w:right="140" w:firstLine="619"/>
        <w:spacing w:after="0" w:line="274" w:lineRule="auto"/>
        <w:rPr>
          <w:sz w:val="20"/>
          <w:szCs w:val="20"/>
          <w:color w:val="auto"/>
        </w:rPr>
      </w:pPr>
      <w:r>
        <w:rPr>
          <w:rFonts w:ascii="Arial" w:cs="Arial" w:eastAsia="Arial" w:hAnsi="Arial"/>
          <w:sz w:val="17"/>
          <w:szCs w:val="17"/>
          <w:color w:val="auto"/>
        </w:rPr>
        <w:t>In connection with the 2024 Restructuring, the Company derecognized the assets and liabilities held by Oaktree Capital I at carrying value as the restructuring occurred between entities under common control of OCGH and no gain or loss was recorded.</w:t>
      </w:r>
    </w:p>
    <w:p>
      <w:pPr>
        <w:spacing w:after="0" w:line="95" w:lineRule="exact"/>
        <w:rPr>
          <w:sz w:val="20"/>
          <w:szCs w:val="20"/>
          <w:color w:val="auto"/>
        </w:rPr>
      </w:pPr>
    </w:p>
    <w:p>
      <w:pPr>
        <w:ind w:left="620"/>
        <w:spacing w:after="0"/>
        <w:rPr>
          <w:sz w:val="20"/>
          <w:szCs w:val="20"/>
          <w:color w:val="auto"/>
        </w:rPr>
      </w:pPr>
      <w:r>
        <w:rPr>
          <w:rFonts w:ascii="Arial" w:cs="Arial" w:eastAsia="Arial" w:hAnsi="Arial"/>
          <w:sz w:val="17"/>
          <w:szCs w:val="17"/>
          <w:color w:val="auto"/>
        </w:rPr>
        <w:t>Impacts of the deconsolidation of Oaktree Capital I due to the 2024 Restructuring are set forth below:</w:t>
      </w:r>
    </w:p>
    <w:p>
      <w:pPr>
        <w:spacing w:after="0" w:line="188" w:lineRule="exact"/>
        <w:rPr>
          <w:sz w:val="20"/>
          <w:szCs w:val="20"/>
          <w:color w:val="auto"/>
        </w:rPr>
      </w:pPr>
    </w:p>
    <w:tbl>
      <w:tblPr>
        <w:tblLayout w:type="fixed"/>
        <w:tblInd w:w="20" w:type="dxa"/>
        <w:tblCellMar>
          <w:top w:w="0" w:type="dxa"/>
          <w:left w:w="0" w:type="dxa"/>
          <w:bottom w:w="0" w:type="dxa"/>
          <w:right w:w="0" w:type="dxa"/>
        </w:tblCellMar>
      </w:tblPr>
      <w:tr>
        <w:trPr>
          <w:trHeight w:val="178"/>
        </w:trPr>
        <w:tc>
          <w:tcPr>
            <w:tcW w:w="8620" w:type="dxa"/>
            <w:vAlign w:val="bottom"/>
          </w:tcPr>
          <w:p>
            <w:pPr>
              <w:spacing w:after="0"/>
              <w:rPr>
                <w:sz w:val="15"/>
                <w:szCs w:val="15"/>
                <w:color w:val="auto"/>
              </w:rPr>
            </w:pPr>
          </w:p>
        </w:tc>
        <w:tc>
          <w:tcPr>
            <w:tcW w:w="420" w:type="dxa"/>
            <w:vAlign w:val="bottom"/>
            <w:tcBorders>
              <w:top w:val="single" w:sz="8" w:color="auto"/>
              <w:bottom w:val="single" w:sz="8" w:color="auto"/>
            </w:tcBorders>
          </w:tcPr>
          <w:p>
            <w:pPr>
              <w:spacing w:after="0"/>
              <w:rPr>
                <w:sz w:val="15"/>
                <w:szCs w:val="15"/>
                <w:color w:val="auto"/>
              </w:rPr>
            </w:pPr>
          </w:p>
        </w:tc>
        <w:tc>
          <w:tcPr>
            <w:tcW w:w="2100" w:type="dxa"/>
            <w:vAlign w:val="bottom"/>
            <w:tcBorders>
              <w:top w:val="single" w:sz="8" w:color="auto"/>
              <w:bottom w:val="single" w:sz="8" w:color="auto"/>
            </w:tcBorders>
          </w:tcPr>
          <w:p>
            <w:pPr>
              <w:jc w:val="right"/>
              <w:ind w:right="684"/>
              <w:spacing w:after="0"/>
              <w:rPr>
                <w:sz w:val="20"/>
                <w:szCs w:val="20"/>
                <w:color w:val="auto"/>
              </w:rPr>
            </w:pPr>
            <w:r>
              <w:rPr>
                <w:rFonts w:ascii="Arial" w:cs="Arial" w:eastAsia="Arial" w:hAnsi="Arial"/>
                <w:sz w:val="12"/>
                <w:szCs w:val="12"/>
                <w:b w:val="1"/>
                <w:bCs w:val="1"/>
                <w:color w:val="auto"/>
              </w:rPr>
              <w:t>As of July 1, 2024</w:t>
            </w:r>
          </w:p>
        </w:tc>
        <w:tc>
          <w:tcPr>
            <w:tcW w:w="0" w:type="dxa"/>
            <w:vAlign w:val="bottom"/>
          </w:tcPr>
          <w:p>
            <w:pPr>
              <w:spacing w:after="0"/>
              <w:rPr>
                <w:sz w:val="1"/>
                <w:szCs w:val="1"/>
                <w:color w:val="auto"/>
              </w:rPr>
            </w:pPr>
          </w:p>
        </w:tc>
      </w:tr>
      <w:tr>
        <w:trPr>
          <w:trHeight w:val="435"/>
        </w:trPr>
        <w:tc>
          <w:tcPr>
            <w:tcW w:w="8620" w:type="dxa"/>
            <w:vAlign w:val="bottom"/>
          </w:tcPr>
          <w:p>
            <w:pPr>
              <w:spacing w:after="0"/>
              <w:rPr>
                <w:sz w:val="20"/>
                <w:szCs w:val="20"/>
                <w:color w:val="auto"/>
              </w:rPr>
            </w:pPr>
            <w:r>
              <w:rPr>
                <w:rFonts w:ascii="Arial" w:cs="Arial" w:eastAsia="Arial" w:hAnsi="Arial"/>
                <w:sz w:val="15"/>
                <w:szCs w:val="15"/>
                <w:b w:val="1"/>
                <w:bCs w:val="1"/>
                <w:color w:val="auto"/>
              </w:rPr>
              <w:t>Assets:</w:t>
            </w:r>
          </w:p>
        </w:tc>
        <w:tc>
          <w:tcPr>
            <w:tcW w:w="4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8620" w:type="dxa"/>
            <w:vAlign w:val="bottom"/>
          </w:tcPr>
          <w:p>
            <w:pPr>
              <w:ind w:left="40"/>
              <w:spacing w:after="0"/>
              <w:rPr>
                <w:sz w:val="20"/>
                <w:szCs w:val="20"/>
                <w:color w:val="auto"/>
              </w:rPr>
            </w:pPr>
            <w:r>
              <w:rPr>
                <w:rFonts w:ascii="Arial" w:cs="Arial" w:eastAsia="Arial" w:hAnsi="Arial"/>
                <w:sz w:val="15"/>
                <w:szCs w:val="15"/>
                <w:color w:val="auto"/>
              </w:rPr>
              <w:t>Cash and cash-equivalents</w:t>
            </w:r>
          </w:p>
        </w:tc>
        <w:tc>
          <w:tcPr>
            <w:tcW w:w="420" w:type="dxa"/>
            <w:vAlign w:val="bottom"/>
          </w:tcPr>
          <w:p>
            <w:pPr>
              <w:jc w:val="right"/>
              <w:ind w:right="243"/>
              <w:spacing w:after="0"/>
              <w:rPr>
                <w:sz w:val="20"/>
                <w:szCs w:val="20"/>
                <w:color w:val="auto"/>
              </w:rPr>
            </w:pPr>
            <w:r>
              <w:rPr>
                <w:rFonts w:ascii="Arial" w:cs="Arial" w:eastAsia="Arial" w:hAnsi="Arial"/>
                <w:sz w:val="15"/>
                <w:szCs w:val="15"/>
                <w:color w:val="auto"/>
                <w:w w:val="95"/>
              </w:rPr>
              <w:t>$</w:t>
            </w:r>
          </w:p>
        </w:tc>
        <w:tc>
          <w:tcPr>
            <w:tcW w:w="2100" w:type="dxa"/>
            <w:vAlign w:val="bottom"/>
          </w:tcPr>
          <w:p>
            <w:pPr>
              <w:jc w:val="right"/>
              <w:spacing w:after="0"/>
              <w:rPr>
                <w:sz w:val="20"/>
                <w:szCs w:val="20"/>
                <w:color w:val="auto"/>
              </w:rPr>
            </w:pPr>
            <w:r>
              <w:rPr>
                <w:rFonts w:ascii="Arial" w:cs="Arial" w:eastAsia="Arial" w:hAnsi="Arial"/>
                <w:sz w:val="15"/>
                <w:szCs w:val="15"/>
                <w:color w:val="auto"/>
              </w:rPr>
              <w:t>(8,805)</w:t>
            </w:r>
          </w:p>
        </w:tc>
        <w:tc>
          <w:tcPr>
            <w:tcW w:w="0" w:type="dxa"/>
            <w:vAlign w:val="bottom"/>
          </w:tcPr>
          <w:p>
            <w:pPr>
              <w:spacing w:after="0"/>
              <w:rPr>
                <w:sz w:val="1"/>
                <w:szCs w:val="1"/>
                <w:color w:val="auto"/>
              </w:rPr>
            </w:pPr>
          </w:p>
        </w:tc>
      </w:tr>
      <w:tr>
        <w:trPr>
          <w:trHeight w:val="206"/>
        </w:trPr>
        <w:tc>
          <w:tcPr>
            <w:tcW w:w="8620" w:type="dxa"/>
            <w:vAlign w:val="bottom"/>
          </w:tcPr>
          <w:p>
            <w:pPr>
              <w:ind w:left="40"/>
              <w:spacing w:after="0"/>
              <w:rPr>
                <w:sz w:val="20"/>
                <w:szCs w:val="20"/>
                <w:color w:val="auto"/>
              </w:rPr>
            </w:pPr>
            <w:r>
              <w:rPr>
                <w:rFonts w:ascii="Arial" w:cs="Arial" w:eastAsia="Arial" w:hAnsi="Arial"/>
                <w:sz w:val="15"/>
                <w:szCs w:val="15"/>
                <w:color w:val="auto"/>
              </w:rPr>
              <w:t>U.S. Treasury and government agency securities</w:t>
            </w:r>
          </w:p>
        </w:tc>
        <w:tc>
          <w:tcPr>
            <w:tcW w:w="420" w:type="dxa"/>
            <w:vAlign w:val="bottom"/>
          </w:tcPr>
          <w:p>
            <w:pPr>
              <w:spacing w:after="0"/>
              <w:rPr>
                <w:sz w:val="17"/>
                <w:szCs w:val="17"/>
                <w:color w:val="auto"/>
              </w:rPr>
            </w:pPr>
          </w:p>
        </w:tc>
        <w:tc>
          <w:tcPr>
            <w:tcW w:w="2100" w:type="dxa"/>
            <w:vAlign w:val="bottom"/>
          </w:tcPr>
          <w:p>
            <w:pPr>
              <w:jc w:val="right"/>
              <w:spacing w:after="0"/>
              <w:rPr>
                <w:sz w:val="20"/>
                <w:szCs w:val="20"/>
                <w:color w:val="auto"/>
              </w:rPr>
            </w:pPr>
            <w:r>
              <w:rPr>
                <w:rFonts w:ascii="Arial" w:cs="Arial" w:eastAsia="Arial" w:hAnsi="Arial"/>
                <w:sz w:val="15"/>
                <w:szCs w:val="15"/>
                <w:color w:val="auto"/>
              </w:rPr>
              <w:t>(170,000)</w:t>
            </w:r>
          </w:p>
        </w:tc>
        <w:tc>
          <w:tcPr>
            <w:tcW w:w="0" w:type="dxa"/>
            <w:vAlign w:val="bottom"/>
          </w:tcPr>
          <w:p>
            <w:pPr>
              <w:spacing w:after="0"/>
              <w:rPr>
                <w:sz w:val="1"/>
                <w:szCs w:val="1"/>
                <w:color w:val="auto"/>
              </w:rPr>
            </w:pPr>
          </w:p>
        </w:tc>
      </w:tr>
      <w:tr>
        <w:trPr>
          <w:trHeight w:val="206"/>
        </w:trPr>
        <w:tc>
          <w:tcPr>
            <w:tcW w:w="8620" w:type="dxa"/>
            <w:vAlign w:val="bottom"/>
          </w:tcPr>
          <w:p>
            <w:pPr>
              <w:ind w:left="40"/>
              <w:spacing w:after="0"/>
              <w:rPr>
                <w:sz w:val="20"/>
                <w:szCs w:val="20"/>
                <w:color w:val="auto"/>
              </w:rPr>
            </w:pPr>
            <w:r>
              <w:rPr>
                <w:rFonts w:ascii="Arial" w:cs="Arial" w:eastAsia="Arial" w:hAnsi="Arial"/>
                <w:sz w:val="15"/>
                <w:szCs w:val="15"/>
                <w:color w:val="auto"/>
              </w:rPr>
              <w:t>Receivables and other assets</w:t>
            </w:r>
          </w:p>
        </w:tc>
        <w:tc>
          <w:tcPr>
            <w:tcW w:w="420" w:type="dxa"/>
            <w:vAlign w:val="bottom"/>
          </w:tcPr>
          <w:p>
            <w:pPr>
              <w:spacing w:after="0"/>
              <w:rPr>
                <w:sz w:val="17"/>
                <w:szCs w:val="17"/>
                <w:color w:val="auto"/>
              </w:rPr>
            </w:pPr>
          </w:p>
        </w:tc>
        <w:tc>
          <w:tcPr>
            <w:tcW w:w="2100" w:type="dxa"/>
            <w:vAlign w:val="bottom"/>
          </w:tcPr>
          <w:p>
            <w:pPr>
              <w:jc w:val="right"/>
              <w:spacing w:after="0"/>
              <w:rPr>
                <w:sz w:val="20"/>
                <w:szCs w:val="20"/>
                <w:color w:val="auto"/>
              </w:rPr>
            </w:pPr>
            <w:r>
              <w:rPr>
                <w:rFonts w:ascii="Arial" w:cs="Arial" w:eastAsia="Arial" w:hAnsi="Arial"/>
                <w:sz w:val="15"/>
                <w:szCs w:val="15"/>
                <w:color w:val="auto"/>
              </w:rPr>
              <w:t>(58,517)</w:t>
            </w:r>
          </w:p>
        </w:tc>
        <w:tc>
          <w:tcPr>
            <w:tcW w:w="0" w:type="dxa"/>
            <w:vAlign w:val="bottom"/>
          </w:tcPr>
          <w:p>
            <w:pPr>
              <w:spacing w:after="0"/>
              <w:rPr>
                <w:sz w:val="1"/>
                <w:szCs w:val="1"/>
                <w:color w:val="auto"/>
              </w:rPr>
            </w:pPr>
          </w:p>
        </w:tc>
      </w:tr>
      <w:tr>
        <w:trPr>
          <w:trHeight w:val="206"/>
        </w:trPr>
        <w:tc>
          <w:tcPr>
            <w:tcW w:w="8620" w:type="dxa"/>
            <w:vAlign w:val="bottom"/>
          </w:tcPr>
          <w:p>
            <w:pPr>
              <w:ind w:left="40"/>
              <w:spacing w:after="0"/>
              <w:rPr>
                <w:sz w:val="20"/>
                <w:szCs w:val="20"/>
                <w:color w:val="auto"/>
              </w:rPr>
            </w:pPr>
            <w:r>
              <w:rPr>
                <w:rFonts w:ascii="Arial" w:cs="Arial" w:eastAsia="Arial" w:hAnsi="Arial"/>
                <w:sz w:val="15"/>
                <w:szCs w:val="15"/>
                <w:color w:val="auto"/>
              </w:rPr>
              <w:t>Due from affiliates</w:t>
            </w:r>
          </w:p>
        </w:tc>
        <w:tc>
          <w:tcPr>
            <w:tcW w:w="420" w:type="dxa"/>
            <w:vAlign w:val="bottom"/>
          </w:tcPr>
          <w:p>
            <w:pPr>
              <w:spacing w:after="0"/>
              <w:rPr>
                <w:sz w:val="17"/>
                <w:szCs w:val="17"/>
                <w:color w:val="auto"/>
              </w:rPr>
            </w:pPr>
          </w:p>
        </w:tc>
        <w:tc>
          <w:tcPr>
            <w:tcW w:w="2100" w:type="dxa"/>
            <w:vAlign w:val="bottom"/>
          </w:tcPr>
          <w:p>
            <w:pPr>
              <w:jc w:val="right"/>
              <w:spacing w:after="0"/>
              <w:rPr>
                <w:sz w:val="20"/>
                <w:szCs w:val="20"/>
                <w:color w:val="auto"/>
              </w:rPr>
            </w:pPr>
            <w:r>
              <w:rPr>
                <w:rFonts w:ascii="Arial" w:cs="Arial" w:eastAsia="Arial" w:hAnsi="Arial"/>
                <w:sz w:val="15"/>
                <w:szCs w:val="15"/>
                <w:color w:val="auto"/>
              </w:rPr>
              <w:t>(8,543)</w:t>
            </w:r>
          </w:p>
        </w:tc>
        <w:tc>
          <w:tcPr>
            <w:tcW w:w="0" w:type="dxa"/>
            <w:vAlign w:val="bottom"/>
          </w:tcPr>
          <w:p>
            <w:pPr>
              <w:spacing w:after="0"/>
              <w:rPr>
                <w:sz w:val="1"/>
                <w:szCs w:val="1"/>
                <w:color w:val="auto"/>
              </w:rPr>
            </w:pPr>
          </w:p>
        </w:tc>
      </w:tr>
      <w:tr>
        <w:trPr>
          <w:trHeight w:val="207"/>
        </w:trPr>
        <w:tc>
          <w:tcPr>
            <w:tcW w:w="8620" w:type="dxa"/>
            <w:vAlign w:val="bottom"/>
          </w:tcPr>
          <w:p>
            <w:pPr>
              <w:ind w:left="40"/>
              <w:spacing w:after="0"/>
              <w:rPr>
                <w:sz w:val="20"/>
                <w:szCs w:val="20"/>
                <w:color w:val="auto"/>
              </w:rPr>
            </w:pPr>
            <w:r>
              <w:rPr>
                <w:rFonts w:ascii="Arial" w:cs="Arial" w:eastAsia="Arial" w:hAnsi="Arial"/>
                <w:sz w:val="15"/>
                <w:szCs w:val="15"/>
                <w:color w:val="auto"/>
              </w:rPr>
              <w:t>Assets of consolidated funds</w:t>
            </w:r>
          </w:p>
        </w:tc>
        <w:tc>
          <w:tcPr>
            <w:tcW w:w="420" w:type="dxa"/>
            <w:vAlign w:val="bottom"/>
            <w:tcBorders>
              <w:bottom w:val="single" w:sz="8" w:color="auto"/>
            </w:tcBorders>
          </w:tcPr>
          <w:p>
            <w:pPr>
              <w:spacing w:after="0"/>
              <w:rPr>
                <w:sz w:val="18"/>
                <w:szCs w:val="18"/>
                <w:color w:val="auto"/>
              </w:rPr>
            </w:pPr>
          </w:p>
        </w:tc>
        <w:tc>
          <w:tcPr>
            <w:tcW w:w="2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(1,711,868)</w:t>
            </w:r>
          </w:p>
        </w:tc>
        <w:tc>
          <w:tcPr>
            <w:tcW w:w="0" w:type="dxa"/>
            <w:vAlign w:val="bottom"/>
          </w:tcPr>
          <w:p>
            <w:pPr>
              <w:spacing w:after="0"/>
              <w:rPr>
                <w:sz w:val="1"/>
                <w:szCs w:val="1"/>
                <w:color w:val="auto"/>
              </w:rPr>
            </w:pPr>
          </w:p>
        </w:tc>
      </w:tr>
      <w:tr>
        <w:trPr>
          <w:trHeight w:val="200"/>
        </w:trPr>
        <w:tc>
          <w:tcPr>
            <w:tcW w:w="8620" w:type="dxa"/>
            <w:vAlign w:val="bottom"/>
          </w:tcPr>
          <w:p>
            <w:pPr>
              <w:ind w:left="300"/>
              <w:spacing w:after="0"/>
              <w:rPr>
                <w:sz w:val="20"/>
                <w:szCs w:val="20"/>
                <w:color w:val="auto"/>
              </w:rPr>
            </w:pPr>
            <w:r>
              <w:rPr>
                <w:rFonts w:ascii="Arial" w:cs="Arial" w:eastAsia="Arial" w:hAnsi="Arial"/>
                <w:sz w:val="15"/>
                <w:szCs w:val="15"/>
                <w:color w:val="auto"/>
              </w:rPr>
              <w:t>Total assets</w:t>
            </w:r>
          </w:p>
        </w:tc>
        <w:tc>
          <w:tcPr>
            <w:tcW w:w="420" w:type="dxa"/>
            <w:vAlign w:val="bottom"/>
            <w:tcBorders>
              <w:bottom w:val="single" w:sz="8" w:color="auto"/>
            </w:tcBorders>
          </w:tcPr>
          <w:p>
            <w:pPr>
              <w:spacing w:after="0"/>
              <w:rPr>
                <w:sz w:val="17"/>
                <w:szCs w:val="17"/>
                <w:color w:val="auto"/>
              </w:rPr>
            </w:pPr>
          </w:p>
        </w:tc>
        <w:tc>
          <w:tcPr>
            <w:tcW w:w="2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(1,957,733)</w:t>
            </w:r>
          </w:p>
        </w:tc>
        <w:tc>
          <w:tcPr>
            <w:tcW w:w="0" w:type="dxa"/>
            <w:vAlign w:val="bottom"/>
          </w:tcPr>
          <w:p>
            <w:pPr>
              <w:spacing w:after="0"/>
              <w:rPr>
                <w:sz w:val="1"/>
                <w:szCs w:val="1"/>
                <w:color w:val="auto"/>
              </w:rPr>
            </w:pPr>
          </w:p>
        </w:tc>
      </w:tr>
      <w:tr>
        <w:trPr>
          <w:trHeight w:val="20"/>
        </w:trPr>
        <w:tc>
          <w:tcPr>
            <w:tcW w:w="8620" w:type="dxa"/>
            <w:vAlign w:val="bottom"/>
            <w:vMerge w:val="restart"/>
          </w:tcPr>
          <w:p>
            <w:pPr>
              <w:spacing w:after="0"/>
              <w:rPr>
                <w:sz w:val="20"/>
                <w:szCs w:val="20"/>
                <w:color w:val="auto"/>
              </w:rPr>
            </w:pPr>
            <w:r>
              <w:rPr>
                <w:rFonts w:ascii="Arial" w:cs="Arial" w:eastAsia="Arial" w:hAnsi="Arial"/>
                <w:sz w:val="15"/>
                <w:szCs w:val="15"/>
                <w:b w:val="1"/>
                <w:bCs w:val="1"/>
                <w:color w:val="auto"/>
              </w:rPr>
              <w:t>Liabilities and Capital:</w:t>
            </w:r>
          </w:p>
        </w:tc>
        <w:tc>
          <w:tcPr>
            <w:tcW w:w="420" w:type="dxa"/>
            <w:vAlign w:val="bottom"/>
            <w:tcBorders>
              <w:bottom w:val="single" w:sz="8" w:color="auto"/>
            </w:tcBorders>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8620" w:type="dxa"/>
            <w:vAlign w:val="bottom"/>
            <w:vMerge w:val="continue"/>
          </w:tcPr>
          <w:p>
            <w:pPr>
              <w:spacing w:after="0"/>
              <w:rPr>
                <w:sz w:val="15"/>
                <w:szCs w:val="15"/>
                <w:color w:val="auto"/>
              </w:rPr>
            </w:pPr>
          </w:p>
        </w:tc>
        <w:tc>
          <w:tcPr>
            <w:tcW w:w="42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8620" w:type="dxa"/>
            <w:vAlign w:val="bottom"/>
          </w:tcPr>
          <w:p>
            <w:pPr>
              <w:spacing w:after="0"/>
              <w:rPr>
                <w:sz w:val="20"/>
                <w:szCs w:val="20"/>
                <w:color w:val="auto"/>
              </w:rPr>
            </w:pPr>
            <w:r>
              <w:rPr>
                <w:rFonts w:ascii="Arial" w:cs="Arial" w:eastAsia="Arial" w:hAnsi="Arial"/>
                <w:sz w:val="15"/>
                <w:szCs w:val="15"/>
                <w:color w:val="auto"/>
              </w:rPr>
              <w:t>Liabilities:</w:t>
            </w:r>
          </w:p>
        </w:tc>
        <w:tc>
          <w:tcPr>
            <w:tcW w:w="42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8620" w:type="dxa"/>
            <w:vAlign w:val="bottom"/>
          </w:tcPr>
          <w:p>
            <w:pPr>
              <w:ind w:left="300"/>
              <w:spacing w:after="0"/>
              <w:rPr>
                <w:sz w:val="20"/>
                <w:szCs w:val="20"/>
                <w:color w:val="auto"/>
              </w:rPr>
            </w:pPr>
            <w:r>
              <w:rPr>
                <w:rFonts w:ascii="Arial" w:cs="Arial" w:eastAsia="Arial" w:hAnsi="Arial"/>
                <w:sz w:val="15"/>
                <w:szCs w:val="15"/>
                <w:color w:val="auto"/>
              </w:rPr>
              <w:t>Accounts payable and accrued expenses</w:t>
            </w:r>
          </w:p>
        </w:tc>
        <w:tc>
          <w:tcPr>
            <w:tcW w:w="420" w:type="dxa"/>
            <w:vAlign w:val="bottom"/>
          </w:tcPr>
          <w:p>
            <w:pPr>
              <w:jc w:val="right"/>
              <w:ind w:right="243"/>
              <w:spacing w:after="0"/>
              <w:rPr>
                <w:sz w:val="20"/>
                <w:szCs w:val="20"/>
                <w:color w:val="auto"/>
              </w:rPr>
            </w:pPr>
            <w:r>
              <w:rPr>
                <w:rFonts w:ascii="Arial" w:cs="Arial" w:eastAsia="Arial" w:hAnsi="Arial"/>
                <w:sz w:val="15"/>
                <w:szCs w:val="15"/>
                <w:color w:val="auto"/>
                <w:w w:val="95"/>
              </w:rPr>
              <w:t>$</w:t>
            </w:r>
          </w:p>
        </w:tc>
        <w:tc>
          <w:tcPr>
            <w:tcW w:w="2100" w:type="dxa"/>
            <w:vAlign w:val="bottom"/>
          </w:tcPr>
          <w:p>
            <w:pPr>
              <w:jc w:val="right"/>
              <w:spacing w:after="0"/>
              <w:rPr>
                <w:sz w:val="20"/>
                <w:szCs w:val="20"/>
                <w:color w:val="auto"/>
              </w:rPr>
            </w:pPr>
            <w:r>
              <w:rPr>
                <w:rFonts w:ascii="Arial" w:cs="Arial" w:eastAsia="Arial" w:hAnsi="Arial"/>
                <w:sz w:val="15"/>
                <w:szCs w:val="15"/>
                <w:color w:val="auto"/>
              </w:rPr>
              <w:t>(49,176)</w:t>
            </w:r>
          </w:p>
        </w:tc>
        <w:tc>
          <w:tcPr>
            <w:tcW w:w="0" w:type="dxa"/>
            <w:vAlign w:val="bottom"/>
          </w:tcPr>
          <w:p>
            <w:pPr>
              <w:spacing w:after="0"/>
              <w:rPr>
                <w:sz w:val="1"/>
                <w:szCs w:val="1"/>
                <w:color w:val="auto"/>
              </w:rPr>
            </w:pPr>
          </w:p>
        </w:tc>
      </w:tr>
      <w:tr>
        <w:trPr>
          <w:trHeight w:val="206"/>
        </w:trPr>
        <w:tc>
          <w:tcPr>
            <w:tcW w:w="8620" w:type="dxa"/>
            <w:vAlign w:val="bottom"/>
          </w:tcPr>
          <w:p>
            <w:pPr>
              <w:ind w:left="300"/>
              <w:spacing w:after="0"/>
              <w:rPr>
                <w:sz w:val="20"/>
                <w:szCs w:val="20"/>
                <w:color w:val="auto"/>
              </w:rPr>
            </w:pPr>
            <w:r>
              <w:rPr>
                <w:rFonts w:ascii="Arial" w:cs="Arial" w:eastAsia="Arial" w:hAnsi="Arial"/>
                <w:sz w:val="15"/>
                <w:szCs w:val="15"/>
                <w:color w:val="auto"/>
              </w:rPr>
              <w:t>Due to affiliates</w:t>
            </w:r>
          </w:p>
        </w:tc>
        <w:tc>
          <w:tcPr>
            <w:tcW w:w="420" w:type="dxa"/>
            <w:vAlign w:val="bottom"/>
          </w:tcPr>
          <w:p>
            <w:pPr>
              <w:spacing w:after="0"/>
              <w:rPr>
                <w:sz w:val="17"/>
                <w:szCs w:val="17"/>
                <w:color w:val="auto"/>
              </w:rPr>
            </w:pPr>
          </w:p>
        </w:tc>
        <w:tc>
          <w:tcPr>
            <w:tcW w:w="2100" w:type="dxa"/>
            <w:vAlign w:val="bottom"/>
          </w:tcPr>
          <w:p>
            <w:pPr>
              <w:jc w:val="right"/>
              <w:spacing w:after="0"/>
              <w:rPr>
                <w:sz w:val="20"/>
                <w:szCs w:val="20"/>
                <w:color w:val="auto"/>
              </w:rPr>
            </w:pPr>
            <w:r>
              <w:rPr>
                <w:rFonts w:ascii="Arial" w:cs="Arial" w:eastAsia="Arial" w:hAnsi="Arial"/>
                <w:sz w:val="15"/>
                <w:szCs w:val="15"/>
                <w:color w:val="auto"/>
              </w:rPr>
              <w:t>(50,014)</w:t>
            </w:r>
          </w:p>
        </w:tc>
        <w:tc>
          <w:tcPr>
            <w:tcW w:w="0" w:type="dxa"/>
            <w:vAlign w:val="bottom"/>
          </w:tcPr>
          <w:p>
            <w:pPr>
              <w:spacing w:after="0"/>
              <w:rPr>
                <w:sz w:val="1"/>
                <w:szCs w:val="1"/>
                <w:color w:val="auto"/>
              </w:rPr>
            </w:pPr>
          </w:p>
        </w:tc>
      </w:tr>
      <w:tr>
        <w:trPr>
          <w:trHeight w:val="206"/>
        </w:trPr>
        <w:tc>
          <w:tcPr>
            <w:tcW w:w="8620" w:type="dxa"/>
            <w:vAlign w:val="bottom"/>
          </w:tcPr>
          <w:p>
            <w:pPr>
              <w:ind w:left="300"/>
              <w:spacing w:after="0"/>
              <w:rPr>
                <w:sz w:val="20"/>
                <w:szCs w:val="20"/>
                <w:color w:val="auto"/>
              </w:rPr>
            </w:pPr>
            <w:r>
              <w:rPr>
                <w:rFonts w:ascii="Arial" w:cs="Arial" w:eastAsia="Arial" w:hAnsi="Arial"/>
                <w:sz w:val="15"/>
                <w:szCs w:val="15"/>
                <w:color w:val="auto"/>
              </w:rPr>
              <w:t>Debt obligations</w:t>
            </w:r>
          </w:p>
        </w:tc>
        <w:tc>
          <w:tcPr>
            <w:tcW w:w="420" w:type="dxa"/>
            <w:vAlign w:val="bottom"/>
          </w:tcPr>
          <w:p>
            <w:pPr>
              <w:spacing w:after="0"/>
              <w:rPr>
                <w:sz w:val="17"/>
                <w:szCs w:val="17"/>
                <w:color w:val="auto"/>
              </w:rPr>
            </w:pPr>
          </w:p>
        </w:tc>
        <w:tc>
          <w:tcPr>
            <w:tcW w:w="2100" w:type="dxa"/>
            <w:vAlign w:val="bottom"/>
          </w:tcPr>
          <w:p>
            <w:pPr>
              <w:jc w:val="right"/>
              <w:spacing w:after="0"/>
              <w:rPr>
                <w:sz w:val="20"/>
                <w:szCs w:val="20"/>
                <w:color w:val="auto"/>
              </w:rPr>
            </w:pPr>
            <w:r>
              <w:rPr>
                <w:rFonts w:ascii="Arial" w:cs="Arial" w:eastAsia="Arial" w:hAnsi="Arial"/>
                <w:sz w:val="15"/>
                <w:szCs w:val="15"/>
                <w:color w:val="auto"/>
              </w:rPr>
              <w:t>(213,161)</w:t>
            </w:r>
          </w:p>
        </w:tc>
        <w:tc>
          <w:tcPr>
            <w:tcW w:w="0" w:type="dxa"/>
            <w:vAlign w:val="bottom"/>
          </w:tcPr>
          <w:p>
            <w:pPr>
              <w:spacing w:after="0"/>
              <w:rPr>
                <w:sz w:val="1"/>
                <w:szCs w:val="1"/>
                <w:color w:val="auto"/>
              </w:rPr>
            </w:pPr>
          </w:p>
        </w:tc>
      </w:tr>
      <w:tr>
        <w:trPr>
          <w:trHeight w:val="206"/>
        </w:trPr>
        <w:tc>
          <w:tcPr>
            <w:tcW w:w="8620" w:type="dxa"/>
            <w:vAlign w:val="bottom"/>
          </w:tcPr>
          <w:p>
            <w:pPr>
              <w:ind w:left="300"/>
              <w:spacing w:after="0"/>
              <w:rPr>
                <w:sz w:val="20"/>
                <w:szCs w:val="20"/>
                <w:color w:val="auto"/>
              </w:rPr>
            </w:pPr>
            <w:r>
              <w:rPr>
                <w:rFonts w:ascii="Arial" w:cs="Arial" w:eastAsia="Arial" w:hAnsi="Arial"/>
                <w:sz w:val="15"/>
                <w:szCs w:val="15"/>
                <w:color w:val="auto"/>
              </w:rPr>
              <w:t>Liabilities of consolidated funds</w:t>
            </w:r>
          </w:p>
        </w:tc>
        <w:tc>
          <w:tcPr>
            <w:tcW w:w="420" w:type="dxa"/>
            <w:vAlign w:val="bottom"/>
            <w:tcBorders>
              <w:bottom w:val="single" w:sz="8" w:color="auto"/>
            </w:tcBorders>
          </w:tcPr>
          <w:p>
            <w:pPr>
              <w:spacing w:after="0"/>
              <w:rPr>
                <w:sz w:val="17"/>
                <w:szCs w:val="17"/>
                <w:color w:val="auto"/>
              </w:rPr>
            </w:pPr>
          </w:p>
        </w:tc>
        <w:tc>
          <w:tcPr>
            <w:tcW w:w="2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(1,021,629)</w:t>
            </w:r>
          </w:p>
        </w:tc>
        <w:tc>
          <w:tcPr>
            <w:tcW w:w="0" w:type="dxa"/>
            <w:vAlign w:val="bottom"/>
          </w:tcPr>
          <w:p>
            <w:pPr>
              <w:spacing w:after="0"/>
              <w:rPr>
                <w:sz w:val="1"/>
                <w:szCs w:val="1"/>
                <w:color w:val="auto"/>
              </w:rPr>
            </w:pPr>
          </w:p>
        </w:tc>
      </w:tr>
      <w:tr>
        <w:trPr>
          <w:trHeight w:val="199"/>
        </w:trPr>
        <w:tc>
          <w:tcPr>
            <w:tcW w:w="8620" w:type="dxa"/>
            <w:vAlign w:val="bottom"/>
          </w:tcPr>
          <w:p>
            <w:pPr>
              <w:ind w:left="620"/>
              <w:spacing w:after="0"/>
              <w:rPr>
                <w:sz w:val="20"/>
                <w:szCs w:val="20"/>
                <w:color w:val="auto"/>
              </w:rPr>
            </w:pPr>
            <w:r>
              <w:rPr>
                <w:rFonts w:ascii="Arial" w:cs="Arial" w:eastAsia="Arial" w:hAnsi="Arial"/>
                <w:sz w:val="15"/>
                <w:szCs w:val="15"/>
                <w:color w:val="auto"/>
              </w:rPr>
              <w:t>Total liabilities</w:t>
            </w:r>
          </w:p>
        </w:tc>
        <w:tc>
          <w:tcPr>
            <w:tcW w:w="420" w:type="dxa"/>
            <w:vAlign w:val="bottom"/>
            <w:tcBorders>
              <w:bottom w:val="single" w:sz="8" w:color="auto"/>
            </w:tcBorders>
          </w:tcPr>
          <w:p>
            <w:pPr>
              <w:spacing w:after="0"/>
              <w:rPr>
                <w:sz w:val="17"/>
                <w:szCs w:val="17"/>
                <w:color w:val="auto"/>
              </w:rPr>
            </w:pPr>
          </w:p>
        </w:tc>
        <w:tc>
          <w:tcPr>
            <w:tcW w:w="2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(1,333,980)</w:t>
            </w:r>
          </w:p>
        </w:tc>
        <w:tc>
          <w:tcPr>
            <w:tcW w:w="0" w:type="dxa"/>
            <w:vAlign w:val="bottom"/>
          </w:tcPr>
          <w:p>
            <w:pPr>
              <w:spacing w:after="0"/>
              <w:rPr>
                <w:sz w:val="1"/>
                <w:szCs w:val="1"/>
                <w:color w:val="auto"/>
              </w:rPr>
            </w:pPr>
          </w:p>
        </w:tc>
      </w:tr>
      <w:tr>
        <w:trPr>
          <w:trHeight w:val="199"/>
        </w:trPr>
        <w:tc>
          <w:tcPr>
            <w:tcW w:w="8620" w:type="dxa"/>
            <w:vAlign w:val="bottom"/>
          </w:tcPr>
          <w:p>
            <w:pPr>
              <w:spacing w:after="0"/>
              <w:rPr>
                <w:sz w:val="20"/>
                <w:szCs w:val="20"/>
                <w:color w:val="auto"/>
              </w:rPr>
            </w:pPr>
            <w:r>
              <w:rPr>
                <w:rFonts w:ascii="Arial" w:cs="Arial" w:eastAsia="Arial" w:hAnsi="Arial"/>
                <w:sz w:val="15"/>
                <w:szCs w:val="15"/>
                <w:color w:val="auto"/>
              </w:rPr>
              <w:t>Non-controlling redeemable interests in consolidated funds</w:t>
            </w:r>
          </w:p>
        </w:tc>
        <w:tc>
          <w:tcPr>
            <w:tcW w:w="420" w:type="dxa"/>
            <w:vAlign w:val="bottom"/>
          </w:tcPr>
          <w:p>
            <w:pPr>
              <w:spacing w:after="0"/>
              <w:rPr>
                <w:sz w:val="17"/>
                <w:szCs w:val="17"/>
                <w:color w:val="auto"/>
              </w:rPr>
            </w:pPr>
          </w:p>
        </w:tc>
        <w:tc>
          <w:tcPr>
            <w:tcW w:w="2100" w:type="dxa"/>
            <w:vAlign w:val="bottom"/>
          </w:tcPr>
          <w:p>
            <w:pPr>
              <w:jc w:val="right"/>
              <w:spacing w:after="0"/>
              <w:rPr>
                <w:sz w:val="20"/>
                <w:szCs w:val="20"/>
                <w:color w:val="auto"/>
              </w:rPr>
            </w:pPr>
            <w:r>
              <w:rPr>
                <w:rFonts w:ascii="Arial" w:cs="Arial" w:eastAsia="Arial" w:hAnsi="Arial"/>
                <w:sz w:val="15"/>
                <w:szCs w:val="15"/>
                <w:color w:val="auto"/>
              </w:rPr>
              <w:t>(339,111)</w:t>
            </w:r>
          </w:p>
        </w:tc>
        <w:tc>
          <w:tcPr>
            <w:tcW w:w="0" w:type="dxa"/>
            <w:vAlign w:val="bottom"/>
          </w:tcPr>
          <w:p>
            <w:pPr>
              <w:spacing w:after="0"/>
              <w:rPr>
                <w:sz w:val="1"/>
                <w:szCs w:val="1"/>
                <w:color w:val="auto"/>
              </w:rPr>
            </w:pPr>
          </w:p>
        </w:tc>
      </w:tr>
      <w:tr>
        <w:trPr>
          <w:trHeight w:val="206"/>
        </w:trPr>
        <w:tc>
          <w:tcPr>
            <w:tcW w:w="8620" w:type="dxa"/>
            <w:vAlign w:val="bottom"/>
          </w:tcPr>
          <w:p>
            <w:pPr>
              <w:spacing w:after="0"/>
              <w:rPr>
                <w:sz w:val="20"/>
                <w:szCs w:val="20"/>
                <w:color w:val="auto"/>
              </w:rPr>
            </w:pPr>
            <w:r>
              <w:rPr>
                <w:rFonts w:ascii="Arial" w:cs="Arial" w:eastAsia="Arial" w:hAnsi="Arial"/>
                <w:sz w:val="15"/>
                <w:szCs w:val="15"/>
                <w:color w:val="auto"/>
              </w:rPr>
              <w:t>Unitholders’ Capital:</w:t>
            </w:r>
          </w:p>
        </w:tc>
        <w:tc>
          <w:tcPr>
            <w:tcW w:w="42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8620" w:type="dxa"/>
            <w:vAlign w:val="bottom"/>
          </w:tcPr>
          <w:p>
            <w:pPr>
              <w:ind w:left="300"/>
              <w:spacing w:after="0"/>
              <w:rPr>
                <w:sz w:val="20"/>
                <w:szCs w:val="20"/>
                <w:color w:val="auto"/>
              </w:rPr>
            </w:pPr>
            <w:r>
              <w:rPr>
                <w:rFonts w:ascii="Arial" w:cs="Arial" w:eastAsia="Arial" w:hAnsi="Arial"/>
                <w:sz w:val="15"/>
                <w:szCs w:val="15"/>
                <w:color w:val="auto"/>
              </w:rPr>
              <w:t>Non-controlling interest in consolidated subsidiaries</w:t>
            </w:r>
          </w:p>
        </w:tc>
        <w:tc>
          <w:tcPr>
            <w:tcW w:w="420" w:type="dxa"/>
            <w:vAlign w:val="bottom"/>
          </w:tcPr>
          <w:p>
            <w:pPr>
              <w:spacing w:after="0"/>
              <w:rPr>
                <w:sz w:val="17"/>
                <w:szCs w:val="17"/>
                <w:color w:val="auto"/>
              </w:rPr>
            </w:pPr>
          </w:p>
        </w:tc>
        <w:tc>
          <w:tcPr>
            <w:tcW w:w="2100" w:type="dxa"/>
            <w:vAlign w:val="bottom"/>
          </w:tcPr>
          <w:p>
            <w:pPr>
              <w:jc w:val="right"/>
              <w:spacing w:after="0"/>
              <w:rPr>
                <w:sz w:val="20"/>
                <w:szCs w:val="20"/>
                <w:color w:val="auto"/>
              </w:rPr>
            </w:pPr>
            <w:r>
              <w:rPr>
                <w:rFonts w:ascii="Arial" w:cs="Arial" w:eastAsia="Arial" w:hAnsi="Arial"/>
                <w:sz w:val="15"/>
                <w:szCs w:val="15"/>
                <w:color w:val="auto"/>
              </w:rPr>
              <w:t>(283,685)</w:t>
            </w:r>
          </w:p>
        </w:tc>
        <w:tc>
          <w:tcPr>
            <w:tcW w:w="0" w:type="dxa"/>
            <w:vAlign w:val="bottom"/>
          </w:tcPr>
          <w:p>
            <w:pPr>
              <w:spacing w:after="0"/>
              <w:rPr>
                <w:sz w:val="1"/>
                <w:szCs w:val="1"/>
                <w:color w:val="auto"/>
              </w:rPr>
            </w:pPr>
          </w:p>
        </w:tc>
      </w:tr>
      <w:tr>
        <w:trPr>
          <w:trHeight w:val="206"/>
        </w:trPr>
        <w:tc>
          <w:tcPr>
            <w:tcW w:w="8620" w:type="dxa"/>
            <w:vAlign w:val="bottom"/>
          </w:tcPr>
          <w:p>
            <w:pPr>
              <w:ind w:left="300"/>
              <w:spacing w:after="0"/>
              <w:rPr>
                <w:sz w:val="20"/>
                <w:szCs w:val="20"/>
                <w:color w:val="auto"/>
              </w:rPr>
            </w:pPr>
            <w:r>
              <w:rPr>
                <w:rFonts w:ascii="Arial" w:cs="Arial" w:eastAsia="Arial" w:hAnsi="Arial"/>
                <w:sz w:val="15"/>
                <w:szCs w:val="15"/>
                <w:color w:val="auto"/>
              </w:rPr>
              <w:t>Accumulated other comprehensive loss</w:t>
            </w:r>
          </w:p>
        </w:tc>
        <w:tc>
          <w:tcPr>
            <w:tcW w:w="420" w:type="dxa"/>
            <w:vAlign w:val="bottom"/>
            <w:tcBorders>
              <w:bottom w:val="single" w:sz="8" w:color="auto"/>
            </w:tcBorders>
          </w:tcPr>
          <w:p>
            <w:pPr>
              <w:spacing w:after="0"/>
              <w:rPr>
                <w:sz w:val="17"/>
                <w:szCs w:val="17"/>
                <w:color w:val="auto"/>
              </w:rPr>
            </w:pPr>
          </w:p>
        </w:tc>
        <w:tc>
          <w:tcPr>
            <w:tcW w:w="2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(957)</w:t>
            </w:r>
          </w:p>
        </w:tc>
        <w:tc>
          <w:tcPr>
            <w:tcW w:w="0" w:type="dxa"/>
            <w:vAlign w:val="bottom"/>
          </w:tcPr>
          <w:p>
            <w:pPr>
              <w:spacing w:after="0"/>
              <w:rPr>
                <w:sz w:val="1"/>
                <w:szCs w:val="1"/>
                <w:color w:val="auto"/>
              </w:rPr>
            </w:pPr>
          </w:p>
        </w:tc>
      </w:tr>
      <w:tr>
        <w:trPr>
          <w:trHeight w:val="200"/>
        </w:trPr>
        <w:tc>
          <w:tcPr>
            <w:tcW w:w="8620" w:type="dxa"/>
            <w:vAlign w:val="bottom"/>
          </w:tcPr>
          <w:p>
            <w:pPr>
              <w:ind w:left="620"/>
              <w:spacing w:after="0"/>
              <w:rPr>
                <w:sz w:val="20"/>
                <w:szCs w:val="20"/>
                <w:color w:val="auto"/>
              </w:rPr>
            </w:pPr>
            <w:r>
              <w:rPr>
                <w:rFonts w:ascii="Arial" w:cs="Arial" w:eastAsia="Arial" w:hAnsi="Arial"/>
                <w:sz w:val="15"/>
                <w:szCs w:val="15"/>
                <w:color w:val="auto"/>
              </w:rPr>
              <w:t>Total unitholders’ capital</w:t>
            </w:r>
          </w:p>
        </w:tc>
        <w:tc>
          <w:tcPr>
            <w:tcW w:w="420" w:type="dxa"/>
            <w:vAlign w:val="bottom"/>
            <w:tcBorders>
              <w:bottom w:val="single" w:sz="8" w:color="auto"/>
            </w:tcBorders>
          </w:tcPr>
          <w:p>
            <w:pPr>
              <w:spacing w:after="0"/>
              <w:rPr>
                <w:sz w:val="17"/>
                <w:szCs w:val="17"/>
                <w:color w:val="auto"/>
              </w:rPr>
            </w:pPr>
          </w:p>
        </w:tc>
        <w:tc>
          <w:tcPr>
            <w:tcW w:w="2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(284,642)</w:t>
            </w:r>
          </w:p>
        </w:tc>
        <w:tc>
          <w:tcPr>
            <w:tcW w:w="0" w:type="dxa"/>
            <w:vAlign w:val="bottom"/>
          </w:tcPr>
          <w:p>
            <w:pPr>
              <w:spacing w:after="0"/>
              <w:rPr>
                <w:sz w:val="1"/>
                <w:szCs w:val="1"/>
                <w:color w:val="auto"/>
              </w:rPr>
            </w:pPr>
          </w:p>
        </w:tc>
      </w:tr>
      <w:tr>
        <w:trPr>
          <w:trHeight w:val="200"/>
        </w:trPr>
        <w:tc>
          <w:tcPr>
            <w:tcW w:w="8620" w:type="dxa"/>
            <w:vAlign w:val="bottom"/>
          </w:tcPr>
          <w:p>
            <w:pPr>
              <w:ind w:left="620"/>
              <w:spacing w:after="0"/>
              <w:rPr>
                <w:sz w:val="20"/>
                <w:szCs w:val="20"/>
                <w:color w:val="auto"/>
              </w:rPr>
            </w:pPr>
            <w:r>
              <w:rPr>
                <w:rFonts w:ascii="Arial" w:cs="Arial" w:eastAsia="Arial" w:hAnsi="Arial"/>
                <w:sz w:val="15"/>
                <w:szCs w:val="15"/>
                <w:color w:val="auto"/>
              </w:rPr>
              <w:t>Total liabilities and capital</w:t>
            </w:r>
          </w:p>
        </w:tc>
        <w:tc>
          <w:tcPr>
            <w:tcW w:w="420" w:type="dxa"/>
            <w:vAlign w:val="bottom"/>
            <w:tcBorders>
              <w:bottom w:val="single" w:sz="8" w:color="auto"/>
            </w:tcBorders>
          </w:tcPr>
          <w:p>
            <w:pPr>
              <w:jc w:val="right"/>
              <w:ind w:right="243"/>
              <w:spacing w:after="0"/>
              <w:rPr>
                <w:sz w:val="20"/>
                <w:szCs w:val="20"/>
                <w:color w:val="auto"/>
              </w:rPr>
            </w:pPr>
            <w:r>
              <w:rPr>
                <w:rFonts w:ascii="Arial" w:cs="Arial" w:eastAsia="Arial" w:hAnsi="Arial"/>
                <w:sz w:val="15"/>
                <w:szCs w:val="15"/>
                <w:color w:val="auto"/>
                <w:w w:val="95"/>
              </w:rPr>
              <w:t>$</w:t>
            </w:r>
          </w:p>
        </w:tc>
        <w:tc>
          <w:tcPr>
            <w:tcW w:w="2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(1,957,733)</w:t>
            </w:r>
          </w:p>
        </w:tc>
        <w:tc>
          <w:tcPr>
            <w:tcW w:w="0" w:type="dxa"/>
            <w:vAlign w:val="bottom"/>
          </w:tcPr>
          <w:p>
            <w:pPr>
              <w:spacing w:after="0"/>
              <w:rPr>
                <w:sz w:val="1"/>
                <w:szCs w:val="1"/>
                <w:color w:val="auto"/>
              </w:rPr>
            </w:pPr>
          </w:p>
        </w:tc>
      </w:tr>
      <w:tr>
        <w:trPr>
          <w:trHeight w:val="20"/>
        </w:trPr>
        <w:tc>
          <w:tcPr>
            <w:tcW w:w="86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6" w:name="page87"/>
    <w:bookmarkEnd w:id="86"/>
    <w:p>
      <w:pPr>
        <w:jc w:val="center"/>
        <w:spacing w:after="0"/>
        <w:rPr>
          <w:sz w:val="20"/>
          <w:szCs w:val="20"/>
          <w:color w:val="auto"/>
        </w:rPr>
      </w:pPr>
      <w:r>
        <w:rPr>
          <w:rFonts w:ascii="Arial" w:cs="Arial" w:eastAsia="Arial" w:hAnsi="Arial"/>
          <w:sz w:val="17"/>
          <w:szCs w:val="17"/>
          <w:b w:val="1"/>
          <w:bCs w:val="1"/>
          <w:color w:val="auto"/>
        </w:rPr>
        <w:t>Brookfield Oaktree Holdings, LLC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 (Continued)</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December 31, 2025</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 in thousands, except where noted)</w:t>
      </w:r>
    </w:p>
    <w:p>
      <w:pPr>
        <w:spacing w:after="0" w:line="200" w:lineRule="exact"/>
        <w:rPr>
          <w:sz w:val="20"/>
          <w:szCs w:val="20"/>
          <w:color w:val="auto"/>
        </w:rPr>
      </w:pPr>
    </w:p>
    <w:p>
      <w:pPr>
        <w:spacing w:after="0" w:line="373" w:lineRule="exact"/>
        <w:rPr>
          <w:sz w:val="20"/>
          <w:szCs w:val="20"/>
          <w:color w:val="auto"/>
        </w:rPr>
      </w:pPr>
    </w:p>
    <w:p>
      <w:pPr>
        <w:ind w:right="9360" w:firstLine="3"/>
        <w:spacing w:after="0" w:line="444" w:lineRule="auto"/>
        <w:tabs>
          <w:tab w:leader="none" w:pos="191" w:val="left"/>
        </w:tabs>
        <w:numPr>
          <w:ilvl w:val="0"/>
          <w:numId w:val="33"/>
        </w:numPr>
        <w:rPr>
          <w:rFonts w:ascii="Arial" w:cs="Arial" w:eastAsia="Arial" w:hAnsi="Arial"/>
          <w:sz w:val="17"/>
          <w:szCs w:val="17"/>
          <w:b w:val="1"/>
          <w:bCs w:val="1"/>
          <w:color w:val="auto"/>
        </w:rPr>
      </w:pPr>
      <w:r>
        <w:rPr>
          <w:rFonts w:ascii="Arial" w:cs="Arial" w:eastAsia="Arial" w:hAnsi="Arial"/>
          <w:sz w:val="17"/>
          <w:szCs w:val="17"/>
          <w:b w:val="1"/>
          <w:bCs w:val="1"/>
          <w:color w:val="auto"/>
        </w:rPr>
        <w:t>INVESTMENTS Corporate Investments</w:t>
      </w:r>
    </w:p>
    <w:p>
      <w:pPr>
        <w:ind w:left="620"/>
        <w:spacing w:after="0"/>
        <w:rPr>
          <w:rFonts w:ascii="Arial" w:cs="Arial" w:eastAsia="Arial" w:hAnsi="Arial"/>
          <w:sz w:val="17"/>
          <w:szCs w:val="17"/>
          <w:b w:val="1"/>
          <w:bCs w:val="1"/>
          <w:color w:val="auto"/>
        </w:rPr>
      </w:pPr>
      <w:r>
        <w:rPr>
          <w:rFonts w:ascii="Arial" w:cs="Arial" w:eastAsia="Arial" w:hAnsi="Arial"/>
          <w:sz w:val="17"/>
          <w:szCs w:val="17"/>
          <w:color w:val="auto"/>
        </w:rPr>
        <w:t>Corporate investments consisted of the following:</w:t>
      </w:r>
    </w:p>
    <w:p>
      <w:pPr>
        <w:spacing w:after="0" w:line="139" w:lineRule="exact"/>
        <w:rPr>
          <w:sz w:val="20"/>
          <w:szCs w:val="20"/>
          <w:color w:val="auto"/>
        </w:rPr>
      </w:pPr>
    </w:p>
    <w:tbl>
      <w:tblPr>
        <w:tblLayout w:type="fixed"/>
        <w:tblInd w:w="20" w:type="dxa"/>
        <w:tblCellMar>
          <w:top w:w="0" w:type="dxa"/>
          <w:left w:w="0" w:type="dxa"/>
          <w:bottom w:w="0" w:type="dxa"/>
          <w:right w:w="0" w:type="dxa"/>
        </w:tblCellMar>
      </w:tblPr>
      <w:tr>
        <w:trPr>
          <w:trHeight w:val="165"/>
        </w:trPr>
        <w:tc>
          <w:tcPr>
            <w:tcW w:w="1500" w:type="dxa"/>
            <w:vAlign w:val="bottom"/>
          </w:tcPr>
          <w:p>
            <w:pPr>
              <w:spacing w:after="0"/>
              <w:rPr>
                <w:sz w:val="14"/>
                <w:szCs w:val="14"/>
                <w:color w:val="auto"/>
              </w:rPr>
            </w:pPr>
          </w:p>
        </w:tc>
        <w:tc>
          <w:tcPr>
            <w:tcW w:w="68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3"/>
          </w:tcPr>
          <w:p>
            <w:pPr>
              <w:jc w:val="right"/>
              <w:spacing w:after="0"/>
              <w:rPr>
                <w:sz w:val="20"/>
                <w:szCs w:val="20"/>
                <w:color w:val="auto"/>
              </w:rPr>
            </w:pPr>
            <w:r>
              <w:rPr>
                <w:rFonts w:ascii="Arial" w:cs="Arial" w:eastAsia="Arial" w:hAnsi="Arial"/>
                <w:sz w:val="12"/>
                <w:szCs w:val="12"/>
                <w:b w:val="1"/>
                <w:bCs w:val="1"/>
                <w:color w:val="auto"/>
              </w:rPr>
              <w:t>As of December 31,</w:t>
            </w:r>
          </w:p>
        </w:tc>
        <w:tc>
          <w:tcPr>
            <w:tcW w:w="8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50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97"/>
              </w:rPr>
              <w:t>Corporate Investments</w:t>
            </w:r>
          </w:p>
        </w:tc>
        <w:tc>
          <w:tcPr>
            <w:tcW w:w="68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20" w:type="dxa"/>
            <w:vAlign w:val="bottom"/>
          </w:tcPr>
          <w:p>
            <w:pPr>
              <w:jc w:val="right"/>
              <w:ind w:right="470"/>
              <w:spacing w:after="0"/>
              <w:rPr>
                <w:sz w:val="20"/>
                <w:szCs w:val="20"/>
                <w:color w:val="auto"/>
              </w:rPr>
            </w:pPr>
            <w:r>
              <w:rPr>
                <w:rFonts w:ascii="Arial" w:cs="Arial" w:eastAsia="Arial" w:hAnsi="Arial"/>
                <w:sz w:val="12"/>
                <w:szCs w:val="12"/>
                <w:b w:val="1"/>
                <w:bCs w:val="1"/>
                <w:color w:val="auto"/>
              </w:rPr>
              <w:t>2025</w:t>
            </w: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40" w:type="dxa"/>
            <w:vAlign w:val="bottom"/>
          </w:tcPr>
          <w:p>
            <w:pPr>
              <w:jc w:val="right"/>
              <w:ind w:right="447"/>
              <w:spacing w:after="0"/>
              <w:rPr>
                <w:sz w:val="20"/>
                <w:szCs w:val="20"/>
                <w:color w:val="auto"/>
              </w:rPr>
            </w:pPr>
            <w:r>
              <w:rPr>
                <w:rFonts w:ascii="Arial" w:cs="Arial" w:eastAsia="Arial" w:hAnsi="Arial"/>
                <w:sz w:val="12"/>
                <w:szCs w:val="12"/>
                <w:b w:val="1"/>
                <w:bCs w:val="1"/>
                <w:color w:val="auto"/>
              </w:rPr>
              <w:t>2024</w:t>
            </w:r>
          </w:p>
        </w:tc>
        <w:tc>
          <w:tcPr>
            <w:tcW w:w="0" w:type="dxa"/>
            <w:vAlign w:val="bottom"/>
          </w:tcPr>
          <w:p>
            <w:pPr>
              <w:spacing w:after="0"/>
              <w:rPr>
                <w:sz w:val="1"/>
                <w:szCs w:val="1"/>
                <w:color w:val="auto"/>
              </w:rPr>
            </w:pPr>
          </w:p>
        </w:tc>
      </w:tr>
      <w:tr>
        <w:trPr>
          <w:trHeight w:val="20"/>
        </w:trPr>
        <w:tc>
          <w:tcPr>
            <w:tcW w:w="8360" w:type="dxa"/>
            <w:vAlign w:val="bottom"/>
            <w:gridSpan w:val="2"/>
            <w:vMerge w:val="restart"/>
          </w:tcPr>
          <w:p>
            <w:pPr>
              <w:spacing w:after="0"/>
              <w:rPr>
                <w:sz w:val="20"/>
                <w:szCs w:val="20"/>
                <w:color w:val="auto"/>
              </w:rPr>
            </w:pPr>
            <w:r>
              <w:rPr>
                <w:rFonts w:ascii="Arial" w:cs="Arial" w:eastAsia="Arial" w:hAnsi="Arial"/>
                <w:sz w:val="15"/>
                <w:szCs w:val="15"/>
                <w:color w:val="auto"/>
              </w:rPr>
              <w:t>Equity-method investments:</w:t>
            </w: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360" w:type="dxa"/>
            <w:vAlign w:val="bottom"/>
            <w:gridSpan w:val="2"/>
            <w:vMerge w:val="continue"/>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8360" w:type="dxa"/>
            <w:vAlign w:val="bottom"/>
            <w:gridSpan w:val="2"/>
          </w:tcPr>
          <w:p>
            <w:pPr>
              <w:ind w:left="160"/>
              <w:spacing w:after="0"/>
              <w:rPr>
                <w:sz w:val="20"/>
                <w:szCs w:val="20"/>
                <w:color w:val="auto"/>
              </w:rPr>
            </w:pPr>
            <w:r>
              <w:rPr>
                <w:rFonts w:ascii="Arial" w:cs="Arial" w:eastAsia="Arial" w:hAnsi="Arial"/>
                <w:sz w:val="15"/>
                <w:szCs w:val="15"/>
                <w:color w:val="auto"/>
              </w:rPr>
              <w:t>Funds</w:t>
            </w:r>
          </w:p>
        </w:tc>
        <w:tc>
          <w:tcPr>
            <w:tcW w:w="320" w:type="dxa"/>
            <w:vAlign w:val="bottom"/>
          </w:tcPr>
          <w:p>
            <w:pPr>
              <w:jc w:val="right"/>
              <w:ind w:right="143"/>
              <w:spacing w:after="0"/>
              <w:rPr>
                <w:sz w:val="20"/>
                <w:szCs w:val="20"/>
                <w:color w:val="auto"/>
              </w:rPr>
            </w:pPr>
            <w:r>
              <w:rPr>
                <w:rFonts w:ascii="Arial" w:cs="Arial" w:eastAsia="Arial" w:hAnsi="Arial"/>
                <w:sz w:val="15"/>
                <w:szCs w:val="15"/>
                <w:color w:val="auto"/>
                <w:w w:val="95"/>
              </w:rPr>
              <w:t>$</w:t>
            </w:r>
          </w:p>
        </w:tc>
        <w:tc>
          <w:tcPr>
            <w:tcW w:w="1020" w:type="dxa"/>
            <w:vAlign w:val="bottom"/>
          </w:tcPr>
          <w:p>
            <w:pPr>
              <w:jc w:val="right"/>
              <w:ind w:right="10"/>
              <w:spacing w:after="0"/>
              <w:rPr>
                <w:sz w:val="20"/>
                <w:szCs w:val="20"/>
                <w:color w:val="auto"/>
              </w:rPr>
            </w:pPr>
            <w:r>
              <w:rPr>
                <w:rFonts w:ascii="Arial" w:cs="Arial" w:eastAsia="Arial" w:hAnsi="Arial"/>
                <w:sz w:val="15"/>
                <w:szCs w:val="15"/>
                <w:color w:val="auto"/>
              </w:rPr>
              <w:t>315,801</w:t>
            </w:r>
          </w:p>
        </w:tc>
        <w:tc>
          <w:tcPr>
            <w:tcW w:w="200" w:type="dxa"/>
            <w:vAlign w:val="bottom"/>
          </w:tcPr>
          <w:p>
            <w:pPr>
              <w:spacing w:after="0"/>
              <w:rPr>
                <w:sz w:val="17"/>
                <w:szCs w:val="17"/>
                <w:color w:val="auto"/>
              </w:rPr>
            </w:pPr>
          </w:p>
        </w:tc>
        <w:tc>
          <w:tcPr>
            <w:tcW w:w="480" w:type="dxa"/>
            <w:vAlign w:val="bottom"/>
          </w:tcPr>
          <w:p>
            <w:pPr>
              <w:jc w:val="right"/>
              <w:ind w:right="303"/>
              <w:spacing w:after="0"/>
              <w:rPr>
                <w:sz w:val="20"/>
                <w:szCs w:val="20"/>
                <w:color w:val="auto"/>
              </w:rPr>
            </w:pPr>
            <w:r>
              <w:rPr>
                <w:rFonts w:ascii="Arial" w:cs="Arial" w:eastAsia="Arial" w:hAnsi="Arial"/>
                <w:sz w:val="15"/>
                <w:szCs w:val="15"/>
                <w:color w:val="auto"/>
                <w:w w:val="95"/>
              </w:rPr>
              <w:t>$</w:t>
            </w:r>
          </w:p>
        </w:tc>
        <w:tc>
          <w:tcPr>
            <w:tcW w:w="840" w:type="dxa"/>
            <w:vAlign w:val="bottom"/>
          </w:tcPr>
          <w:p>
            <w:pPr>
              <w:jc w:val="right"/>
              <w:spacing w:after="0"/>
              <w:rPr>
                <w:sz w:val="20"/>
                <w:szCs w:val="20"/>
                <w:color w:val="auto"/>
              </w:rPr>
            </w:pPr>
            <w:r>
              <w:rPr>
                <w:rFonts w:ascii="Arial" w:cs="Arial" w:eastAsia="Arial" w:hAnsi="Arial"/>
                <w:sz w:val="15"/>
                <w:szCs w:val="15"/>
                <w:color w:val="auto"/>
              </w:rPr>
              <w:t>317,256</w:t>
            </w:r>
          </w:p>
        </w:tc>
        <w:tc>
          <w:tcPr>
            <w:tcW w:w="0" w:type="dxa"/>
            <w:vAlign w:val="bottom"/>
          </w:tcPr>
          <w:p>
            <w:pPr>
              <w:spacing w:after="0"/>
              <w:rPr>
                <w:sz w:val="1"/>
                <w:szCs w:val="1"/>
                <w:color w:val="auto"/>
              </w:rPr>
            </w:pPr>
          </w:p>
        </w:tc>
      </w:tr>
      <w:tr>
        <w:trPr>
          <w:trHeight w:val="207"/>
        </w:trPr>
        <w:tc>
          <w:tcPr>
            <w:tcW w:w="8360" w:type="dxa"/>
            <w:vAlign w:val="bottom"/>
            <w:gridSpan w:val="2"/>
          </w:tcPr>
          <w:p>
            <w:pPr>
              <w:ind w:left="160"/>
              <w:spacing w:after="0"/>
              <w:rPr>
                <w:sz w:val="20"/>
                <w:szCs w:val="20"/>
                <w:color w:val="auto"/>
              </w:rPr>
            </w:pPr>
            <w:r>
              <w:rPr>
                <w:rFonts w:ascii="Arial" w:cs="Arial" w:eastAsia="Arial" w:hAnsi="Arial"/>
                <w:sz w:val="15"/>
                <w:szCs w:val="15"/>
                <w:color w:val="auto"/>
              </w:rPr>
              <w:t>Companies</w:t>
            </w: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5"/>
                <w:szCs w:val="15"/>
                <w:color w:val="auto"/>
              </w:rPr>
              <w:t>1,114,972</w:t>
            </w:r>
          </w:p>
        </w:tc>
        <w:tc>
          <w:tcPr>
            <w:tcW w:w="20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1,203,004</w:t>
            </w:r>
          </w:p>
        </w:tc>
        <w:tc>
          <w:tcPr>
            <w:tcW w:w="0" w:type="dxa"/>
            <w:vAlign w:val="bottom"/>
          </w:tcPr>
          <w:p>
            <w:pPr>
              <w:spacing w:after="0"/>
              <w:rPr>
                <w:sz w:val="1"/>
                <w:szCs w:val="1"/>
                <w:color w:val="auto"/>
              </w:rPr>
            </w:pPr>
          </w:p>
        </w:tc>
      </w:tr>
      <w:tr>
        <w:trPr>
          <w:trHeight w:val="200"/>
        </w:trPr>
        <w:tc>
          <w:tcPr>
            <w:tcW w:w="8360" w:type="dxa"/>
            <w:vAlign w:val="bottom"/>
            <w:gridSpan w:val="2"/>
          </w:tcPr>
          <w:p>
            <w:pPr>
              <w:spacing w:after="0"/>
              <w:rPr>
                <w:sz w:val="20"/>
                <w:szCs w:val="20"/>
                <w:color w:val="auto"/>
              </w:rPr>
            </w:pPr>
            <w:r>
              <w:rPr>
                <w:rFonts w:ascii="Arial" w:cs="Arial" w:eastAsia="Arial" w:hAnsi="Arial"/>
                <w:sz w:val="15"/>
                <w:szCs w:val="15"/>
                <w:color w:val="auto"/>
              </w:rPr>
              <w:t>Total corporate investments</w:t>
            </w:r>
          </w:p>
        </w:tc>
        <w:tc>
          <w:tcPr>
            <w:tcW w:w="320" w:type="dxa"/>
            <w:vAlign w:val="bottom"/>
            <w:tcBorders>
              <w:bottom w:val="single" w:sz="8" w:color="auto"/>
            </w:tcBorders>
          </w:tcPr>
          <w:p>
            <w:pPr>
              <w:jc w:val="right"/>
              <w:ind w:right="143"/>
              <w:spacing w:after="0"/>
              <w:rPr>
                <w:sz w:val="20"/>
                <w:szCs w:val="20"/>
                <w:color w:val="auto"/>
              </w:rPr>
            </w:pPr>
            <w:r>
              <w:rPr>
                <w:rFonts w:ascii="Arial" w:cs="Arial" w:eastAsia="Arial" w:hAnsi="Arial"/>
                <w:sz w:val="15"/>
                <w:szCs w:val="15"/>
                <w:color w:val="auto"/>
                <w:w w:val="95"/>
              </w:rPr>
              <w:t>$</w:t>
            </w: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5"/>
                <w:szCs w:val="15"/>
                <w:color w:val="auto"/>
              </w:rPr>
              <w:t>1,430,773</w:t>
            </w:r>
          </w:p>
        </w:tc>
        <w:tc>
          <w:tcPr>
            <w:tcW w:w="200" w:type="dxa"/>
            <w:vAlign w:val="bottom"/>
          </w:tcPr>
          <w:p>
            <w:pPr>
              <w:spacing w:after="0"/>
              <w:rPr>
                <w:sz w:val="17"/>
                <w:szCs w:val="17"/>
                <w:color w:val="auto"/>
              </w:rPr>
            </w:pPr>
          </w:p>
        </w:tc>
        <w:tc>
          <w:tcPr>
            <w:tcW w:w="480" w:type="dxa"/>
            <w:vAlign w:val="bottom"/>
            <w:tcBorders>
              <w:bottom w:val="single" w:sz="8" w:color="auto"/>
            </w:tcBorders>
          </w:tcPr>
          <w:p>
            <w:pPr>
              <w:jc w:val="right"/>
              <w:ind w:right="303"/>
              <w:spacing w:after="0"/>
              <w:rPr>
                <w:sz w:val="20"/>
                <w:szCs w:val="20"/>
                <w:color w:val="auto"/>
              </w:rPr>
            </w:pPr>
            <w:r>
              <w:rPr>
                <w:rFonts w:ascii="Arial" w:cs="Arial" w:eastAsia="Arial" w:hAnsi="Arial"/>
                <w:sz w:val="15"/>
                <w:szCs w:val="15"/>
                <w:color w:val="auto"/>
                <w:w w:val="95"/>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1,520,260</w:t>
            </w: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68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Equity-method Investments</w:t>
      </w:r>
    </w:p>
    <w:p>
      <w:pPr>
        <w:spacing w:after="0" w:line="165" w:lineRule="exact"/>
        <w:rPr>
          <w:sz w:val="20"/>
          <w:szCs w:val="20"/>
          <w:color w:val="auto"/>
        </w:rPr>
      </w:pPr>
    </w:p>
    <w:p>
      <w:pPr>
        <w:ind w:right="40" w:firstLine="619"/>
        <w:spacing w:after="0" w:line="253" w:lineRule="auto"/>
        <w:rPr>
          <w:sz w:val="20"/>
          <w:szCs w:val="20"/>
          <w:color w:val="auto"/>
        </w:rPr>
      </w:pPr>
      <w:r>
        <w:rPr>
          <w:rFonts w:ascii="Arial" w:cs="Arial" w:eastAsia="Arial" w:hAnsi="Arial"/>
          <w:sz w:val="17"/>
          <w:szCs w:val="17"/>
          <w:color w:val="auto"/>
        </w:rPr>
        <w:t>The Company’s equity-method investments include its investments in funds and companies that are not consolidated, but for which the Company is deemed to have significant influence. The Company’s share of income or loss generated by these investments is recorded within investment income in the consolidated statements of operations. The Company’s equity-method investments in Oaktree funds principally reflect the Company’s general partner interests in those funds, which typically do not exceed 2.5% in each fund. The Oaktree funds are investment companies that follow a specialized basis of accounting established by GAAP. In connection with the 2024 Restructuring, the Company determined that it is no longer the primary beneficiary of Oaktree Capital I and deconsolidated the entity, which is accounted for as an equity method investment beginning with the third quarter of 2024.</w:t>
      </w:r>
    </w:p>
    <w:p>
      <w:pPr>
        <w:spacing w:after="0" w:line="5" w:lineRule="exact"/>
        <w:rPr>
          <w:sz w:val="20"/>
          <w:szCs w:val="20"/>
          <w:color w:val="auto"/>
        </w:rPr>
      </w:pPr>
    </w:p>
    <w:p>
      <w:pPr>
        <w:ind w:right="120" w:firstLine="619"/>
        <w:spacing w:after="0"/>
        <w:rPr>
          <w:sz w:val="20"/>
          <w:szCs w:val="20"/>
          <w:color w:val="auto"/>
        </w:rPr>
      </w:pPr>
      <w:r>
        <w:rPr>
          <w:rFonts w:ascii="Arial" w:cs="Arial" w:eastAsia="Arial" w:hAnsi="Arial"/>
          <w:sz w:val="17"/>
          <w:szCs w:val="17"/>
          <w:color w:val="auto"/>
        </w:rPr>
        <w:t>On June 27, 2023, the Company entered into a contribution agreement with Brookfield Corporate Treasury Ltd. and acquired the equity ownership in certain entities which beneficially own shares in Brookfield Real Estate Income Trust. The Company accounted for the acquired interests as equity method investments with fair value election. The fair value option has been elected to simplify the accounting for the investment in OCG NTR Holdings, LLC, a wholly owned subsidiary of the Company (“NTR”). Changes in the fair value and cash dividends received from the investment in NTR are included in investment income. During the year ended December 31, 2025, the Company recognized an equity investment gain of $3.1 million. Please refer to note 15 for the detailed description of the transaction.</w:t>
      </w:r>
    </w:p>
    <w:p>
      <w:pPr>
        <w:spacing w:after="0" w:line="139" w:lineRule="exact"/>
        <w:rPr>
          <w:sz w:val="20"/>
          <w:szCs w:val="20"/>
          <w:color w:val="auto"/>
        </w:rPr>
      </w:pPr>
    </w:p>
    <w:p>
      <w:pPr>
        <w:ind w:firstLine="619"/>
        <w:spacing w:after="0" w:line="265" w:lineRule="auto"/>
        <w:rPr>
          <w:sz w:val="20"/>
          <w:szCs w:val="20"/>
          <w:color w:val="auto"/>
        </w:rPr>
      </w:pPr>
      <w:r>
        <w:rPr>
          <w:rFonts w:ascii="Arial" w:cs="Arial" w:eastAsia="Arial" w:hAnsi="Arial"/>
          <w:sz w:val="17"/>
          <w:szCs w:val="17"/>
          <w:color w:val="auto"/>
        </w:rPr>
        <w:t>Each reporting period, the Company evaluates each of its equity-method investments to determine if any are considered significant, as defined by the SEC. As of December 31, 2025, or for the twelve months ended December 31, 2025, the Company determined Oaktree Capital I met the significance criteria. No other individual equity-method investment met the significance criteria. Separate financial statements of Oaktree Capital I are included in Exhibit 99.1.</w:t>
      </w:r>
    </w:p>
    <w:p>
      <w:pPr>
        <w:spacing w:after="0" w:line="116" w:lineRule="exact"/>
        <w:rPr>
          <w:sz w:val="20"/>
          <w:szCs w:val="20"/>
          <w:color w:val="auto"/>
        </w:rPr>
      </w:pPr>
    </w:p>
    <w:p>
      <w:pPr>
        <w:ind w:left="1840"/>
        <w:spacing w:after="0"/>
        <w:rPr>
          <w:sz w:val="20"/>
          <w:szCs w:val="20"/>
          <w:color w:val="auto"/>
        </w:rPr>
      </w:pPr>
      <w:r>
        <w:rPr>
          <w:rFonts w:ascii="Arial" w:cs="Arial" w:eastAsia="Arial" w:hAnsi="Arial"/>
          <w:sz w:val="17"/>
          <w:szCs w:val="17"/>
          <w:color w:val="auto"/>
        </w:rPr>
        <w:t>Summarized financial information of the Company’s remaining equity-method investments is set forth below.</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7" w:name="page88"/>
    <w:bookmarkEnd w:id="87"/>
    <w:p>
      <w:pPr>
        <w:jc w:val="center"/>
        <w:spacing w:after="0"/>
        <w:rPr>
          <w:sz w:val="20"/>
          <w:szCs w:val="20"/>
          <w:color w:val="auto"/>
        </w:rPr>
      </w:pPr>
      <w:r>
        <w:rPr>
          <w:rFonts w:ascii="Arial" w:cs="Arial" w:eastAsia="Arial" w:hAnsi="Arial"/>
          <w:sz w:val="17"/>
          <w:szCs w:val="17"/>
          <w:b w:val="1"/>
          <w:bCs w:val="1"/>
          <w:color w:val="auto"/>
        </w:rPr>
        <w:t>Brookfield Oaktree Holdings, LLC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 (Continued)</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December 31, 2025</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 in thousands, except where noted)</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20" w:type="dxa"/>
        <w:tblCellMar>
          <w:top w:w="0" w:type="dxa"/>
          <w:left w:w="0" w:type="dxa"/>
          <w:bottom w:w="0" w:type="dxa"/>
          <w:right w:w="0" w:type="dxa"/>
        </w:tblCellMar>
      </w:tblPr>
      <w:tr>
        <w:trPr>
          <w:trHeight w:val="165"/>
        </w:trPr>
        <w:tc>
          <w:tcPr>
            <w:tcW w:w="1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3"/>
          </w:tcPr>
          <w:p>
            <w:pPr>
              <w:jc w:val="right"/>
              <w:spacing w:after="0"/>
              <w:rPr>
                <w:sz w:val="20"/>
                <w:szCs w:val="20"/>
                <w:color w:val="auto"/>
              </w:rPr>
            </w:pPr>
            <w:r>
              <w:rPr>
                <w:rFonts w:ascii="Arial" w:cs="Arial" w:eastAsia="Arial" w:hAnsi="Arial"/>
                <w:sz w:val="12"/>
                <w:szCs w:val="12"/>
                <w:b w:val="1"/>
                <w:bCs w:val="1"/>
                <w:color w:val="auto"/>
              </w:rPr>
              <w:t>As of December 31,</w:t>
            </w:r>
          </w:p>
        </w:tc>
        <w:tc>
          <w:tcPr>
            <w:tcW w:w="9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50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Statements of Financial Condition</w:t>
            </w:r>
          </w:p>
        </w:tc>
        <w:tc>
          <w:tcPr>
            <w:tcW w:w="3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00" w:type="dxa"/>
            <w:vAlign w:val="bottom"/>
          </w:tcPr>
          <w:p>
            <w:pPr>
              <w:jc w:val="right"/>
              <w:ind w:right="526"/>
              <w:spacing w:after="0"/>
              <w:rPr>
                <w:sz w:val="20"/>
                <w:szCs w:val="20"/>
                <w:color w:val="auto"/>
              </w:rPr>
            </w:pPr>
            <w:r>
              <w:rPr>
                <w:rFonts w:ascii="Arial" w:cs="Arial" w:eastAsia="Arial" w:hAnsi="Arial"/>
                <w:sz w:val="12"/>
                <w:szCs w:val="12"/>
                <w:b w:val="1"/>
                <w:bCs w:val="1"/>
                <w:color w:val="auto"/>
              </w:rPr>
              <w:t>2025</w:t>
            </w: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920" w:type="dxa"/>
            <w:vAlign w:val="bottom"/>
          </w:tcPr>
          <w:p>
            <w:pPr>
              <w:jc w:val="right"/>
              <w:ind w:right="505"/>
              <w:spacing w:after="0"/>
              <w:rPr>
                <w:sz w:val="20"/>
                <w:szCs w:val="20"/>
                <w:color w:val="auto"/>
              </w:rPr>
            </w:pPr>
            <w:r>
              <w:rPr>
                <w:rFonts w:ascii="Arial" w:cs="Arial" w:eastAsia="Arial" w:hAnsi="Arial"/>
                <w:sz w:val="12"/>
                <w:szCs w:val="12"/>
                <w:b w:val="1"/>
                <w:bCs w:val="1"/>
                <w:color w:val="auto"/>
              </w:rPr>
              <w:t>2024</w:t>
            </w:r>
          </w:p>
        </w:tc>
        <w:tc>
          <w:tcPr>
            <w:tcW w:w="0" w:type="dxa"/>
            <w:vAlign w:val="bottom"/>
          </w:tcPr>
          <w:p>
            <w:pPr>
              <w:spacing w:after="0"/>
              <w:rPr>
                <w:sz w:val="1"/>
                <w:szCs w:val="1"/>
                <w:color w:val="auto"/>
              </w:rPr>
            </w:pPr>
          </w:p>
        </w:tc>
      </w:tr>
      <w:tr>
        <w:trPr>
          <w:trHeight w:val="20"/>
        </w:trPr>
        <w:tc>
          <w:tcPr>
            <w:tcW w:w="2220" w:type="dxa"/>
            <w:vAlign w:val="bottom"/>
            <w:tcBorders>
              <w:top w:val="single" w:sz="8" w:color="auto"/>
              <w:bottom w:val="single" w:sz="8" w:color="auto"/>
            </w:tcBorders>
            <w:gridSpan w:val="2"/>
            <w:vMerge w:val="restart"/>
          </w:tcPr>
          <w:p>
            <w:pPr>
              <w:spacing w:after="0"/>
              <w:rPr>
                <w:sz w:val="20"/>
                <w:szCs w:val="20"/>
                <w:color w:val="auto"/>
              </w:rPr>
            </w:pPr>
            <w:r>
              <w:rPr>
                <w:rFonts w:ascii="Arial" w:cs="Arial" w:eastAsia="Arial" w:hAnsi="Arial"/>
                <w:sz w:val="15"/>
                <w:szCs w:val="15"/>
                <w:b w:val="1"/>
                <w:bCs w:val="1"/>
                <w:color w:val="auto"/>
              </w:rPr>
              <w:t>Assets:</w:t>
            </w:r>
          </w:p>
        </w:tc>
        <w:tc>
          <w:tcPr>
            <w:tcW w:w="4280" w:type="dxa"/>
            <w:vAlign w:val="bottom"/>
            <w:vMerge w:val="restart"/>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2220" w:type="dxa"/>
            <w:vAlign w:val="bottom"/>
            <w:gridSpan w:val="2"/>
            <w:vMerge w:val="continue"/>
          </w:tcPr>
          <w:p>
            <w:pPr>
              <w:spacing w:after="0"/>
              <w:rPr>
                <w:sz w:val="16"/>
                <w:szCs w:val="16"/>
                <w:color w:val="auto"/>
              </w:rPr>
            </w:pPr>
          </w:p>
        </w:tc>
        <w:tc>
          <w:tcPr>
            <w:tcW w:w="428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6500" w:type="dxa"/>
            <w:vAlign w:val="bottom"/>
            <w:gridSpan w:val="3"/>
          </w:tcPr>
          <w:p>
            <w:pPr>
              <w:spacing w:after="0"/>
              <w:rPr>
                <w:sz w:val="20"/>
                <w:szCs w:val="20"/>
                <w:color w:val="auto"/>
              </w:rPr>
            </w:pPr>
            <w:r>
              <w:rPr>
                <w:rFonts w:ascii="Arial" w:cs="Arial" w:eastAsia="Arial" w:hAnsi="Arial"/>
                <w:sz w:val="15"/>
                <w:szCs w:val="15"/>
                <w:color w:val="auto"/>
              </w:rPr>
              <w:t>Cash and cash-equivalents</w:t>
            </w: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540" w:type="dxa"/>
            <w:vAlign w:val="bottom"/>
            <w:gridSpan w:val="3"/>
          </w:tcPr>
          <w:p>
            <w:pPr>
              <w:jc w:val="right"/>
              <w:ind w:right="240"/>
              <w:spacing w:after="0"/>
              <w:rPr>
                <w:sz w:val="20"/>
                <w:szCs w:val="20"/>
                <w:color w:val="auto"/>
              </w:rPr>
            </w:pPr>
            <w:r>
              <w:rPr>
                <w:rFonts w:ascii="Arial" w:cs="Arial" w:eastAsia="Arial" w:hAnsi="Arial"/>
                <w:sz w:val="15"/>
                <w:szCs w:val="15"/>
                <w:color w:val="auto"/>
              </w:rPr>
              <w:t>$</w:t>
            </w:r>
          </w:p>
        </w:tc>
        <w:tc>
          <w:tcPr>
            <w:tcW w:w="1100" w:type="dxa"/>
            <w:vAlign w:val="bottom"/>
          </w:tcPr>
          <w:p>
            <w:pPr>
              <w:jc w:val="right"/>
              <w:ind w:right="6"/>
              <w:spacing w:after="0"/>
              <w:rPr>
                <w:sz w:val="20"/>
                <w:szCs w:val="20"/>
                <w:color w:val="auto"/>
              </w:rPr>
            </w:pPr>
            <w:r>
              <w:rPr>
                <w:rFonts w:ascii="Arial" w:cs="Arial" w:eastAsia="Arial" w:hAnsi="Arial"/>
                <w:sz w:val="15"/>
                <w:szCs w:val="15"/>
                <w:color w:val="auto"/>
              </w:rPr>
              <w:t>50,608</w:t>
            </w:r>
          </w:p>
        </w:tc>
        <w:tc>
          <w:tcPr>
            <w:tcW w:w="200" w:type="dxa"/>
            <w:vAlign w:val="bottom"/>
          </w:tcPr>
          <w:p>
            <w:pPr>
              <w:spacing w:after="0"/>
              <w:rPr>
                <w:sz w:val="17"/>
                <w:szCs w:val="17"/>
                <w:color w:val="auto"/>
              </w:rPr>
            </w:pPr>
          </w:p>
        </w:tc>
        <w:tc>
          <w:tcPr>
            <w:tcW w:w="520" w:type="dxa"/>
            <w:vAlign w:val="bottom"/>
          </w:tcPr>
          <w:p>
            <w:pPr>
              <w:jc w:val="right"/>
              <w:ind w:right="343"/>
              <w:spacing w:after="0"/>
              <w:rPr>
                <w:sz w:val="20"/>
                <w:szCs w:val="20"/>
                <w:color w:val="auto"/>
              </w:rPr>
            </w:pPr>
            <w:r>
              <w:rPr>
                <w:rFonts w:ascii="Arial" w:cs="Arial" w:eastAsia="Arial" w:hAnsi="Arial"/>
                <w:sz w:val="15"/>
                <w:szCs w:val="15"/>
                <w:color w:val="auto"/>
                <w:w w:val="95"/>
              </w:rPr>
              <w:t>$</w:t>
            </w:r>
          </w:p>
        </w:tc>
        <w:tc>
          <w:tcPr>
            <w:tcW w:w="920" w:type="dxa"/>
            <w:vAlign w:val="bottom"/>
          </w:tcPr>
          <w:p>
            <w:pPr>
              <w:jc w:val="right"/>
              <w:spacing w:after="0"/>
              <w:rPr>
                <w:sz w:val="20"/>
                <w:szCs w:val="20"/>
                <w:color w:val="auto"/>
              </w:rPr>
            </w:pPr>
            <w:r>
              <w:rPr>
                <w:rFonts w:ascii="Arial" w:cs="Arial" w:eastAsia="Arial" w:hAnsi="Arial"/>
                <w:sz w:val="15"/>
                <w:szCs w:val="15"/>
                <w:color w:val="auto"/>
              </w:rPr>
              <w:t>25,489</w:t>
            </w:r>
          </w:p>
        </w:tc>
        <w:tc>
          <w:tcPr>
            <w:tcW w:w="0" w:type="dxa"/>
            <w:vAlign w:val="bottom"/>
          </w:tcPr>
          <w:p>
            <w:pPr>
              <w:spacing w:after="0"/>
              <w:rPr>
                <w:sz w:val="1"/>
                <w:szCs w:val="1"/>
                <w:color w:val="auto"/>
              </w:rPr>
            </w:pPr>
          </w:p>
        </w:tc>
      </w:tr>
      <w:tr>
        <w:trPr>
          <w:trHeight w:val="206"/>
        </w:trPr>
        <w:tc>
          <w:tcPr>
            <w:tcW w:w="6500" w:type="dxa"/>
            <w:vAlign w:val="bottom"/>
            <w:gridSpan w:val="3"/>
          </w:tcPr>
          <w:p>
            <w:pPr>
              <w:spacing w:after="0"/>
              <w:rPr>
                <w:sz w:val="20"/>
                <w:szCs w:val="20"/>
                <w:color w:val="auto"/>
              </w:rPr>
            </w:pPr>
            <w:r>
              <w:rPr>
                <w:rFonts w:ascii="Arial" w:cs="Arial" w:eastAsia="Arial" w:hAnsi="Arial"/>
                <w:sz w:val="15"/>
                <w:szCs w:val="15"/>
                <w:color w:val="auto"/>
              </w:rPr>
              <w:t>Investments, at fair value</w:t>
            </w: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ind w:right="6"/>
              <w:spacing w:after="0"/>
              <w:rPr>
                <w:sz w:val="20"/>
                <w:szCs w:val="20"/>
                <w:color w:val="auto"/>
              </w:rPr>
            </w:pPr>
            <w:r>
              <w:rPr>
                <w:rFonts w:ascii="Arial" w:cs="Arial" w:eastAsia="Arial" w:hAnsi="Arial"/>
                <w:sz w:val="15"/>
                <w:szCs w:val="15"/>
                <w:color w:val="auto"/>
              </w:rPr>
              <w:t>2,050,887</w:t>
            </w:r>
          </w:p>
        </w:tc>
        <w:tc>
          <w:tcPr>
            <w:tcW w:w="2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1,886,579</w:t>
            </w:r>
          </w:p>
        </w:tc>
        <w:tc>
          <w:tcPr>
            <w:tcW w:w="0" w:type="dxa"/>
            <w:vAlign w:val="bottom"/>
          </w:tcPr>
          <w:p>
            <w:pPr>
              <w:spacing w:after="0"/>
              <w:rPr>
                <w:sz w:val="1"/>
                <w:szCs w:val="1"/>
                <w:color w:val="auto"/>
              </w:rPr>
            </w:pPr>
          </w:p>
        </w:tc>
      </w:tr>
      <w:tr>
        <w:trPr>
          <w:trHeight w:val="207"/>
        </w:trPr>
        <w:tc>
          <w:tcPr>
            <w:tcW w:w="6500" w:type="dxa"/>
            <w:vAlign w:val="bottom"/>
            <w:gridSpan w:val="3"/>
          </w:tcPr>
          <w:p>
            <w:pPr>
              <w:spacing w:after="0"/>
              <w:rPr>
                <w:sz w:val="20"/>
                <w:szCs w:val="20"/>
                <w:color w:val="auto"/>
              </w:rPr>
            </w:pPr>
            <w:r>
              <w:rPr>
                <w:rFonts w:ascii="Arial" w:cs="Arial" w:eastAsia="Arial" w:hAnsi="Arial"/>
                <w:sz w:val="15"/>
                <w:szCs w:val="15"/>
                <w:color w:val="auto"/>
              </w:rPr>
              <w:t>Other assets</w:t>
            </w: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rPr>
              <w:t>136,543</w:t>
            </w:r>
          </w:p>
        </w:tc>
        <w:tc>
          <w:tcPr>
            <w:tcW w:w="20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55,488</w:t>
            </w:r>
          </w:p>
        </w:tc>
        <w:tc>
          <w:tcPr>
            <w:tcW w:w="0" w:type="dxa"/>
            <w:vAlign w:val="bottom"/>
          </w:tcPr>
          <w:p>
            <w:pPr>
              <w:spacing w:after="0"/>
              <w:rPr>
                <w:sz w:val="1"/>
                <w:szCs w:val="1"/>
                <w:color w:val="auto"/>
              </w:rPr>
            </w:pPr>
          </w:p>
        </w:tc>
      </w:tr>
      <w:tr>
        <w:trPr>
          <w:trHeight w:val="200"/>
        </w:trPr>
        <w:tc>
          <w:tcPr>
            <w:tcW w:w="6500" w:type="dxa"/>
            <w:vAlign w:val="bottom"/>
            <w:gridSpan w:val="3"/>
          </w:tcPr>
          <w:p>
            <w:pPr>
              <w:ind w:left="300"/>
              <w:spacing w:after="0"/>
              <w:rPr>
                <w:sz w:val="20"/>
                <w:szCs w:val="20"/>
                <w:color w:val="auto"/>
              </w:rPr>
            </w:pPr>
            <w:r>
              <w:rPr>
                <w:rFonts w:ascii="Arial" w:cs="Arial" w:eastAsia="Arial" w:hAnsi="Arial"/>
                <w:sz w:val="15"/>
                <w:szCs w:val="15"/>
                <w:color w:val="auto"/>
              </w:rPr>
              <w:t>Total assets</w:t>
            </w: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540" w:type="dxa"/>
            <w:vAlign w:val="bottom"/>
            <w:gridSpan w:val="3"/>
          </w:tcPr>
          <w:p>
            <w:pPr>
              <w:jc w:val="right"/>
              <w:ind w:right="240"/>
              <w:spacing w:after="0"/>
              <w:rPr>
                <w:sz w:val="20"/>
                <w:szCs w:val="20"/>
                <w:color w:val="auto"/>
              </w:rPr>
            </w:pPr>
            <w:r>
              <w:rPr>
                <w:rFonts w:ascii="Arial" w:cs="Arial" w:eastAsia="Arial" w:hAnsi="Arial"/>
                <w:sz w:val="15"/>
                <w:szCs w:val="15"/>
                <w:color w:val="auto"/>
              </w:rPr>
              <w:t>$</w:t>
            </w:r>
          </w:p>
        </w:tc>
        <w:tc>
          <w:tcPr>
            <w:tcW w:w="1100" w:type="dxa"/>
            <w:vAlign w:val="bottom"/>
          </w:tcPr>
          <w:p>
            <w:pPr>
              <w:jc w:val="right"/>
              <w:ind w:right="6"/>
              <w:spacing w:after="0"/>
              <w:rPr>
                <w:sz w:val="20"/>
                <w:szCs w:val="20"/>
                <w:color w:val="auto"/>
              </w:rPr>
            </w:pPr>
            <w:r>
              <w:rPr>
                <w:rFonts w:ascii="Arial" w:cs="Arial" w:eastAsia="Arial" w:hAnsi="Arial"/>
                <w:sz w:val="15"/>
                <w:szCs w:val="15"/>
                <w:color w:val="auto"/>
              </w:rPr>
              <w:t>2,238,038</w:t>
            </w:r>
          </w:p>
        </w:tc>
        <w:tc>
          <w:tcPr>
            <w:tcW w:w="200" w:type="dxa"/>
            <w:vAlign w:val="bottom"/>
          </w:tcPr>
          <w:p>
            <w:pPr>
              <w:spacing w:after="0"/>
              <w:rPr>
                <w:sz w:val="17"/>
                <w:szCs w:val="17"/>
                <w:color w:val="auto"/>
              </w:rPr>
            </w:pPr>
          </w:p>
        </w:tc>
        <w:tc>
          <w:tcPr>
            <w:tcW w:w="520" w:type="dxa"/>
            <w:vAlign w:val="bottom"/>
          </w:tcPr>
          <w:p>
            <w:pPr>
              <w:jc w:val="right"/>
              <w:ind w:right="343"/>
              <w:spacing w:after="0"/>
              <w:rPr>
                <w:sz w:val="20"/>
                <w:szCs w:val="20"/>
                <w:color w:val="auto"/>
              </w:rPr>
            </w:pPr>
            <w:r>
              <w:rPr>
                <w:rFonts w:ascii="Arial" w:cs="Arial" w:eastAsia="Arial" w:hAnsi="Arial"/>
                <w:sz w:val="15"/>
                <w:szCs w:val="15"/>
                <w:color w:val="auto"/>
                <w:w w:val="95"/>
              </w:rPr>
              <w:t>$</w:t>
            </w:r>
          </w:p>
        </w:tc>
        <w:tc>
          <w:tcPr>
            <w:tcW w:w="920" w:type="dxa"/>
            <w:vAlign w:val="bottom"/>
          </w:tcPr>
          <w:p>
            <w:pPr>
              <w:jc w:val="right"/>
              <w:spacing w:after="0"/>
              <w:rPr>
                <w:sz w:val="20"/>
                <w:szCs w:val="20"/>
                <w:color w:val="auto"/>
              </w:rPr>
            </w:pPr>
            <w:r>
              <w:rPr>
                <w:rFonts w:ascii="Arial" w:cs="Arial" w:eastAsia="Arial" w:hAnsi="Arial"/>
                <w:sz w:val="15"/>
                <w:szCs w:val="15"/>
                <w:color w:val="auto"/>
              </w:rPr>
              <w:t>1,967,556</w:t>
            </w:r>
          </w:p>
        </w:tc>
        <w:tc>
          <w:tcPr>
            <w:tcW w:w="0" w:type="dxa"/>
            <w:vAlign w:val="bottom"/>
          </w:tcPr>
          <w:p>
            <w:pPr>
              <w:spacing w:after="0"/>
              <w:rPr>
                <w:sz w:val="1"/>
                <w:szCs w:val="1"/>
                <w:color w:val="auto"/>
              </w:rPr>
            </w:pPr>
          </w:p>
        </w:tc>
      </w:tr>
      <w:tr>
        <w:trPr>
          <w:trHeight w:val="20"/>
        </w:trPr>
        <w:tc>
          <w:tcPr>
            <w:tcW w:w="6500" w:type="dxa"/>
            <w:vAlign w:val="bottom"/>
            <w:gridSpan w:val="3"/>
            <w:vMerge w:val="restart"/>
          </w:tcPr>
          <w:p>
            <w:pPr>
              <w:spacing w:after="0"/>
              <w:rPr>
                <w:sz w:val="20"/>
                <w:szCs w:val="20"/>
                <w:color w:val="auto"/>
              </w:rPr>
            </w:pPr>
            <w:r>
              <w:rPr>
                <w:rFonts w:ascii="Arial" w:cs="Arial" w:eastAsia="Arial" w:hAnsi="Arial"/>
                <w:sz w:val="15"/>
                <w:szCs w:val="15"/>
                <w:b w:val="1"/>
                <w:bCs w:val="1"/>
                <w:color w:val="auto"/>
              </w:rPr>
              <w:t>Liabilities and Capital:</w:t>
            </w:r>
          </w:p>
        </w:tc>
        <w:tc>
          <w:tcPr>
            <w:tcW w:w="3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6500" w:type="dxa"/>
            <w:vAlign w:val="bottom"/>
            <w:gridSpan w:val="3"/>
            <w:vMerge w:val="continue"/>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6500" w:type="dxa"/>
            <w:vAlign w:val="bottom"/>
            <w:gridSpan w:val="3"/>
          </w:tcPr>
          <w:p>
            <w:pPr>
              <w:spacing w:after="0"/>
              <w:rPr>
                <w:sz w:val="20"/>
                <w:szCs w:val="20"/>
                <w:color w:val="auto"/>
              </w:rPr>
            </w:pPr>
            <w:r>
              <w:rPr>
                <w:rFonts w:ascii="Arial" w:cs="Arial" w:eastAsia="Arial" w:hAnsi="Arial"/>
                <w:sz w:val="15"/>
                <w:szCs w:val="15"/>
                <w:color w:val="auto"/>
              </w:rPr>
              <w:t>Debt obligations</w:t>
            </w: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540" w:type="dxa"/>
            <w:vAlign w:val="bottom"/>
            <w:gridSpan w:val="3"/>
          </w:tcPr>
          <w:p>
            <w:pPr>
              <w:jc w:val="right"/>
              <w:ind w:right="240"/>
              <w:spacing w:after="0"/>
              <w:rPr>
                <w:sz w:val="20"/>
                <w:szCs w:val="20"/>
                <w:color w:val="auto"/>
              </w:rPr>
            </w:pPr>
            <w:r>
              <w:rPr>
                <w:rFonts w:ascii="Arial" w:cs="Arial" w:eastAsia="Arial" w:hAnsi="Arial"/>
                <w:sz w:val="15"/>
                <w:szCs w:val="15"/>
                <w:color w:val="auto"/>
              </w:rPr>
              <w:t>$</w:t>
            </w:r>
          </w:p>
        </w:tc>
        <w:tc>
          <w:tcPr>
            <w:tcW w:w="1100" w:type="dxa"/>
            <w:vAlign w:val="bottom"/>
          </w:tcPr>
          <w:p>
            <w:pPr>
              <w:jc w:val="right"/>
              <w:ind w:right="6"/>
              <w:spacing w:after="0"/>
              <w:rPr>
                <w:sz w:val="20"/>
                <w:szCs w:val="20"/>
                <w:color w:val="auto"/>
              </w:rPr>
            </w:pPr>
            <w:r>
              <w:rPr>
                <w:rFonts w:ascii="Arial" w:cs="Arial" w:eastAsia="Arial" w:hAnsi="Arial"/>
                <w:sz w:val="15"/>
                <w:szCs w:val="15"/>
                <w:color w:val="auto"/>
              </w:rPr>
              <w:t>1,103,507</w:t>
            </w:r>
          </w:p>
        </w:tc>
        <w:tc>
          <w:tcPr>
            <w:tcW w:w="200" w:type="dxa"/>
            <w:vAlign w:val="bottom"/>
          </w:tcPr>
          <w:p>
            <w:pPr>
              <w:spacing w:after="0"/>
              <w:rPr>
                <w:sz w:val="17"/>
                <w:szCs w:val="17"/>
                <w:color w:val="auto"/>
              </w:rPr>
            </w:pPr>
          </w:p>
        </w:tc>
        <w:tc>
          <w:tcPr>
            <w:tcW w:w="520" w:type="dxa"/>
            <w:vAlign w:val="bottom"/>
          </w:tcPr>
          <w:p>
            <w:pPr>
              <w:jc w:val="right"/>
              <w:ind w:right="343"/>
              <w:spacing w:after="0"/>
              <w:rPr>
                <w:sz w:val="20"/>
                <w:szCs w:val="20"/>
                <w:color w:val="auto"/>
              </w:rPr>
            </w:pPr>
            <w:r>
              <w:rPr>
                <w:rFonts w:ascii="Arial" w:cs="Arial" w:eastAsia="Arial" w:hAnsi="Arial"/>
                <w:sz w:val="15"/>
                <w:szCs w:val="15"/>
                <w:color w:val="auto"/>
                <w:w w:val="95"/>
              </w:rPr>
              <w:t>$</w:t>
            </w:r>
          </w:p>
        </w:tc>
        <w:tc>
          <w:tcPr>
            <w:tcW w:w="920" w:type="dxa"/>
            <w:vAlign w:val="bottom"/>
          </w:tcPr>
          <w:p>
            <w:pPr>
              <w:jc w:val="right"/>
              <w:spacing w:after="0"/>
              <w:rPr>
                <w:sz w:val="20"/>
                <w:szCs w:val="20"/>
                <w:color w:val="auto"/>
              </w:rPr>
            </w:pPr>
            <w:r>
              <w:rPr>
                <w:rFonts w:ascii="Arial" w:cs="Arial" w:eastAsia="Arial" w:hAnsi="Arial"/>
                <w:sz w:val="15"/>
                <w:szCs w:val="15"/>
                <w:color w:val="auto"/>
              </w:rPr>
              <w:t>1,074,156</w:t>
            </w:r>
          </w:p>
        </w:tc>
        <w:tc>
          <w:tcPr>
            <w:tcW w:w="0" w:type="dxa"/>
            <w:vAlign w:val="bottom"/>
          </w:tcPr>
          <w:p>
            <w:pPr>
              <w:spacing w:after="0"/>
              <w:rPr>
                <w:sz w:val="1"/>
                <w:szCs w:val="1"/>
                <w:color w:val="auto"/>
              </w:rPr>
            </w:pPr>
          </w:p>
        </w:tc>
      </w:tr>
      <w:tr>
        <w:trPr>
          <w:trHeight w:val="206"/>
        </w:trPr>
        <w:tc>
          <w:tcPr>
            <w:tcW w:w="6500" w:type="dxa"/>
            <w:vAlign w:val="bottom"/>
            <w:gridSpan w:val="3"/>
          </w:tcPr>
          <w:p>
            <w:pPr>
              <w:spacing w:after="0"/>
              <w:rPr>
                <w:sz w:val="20"/>
                <w:szCs w:val="20"/>
                <w:color w:val="auto"/>
              </w:rPr>
            </w:pPr>
            <w:r>
              <w:rPr>
                <w:rFonts w:ascii="Arial" w:cs="Arial" w:eastAsia="Arial" w:hAnsi="Arial"/>
                <w:sz w:val="15"/>
                <w:szCs w:val="15"/>
                <w:color w:val="auto"/>
              </w:rPr>
              <w:t>Other liabilities</w:t>
            </w: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rPr>
              <w:t>94,557</w:t>
            </w:r>
          </w:p>
        </w:tc>
        <w:tc>
          <w:tcPr>
            <w:tcW w:w="200" w:type="dxa"/>
            <w:vAlign w:val="bottom"/>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102,707</w:t>
            </w:r>
          </w:p>
        </w:tc>
        <w:tc>
          <w:tcPr>
            <w:tcW w:w="0" w:type="dxa"/>
            <w:vAlign w:val="bottom"/>
          </w:tcPr>
          <w:p>
            <w:pPr>
              <w:spacing w:after="0"/>
              <w:rPr>
                <w:sz w:val="1"/>
                <w:szCs w:val="1"/>
                <w:color w:val="auto"/>
              </w:rPr>
            </w:pPr>
          </w:p>
        </w:tc>
      </w:tr>
      <w:tr>
        <w:trPr>
          <w:trHeight w:val="199"/>
        </w:trPr>
        <w:tc>
          <w:tcPr>
            <w:tcW w:w="6500" w:type="dxa"/>
            <w:vAlign w:val="bottom"/>
            <w:gridSpan w:val="3"/>
          </w:tcPr>
          <w:p>
            <w:pPr>
              <w:ind w:left="300"/>
              <w:spacing w:after="0"/>
              <w:rPr>
                <w:sz w:val="20"/>
                <w:szCs w:val="20"/>
                <w:color w:val="auto"/>
              </w:rPr>
            </w:pPr>
            <w:r>
              <w:rPr>
                <w:rFonts w:ascii="Arial" w:cs="Arial" w:eastAsia="Arial" w:hAnsi="Arial"/>
                <w:sz w:val="15"/>
                <w:szCs w:val="15"/>
                <w:color w:val="auto"/>
              </w:rPr>
              <w:t>Total liabilities</w:t>
            </w: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ind w:right="6"/>
              <w:spacing w:after="0"/>
              <w:rPr>
                <w:sz w:val="20"/>
                <w:szCs w:val="20"/>
                <w:color w:val="auto"/>
              </w:rPr>
            </w:pPr>
            <w:r>
              <w:rPr>
                <w:rFonts w:ascii="Arial" w:cs="Arial" w:eastAsia="Arial" w:hAnsi="Arial"/>
                <w:sz w:val="15"/>
                <w:szCs w:val="15"/>
                <w:color w:val="auto"/>
              </w:rPr>
              <w:t>1,198,064</w:t>
            </w:r>
          </w:p>
        </w:tc>
        <w:tc>
          <w:tcPr>
            <w:tcW w:w="2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1,176,863</w:t>
            </w:r>
          </w:p>
        </w:tc>
        <w:tc>
          <w:tcPr>
            <w:tcW w:w="0" w:type="dxa"/>
            <w:vAlign w:val="bottom"/>
          </w:tcPr>
          <w:p>
            <w:pPr>
              <w:spacing w:after="0"/>
              <w:rPr>
                <w:sz w:val="1"/>
                <w:szCs w:val="1"/>
                <w:color w:val="auto"/>
              </w:rPr>
            </w:pPr>
          </w:p>
        </w:tc>
      </w:tr>
      <w:tr>
        <w:trPr>
          <w:trHeight w:val="207"/>
        </w:trPr>
        <w:tc>
          <w:tcPr>
            <w:tcW w:w="6500" w:type="dxa"/>
            <w:vAlign w:val="bottom"/>
            <w:gridSpan w:val="3"/>
          </w:tcPr>
          <w:p>
            <w:pPr>
              <w:ind w:left="300"/>
              <w:spacing w:after="0"/>
              <w:rPr>
                <w:sz w:val="20"/>
                <w:szCs w:val="20"/>
                <w:color w:val="auto"/>
              </w:rPr>
            </w:pPr>
            <w:r>
              <w:rPr>
                <w:rFonts w:ascii="Arial" w:cs="Arial" w:eastAsia="Arial" w:hAnsi="Arial"/>
                <w:sz w:val="15"/>
                <w:szCs w:val="15"/>
                <w:color w:val="auto"/>
              </w:rPr>
              <w:t>Total capital</w:t>
            </w: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rPr>
              <w:t>1,039,974</w:t>
            </w:r>
          </w:p>
        </w:tc>
        <w:tc>
          <w:tcPr>
            <w:tcW w:w="20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790,693</w:t>
            </w:r>
          </w:p>
        </w:tc>
        <w:tc>
          <w:tcPr>
            <w:tcW w:w="0" w:type="dxa"/>
            <w:vAlign w:val="bottom"/>
          </w:tcPr>
          <w:p>
            <w:pPr>
              <w:spacing w:after="0"/>
              <w:rPr>
                <w:sz w:val="1"/>
                <w:szCs w:val="1"/>
                <w:color w:val="auto"/>
              </w:rPr>
            </w:pPr>
          </w:p>
        </w:tc>
      </w:tr>
      <w:tr>
        <w:trPr>
          <w:trHeight w:val="200"/>
        </w:trPr>
        <w:tc>
          <w:tcPr>
            <w:tcW w:w="6500" w:type="dxa"/>
            <w:vAlign w:val="bottom"/>
            <w:gridSpan w:val="3"/>
          </w:tcPr>
          <w:p>
            <w:pPr>
              <w:ind w:left="620"/>
              <w:spacing w:after="0"/>
              <w:rPr>
                <w:sz w:val="20"/>
                <w:szCs w:val="20"/>
                <w:color w:val="auto"/>
              </w:rPr>
            </w:pPr>
            <w:r>
              <w:rPr>
                <w:rFonts w:ascii="Arial" w:cs="Arial" w:eastAsia="Arial" w:hAnsi="Arial"/>
                <w:sz w:val="15"/>
                <w:szCs w:val="15"/>
                <w:color w:val="auto"/>
              </w:rPr>
              <w:t>Total liabilities and capital</w:t>
            </w: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540" w:type="dxa"/>
            <w:vAlign w:val="bottom"/>
            <w:gridSpan w:val="3"/>
          </w:tcPr>
          <w:p>
            <w:pPr>
              <w:jc w:val="right"/>
              <w:ind w:right="240"/>
              <w:spacing w:after="0"/>
              <w:rPr>
                <w:sz w:val="20"/>
                <w:szCs w:val="20"/>
                <w:color w:val="auto"/>
              </w:rPr>
            </w:pPr>
            <w:r>
              <w:rPr>
                <w:rFonts w:ascii="Arial" w:cs="Arial" w:eastAsia="Arial" w:hAnsi="Arial"/>
                <w:sz w:val="15"/>
                <w:szCs w:val="15"/>
                <w:color w:val="auto"/>
              </w:rPr>
              <w:t>$</w:t>
            </w:r>
          </w:p>
        </w:tc>
        <w:tc>
          <w:tcPr>
            <w:tcW w:w="1100" w:type="dxa"/>
            <w:vAlign w:val="bottom"/>
          </w:tcPr>
          <w:p>
            <w:pPr>
              <w:jc w:val="right"/>
              <w:ind w:right="6"/>
              <w:spacing w:after="0"/>
              <w:rPr>
                <w:sz w:val="20"/>
                <w:szCs w:val="20"/>
                <w:color w:val="auto"/>
              </w:rPr>
            </w:pPr>
            <w:r>
              <w:rPr>
                <w:rFonts w:ascii="Arial" w:cs="Arial" w:eastAsia="Arial" w:hAnsi="Arial"/>
                <w:sz w:val="15"/>
                <w:szCs w:val="15"/>
                <w:color w:val="auto"/>
              </w:rPr>
              <w:t>2,238,038</w:t>
            </w:r>
          </w:p>
        </w:tc>
        <w:tc>
          <w:tcPr>
            <w:tcW w:w="200" w:type="dxa"/>
            <w:vAlign w:val="bottom"/>
          </w:tcPr>
          <w:p>
            <w:pPr>
              <w:spacing w:after="0"/>
              <w:rPr>
                <w:sz w:val="17"/>
                <w:szCs w:val="17"/>
                <w:color w:val="auto"/>
              </w:rPr>
            </w:pPr>
          </w:p>
        </w:tc>
        <w:tc>
          <w:tcPr>
            <w:tcW w:w="520" w:type="dxa"/>
            <w:vAlign w:val="bottom"/>
          </w:tcPr>
          <w:p>
            <w:pPr>
              <w:jc w:val="right"/>
              <w:ind w:right="343"/>
              <w:spacing w:after="0"/>
              <w:rPr>
                <w:sz w:val="20"/>
                <w:szCs w:val="20"/>
                <w:color w:val="auto"/>
              </w:rPr>
            </w:pPr>
            <w:r>
              <w:rPr>
                <w:rFonts w:ascii="Arial" w:cs="Arial" w:eastAsia="Arial" w:hAnsi="Arial"/>
                <w:sz w:val="15"/>
                <w:szCs w:val="15"/>
                <w:color w:val="auto"/>
                <w:w w:val="95"/>
              </w:rPr>
              <w:t>$</w:t>
            </w:r>
          </w:p>
        </w:tc>
        <w:tc>
          <w:tcPr>
            <w:tcW w:w="920" w:type="dxa"/>
            <w:vAlign w:val="bottom"/>
          </w:tcPr>
          <w:p>
            <w:pPr>
              <w:jc w:val="right"/>
              <w:spacing w:after="0"/>
              <w:rPr>
                <w:sz w:val="20"/>
                <w:szCs w:val="20"/>
                <w:color w:val="auto"/>
              </w:rPr>
            </w:pPr>
            <w:r>
              <w:rPr>
                <w:rFonts w:ascii="Arial" w:cs="Arial" w:eastAsia="Arial" w:hAnsi="Arial"/>
                <w:sz w:val="15"/>
                <w:szCs w:val="15"/>
                <w:color w:val="auto"/>
              </w:rPr>
              <w:t>1,967,556</w:t>
            </w:r>
          </w:p>
        </w:tc>
        <w:tc>
          <w:tcPr>
            <w:tcW w:w="0" w:type="dxa"/>
            <w:vAlign w:val="bottom"/>
          </w:tcPr>
          <w:p>
            <w:pPr>
              <w:spacing w:after="0"/>
              <w:rPr>
                <w:sz w:val="1"/>
                <w:szCs w:val="1"/>
                <w:color w:val="auto"/>
              </w:rPr>
            </w:pPr>
          </w:p>
        </w:tc>
      </w:tr>
      <w:tr>
        <w:trPr>
          <w:trHeight w:val="20"/>
        </w:trPr>
        <w:tc>
          <w:tcPr>
            <w:tcW w:w="16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16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gridSpan w:val="5"/>
          </w:tcPr>
          <w:p>
            <w:pPr>
              <w:ind w:left="200"/>
              <w:spacing w:after="0"/>
              <w:rPr>
                <w:sz w:val="20"/>
                <w:szCs w:val="20"/>
                <w:color w:val="auto"/>
              </w:rPr>
            </w:pPr>
            <w:r>
              <w:rPr>
                <w:rFonts w:ascii="Arial" w:cs="Arial" w:eastAsia="Arial" w:hAnsi="Arial"/>
                <w:sz w:val="12"/>
                <w:szCs w:val="12"/>
                <w:b w:val="1"/>
                <w:bCs w:val="1"/>
                <w:color w:val="auto"/>
              </w:rPr>
              <w:t>Year Ended December 31,</w:t>
            </w:r>
          </w:p>
        </w:tc>
        <w:tc>
          <w:tcPr>
            <w:tcW w:w="5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506"/>
              <w:spacing w:after="0"/>
              <w:rPr>
                <w:sz w:val="20"/>
                <w:szCs w:val="20"/>
                <w:color w:val="auto"/>
              </w:rPr>
            </w:pPr>
            <w:r>
              <w:rPr>
                <w:rFonts w:ascii="Arial" w:cs="Arial" w:eastAsia="Arial" w:hAnsi="Arial"/>
                <w:sz w:val="12"/>
                <w:szCs w:val="12"/>
                <w:b w:val="1"/>
                <w:bCs w:val="1"/>
                <w:color w:val="auto"/>
              </w:rPr>
              <w:t>2025</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506"/>
              <w:spacing w:after="0"/>
              <w:rPr>
                <w:sz w:val="20"/>
                <w:szCs w:val="20"/>
                <w:color w:val="auto"/>
              </w:rPr>
            </w:pPr>
            <w:r>
              <w:rPr>
                <w:rFonts w:ascii="Arial" w:cs="Arial" w:eastAsia="Arial" w:hAnsi="Arial"/>
                <w:sz w:val="12"/>
                <w:szCs w:val="12"/>
                <w:b w:val="1"/>
                <w:bCs w:val="1"/>
                <w:color w:val="auto"/>
              </w:rPr>
              <w:t>2024</w:t>
            </w:r>
          </w:p>
        </w:tc>
        <w:tc>
          <w:tcPr>
            <w:tcW w:w="200" w:type="dxa"/>
            <w:vAlign w:val="bottom"/>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505"/>
              <w:spacing w:after="0"/>
              <w:rPr>
                <w:sz w:val="20"/>
                <w:szCs w:val="20"/>
                <w:color w:val="auto"/>
              </w:rPr>
            </w:pPr>
            <w:r>
              <w:rPr>
                <w:rFonts w:ascii="Arial" w:cs="Arial" w:eastAsia="Arial" w:hAnsi="Arial"/>
                <w:sz w:val="12"/>
                <w:szCs w:val="12"/>
                <w:b w:val="1"/>
                <w:bCs w:val="1"/>
                <w:color w:val="auto"/>
              </w:rPr>
              <w:t>2023</w:t>
            </w:r>
          </w:p>
        </w:tc>
        <w:tc>
          <w:tcPr>
            <w:tcW w:w="0" w:type="dxa"/>
            <w:vAlign w:val="bottom"/>
          </w:tcPr>
          <w:p>
            <w:pPr>
              <w:spacing w:after="0"/>
              <w:rPr>
                <w:sz w:val="1"/>
                <w:szCs w:val="1"/>
                <w:color w:val="auto"/>
              </w:rPr>
            </w:pPr>
          </w:p>
        </w:tc>
      </w:tr>
      <w:tr>
        <w:trPr>
          <w:trHeight w:val="137"/>
        </w:trPr>
        <w:tc>
          <w:tcPr>
            <w:tcW w:w="1680" w:type="dxa"/>
            <w:vAlign w:val="bottom"/>
            <w:tcBorders>
              <w:bottom w:val="single" w:sz="8" w:color="auto"/>
            </w:tcBorders>
          </w:tcPr>
          <w:p>
            <w:pPr>
              <w:spacing w:after="0" w:line="137" w:lineRule="exact"/>
              <w:rPr>
                <w:sz w:val="20"/>
                <w:szCs w:val="20"/>
                <w:color w:val="auto"/>
              </w:rPr>
            </w:pPr>
            <w:r>
              <w:rPr>
                <w:rFonts w:ascii="Arial" w:cs="Arial" w:eastAsia="Arial" w:hAnsi="Arial"/>
                <w:sz w:val="14"/>
                <w:szCs w:val="14"/>
                <w:b w:val="1"/>
                <w:bCs w:val="1"/>
                <w:color w:val="auto"/>
                <w:w w:val="97"/>
              </w:rPr>
              <w:t>Statements of Operations</w:t>
            </w:r>
          </w:p>
        </w:tc>
        <w:tc>
          <w:tcPr>
            <w:tcW w:w="4820" w:type="dxa"/>
            <w:vAlign w:val="bottom"/>
            <w:gridSpan w:val="2"/>
          </w:tcPr>
          <w:p>
            <w:pPr>
              <w:spacing w:after="0"/>
              <w:rPr>
                <w:sz w:val="11"/>
                <w:szCs w:val="11"/>
                <w:color w:val="auto"/>
              </w:rPr>
            </w:pPr>
          </w:p>
        </w:tc>
        <w:tc>
          <w:tcPr>
            <w:tcW w:w="3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3"/>
        </w:trPr>
        <w:tc>
          <w:tcPr>
            <w:tcW w:w="6500" w:type="dxa"/>
            <w:vAlign w:val="bottom"/>
            <w:gridSpan w:val="3"/>
          </w:tcPr>
          <w:p>
            <w:pPr>
              <w:spacing w:after="0"/>
              <w:rPr>
                <w:sz w:val="20"/>
                <w:szCs w:val="20"/>
                <w:color w:val="auto"/>
              </w:rPr>
            </w:pPr>
            <w:r>
              <w:rPr>
                <w:rFonts w:ascii="Arial" w:cs="Arial" w:eastAsia="Arial" w:hAnsi="Arial"/>
                <w:sz w:val="15"/>
                <w:szCs w:val="15"/>
                <w:color w:val="auto"/>
              </w:rPr>
              <w:t>Revenues / investment income</w:t>
            </w:r>
          </w:p>
        </w:tc>
        <w:tc>
          <w:tcPr>
            <w:tcW w:w="340" w:type="dxa"/>
            <w:vAlign w:val="bottom"/>
          </w:tcPr>
          <w:p>
            <w:pPr>
              <w:jc w:val="right"/>
              <w:ind w:right="163"/>
              <w:spacing w:after="0"/>
              <w:rPr>
                <w:sz w:val="20"/>
                <w:szCs w:val="20"/>
                <w:color w:val="auto"/>
              </w:rPr>
            </w:pPr>
            <w:r>
              <w:rPr>
                <w:rFonts w:ascii="Arial" w:cs="Arial" w:eastAsia="Arial" w:hAnsi="Arial"/>
                <w:sz w:val="15"/>
                <w:szCs w:val="15"/>
                <w:color w:val="auto"/>
                <w:w w:val="95"/>
              </w:rPr>
              <w:t>$</w:t>
            </w:r>
          </w:p>
        </w:tc>
        <w:tc>
          <w:tcPr>
            <w:tcW w:w="1100" w:type="dxa"/>
            <w:vAlign w:val="bottom"/>
          </w:tcPr>
          <w:p>
            <w:pPr>
              <w:jc w:val="right"/>
              <w:ind w:right="6"/>
              <w:spacing w:after="0"/>
              <w:rPr>
                <w:sz w:val="20"/>
                <w:szCs w:val="20"/>
                <w:color w:val="auto"/>
              </w:rPr>
            </w:pPr>
            <w:r>
              <w:rPr>
                <w:rFonts w:ascii="Arial" w:cs="Arial" w:eastAsia="Arial" w:hAnsi="Arial"/>
                <w:sz w:val="15"/>
                <w:szCs w:val="15"/>
                <w:color w:val="auto"/>
              </w:rPr>
              <w:t>173,180</w:t>
            </w:r>
          </w:p>
        </w:tc>
        <w:tc>
          <w:tcPr>
            <w:tcW w:w="540" w:type="dxa"/>
            <w:vAlign w:val="bottom"/>
            <w:gridSpan w:val="3"/>
          </w:tcPr>
          <w:p>
            <w:pPr>
              <w:jc w:val="right"/>
              <w:ind w:right="240"/>
              <w:spacing w:after="0"/>
              <w:rPr>
                <w:sz w:val="20"/>
                <w:szCs w:val="20"/>
                <w:color w:val="auto"/>
              </w:rPr>
            </w:pPr>
            <w:r>
              <w:rPr>
                <w:rFonts w:ascii="Arial" w:cs="Arial" w:eastAsia="Arial" w:hAnsi="Arial"/>
                <w:sz w:val="15"/>
                <w:szCs w:val="15"/>
                <w:color w:val="auto"/>
              </w:rPr>
              <w:t>$</w:t>
            </w:r>
          </w:p>
        </w:tc>
        <w:tc>
          <w:tcPr>
            <w:tcW w:w="1100" w:type="dxa"/>
            <w:vAlign w:val="bottom"/>
          </w:tcPr>
          <w:p>
            <w:pPr>
              <w:jc w:val="right"/>
              <w:ind w:right="6"/>
              <w:spacing w:after="0"/>
              <w:rPr>
                <w:sz w:val="20"/>
                <w:szCs w:val="20"/>
                <w:color w:val="auto"/>
              </w:rPr>
            </w:pPr>
            <w:r>
              <w:rPr>
                <w:rFonts w:ascii="Arial" w:cs="Arial" w:eastAsia="Arial" w:hAnsi="Arial"/>
                <w:sz w:val="15"/>
                <w:szCs w:val="15"/>
                <w:color w:val="auto"/>
              </w:rPr>
              <w:t>2,362,833</w:t>
            </w:r>
          </w:p>
        </w:tc>
        <w:tc>
          <w:tcPr>
            <w:tcW w:w="200" w:type="dxa"/>
            <w:vAlign w:val="bottom"/>
          </w:tcPr>
          <w:p>
            <w:pPr>
              <w:spacing w:after="0"/>
              <w:rPr>
                <w:sz w:val="19"/>
                <w:szCs w:val="19"/>
                <w:color w:val="auto"/>
              </w:rPr>
            </w:pPr>
          </w:p>
        </w:tc>
        <w:tc>
          <w:tcPr>
            <w:tcW w:w="520" w:type="dxa"/>
            <w:vAlign w:val="bottom"/>
          </w:tcPr>
          <w:p>
            <w:pPr>
              <w:jc w:val="right"/>
              <w:ind w:right="343"/>
              <w:spacing w:after="0"/>
              <w:rPr>
                <w:sz w:val="20"/>
                <w:szCs w:val="20"/>
                <w:color w:val="auto"/>
              </w:rPr>
            </w:pPr>
            <w:r>
              <w:rPr>
                <w:rFonts w:ascii="Arial" w:cs="Arial" w:eastAsia="Arial" w:hAnsi="Arial"/>
                <w:sz w:val="15"/>
                <w:szCs w:val="15"/>
                <w:color w:val="auto"/>
                <w:w w:val="95"/>
              </w:rPr>
              <w:t>$</w:t>
            </w:r>
          </w:p>
        </w:tc>
        <w:tc>
          <w:tcPr>
            <w:tcW w:w="920" w:type="dxa"/>
            <w:vAlign w:val="bottom"/>
          </w:tcPr>
          <w:p>
            <w:pPr>
              <w:jc w:val="right"/>
              <w:spacing w:after="0"/>
              <w:rPr>
                <w:sz w:val="20"/>
                <w:szCs w:val="20"/>
                <w:color w:val="auto"/>
              </w:rPr>
            </w:pPr>
            <w:r>
              <w:rPr>
                <w:rFonts w:ascii="Arial" w:cs="Arial" w:eastAsia="Arial" w:hAnsi="Arial"/>
                <w:sz w:val="15"/>
                <w:szCs w:val="15"/>
                <w:color w:val="auto"/>
              </w:rPr>
              <w:t>4,506,814</w:t>
            </w:r>
          </w:p>
        </w:tc>
        <w:tc>
          <w:tcPr>
            <w:tcW w:w="0" w:type="dxa"/>
            <w:vAlign w:val="bottom"/>
          </w:tcPr>
          <w:p>
            <w:pPr>
              <w:spacing w:after="0"/>
              <w:rPr>
                <w:sz w:val="1"/>
                <w:szCs w:val="1"/>
                <w:color w:val="auto"/>
              </w:rPr>
            </w:pPr>
          </w:p>
        </w:tc>
      </w:tr>
      <w:tr>
        <w:trPr>
          <w:trHeight w:val="206"/>
        </w:trPr>
        <w:tc>
          <w:tcPr>
            <w:tcW w:w="6500" w:type="dxa"/>
            <w:vAlign w:val="bottom"/>
            <w:gridSpan w:val="3"/>
          </w:tcPr>
          <w:p>
            <w:pPr>
              <w:spacing w:after="0"/>
              <w:rPr>
                <w:sz w:val="20"/>
                <w:szCs w:val="20"/>
                <w:color w:val="auto"/>
              </w:rPr>
            </w:pPr>
            <w:r>
              <w:rPr>
                <w:rFonts w:ascii="Arial" w:cs="Arial" w:eastAsia="Arial" w:hAnsi="Arial"/>
                <w:sz w:val="15"/>
                <w:szCs w:val="15"/>
                <w:color w:val="auto"/>
              </w:rPr>
              <w:t>Interest expense</w:t>
            </w: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(59,032)</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(343,541)</w:t>
            </w:r>
          </w:p>
        </w:tc>
        <w:tc>
          <w:tcPr>
            <w:tcW w:w="2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(565,810)</w:t>
            </w:r>
          </w:p>
        </w:tc>
        <w:tc>
          <w:tcPr>
            <w:tcW w:w="0" w:type="dxa"/>
            <w:vAlign w:val="bottom"/>
          </w:tcPr>
          <w:p>
            <w:pPr>
              <w:spacing w:after="0"/>
              <w:rPr>
                <w:sz w:val="1"/>
                <w:szCs w:val="1"/>
                <w:color w:val="auto"/>
              </w:rPr>
            </w:pPr>
          </w:p>
        </w:tc>
      </w:tr>
      <w:tr>
        <w:trPr>
          <w:trHeight w:val="206"/>
        </w:trPr>
        <w:tc>
          <w:tcPr>
            <w:tcW w:w="6500" w:type="dxa"/>
            <w:vAlign w:val="bottom"/>
            <w:gridSpan w:val="3"/>
          </w:tcPr>
          <w:p>
            <w:pPr>
              <w:spacing w:after="0"/>
              <w:rPr>
                <w:sz w:val="20"/>
                <w:szCs w:val="20"/>
                <w:color w:val="auto"/>
              </w:rPr>
            </w:pPr>
            <w:r>
              <w:rPr>
                <w:rFonts w:ascii="Arial" w:cs="Arial" w:eastAsia="Arial" w:hAnsi="Arial"/>
                <w:sz w:val="15"/>
                <w:szCs w:val="15"/>
                <w:color w:val="auto"/>
              </w:rPr>
              <w:t>Other expenses</w:t>
            </w: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(128,299)</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(682,302)</w:t>
            </w:r>
          </w:p>
        </w:tc>
        <w:tc>
          <w:tcPr>
            <w:tcW w:w="2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(1,117,553)</w:t>
            </w:r>
          </w:p>
        </w:tc>
        <w:tc>
          <w:tcPr>
            <w:tcW w:w="0" w:type="dxa"/>
            <w:vAlign w:val="bottom"/>
          </w:tcPr>
          <w:p>
            <w:pPr>
              <w:spacing w:after="0"/>
              <w:rPr>
                <w:sz w:val="1"/>
                <w:szCs w:val="1"/>
                <w:color w:val="auto"/>
              </w:rPr>
            </w:pPr>
          </w:p>
        </w:tc>
      </w:tr>
      <w:tr>
        <w:trPr>
          <w:trHeight w:val="207"/>
        </w:trPr>
        <w:tc>
          <w:tcPr>
            <w:tcW w:w="6500" w:type="dxa"/>
            <w:vAlign w:val="bottom"/>
            <w:gridSpan w:val="3"/>
          </w:tcPr>
          <w:p>
            <w:pPr>
              <w:spacing w:after="0"/>
              <w:rPr>
                <w:sz w:val="20"/>
                <w:szCs w:val="20"/>
                <w:color w:val="auto"/>
              </w:rPr>
            </w:pPr>
            <w:r>
              <w:rPr>
                <w:rFonts w:ascii="Arial" w:cs="Arial" w:eastAsia="Arial" w:hAnsi="Arial"/>
                <w:sz w:val="15"/>
                <w:szCs w:val="15"/>
                <w:color w:val="auto"/>
              </w:rPr>
              <w:t>Net realized and unrealized gain on investments</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rPr>
              <w:t>23,626</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rPr>
              <w:t>1,871,488</w:t>
            </w:r>
          </w:p>
        </w:tc>
        <w:tc>
          <w:tcPr>
            <w:tcW w:w="20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862,771</w:t>
            </w:r>
          </w:p>
        </w:tc>
        <w:tc>
          <w:tcPr>
            <w:tcW w:w="0" w:type="dxa"/>
            <w:vAlign w:val="bottom"/>
          </w:tcPr>
          <w:p>
            <w:pPr>
              <w:spacing w:after="0"/>
              <w:rPr>
                <w:sz w:val="1"/>
                <w:szCs w:val="1"/>
                <w:color w:val="auto"/>
              </w:rPr>
            </w:pPr>
          </w:p>
        </w:tc>
      </w:tr>
      <w:tr>
        <w:trPr>
          <w:trHeight w:val="200"/>
        </w:trPr>
        <w:tc>
          <w:tcPr>
            <w:tcW w:w="6500" w:type="dxa"/>
            <w:vAlign w:val="bottom"/>
            <w:gridSpan w:val="3"/>
          </w:tcPr>
          <w:p>
            <w:pPr>
              <w:ind w:left="300"/>
              <w:spacing w:after="0"/>
              <w:rPr>
                <w:sz w:val="20"/>
                <w:szCs w:val="20"/>
                <w:color w:val="auto"/>
              </w:rPr>
            </w:pPr>
            <w:r>
              <w:rPr>
                <w:rFonts w:ascii="Arial" w:cs="Arial" w:eastAsia="Arial" w:hAnsi="Arial"/>
                <w:sz w:val="15"/>
                <w:szCs w:val="15"/>
                <w:color w:val="auto"/>
              </w:rPr>
              <w:t>Net income</w:t>
            </w:r>
          </w:p>
        </w:tc>
        <w:tc>
          <w:tcPr>
            <w:tcW w:w="340" w:type="dxa"/>
            <w:vAlign w:val="bottom"/>
          </w:tcPr>
          <w:p>
            <w:pPr>
              <w:jc w:val="right"/>
              <w:ind w:right="163"/>
              <w:spacing w:after="0"/>
              <w:rPr>
                <w:sz w:val="20"/>
                <w:szCs w:val="20"/>
                <w:color w:val="auto"/>
              </w:rPr>
            </w:pPr>
            <w:r>
              <w:rPr>
                <w:rFonts w:ascii="Arial" w:cs="Arial" w:eastAsia="Arial" w:hAnsi="Arial"/>
                <w:sz w:val="15"/>
                <w:szCs w:val="15"/>
                <w:color w:val="auto"/>
                <w:w w:val="95"/>
              </w:rPr>
              <w:t>$</w:t>
            </w:r>
          </w:p>
        </w:tc>
        <w:tc>
          <w:tcPr>
            <w:tcW w:w="1100" w:type="dxa"/>
            <w:vAlign w:val="bottom"/>
          </w:tcPr>
          <w:p>
            <w:pPr>
              <w:jc w:val="right"/>
              <w:ind w:right="6"/>
              <w:spacing w:after="0"/>
              <w:rPr>
                <w:sz w:val="20"/>
                <w:szCs w:val="20"/>
                <w:color w:val="auto"/>
              </w:rPr>
            </w:pPr>
            <w:r>
              <w:rPr>
                <w:rFonts w:ascii="Arial" w:cs="Arial" w:eastAsia="Arial" w:hAnsi="Arial"/>
                <w:sz w:val="15"/>
                <w:szCs w:val="15"/>
                <w:color w:val="auto"/>
              </w:rPr>
              <w:t>9,475</w:t>
            </w:r>
          </w:p>
        </w:tc>
        <w:tc>
          <w:tcPr>
            <w:tcW w:w="540" w:type="dxa"/>
            <w:vAlign w:val="bottom"/>
            <w:gridSpan w:val="3"/>
          </w:tcPr>
          <w:p>
            <w:pPr>
              <w:jc w:val="right"/>
              <w:ind w:right="240"/>
              <w:spacing w:after="0"/>
              <w:rPr>
                <w:sz w:val="20"/>
                <w:szCs w:val="20"/>
                <w:color w:val="auto"/>
              </w:rPr>
            </w:pPr>
            <w:r>
              <w:rPr>
                <w:rFonts w:ascii="Arial" w:cs="Arial" w:eastAsia="Arial" w:hAnsi="Arial"/>
                <w:sz w:val="15"/>
                <w:szCs w:val="15"/>
                <w:color w:val="auto"/>
              </w:rPr>
              <w:t>$</w:t>
            </w:r>
          </w:p>
        </w:tc>
        <w:tc>
          <w:tcPr>
            <w:tcW w:w="1100" w:type="dxa"/>
            <w:vAlign w:val="bottom"/>
          </w:tcPr>
          <w:p>
            <w:pPr>
              <w:jc w:val="right"/>
              <w:ind w:right="6"/>
              <w:spacing w:after="0"/>
              <w:rPr>
                <w:sz w:val="20"/>
                <w:szCs w:val="20"/>
                <w:color w:val="auto"/>
              </w:rPr>
            </w:pPr>
            <w:r>
              <w:rPr>
                <w:rFonts w:ascii="Arial" w:cs="Arial" w:eastAsia="Arial" w:hAnsi="Arial"/>
                <w:sz w:val="15"/>
                <w:szCs w:val="15"/>
                <w:color w:val="auto"/>
              </w:rPr>
              <w:t>3,208,478</w:t>
            </w:r>
          </w:p>
        </w:tc>
        <w:tc>
          <w:tcPr>
            <w:tcW w:w="200" w:type="dxa"/>
            <w:vAlign w:val="bottom"/>
          </w:tcPr>
          <w:p>
            <w:pPr>
              <w:spacing w:after="0"/>
              <w:rPr>
                <w:sz w:val="17"/>
                <w:szCs w:val="17"/>
                <w:color w:val="auto"/>
              </w:rPr>
            </w:pPr>
          </w:p>
        </w:tc>
        <w:tc>
          <w:tcPr>
            <w:tcW w:w="520" w:type="dxa"/>
            <w:vAlign w:val="bottom"/>
          </w:tcPr>
          <w:p>
            <w:pPr>
              <w:jc w:val="right"/>
              <w:ind w:right="343"/>
              <w:spacing w:after="0"/>
              <w:rPr>
                <w:sz w:val="20"/>
                <w:szCs w:val="20"/>
                <w:color w:val="auto"/>
              </w:rPr>
            </w:pPr>
            <w:r>
              <w:rPr>
                <w:rFonts w:ascii="Arial" w:cs="Arial" w:eastAsia="Arial" w:hAnsi="Arial"/>
                <w:sz w:val="15"/>
                <w:szCs w:val="15"/>
                <w:color w:val="auto"/>
                <w:w w:val="95"/>
              </w:rPr>
              <w:t>$</w:t>
            </w:r>
          </w:p>
        </w:tc>
        <w:tc>
          <w:tcPr>
            <w:tcW w:w="920" w:type="dxa"/>
            <w:vAlign w:val="bottom"/>
          </w:tcPr>
          <w:p>
            <w:pPr>
              <w:jc w:val="right"/>
              <w:spacing w:after="0"/>
              <w:rPr>
                <w:sz w:val="20"/>
                <w:szCs w:val="20"/>
                <w:color w:val="auto"/>
              </w:rPr>
            </w:pPr>
            <w:r>
              <w:rPr>
                <w:rFonts w:ascii="Arial" w:cs="Arial" w:eastAsia="Arial" w:hAnsi="Arial"/>
                <w:sz w:val="15"/>
                <w:szCs w:val="15"/>
                <w:color w:val="auto"/>
              </w:rPr>
              <w:t>3,686,222</w:t>
            </w:r>
          </w:p>
        </w:tc>
        <w:tc>
          <w:tcPr>
            <w:tcW w:w="0" w:type="dxa"/>
            <w:vAlign w:val="bottom"/>
          </w:tcPr>
          <w:p>
            <w:pPr>
              <w:spacing w:after="0"/>
              <w:rPr>
                <w:sz w:val="1"/>
                <w:szCs w:val="1"/>
                <w:color w:val="auto"/>
              </w:rPr>
            </w:pPr>
          </w:p>
        </w:tc>
      </w:tr>
      <w:tr>
        <w:trPr>
          <w:trHeight w:val="20"/>
        </w:trPr>
        <w:tc>
          <w:tcPr>
            <w:tcW w:w="16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Other Investments, at Fair Value</w:t>
      </w:r>
    </w:p>
    <w:p>
      <w:pPr>
        <w:spacing w:after="0" w:line="153" w:lineRule="exact"/>
        <w:rPr>
          <w:sz w:val="20"/>
          <w:szCs w:val="20"/>
          <w:color w:val="auto"/>
        </w:rPr>
      </w:pPr>
    </w:p>
    <w:p>
      <w:pPr>
        <w:ind w:right="280" w:firstLine="619"/>
        <w:spacing w:after="0" w:line="255" w:lineRule="auto"/>
        <w:rPr>
          <w:sz w:val="20"/>
          <w:szCs w:val="20"/>
          <w:color w:val="auto"/>
        </w:rPr>
      </w:pPr>
      <w:r>
        <w:rPr>
          <w:rFonts w:ascii="Arial" w:cs="Arial" w:eastAsia="Arial" w:hAnsi="Arial"/>
          <w:sz w:val="17"/>
          <w:szCs w:val="17"/>
          <w:color w:val="auto"/>
        </w:rPr>
        <w:t>Other investments, at fair value consisted of (a) investments in certain Oaktree and non-Oaktree funds, (b) noninvestment grade debt securities, (c) equities received as part of our sponsorship of SPACs and (d) derivatives utilized to hedge the Company’s exposure to investment income earned from its funds.</w:t>
      </w:r>
    </w:p>
    <w:p>
      <w:pPr>
        <w:spacing w:after="0" w:line="125"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following table summarizes net gains (losses) attributable to the Company’s other investments at fair value:</w:t>
      </w:r>
    </w:p>
    <w:p>
      <w:pPr>
        <w:spacing w:after="0" w:line="203" w:lineRule="exact"/>
        <w:rPr>
          <w:sz w:val="20"/>
          <w:szCs w:val="20"/>
          <w:color w:val="auto"/>
        </w:rPr>
      </w:pPr>
    </w:p>
    <w:tbl>
      <w:tblPr>
        <w:tblLayout w:type="fixed"/>
        <w:tblInd w:w="20" w:type="dxa"/>
        <w:tblCellMar>
          <w:top w:w="0" w:type="dxa"/>
          <w:left w:w="0" w:type="dxa"/>
          <w:bottom w:w="0" w:type="dxa"/>
          <w:right w:w="0" w:type="dxa"/>
        </w:tblCellMar>
      </w:tblPr>
      <w:tr>
        <w:trPr>
          <w:trHeight w:val="169"/>
        </w:trPr>
        <w:tc>
          <w:tcPr>
            <w:tcW w:w="6500" w:type="dxa"/>
            <w:vAlign w:val="bottom"/>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4"/>
          </w:tcPr>
          <w:p>
            <w:pPr>
              <w:ind w:left="200"/>
              <w:spacing w:after="0"/>
              <w:rPr>
                <w:sz w:val="20"/>
                <w:szCs w:val="20"/>
                <w:color w:val="auto"/>
              </w:rPr>
            </w:pPr>
            <w:r>
              <w:rPr>
                <w:rFonts w:ascii="Arial" w:cs="Arial" w:eastAsia="Arial" w:hAnsi="Arial"/>
                <w:sz w:val="12"/>
                <w:szCs w:val="12"/>
                <w:b w:val="1"/>
                <w:bCs w:val="1"/>
                <w:color w:val="auto"/>
              </w:rPr>
              <w:t>Year Ended December 31,</w:t>
            </w: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r>
      <w:tr>
        <w:trPr>
          <w:trHeight w:val="163"/>
        </w:trPr>
        <w:tc>
          <w:tcPr>
            <w:tcW w:w="6500" w:type="dxa"/>
            <w:vAlign w:val="bottom"/>
          </w:tcPr>
          <w:p>
            <w:pPr>
              <w:spacing w:after="0"/>
              <w:rPr>
                <w:sz w:val="14"/>
                <w:szCs w:val="14"/>
                <w:color w:val="auto"/>
              </w:rPr>
            </w:pPr>
          </w:p>
        </w:tc>
        <w:tc>
          <w:tcPr>
            <w:tcW w:w="1040" w:type="dxa"/>
            <w:vAlign w:val="bottom"/>
            <w:tcBorders>
              <w:bottom w:val="single" w:sz="8" w:color="auto"/>
            </w:tcBorders>
          </w:tcPr>
          <w:p>
            <w:pPr>
              <w:jc w:val="right"/>
              <w:ind w:right="108"/>
              <w:spacing w:after="0"/>
              <w:rPr>
                <w:sz w:val="20"/>
                <w:szCs w:val="20"/>
                <w:color w:val="auto"/>
              </w:rPr>
            </w:pPr>
            <w:r>
              <w:rPr>
                <w:rFonts w:ascii="Arial" w:cs="Arial" w:eastAsia="Arial" w:hAnsi="Arial"/>
                <w:sz w:val="12"/>
                <w:szCs w:val="12"/>
                <w:b w:val="1"/>
                <w:bCs w:val="1"/>
                <w:color w:val="auto"/>
              </w:rPr>
              <w:t>2025</w:t>
            </w:r>
          </w:p>
        </w:tc>
        <w:tc>
          <w:tcPr>
            <w:tcW w:w="4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507"/>
              <w:spacing w:after="0"/>
              <w:rPr>
                <w:sz w:val="20"/>
                <w:szCs w:val="20"/>
                <w:color w:val="auto"/>
              </w:rPr>
            </w:pPr>
            <w:r>
              <w:rPr>
                <w:rFonts w:ascii="Arial" w:cs="Arial" w:eastAsia="Arial" w:hAnsi="Arial"/>
                <w:sz w:val="12"/>
                <w:szCs w:val="12"/>
                <w:b w:val="1"/>
                <w:bCs w:val="1"/>
                <w:color w:val="auto"/>
              </w:rPr>
              <w:t>2024</w:t>
            </w:r>
          </w:p>
        </w:tc>
        <w:tc>
          <w:tcPr>
            <w:tcW w:w="20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507"/>
              <w:spacing w:after="0"/>
              <w:rPr>
                <w:sz w:val="20"/>
                <w:szCs w:val="20"/>
                <w:color w:val="auto"/>
              </w:rPr>
            </w:pPr>
            <w:r>
              <w:rPr>
                <w:rFonts w:ascii="Arial" w:cs="Arial" w:eastAsia="Arial" w:hAnsi="Arial"/>
                <w:sz w:val="12"/>
                <w:szCs w:val="12"/>
                <w:b w:val="1"/>
                <w:bCs w:val="1"/>
                <w:color w:val="auto"/>
              </w:rPr>
              <w:t>2023</w:t>
            </w:r>
          </w:p>
        </w:tc>
      </w:tr>
      <w:tr>
        <w:trPr>
          <w:trHeight w:val="328"/>
        </w:trPr>
        <w:tc>
          <w:tcPr>
            <w:tcW w:w="6500" w:type="dxa"/>
            <w:vAlign w:val="bottom"/>
          </w:tcPr>
          <w:p>
            <w:pPr>
              <w:spacing w:after="0"/>
              <w:rPr>
                <w:sz w:val="20"/>
                <w:szCs w:val="20"/>
                <w:color w:val="auto"/>
              </w:rPr>
            </w:pPr>
            <w:r>
              <w:rPr>
                <w:rFonts w:ascii="Arial" w:cs="Arial" w:eastAsia="Arial" w:hAnsi="Arial"/>
                <w:sz w:val="15"/>
                <w:szCs w:val="15"/>
                <w:color w:val="auto"/>
              </w:rPr>
              <w:t>Realized gain (loss)</w:t>
            </w:r>
          </w:p>
        </w:tc>
        <w:tc>
          <w:tcPr>
            <w:tcW w:w="1040" w:type="dxa"/>
            <w:vAlign w:val="bottom"/>
          </w:tcPr>
          <w:p>
            <w:pPr>
              <w:jc w:val="right"/>
              <w:ind w:right="868"/>
              <w:spacing w:after="0"/>
              <w:rPr>
                <w:sz w:val="20"/>
                <w:szCs w:val="20"/>
                <w:color w:val="auto"/>
              </w:rPr>
            </w:pPr>
            <w:r>
              <w:rPr>
                <w:rFonts w:ascii="Arial" w:cs="Arial" w:eastAsia="Arial" w:hAnsi="Arial"/>
                <w:sz w:val="15"/>
                <w:szCs w:val="15"/>
                <w:color w:val="auto"/>
                <w:w w:val="95"/>
              </w:rPr>
              <w:t>$</w:t>
            </w:r>
          </w:p>
        </w:tc>
        <w:tc>
          <w:tcPr>
            <w:tcW w:w="400" w:type="dxa"/>
            <w:vAlign w:val="bottom"/>
          </w:tcPr>
          <w:p>
            <w:pPr>
              <w:ind w:left="180"/>
              <w:spacing w:after="0"/>
              <w:rPr>
                <w:sz w:val="20"/>
                <w:szCs w:val="20"/>
                <w:color w:val="auto"/>
              </w:rPr>
            </w:pPr>
            <w:r>
              <w:rPr>
                <w:rFonts w:ascii="Arial" w:cs="Arial" w:eastAsia="Arial" w:hAnsi="Arial"/>
                <w:sz w:val="15"/>
                <w:szCs w:val="15"/>
                <w:color w:val="auto"/>
              </w:rPr>
              <w:t>—</w:t>
            </w:r>
          </w:p>
        </w:tc>
        <w:tc>
          <w:tcPr>
            <w:tcW w:w="5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100" w:type="dxa"/>
            <w:vAlign w:val="bottom"/>
          </w:tcPr>
          <w:p>
            <w:pPr>
              <w:jc w:val="right"/>
              <w:ind w:right="7"/>
              <w:spacing w:after="0"/>
              <w:rPr>
                <w:sz w:val="20"/>
                <w:szCs w:val="20"/>
                <w:color w:val="auto"/>
              </w:rPr>
            </w:pPr>
            <w:r>
              <w:rPr>
                <w:rFonts w:ascii="Arial" w:cs="Arial" w:eastAsia="Arial" w:hAnsi="Arial"/>
                <w:sz w:val="15"/>
                <w:szCs w:val="15"/>
                <w:color w:val="auto"/>
              </w:rPr>
              <w:t>9,504</w:t>
            </w:r>
          </w:p>
        </w:tc>
        <w:tc>
          <w:tcPr>
            <w:tcW w:w="200" w:type="dxa"/>
            <w:vAlign w:val="bottom"/>
          </w:tcPr>
          <w:p>
            <w:pPr>
              <w:spacing w:after="0"/>
              <w:rPr>
                <w:sz w:val="24"/>
                <w:szCs w:val="24"/>
                <w:color w:val="auto"/>
              </w:rPr>
            </w:pPr>
          </w:p>
        </w:tc>
        <w:tc>
          <w:tcPr>
            <w:tcW w:w="340" w:type="dxa"/>
            <w:vAlign w:val="bottom"/>
          </w:tcPr>
          <w:p>
            <w:pPr>
              <w:jc w:val="right"/>
              <w:ind w:right="163"/>
              <w:spacing w:after="0"/>
              <w:rPr>
                <w:sz w:val="20"/>
                <w:szCs w:val="20"/>
                <w:color w:val="auto"/>
              </w:rPr>
            </w:pPr>
            <w:r>
              <w:rPr>
                <w:rFonts w:ascii="Arial" w:cs="Arial" w:eastAsia="Arial" w:hAnsi="Arial"/>
                <w:sz w:val="15"/>
                <w:szCs w:val="15"/>
                <w:color w:val="auto"/>
                <w:w w:val="95"/>
              </w:rPr>
              <w:t>$</w:t>
            </w:r>
          </w:p>
        </w:tc>
        <w:tc>
          <w:tcPr>
            <w:tcW w:w="1100" w:type="dxa"/>
            <w:vAlign w:val="bottom"/>
          </w:tcPr>
          <w:p>
            <w:pPr>
              <w:jc w:val="right"/>
              <w:spacing w:after="0"/>
              <w:rPr>
                <w:sz w:val="20"/>
                <w:szCs w:val="20"/>
                <w:color w:val="auto"/>
              </w:rPr>
            </w:pPr>
            <w:r>
              <w:rPr>
                <w:rFonts w:ascii="Arial" w:cs="Arial" w:eastAsia="Arial" w:hAnsi="Arial"/>
                <w:sz w:val="15"/>
                <w:szCs w:val="15"/>
                <w:color w:val="auto"/>
              </w:rPr>
              <w:t>4,475</w:t>
            </w:r>
          </w:p>
        </w:tc>
      </w:tr>
      <w:tr>
        <w:trPr>
          <w:trHeight w:val="207"/>
        </w:trPr>
        <w:tc>
          <w:tcPr>
            <w:tcW w:w="6500" w:type="dxa"/>
            <w:vAlign w:val="bottom"/>
          </w:tcPr>
          <w:p>
            <w:pPr>
              <w:spacing w:after="0"/>
              <w:rPr>
                <w:sz w:val="20"/>
                <w:szCs w:val="20"/>
                <w:color w:val="auto"/>
              </w:rPr>
            </w:pPr>
            <w:r>
              <w:rPr>
                <w:rFonts w:ascii="Arial" w:cs="Arial" w:eastAsia="Arial" w:hAnsi="Arial"/>
                <w:sz w:val="15"/>
                <w:szCs w:val="15"/>
                <w:color w:val="auto"/>
              </w:rPr>
              <w:t>Net change in unrealized gain (loss)</w:t>
            </w:r>
          </w:p>
        </w:tc>
        <w:tc>
          <w:tcPr>
            <w:tcW w:w="104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ind w:left="18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rPr>
              <w:t>2,159</w:t>
            </w:r>
          </w:p>
        </w:tc>
        <w:tc>
          <w:tcPr>
            <w:tcW w:w="2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9,393</w:t>
            </w:r>
          </w:p>
        </w:tc>
      </w:tr>
      <w:tr>
        <w:trPr>
          <w:trHeight w:val="200"/>
        </w:trPr>
        <w:tc>
          <w:tcPr>
            <w:tcW w:w="6500" w:type="dxa"/>
            <w:vAlign w:val="bottom"/>
          </w:tcPr>
          <w:p>
            <w:pPr>
              <w:spacing w:after="0"/>
              <w:rPr>
                <w:sz w:val="20"/>
                <w:szCs w:val="20"/>
                <w:color w:val="auto"/>
              </w:rPr>
            </w:pPr>
            <w:r>
              <w:rPr>
                <w:rFonts w:ascii="Arial" w:cs="Arial" w:eastAsia="Arial" w:hAnsi="Arial"/>
                <w:sz w:val="15"/>
                <w:szCs w:val="15"/>
                <w:color w:val="auto"/>
              </w:rPr>
              <w:t>Total gain (loss)</w:t>
            </w:r>
          </w:p>
        </w:tc>
        <w:tc>
          <w:tcPr>
            <w:tcW w:w="1040" w:type="dxa"/>
            <w:vAlign w:val="bottom"/>
          </w:tcPr>
          <w:p>
            <w:pPr>
              <w:jc w:val="right"/>
              <w:ind w:right="868"/>
              <w:spacing w:after="0"/>
              <w:rPr>
                <w:sz w:val="20"/>
                <w:szCs w:val="20"/>
                <w:color w:val="auto"/>
              </w:rPr>
            </w:pPr>
            <w:r>
              <w:rPr>
                <w:rFonts w:ascii="Arial" w:cs="Arial" w:eastAsia="Arial" w:hAnsi="Arial"/>
                <w:sz w:val="15"/>
                <w:szCs w:val="15"/>
                <w:color w:val="auto"/>
                <w:w w:val="95"/>
              </w:rPr>
              <w:t>$</w:t>
            </w:r>
          </w:p>
        </w:tc>
        <w:tc>
          <w:tcPr>
            <w:tcW w:w="400" w:type="dxa"/>
            <w:vAlign w:val="bottom"/>
          </w:tcPr>
          <w:p>
            <w:pPr>
              <w:ind w:left="180"/>
              <w:spacing w:after="0"/>
              <w:rPr>
                <w:sz w:val="20"/>
                <w:szCs w:val="20"/>
                <w:color w:val="auto"/>
              </w:rPr>
            </w:pPr>
            <w:r>
              <w:rPr>
                <w:rFonts w:ascii="Arial" w:cs="Arial" w:eastAsia="Arial" w:hAnsi="Arial"/>
                <w:sz w:val="15"/>
                <w:szCs w:val="15"/>
                <w:color w:val="auto"/>
              </w:rPr>
              <w:t>—</w:t>
            </w:r>
          </w:p>
        </w:tc>
        <w:tc>
          <w:tcPr>
            <w:tcW w:w="5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100" w:type="dxa"/>
            <w:vAlign w:val="bottom"/>
          </w:tcPr>
          <w:p>
            <w:pPr>
              <w:jc w:val="right"/>
              <w:ind w:right="7"/>
              <w:spacing w:after="0"/>
              <w:rPr>
                <w:sz w:val="20"/>
                <w:szCs w:val="20"/>
                <w:color w:val="auto"/>
              </w:rPr>
            </w:pPr>
            <w:r>
              <w:rPr>
                <w:rFonts w:ascii="Arial" w:cs="Arial" w:eastAsia="Arial" w:hAnsi="Arial"/>
                <w:sz w:val="15"/>
                <w:szCs w:val="15"/>
                <w:color w:val="auto"/>
              </w:rPr>
              <w:t>11,663</w:t>
            </w:r>
          </w:p>
        </w:tc>
        <w:tc>
          <w:tcPr>
            <w:tcW w:w="200" w:type="dxa"/>
            <w:vAlign w:val="bottom"/>
          </w:tcPr>
          <w:p>
            <w:pPr>
              <w:spacing w:after="0"/>
              <w:rPr>
                <w:sz w:val="17"/>
                <w:szCs w:val="17"/>
                <w:color w:val="auto"/>
              </w:rPr>
            </w:pPr>
          </w:p>
        </w:tc>
        <w:tc>
          <w:tcPr>
            <w:tcW w:w="340" w:type="dxa"/>
            <w:vAlign w:val="bottom"/>
          </w:tcPr>
          <w:p>
            <w:pPr>
              <w:jc w:val="right"/>
              <w:ind w:right="163"/>
              <w:spacing w:after="0"/>
              <w:rPr>
                <w:sz w:val="20"/>
                <w:szCs w:val="20"/>
                <w:color w:val="auto"/>
              </w:rPr>
            </w:pPr>
            <w:r>
              <w:rPr>
                <w:rFonts w:ascii="Arial" w:cs="Arial" w:eastAsia="Arial" w:hAnsi="Arial"/>
                <w:sz w:val="15"/>
                <w:szCs w:val="15"/>
                <w:color w:val="auto"/>
                <w:w w:val="95"/>
              </w:rPr>
              <w:t>$</w:t>
            </w:r>
          </w:p>
        </w:tc>
        <w:tc>
          <w:tcPr>
            <w:tcW w:w="1100" w:type="dxa"/>
            <w:vAlign w:val="bottom"/>
          </w:tcPr>
          <w:p>
            <w:pPr>
              <w:jc w:val="right"/>
              <w:spacing w:after="0"/>
              <w:rPr>
                <w:sz w:val="20"/>
                <w:szCs w:val="20"/>
                <w:color w:val="auto"/>
              </w:rPr>
            </w:pPr>
            <w:r>
              <w:rPr>
                <w:rFonts w:ascii="Arial" w:cs="Arial" w:eastAsia="Arial" w:hAnsi="Arial"/>
                <w:sz w:val="15"/>
                <w:szCs w:val="15"/>
                <w:color w:val="auto"/>
              </w:rPr>
              <w:t>13,868</w:t>
            </w:r>
          </w:p>
        </w:tc>
      </w:tr>
      <w:tr>
        <w:trPr>
          <w:trHeight w:val="20"/>
        </w:trPr>
        <w:tc>
          <w:tcPr>
            <w:tcW w:w="650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228" w:lineRule="exact"/>
        <w:rPr>
          <w:sz w:val="20"/>
          <w:szCs w:val="20"/>
          <w:color w:val="auto"/>
        </w:rPr>
      </w:pPr>
    </w:p>
    <w:p>
      <w:pPr>
        <w:jc w:val="both"/>
        <w:ind w:firstLine="619"/>
        <w:spacing w:after="0" w:line="290" w:lineRule="auto"/>
        <w:rPr>
          <w:sz w:val="20"/>
          <w:szCs w:val="20"/>
          <w:color w:val="auto"/>
        </w:rPr>
      </w:pPr>
      <w:r>
        <w:rPr>
          <w:rFonts w:ascii="Arial" w:cs="Arial" w:eastAsia="Arial" w:hAnsi="Arial"/>
          <w:sz w:val="17"/>
          <w:szCs w:val="17"/>
          <w:color w:val="auto"/>
        </w:rPr>
        <w:t>Subsequent to the 2024 Restructuring, with the deconsolidation of Oaktree Capital I, the Company no longer holds any other investments at fair value.</w:t>
      </w: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8" w:name="page89"/>
    <w:bookmarkEnd w:id="88"/>
    <w:p>
      <w:pPr>
        <w:jc w:val="center"/>
        <w:ind w:left="2340"/>
        <w:spacing w:after="0"/>
        <w:rPr>
          <w:sz w:val="20"/>
          <w:szCs w:val="20"/>
          <w:color w:val="auto"/>
        </w:rPr>
      </w:pPr>
      <w:r>
        <w:rPr>
          <w:rFonts w:ascii="Arial" w:cs="Arial" w:eastAsia="Arial" w:hAnsi="Arial"/>
          <w:sz w:val="17"/>
          <w:szCs w:val="17"/>
          <w:b w:val="1"/>
          <w:bCs w:val="1"/>
          <w:color w:val="auto"/>
        </w:rPr>
        <w:t>Brookfield Oaktree Holdings, LLC</w:t>
      </w:r>
    </w:p>
    <w:p>
      <w:pPr>
        <w:spacing w:after="0" w:line="15" w:lineRule="exact"/>
        <w:rPr>
          <w:sz w:val="20"/>
          <w:szCs w:val="20"/>
          <w:color w:val="auto"/>
        </w:rPr>
      </w:pPr>
    </w:p>
    <w:p>
      <w:pPr>
        <w:jc w:val="center"/>
        <w:ind w:left="2340"/>
        <w:spacing w:after="0"/>
        <w:rPr>
          <w:sz w:val="20"/>
          <w:szCs w:val="20"/>
          <w:color w:val="auto"/>
        </w:rPr>
      </w:pPr>
      <w:r>
        <w:rPr>
          <w:rFonts w:ascii="Arial" w:cs="Arial" w:eastAsia="Arial" w:hAnsi="Arial"/>
          <w:sz w:val="17"/>
          <w:szCs w:val="17"/>
          <w:b w:val="1"/>
          <w:bCs w:val="1"/>
          <w:color w:val="auto"/>
        </w:rPr>
        <w:t>Notes to Consolidated Financial Statements — (Continued)</w:t>
      </w:r>
    </w:p>
    <w:p>
      <w:pPr>
        <w:spacing w:after="0" w:line="11" w:lineRule="exact"/>
        <w:rPr>
          <w:sz w:val="20"/>
          <w:szCs w:val="20"/>
          <w:color w:val="auto"/>
        </w:rPr>
      </w:pPr>
    </w:p>
    <w:p>
      <w:pPr>
        <w:jc w:val="center"/>
        <w:ind w:left="2340"/>
        <w:spacing w:after="0"/>
        <w:rPr>
          <w:sz w:val="20"/>
          <w:szCs w:val="20"/>
          <w:color w:val="auto"/>
        </w:rPr>
      </w:pPr>
      <w:r>
        <w:rPr>
          <w:rFonts w:ascii="Arial" w:cs="Arial" w:eastAsia="Arial" w:hAnsi="Arial"/>
          <w:sz w:val="17"/>
          <w:szCs w:val="17"/>
          <w:b w:val="1"/>
          <w:bCs w:val="1"/>
          <w:color w:val="auto"/>
        </w:rPr>
        <w:t>December 31, 2025</w:t>
      </w:r>
    </w:p>
    <w:p>
      <w:pPr>
        <w:spacing w:after="0" w:line="11" w:lineRule="exact"/>
        <w:rPr>
          <w:sz w:val="20"/>
          <w:szCs w:val="20"/>
          <w:color w:val="auto"/>
        </w:rPr>
      </w:pPr>
    </w:p>
    <w:p>
      <w:pPr>
        <w:jc w:val="center"/>
        <w:ind w:left="2340"/>
        <w:spacing w:after="0"/>
        <w:rPr>
          <w:sz w:val="20"/>
          <w:szCs w:val="20"/>
          <w:color w:val="auto"/>
        </w:rPr>
      </w:pPr>
      <w:r>
        <w:rPr>
          <w:rFonts w:ascii="Arial" w:cs="Arial" w:eastAsia="Arial" w:hAnsi="Arial"/>
          <w:sz w:val="17"/>
          <w:szCs w:val="17"/>
          <w:b w:val="1"/>
          <w:bCs w:val="1"/>
          <w:color w:val="auto"/>
        </w:rPr>
        <w:t>($ in thousands, except where noted)</w:t>
      </w: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Investments of Consolidated Funds</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Investments, at Fair Value</w:t>
      </w:r>
    </w:p>
    <w:p>
      <w:pPr>
        <w:spacing w:after="0" w:line="88" w:lineRule="exact"/>
        <w:rPr>
          <w:sz w:val="20"/>
          <w:szCs w:val="20"/>
          <w:color w:val="auto"/>
        </w:rPr>
      </w:pPr>
    </w:p>
    <w:p>
      <w:pPr>
        <w:ind w:left="620"/>
        <w:spacing w:after="0"/>
        <w:rPr>
          <w:sz w:val="20"/>
          <w:szCs w:val="20"/>
          <w:color w:val="auto"/>
        </w:rPr>
      </w:pPr>
      <w:r>
        <w:rPr>
          <w:rFonts w:ascii="Arial" w:cs="Arial" w:eastAsia="Arial" w:hAnsi="Arial"/>
          <w:sz w:val="17"/>
          <w:szCs w:val="17"/>
          <w:color w:val="auto"/>
        </w:rPr>
        <w:t>Investments held and securities sold short by the consolidated funds are summarized below:</w:t>
      </w:r>
    </w:p>
    <w:p>
      <w:pPr>
        <w:spacing w:after="0" w:line="384" w:lineRule="exact"/>
        <w:rPr>
          <w:sz w:val="20"/>
          <w:szCs w:val="20"/>
          <w:color w:val="auto"/>
        </w:rPr>
      </w:pPr>
    </w:p>
    <w:tbl>
      <w:tblPr>
        <w:tblLayout w:type="fixed"/>
        <w:tblInd w:w="20" w:type="dxa"/>
        <w:tblCellMar>
          <w:top w:w="0" w:type="dxa"/>
          <w:left w:w="0" w:type="dxa"/>
          <w:bottom w:w="0" w:type="dxa"/>
          <w:right w:w="0" w:type="dxa"/>
        </w:tblCellMar>
      </w:tblPr>
      <w:tr>
        <w:trPr>
          <w:trHeight w:val="165"/>
        </w:trPr>
        <w:tc>
          <w:tcPr>
            <w:tcW w:w="700" w:type="dxa"/>
            <w:vAlign w:val="bottom"/>
          </w:tcPr>
          <w:p>
            <w:pPr>
              <w:spacing w:after="0"/>
              <w:rPr>
                <w:sz w:val="14"/>
                <w:szCs w:val="14"/>
                <w:color w:val="auto"/>
              </w:rPr>
            </w:pPr>
          </w:p>
        </w:tc>
        <w:tc>
          <w:tcPr>
            <w:tcW w:w="5600" w:type="dxa"/>
            <w:vAlign w:val="bottom"/>
          </w:tcPr>
          <w:p>
            <w:pPr>
              <w:spacing w:after="0"/>
              <w:rPr>
                <w:sz w:val="14"/>
                <w:szCs w:val="14"/>
                <w:color w:val="auto"/>
              </w:rPr>
            </w:pPr>
          </w:p>
        </w:tc>
        <w:tc>
          <w:tcPr>
            <w:tcW w:w="2580" w:type="dxa"/>
            <w:vAlign w:val="bottom"/>
            <w:tcBorders>
              <w:bottom w:val="single" w:sz="8" w:color="auto"/>
            </w:tcBorders>
            <w:gridSpan w:val="3"/>
          </w:tcPr>
          <w:p>
            <w:pPr>
              <w:jc w:val="right"/>
              <w:ind w:right="380"/>
              <w:spacing w:after="0"/>
              <w:rPr>
                <w:sz w:val="20"/>
                <w:szCs w:val="20"/>
                <w:color w:val="auto"/>
              </w:rPr>
            </w:pPr>
            <w:r>
              <w:rPr>
                <w:rFonts w:ascii="Arial" w:cs="Arial" w:eastAsia="Arial" w:hAnsi="Arial"/>
                <w:sz w:val="12"/>
                <w:szCs w:val="12"/>
                <w:b w:val="1"/>
                <w:bCs w:val="1"/>
                <w:color w:val="auto"/>
              </w:rPr>
              <w:t>Fair Value as of December 31,</w:t>
            </w:r>
          </w:p>
        </w:tc>
      </w:tr>
      <w:tr>
        <w:trPr>
          <w:trHeight w:val="129"/>
        </w:trPr>
        <w:tc>
          <w:tcPr>
            <w:tcW w:w="63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Investments</w:t>
            </w:r>
          </w:p>
        </w:tc>
        <w:tc>
          <w:tcPr>
            <w:tcW w:w="1180" w:type="dxa"/>
            <w:vAlign w:val="bottom"/>
          </w:tcPr>
          <w:p>
            <w:pPr>
              <w:jc w:val="right"/>
              <w:ind w:right="400"/>
              <w:spacing w:after="0" w:line="129" w:lineRule="exact"/>
              <w:rPr>
                <w:sz w:val="20"/>
                <w:szCs w:val="20"/>
                <w:color w:val="auto"/>
              </w:rPr>
            </w:pPr>
            <w:r>
              <w:rPr>
                <w:rFonts w:ascii="Arial" w:cs="Arial" w:eastAsia="Arial" w:hAnsi="Arial"/>
                <w:sz w:val="12"/>
                <w:szCs w:val="12"/>
                <w:b w:val="1"/>
                <w:bCs w:val="1"/>
                <w:color w:val="auto"/>
              </w:rPr>
              <w:t>2025</w:t>
            </w:r>
          </w:p>
        </w:tc>
        <w:tc>
          <w:tcPr>
            <w:tcW w:w="220" w:type="dxa"/>
            <w:vAlign w:val="bottom"/>
          </w:tcPr>
          <w:p>
            <w:pPr>
              <w:spacing w:after="0"/>
              <w:rPr>
                <w:sz w:val="11"/>
                <w:szCs w:val="11"/>
                <w:color w:val="auto"/>
              </w:rPr>
            </w:pPr>
          </w:p>
        </w:tc>
        <w:tc>
          <w:tcPr>
            <w:tcW w:w="1180" w:type="dxa"/>
            <w:vAlign w:val="bottom"/>
          </w:tcPr>
          <w:p>
            <w:pPr>
              <w:jc w:val="right"/>
              <w:ind w:right="400"/>
              <w:spacing w:after="0" w:line="129" w:lineRule="exact"/>
              <w:rPr>
                <w:sz w:val="20"/>
                <w:szCs w:val="20"/>
                <w:color w:val="auto"/>
              </w:rPr>
            </w:pPr>
            <w:r>
              <w:rPr>
                <w:rFonts w:ascii="Arial" w:cs="Arial" w:eastAsia="Arial" w:hAnsi="Arial"/>
                <w:sz w:val="12"/>
                <w:szCs w:val="12"/>
                <w:b w:val="1"/>
                <w:bCs w:val="1"/>
                <w:color w:val="auto"/>
              </w:rPr>
              <w:t>2024</w:t>
            </w:r>
          </w:p>
        </w:tc>
      </w:tr>
      <w:tr>
        <w:trPr>
          <w:trHeight w:val="20"/>
        </w:trPr>
        <w:tc>
          <w:tcPr>
            <w:tcW w:w="700" w:type="dxa"/>
            <w:vAlign w:val="bottom"/>
            <w:tcBorders>
              <w:top w:val="single" w:sz="8" w:color="auto"/>
            </w:tcBorders>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40"/>
        <w:spacing w:after="0" w:line="230" w:lineRule="auto"/>
        <w:rPr>
          <w:sz w:val="20"/>
          <w:szCs w:val="20"/>
          <w:color w:val="auto"/>
        </w:rPr>
      </w:pPr>
      <w:r>
        <w:rPr>
          <w:rFonts w:ascii="Arial" w:cs="Arial" w:eastAsia="Arial" w:hAnsi="Arial"/>
          <w:sz w:val="12"/>
          <w:szCs w:val="12"/>
          <w:b w:val="1"/>
          <w:bCs w:val="1"/>
          <w:color w:val="auto"/>
        </w:rPr>
        <w:t>Fair Value as a Percentage of Investments of Consolidated Funds as of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13335</wp:posOffset>
            </wp:positionV>
            <wp:extent cx="135890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358900" cy="8255"/>
                    </a:xfrm>
                    <a:prstGeom prst="rect">
                      <a:avLst/>
                    </a:prstGeom>
                    <a:noFill/>
                  </pic:spPr>
                </pic:pic>
              </a:graphicData>
            </a:graphic>
          </wp:anchor>
        </w:drawing>
      </w:r>
    </w:p>
    <w:p>
      <w:pPr>
        <w:spacing w:after="0" w:line="9" w:lineRule="exact"/>
        <w:rPr>
          <w:sz w:val="20"/>
          <w:szCs w:val="20"/>
          <w:color w:val="auto"/>
        </w:rPr>
      </w:pPr>
    </w:p>
    <w:p>
      <w:pPr>
        <w:ind w:left="300"/>
        <w:spacing w:after="0"/>
        <w:tabs>
          <w:tab w:leader="none" w:pos="1440" w:val="left"/>
        </w:tabs>
        <w:rPr>
          <w:sz w:val="20"/>
          <w:szCs w:val="20"/>
          <w:color w:val="auto"/>
        </w:rPr>
      </w:pPr>
      <w:r>
        <w:rPr>
          <w:rFonts w:ascii="Arial" w:cs="Arial" w:eastAsia="Arial" w:hAnsi="Arial"/>
          <w:sz w:val="12"/>
          <w:szCs w:val="12"/>
          <w:b w:val="1"/>
          <w:bCs w:val="1"/>
          <w:color w:val="auto"/>
        </w:rPr>
        <w:t>2025</w:t>
      </w:r>
      <w:r>
        <w:rPr>
          <w:sz w:val="20"/>
          <w:szCs w:val="20"/>
          <w:color w:val="auto"/>
        </w:rPr>
        <w:tab/>
      </w:r>
      <w:r>
        <w:rPr>
          <w:rFonts w:ascii="Arial" w:cs="Arial" w:eastAsia="Arial" w:hAnsi="Arial"/>
          <w:sz w:val="12"/>
          <w:szCs w:val="12"/>
          <w:b w:val="1"/>
          <w:bCs w:val="1"/>
          <w:color w:val="auto"/>
        </w:rPr>
        <w:t>2024</w:t>
      </w:r>
    </w:p>
    <w:p>
      <w:pPr>
        <w:spacing w:after="0" w:line="48" w:lineRule="exact"/>
        <w:rPr>
          <w:sz w:val="20"/>
          <w:szCs w:val="20"/>
          <w:color w:val="auto"/>
        </w:rPr>
      </w:pPr>
    </w:p>
    <w:p>
      <w:pPr>
        <w:sectPr>
          <w:pgSz w:w="11900" w:h="16838" w:orient="portrait"/>
          <w:cols w:equalWidth="0" w:num="2">
            <w:col w:w="8900" w:space="260"/>
            <w:col w:w="2080"/>
          </w:cols>
          <w:pgMar w:left="320" w:top="121" w:right="339" w:bottom="1440" w:gutter="0" w:footer="0" w:header="0"/>
        </w:sectPr>
      </w:pPr>
    </w:p>
    <w:tbl>
      <w:tblPr>
        <w:tblLayout w:type="fixed"/>
        <w:tblInd w:w="20" w:type="dxa"/>
        <w:tblCellMar>
          <w:top w:w="0" w:type="dxa"/>
          <w:left w:w="0" w:type="dxa"/>
          <w:bottom w:w="0" w:type="dxa"/>
          <w:right w:w="0" w:type="dxa"/>
        </w:tblCellMar>
      </w:tblPr>
      <w:tr>
        <w:trPr>
          <w:trHeight w:val="179"/>
        </w:trPr>
        <w:tc>
          <w:tcPr>
            <w:tcW w:w="6300" w:type="dxa"/>
            <w:vAlign w:val="bottom"/>
          </w:tcPr>
          <w:p>
            <w:pPr>
              <w:spacing w:after="0"/>
              <w:rPr>
                <w:sz w:val="20"/>
                <w:szCs w:val="20"/>
                <w:color w:val="auto"/>
              </w:rPr>
            </w:pPr>
            <w:r>
              <w:rPr>
                <w:rFonts w:ascii="Arial" w:cs="Arial" w:eastAsia="Arial" w:hAnsi="Arial"/>
                <w:sz w:val="14"/>
                <w:szCs w:val="14"/>
                <w:color w:val="auto"/>
              </w:rPr>
              <w:t>United States:</w:t>
            </w:r>
          </w:p>
        </w:tc>
        <w:tc>
          <w:tcPr>
            <w:tcW w:w="3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36"/>
        </w:trPr>
        <w:tc>
          <w:tcPr>
            <w:tcW w:w="6300" w:type="dxa"/>
            <w:vAlign w:val="bottom"/>
          </w:tcPr>
          <w:p>
            <w:pPr>
              <w:ind w:left="740"/>
              <w:spacing w:after="0" w:line="137" w:lineRule="exact"/>
              <w:rPr>
                <w:sz w:val="20"/>
                <w:szCs w:val="20"/>
                <w:color w:val="auto"/>
              </w:rPr>
            </w:pPr>
            <w:r>
              <w:rPr>
                <w:rFonts w:ascii="Arial" w:cs="Arial" w:eastAsia="Arial" w:hAnsi="Arial"/>
                <w:sz w:val="14"/>
                <w:szCs w:val="14"/>
                <w:color w:val="auto"/>
              </w:rPr>
              <w:t>Debt securities (cost: $1,410,932 and $1,792,830 as of December 31, 2025 and 2024,</w:t>
            </w:r>
          </w:p>
        </w:tc>
        <w:tc>
          <w:tcPr>
            <w:tcW w:w="300" w:type="dxa"/>
            <w:vAlign w:val="bottom"/>
            <w:vMerge w:val="restart"/>
          </w:tcPr>
          <w:p>
            <w:pPr>
              <w:jc w:val="right"/>
              <w:ind w:right="131"/>
              <w:spacing w:after="0"/>
              <w:rPr>
                <w:sz w:val="20"/>
                <w:szCs w:val="20"/>
                <w:color w:val="auto"/>
              </w:rPr>
            </w:pPr>
            <w:r>
              <w:rPr>
                <w:rFonts w:ascii="Arial" w:cs="Arial" w:eastAsia="Arial" w:hAnsi="Arial"/>
                <w:sz w:val="14"/>
                <w:szCs w:val="14"/>
                <w:color w:val="auto"/>
              </w:rPr>
              <w:t>$</w:t>
            </w: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1,245,636</w:t>
            </w:r>
          </w:p>
        </w:tc>
        <w:tc>
          <w:tcPr>
            <w:tcW w:w="220" w:type="dxa"/>
            <w:vAlign w:val="bottom"/>
          </w:tcPr>
          <w:p>
            <w:pPr>
              <w:spacing w:after="0"/>
              <w:rPr>
                <w:sz w:val="11"/>
                <w:szCs w:val="11"/>
                <w:color w:val="auto"/>
              </w:rPr>
            </w:pPr>
          </w:p>
        </w:tc>
        <w:tc>
          <w:tcPr>
            <w:tcW w:w="300" w:type="dxa"/>
            <w:vAlign w:val="bottom"/>
            <w:vMerge w:val="restart"/>
          </w:tcPr>
          <w:p>
            <w:pPr>
              <w:jc w:val="right"/>
              <w:ind w:right="151"/>
              <w:spacing w:after="0"/>
              <w:rPr>
                <w:sz w:val="20"/>
                <w:szCs w:val="20"/>
                <w:color w:val="auto"/>
              </w:rPr>
            </w:pPr>
            <w:r>
              <w:rPr>
                <w:rFonts w:ascii="Arial" w:cs="Arial" w:eastAsia="Arial" w:hAnsi="Arial"/>
                <w:sz w:val="14"/>
                <w:szCs w:val="14"/>
                <w:color w:val="auto"/>
                <w:w w:val="76"/>
              </w:rPr>
              <w:t>$</w:t>
            </w: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1,857,874</w:t>
            </w:r>
          </w:p>
        </w:tc>
        <w:tc>
          <w:tcPr>
            <w:tcW w:w="200" w:type="dxa"/>
            <w:vAlign w:val="bottom"/>
          </w:tcPr>
          <w:p>
            <w:pPr>
              <w:spacing w:after="0"/>
              <w:rPr>
                <w:sz w:val="11"/>
                <w:szCs w:val="11"/>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24.9 %</w:t>
            </w:r>
          </w:p>
        </w:tc>
        <w:tc>
          <w:tcPr>
            <w:tcW w:w="200" w:type="dxa"/>
            <w:vAlign w:val="bottom"/>
          </w:tcPr>
          <w:p>
            <w:pPr>
              <w:spacing w:after="0"/>
              <w:rPr>
                <w:sz w:val="11"/>
                <w:szCs w:val="11"/>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37.6 %</w:t>
            </w:r>
          </w:p>
        </w:tc>
        <w:tc>
          <w:tcPr>
            <w:tcW w:w="0" w:type="dxa"/>
            <w:vAlign w:val="bottom"/>
          </w:tcPr>
          <w:p>
            <w:pPr>
              <w:spacing w:after="0"/>
              <w:rPr>
                <w:sz w:val="1"/>
                <w:szCs w:val="1"/>
                <w:color w:val="auto"/>
              </w:rPr>
            </w:pPr>
          </w:p>
        </w:tc>
      </w:tr>
      <w:tr>
        <w:trPr>
          <w:trHeight w:val="180"/>
        </w:trPr>
        <w:tc>
          <w:tcPr>
            <w:tcW w:w="6300" w:type="dxa"/>
            <w:vAlign w:val="bottom"/>
          </w:tcPr>
          <w:p>
            <w:pPr>
              <w:ind w:left="880"/>
              <w:spacing w:after="0"/>
              <w:rPr>
                <w:sz w:val="20"/>
                <w:szCs w:val="20"/>
                <w:color w:val="auto"/>
              </w:rPr>
            </w:pPr>
            <w:r>
              <w:rPr>
                <w:rFonts w:ascii="Arial" w:cs="Arial" w:eastAsia="Arial" w:hAnsi="Arial"/>
                <w:sz w:val="14"/>
                <w:szCs w:val="14"/>
                <w:color w:val="auto"/>
              </w:rPr>
              <w:t>respectively)</w:t>
            </w:r>
          </w:p>
        </w:tc>
        <w:tc>
          <w:tcPr>
            <w:tcW w:w="300" w:type="dxa"/>
            <w:vAlign w:val="bottom"/>
            <w:vMerge w:val="continue"/>
          </w:tcPr>
          <w:p>
            <w:pPr>
              <w:spacing w:after="0"/>
              <w:rPr>
                <w:sz w:val="15"/>
                <w:szCs w:val="15"/>
                <w:color w:val="auto"/>
              </w:rPr>
            </w:pPr>
          </w:p>
        </w:tc>
        <w:tc>
          <w:tcPr>
            <w:tcW w:w="88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vMerge w:val="continue"/>
          </w:tcPr>
          <w:p>
            <w:pPr>
              <w:spacing w:after="0"/>
              <w:rPr>
                <w:sz w:val="15"/>
                <w:szCs w:val="15"/>
                <w:color w:val="auto"/>
              </w:rPr>
            </w:pPr>
          </w:p>
        </w:tc>
        <w:tc>
          <w:tcPr>
            <w:tcW w:w="88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300" w:type="dxa"/>
            <w:vAlign w:val="bottom"/>
          </w:tcPr>
          <w:p>
            <w:pPr>
              <w:ind w:left="740"/>
              <w:spacing w:after="0" w:line="142" w:lineRule="exact"/>
              <w:rPr>
                <w:sz w:val="20"/>
                <w:szCs w:val="20"/>
                <w:color w:val="auto"/>
              </w:rPr>
            </w:pPr>
            <w:r>
              <w:rPr>
                <w:rFonts w:ascii="Arial" w:cs="Arial" w:eastAsia="Arial" w:hAnsi="Arial"/>
                <w:sz w:val="14"/>
                <w:szCs w:val="14"/>
                <w:color w:val="auto"/>
              </w:rPr>
              <w:t>Equity securities (cost: $1,658,791 and $1,362,953 as of December 31, 2025 and 2024,</w:t>
            </w:r>
          </w:p>
        </w:tc>
        <w:tc>
          <w:tcPr>
            <w:tcW w:w="300" w:type="dxa"/>
            <w:vAlign w:val="bottom"/>
          </w:tcPr>
          <w:p>
            <w:pPr>
              <w:spacing w:after="0"/>
              <w:rPr>
                <w:sz w:val="12"/>
                <w:szCs w:val="12"/>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2,058,375</w:t>
            </w: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1,610,427</w:t>
            </w:r>
          </w:p>
        </w:tc>
        <w:tc>
          <w:tcPr>
            <w:tcW w:w="200" w:type="dxa"/>
            <w:vAlign w:val="bottom"/>
          </w:tcPr>
          <w:p>
            <w:pPr>
              <w:spacing w:after="0"/>
              <w:rPr>
                <w:sz w:val="12"/>
                <w:szCs w:val="12"/>
                <w:color w:val="auto"/>
              </w:rPr>
            </w:pPr>
          </w:p>
        </w:tc>
        <w:tc>
          <w:tcPr>
            <w:tcW w:w="980" w:type="dxa"/>
            <w:vAlign w:val="bottom"/>
            <w:vMerge w:val="restart"/>
          </w:tcPr>
          <w:p>
            <w:pPr>
              <w:jc w:val="right"/>
              <w:ind w:right="111"/>
              <w:spacing w:after="0"/>
              <w:rPr>
                <w:sz w:val="20"/>
                <w:szCs w:val="20"/>
                <w:color w:val="auto"/>
              </w:rPr>
            </w:pPr>
            <w:r>
              <w:rPr>
                <w:rFonts w:ascii="Arial" w:cs="Arial" w:eastAsia="Arial" w:hAnsi="Arial"/>
                <w:sz w:val="14"/>
                <w:szCs w:val="14"/>
                <w:color w:val="auto"/>
              </w:rPr>
              <w:t>41.1</w:t>
            </w:r>
          </w:p>
        </w:tc>
        <w:tc>
          <w:tcPr>
            <w:tcW w:w="200" w:type="dxa"/>
            <w:vAlign w:val="bottom"/>
          </w:tcPr>
          <w:p>
            <w:pPr>
              <w:spacing w:after="0"/>
              <w:rPr>
                <w:sz w:val="12"/>
                <w:szCs w:val="12"/>
                <w:color w:val="auto"/>
              </w:rPr>
            </w:pPr>
          </w:p>
        </w:tc>
        <w:tc>
          <w:tcPr>
            <w:tcW w:w="960" w:type="dxa"/>
            <w:vAlign w:val="bottom"/>
            <w:vMerge w:val="restart"/>
          </w:tcPr>
          <w:p>
            <w:pPr>
              <w:jc w:val="right"/>
              <w:ind w:right="111"/>
              <w:spacing w:after="0"/>
              <w:rPr>
                <w:sz w:val="20"/>
                <w:szCs w:val="20"/>
                <w:color w:val="auto"/>
              </w:rPr>
            </w:pPr>
            <w:r>
              <w:rPr>
                <w:rFonts w:ascii="Arial" w:cs="Arial" w:eastAsia="Arial" w:hAnsi="Arial"/>
                <w:sz w:val="14"/>
                <w:szCs w:val="14"/>
                <w:color w:val="auto"/>
              </w:rPr>
              <w:t>32.6</w:t>
            </w:r>
          </w:p>
        </w:tc>
        <w:tc>
          <w:tcPr>
            <w:tcW w:w="0" w:type="dxa"/>
            <w:vAlign w:val="bottom"/>
          </w:tcPr>
          <w:p>
            <w:pPr>
              <w:spacing w:after="0"/>
              <w:rPr>
                <w:sz w:val="1"/>
                <w:szCs w:val="1"/>
                <w:color w:val="auto"/>
              </w:rPr>
            </w:pPr>
          </w:p>
        </w:tc>
      </w:tr>
      <w:tr>
        <w:trPr>
          <w:trHeight w:val="180"/>
        </w:trPr>
        <w:tc>
          <w:tcPr>
            <w:tcW w:w="6300" w:type="dxa"/>
            <w:vAlign w:val="bottom"/>
          </w:tcPr>
          <w:p>
            <w:pPr>
              <w:ind w:left="880"/>
              <w:spacing w:after="0"/>
              <w:rPr>
                <w:sz w:val="20"/>
                <w:szCs w:val="20"/>
                <w:color w:val="auto"/>
              </w:rPr>
            </w:pPr>
            <w:r>
              <w:rPr>
                <w:rFonts w:ascii="Arial" w:cs="Arial" w:eastAsia="Arial" w:hAnsi="Arial"/>
                <w:sz w:val="14"/>
                <w:szCs w:val="14"/>
                <w:color w:val="auto"/>
              </w:rPr>
              <w:t>respectively)</w:t>
            </w:r>
          </w:p>
        </w:tc>
        <w:tc>
          <w:tcPr>
            <w:tcW w:w="30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300" w:type="dxa"/>
            <w:vAlign w:val="bottom"/>
          </w:tcPr>
          <w:p>
            <w:pPr>
              <w:ind w:left="740"/>
              <w:spacing w:after="0" w:line="142" w:lineRule="exact"/>
              <w:rPr>
                <w:sz w:val="20"/>
                <w:szCs w:val="20"/>
                <w:color w:val="auto"/>
              </w:rPr>
            </w:pPr>
            <w:r>
              <w:rPr>
                <w:rFonts w:ascii="Arial" w:cs="Arial" w:eastAsia="Arial" w:hAnsi="Arial"/>
                <w:sz w:val="14"/>
                <w:szCs w:val="14"/>
                <w:color w:val="auto"/>
              </w:rPr>
              <w:t>Real estate securities (cost: $81,097 and $26,966 as of December 31, 2025 and 2024,</w:t>
            </w:r>
          </w:p>
        </w:tc>
        <w:tc>
          <w:tcPr>
            <w:tcW w:w="300" w:type="dxa"/>
            <w:vAlign w:val="bottom"/>
          </w:tcPr>
          <w:p>
            <w:pPr>
              <w:spacing w:after="0"/>
              <w:rPr>
                <w:sz w:val="12"/>
                <w:szCs w:val="12"/>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85,059</w:t>
            </w: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15,036</w:t>
            </w:r>
          </w:p>
        </w:tc>
        <w:tc>
          <w:tcPr>
            <w:tcW w:w="200" w:type="dxa"/>
            <w:vAlign w:val="bottom"/>
          </w:tcPr>
          <w:p>
            <w:pPr>
              <w:spacing w:after="0"/>
              <w:rPr>
                <w:sz w:val="12"/>
                <w:szCs w:val="12"/>
                <w:color w:val="auto"/>
              </w:rPr>
            </w:pPr>
          </w:p>
        </w:tc>
        <w:tc>
          <w:tcPr>
            <w:tcW w:w="980" w:type="dxa"/>
            <w:vAlign w:val="bottom"/>
            <w:vMerge w:val="restart"/>
          </w:tcPr>
          <w:p>
            <w:pPr>
              <w:jc w:val="right"/>
              <w:ind w:right="111"/>
              <w:spacing w:after="0"/>
              <w:rPr>
                <w:sz w:val="20"/>
                <w:szCs w:val="20"/>
                <w:color w:val="auto"/>
              </w:rPr>
            </w:pPr>
            <w:r>
              <w:rPr>
                <w:rFonts w:ascii="Arial" w:cs="Arial" w:eastAsia="Arial" w:hAnsi="Arial"/>
                <w:sz w:val="14"/>
                <w:szCs w:val="14"/>
                <w:color w:val="auto"/>
              </w:rPr>
              <w:t>1.7</w:t>
            </w:r>
          </w:p>
        </w:tc>
        <w:tc>
          <w:tcPr>
            <w:tcW w:w="200" w:type="dxa"/>
            <w:vAlign w:val="bottom"/>
          </w:tcPr>
          <w:p>
            <w:pPr>
              <w:spacing w:after="0"/>
              <w:rPr>
                <w:sz w:val="12"/>
                <w:szCs w:val="12"/>
                <w:color w:val="auto"/>
              </w:rPr>
            </w:pPr>
          </w:p>
        </w:tc>
        <w:tc>
          <w:tcPr>
            <w:tcW w:w="960" w:type="dxa"/>
            <w:vAlign w:val="bottom"/>
            <w:vMerge w:val="restart"/>
          </w:tcPr>
          <w:p>
            <w:pPr>
              <w:jc w:val="right"/>
              <w:ind w:right="111"/>
              <w:spacing w:after="0"/>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180"/>
        </w:trPr>
        <w:tc>
          <w:tcPr>
            <w:tcW w:w="6300" w:type="dxa"/>
            <w:vAlign w:val="bottom"/>
          </w:tcPr>
          <w:p>
            <w:pPr>
              <w:ind w:left="880"/>
              <w:spacing w:after="0"/>
              <w:rPr>
                <w:sz w:val="20"/>
                <w:szCs w:val="20"/>
                <w:color w:val="auto"/>
              </w:rPr>
            </w:pPr>
            <w:r>
              <w:rPr>
                <w:rFonts w:ascii="Arial" w:cs="Arial" w:eastAsia="Arial" w:hAnsi="Arial"/>
                <w:sz w:val="14"/>
                <w:szCs w:val="14"/>
                <w:color w:val="auto"/>
              </w:rPr>
              <w:t>respectively)</w:t>
            </w:r>
          </w:p>
        </w:tc>
        <w:tc>
          <w:tcPr>
            <w:tcW w:w="30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89"/>
        </w:trPr>
        <w:tc>
          <w:tcPr>
            <w:tcW w:w="6300" w:type="dxa"/>
            <w:vAlign w:val="bottom"/>
          </w:tcPr>
          <w:p>
            <w:pPr>
              <w:spacing w:after="0"/>
              <w:rPr>
                <w:sz w:val="20"/>
                <w:szCs w:val="20"/>
                <w:color w:val="auto"/>
              </w:rPr>
            </w:pPr>
            <w:r>
              <w:rPr>
                <w:rFonts w:ascii="Arial" w:cs="Arial" w:eastAsia="Arial" w:hAnsi="Arial"/>
                <w:sz w:val="14"/>
                <w:szCs w:val="14"/>
                <w:color w:val="auto"/>
              </w:rPr>
              <w:t>Europe:</w:t>
            </w: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6300" w:type="dxa"/>
            <w:vAlign w:val="bottom"/>
          </w:tcPr>
          <w:p>
            <w:pPr>
              <w:ind w:left="740"/>
              <w:spacing w:after="0" w:line="155" w:lineRule="exact"/>
              <w:rPr>
                <w:sz w:val="20"/>
                <w:szCs w:val="20"/>
                <w:color w:val="auto"/>
              </w:rPr>
            </w:pPr>
            <w:r>
              <w:rPr>
                <w:rFonts w:ascii="Arial" w:cs="Arial" w:eastAsia="Arial" w:hAnsi="Arial"/>
                <w:sz w:val="14"/>
                <w:szCs w:val="14"/>
                <w:color w:val="auto"/>
              </w:rPr>
              <w:t>Debt securities (cost: $220,047 and $161,153 as of December 31, 2025 and 2024,</w:t>
            </w:r>
          </w:p>
        </w:tc>
        <w:tc>
          <w:tcPr>
            <w:tcW w:w="300" w:type="dxa"/>
            <w:vAlign w:val="bottom"/>
          </w:tcPr>
          <w:p>
            <w:pPr>
              <w:spacing w:after="0"/>
              <w:rPr>
                <w:sz w:val="13"/>
                <w:szCs w:val="13"/>
                <w:color w:val="auto"/>
              </w:rPr>
            </w:pPr>
          </w:p>
        </w:tc>
        <w:tc>
          <w:tcPr>
            <w:tcW w:w="1100" w:type="dxa"/>
            <w:vAlign w:val="bottom"/>
            <w:gridSpan w:val="2"/>
            <w:vMerge w:val="restart"/>
          </w:tcPr>
          <w:p>
            <w:pPr>
              <w:jc w:val="right"/>
              <w:ind w:right="80"/>
              <w:spacing w:after="0"/>
              <w:rPr>
                <w:sz w:val="20"/>
                <w:szCs w:val="20"/>
                <w:color w:val="auto"/>
              </w:rPr>
            </w:pPr>
            <w:r>
              <w:rPr>
                <w:rFonts w:ascii="Arial" w:cs="Arial" w:eastAsia="Arial" w:hAnsi="Arial"/>
                <w:sz w:val="14"/>
                <w:szCs w:val="14"/>
                <w:color w:val="auto"/>
              </w:rPr>
              <w:t>218,618</w:t>
            </w:r>
          </w:p>
        </w:tc>
        <w:tc>
          <w:tcPr>
            <w:tcW w:w="300" w:type="dxa"/>
            <w:vAlign w:val="bottom"/>
          </w:tcPr>
          <w:p>
            <w:pPr>
              <w:spacing w:after="0"/>
              <w:rPr>
                <w:sz w:val="13"/>
                <w:szCs w:val="13"/>
                <w:color w:val="auto"/>
              </w:rPr>
            </w:pPr>
          </w:p>
        </w:tc>
        <w:tc>
          <w:tcPr>
            <w:tcW w:w="1080" w:type="dxa"/>
            <w:vAlign w:val="bottom"/>
            <w:gridSpan w:val="2"/>
            <w:vMerge w:val="restart"/>
          </w:tcPr>
          <w:p>
            <w:pPr>
              <w:jc w:val="right"/>
              <w:ind w:right="60"/>
              <w:spacing w:after="0"/>
              <w:rPr>
                <w:sz w:val="20"/>
                <w:szCs w:val="20"/>
                <w:color w:val="auto"/>
              </w:rPr>
            </w:pPr>
            <w:r>
              <w:rPr>
                <w:rFonts w:ascii="Arial" w:cs="Arial" w:eastAsia="Arial" w:hAnsi="Arial"/>
                <w:sz w:val="14"/>
                <w:szCs w:val="14"/>
                <w:color w:val="auto"/>
              </w:rPr>
              <w:t>160,989</w:t>
            </w:r>
          </w:p>
        </w:tc>
        <w:tc>
          <w:tcPr>
            <w:tcW w:w="11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4.4</w:t>
            </w: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3.3</w:t>
            </w:r>
          </w:p>
        </w:tc>
        <w:tc>
          <w:tcPr>
            <w:tcW w:w="0" w:type="dxa"/>
            <w:vAlign w:val="bottom"/>
          </w:tcPr>
          <w:p>
            <w:pPr>
              <w:spacing w:after="0"/>
              <w:rPr>
                <w:sz w:val="1"/>
                <w:szCs w:val="1"/>
                <w:color w:val="auto"/>
              </w:rPr>
            </w:pPr>
          </w:p>
        </w:tc>
      </w:tr>
      <w:tr>
        <w:trPr>
          <w:trHeight w:val="180"/>
        </w:trPr>
        <w:tc>
          <w:tcPr>
            <w:tcW w:w="6300" w:type="dxa"/>
            <w:vAlign w:val="bottom"/>
          </w:tcPr>
          <w:p>
            <w:pPr>
              <w:ind w:left="880"/>
              <w:spacing w:after="0"/>
              <w:rPr>
                <w:sz w:val="20"/>
                <w:szCs w:val="20"/>
                <w:color w:val="auto"/>
              </w:rPr>
            </w:pPr>
            <w:r>
              <w:rPr>
                <w:rFonts w:ascii="Arial" w:cs="Arial" w:eastAsia="Arial" w:hAnsi="Arial"/>
                <w:sz w:val="14"/>
                <w:szCs w:val="14"/>
                <w:color w:val="auto"/>
              </w:rPr>
              <w:t>respectively)</w:t>
            </w:r>
          </w:p>
        </w:tc>
        <w:tc>
          <w:tcPr>
            <w:tcW w:w="300" w:type="dxa"/>
            <w:vAlign w:val="bottom"/>
          </w:tcPr>
          <w:p>
            <w:pPr>
              <w:spacing w:after="0"/>
              <w:rPr>
                <w:sz w:val="15"/>
                <w:szCs w:val="15"/>
                <w:color w:val="auto"/>
              </w:rPr>
            </w:pPr>
          </w:p>
        </w:tc>
        <w:tc>
          <w:tcPr>
            <w:tcW w:w="1100" w:type="dxa"/>
            <w:vAlign w:val="bottom"/>
            <w:gridSpan w:val="2"/>
            <w:vMerge w:val="continue"/>
          </w:tcPr>
          <w:p>
            <w:pPr>
              <w:spacing w:after="0"/>
              <w:rPr>
                <w:sz w:val="15"/>
                <w:szCs w:val="15"/>
                <w:color w:val="auto"/>
              </w:rPr>
            </w:pPr>
          </w:p>
        </w:tc>
        <w:tc>
          <w:tcPr>
            <w:tcW w:w="300" w:type="dxa"/>
            <w:vAlign w:val="bottom"/>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9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300" w:type="dxa"/>
            <w:vAlign w:val="bottom"/>
          </w:tcPr>
          <w:p>
            <w:pPr>
              <w:ind w:left="740"/>
              <w:spacing w:after="0" w:line="142" w:lineRule="exact"/>
              <w:rPr>
                <w:sz w:val="20"/>
                <w:szCs w:val="20"/>
                <w:color w:val="auto"/>
              </w:rPr>
            </w:pPr>
            <w:r>
              <w:rPr>
                <w:rFonts w:ascii="Arial" w:cs="Arial" w:eastAsia="Arial" w:hAnsi="Arial"/>
                <w:sz w:val="14"/>
                <w:szCs w:val="14"/>
                <w:color w:val="auto"/>
              </w:rPr>
              <w:t>Equity securities (cost: $332,655 and $295,630 as of December 31, 2025 and 2024,</w:t>
            </w:r>
          </w:p>
        </w:tc>
        <w:tc>
          <w:tcPr>
            <w:tcW w:w="300" w:type="dxa"/>
            <w:vAlign w:val="bottom"/>
          </w:tcPr>
          <w:p>
            <w:pPr>
              <w:spacing w:after="0"/>
              <w:rPr>
                <w:sz w:val="12"/>
                <w:szCs w:val="12"/>
                <w:color w:val="auto"/>
              </w:rPr>
            </w:pPr>
          </w:p>
        </w:tc>
        <w:tc>
          <w:tcPr>
            <w:tcW w:w="1100" w:type="dxa"/>
            <w:vAlign w:val="bottom"/>
            <w:gridSpan w:val="2"/>
            <w:vMerge w:val="restart"/>
          </w:tcPr>
          <w:p>
            <w:pPr>
              <w:jc w:val="right"/>
              <w:ind w:right="80"/>
              <w:spacing w:after="0"/>
              <w:rPr>
                <w:sz w:val="20"/>
                <w:szCs w:val="20"/>
                <w:color w:val="auto"/>
              </w:rPr>
            </w:pPr>
            <w:r>
              <w:rPr>
                <w:rFonts w:ascii="Arial" w:cs="Arial" w:eastAsia="Arial" w:hAnsi="Arial"/>
                <w:sz w:val="14"/>
                <w:szCs w:val="14"/>
                <w:color w:val="auto"/>
              </w:rPr>
              <w:t>442,853</w:t>
            </w:r>
          </w:p>
        </w:tc>
        <w:tc>
          <w:tcPr>
            <w:tcW w:w="300" w:type="dxa"/>
            <w:vAlign w:val="bottom"/>
          </w:tcPr>
          <w:p>
            <w:pPr>
              <w:spacing w:after="0"/>
              <w:rPr>
                <w:sz w:val="12"/>
                <w:szCs w:val="12"/>
                <w:color w:val="auto"/>
              </w:rPr>
            </w:pPr>
          </w:p>
        </w:tc>
        <w:tc>
          <w:tcPr>
            <w:tcW w:w="1080" w:type="dxa"/>
            <w:vAlign w:val="bottom"/>
            <w:gridSpan w:val="2"/>
            <w:vMerge w:val="restart"/>
          </w:tcPr>
          <w:p>
            <w:pPr>
              <w:jc w:val="right"/>
              <w:ind w:right="60"/>
              <w:spacing w:after="0"/>
              <w:rPr>
                <w:sz w:val="20"/>
                <w:szCs w:val="20"/>
                <w:color w:val="auto"/>
              </w:rPr>
            </w:pPr>
            <w:r>
              <w:rPr>
                <w:rFonts w:ascii="Arial" w:cs="Arial" w:eastAsia="Arial" w:hAnsi="Arial"/>
                <w:sz w:val="14"/>
                <w:szCs w:val="14"/>
                <w:color w:val="auto"/>
              </w:rPr>
              <w:t>375,486</w:t>
            </w:r>
          </w:p>
        </w:tc>
        <w:tc>
          <w:tcPr>
            <w:tcW w:w="11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8.8</w:t>
            </w: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7.6</w:t>
            </w:r>
          </w:p>
        </w:tc>
        <w:tc>
          <w:tcPr>
            <w:tcW w:w="0" w:type="dxa"/>
            <w:vAlign w:val="bottom"/>
          </w:tcPr>
          <w:p>
            <w:pPr>
              <w:spacing w:after="0"/>
              <w:rPr>
                <w:sz w:val="1"/>
                <w:szCs w:val="1"/>
                <w:color w:val="auto"/>
              </w:rPr>
            </w:pPr>
          </w:p>
        </w:tc>
      </w:tr>
      <w:tr>
        <w:trPr>
          <w:trHeight w:val="180"/>
        </w:trPr>
        <w:tc>
          <w:tcPr>
            <w:tcW w:w="6300" w:type="dxa"/>
            <w:vAlign w:val="bottom"/>
          </w:tcPr>
          <w:p>
            <w:pPr>
              <w:ind w:left="880"/>
              <w:spacing w:after="0"/>
              <w:rPr>
                <w:sz w:val="20"/>
                <w:szCs w:val="20"/>
                <w:color w:val="auto"/>
              </w:rPr>
            </w:pPr>
            <w:r>
              <w:rPr>
                <w:rFonts w:ascii="Arial" w:cs="Arial" w:eastAsia="Arial" w:hAnsi="Arial"/>
                <w:sz w:val="14"/>
                <w:szCs w:val="14"/>
                <w:color w:val="auto"/>
              </w:rPr>
              <w:t>respectively)</w:t>
            </w:r>
          </w:p>
        </w:tc>
        <w:tc>
          <w:tcPr>
            <w:tcW w:w="300" w:type="dxa"/>
            <w:vAlign w:val="bottom"/>
          </w:tcPr>
          <w:p>
            <w:pPr>
              <w:spacing w:after="0"/>
              <w:rPr>
                <w:sz w:val="15"/>
                <w:szCs w:val="15"/>
                <w:color w:val="auto"/>
              </w:rPr>
            </w:pPr>
          </w:p>
        </w:tc>
        <w:tc>
          <w:tcPr>
            <w:tcW w:w="1100" w:type="dxa"/>
            <w:vAlign w:val="bottom"/>
            <w:gridSpan w:val="2"/>
            <w:vMerge w:val="continue"/>
          </w:tcPr>
          <w:p>
            <w:pPr>
              <w:spacing w:after="0"/>
              <w:rPr>
                <w:sz w:val="15"/>
                <w:szCs w:val="15"/>
                <w:color w:val="auto"/>
              </w:rPr>
            </w:pPr>
          </w:p>
        </w:tc>
        <w:tc>
          <w:tcPr>
            <w:tcW w:w="300" w:type="dxa"/>
            <w:vAlign w:val="bottom"/>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9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300" w:type="dxa"/>
            <w:vAlign w:val="bottom"/>
          </w:tcPr>
          <w:p>
            <w:pPr>
              <w:ind w:left="740"/>
              <w:spacing w:after="0" w:line="142" w:lineRule="exact"/>
              <w:rPr>
                <w:sz w:val="20"/>
                <w:szCs w:val="20"/>
                <w:color w:val="auto"/>
              </w:rPr>
            </w:pPr>
            <w:r>
              <w:rPr>
                <w:rFonts w:ascii="Arial" w:cs="Arial" w:eastAsia="Arial" w:hAnsi="Arial"/>
                <w:sz w:val="14"/>
                <w:szCs w:val="14"/>
                <w:color w:val="auto"/>
              </w:rPr>
              <w:t>Real estate securities (cost: $248,112 and $191,470 as of December 31, 2025 and 2024,</w:t>
            </w:r>
          </w:p>
        </w:tc>
        <w:tc>
          <w:tcPr>
            <w:tcW w:w="300" w:type="dxa"/>
            <w:vAlign w:val="bottom"/>
          </w:tcPr>
          <w:p>
            <w:pPr>
              <w:spacing w:after="0"/>
              <w:rPr>
                <w:sz w:val="12"/>
                <w:szCs w:val="12"/>
                <w:color w:val="auto"/>
              </w:rPr>
            </w:pPr>
          </w:p>
        </w:tc>
        <w:tc>
          <w:tcPr>
            <w:tcW w:w="1100" w:type="dxa"/>
            <w:vAlign w:val="bottom"/>
            <w:gridSpan w:val="2"/>
            <w:vMerge w:val="restart"/>
          </w:tcPr>
          <w:p>
            <w:pPr>
              <w:jc w:val="right"/>
              <w:ind w:right="80"/>
              <w:spacing w:after="0"/>
              <w:rPr>
                <w:sz w:val="20"/>
                <w:szCs w:val="20"/>
                <w:color w:val="auto"/>
              </w:rPr>
            </w:pPr>
            <w:r>
              <w:rPr>
                <w:rFonts w:ascii="Arial" w:cs="Arial" w:eastAsia="Arial" w:hAnsi="Arial"/>
                <w:sz w:val="14"/>
                <w:szCs w:val="14"/>
                <w:color w:val="auto"/>
              </w:rPr>
              <w:t>267,481</w:t>
            </w:r>
          </w:p>
        </w:tc>
        <w:tc>
          <w:tcPr>
            <w:tcW w:w="300" w:type="dxa"/>
            <w:vAlign w:val="bottom"/>
          </w:tcPr>
          <w:p>
            <w:pPr>
              <w:spacing w:after="0"/>
              <w:rPr>
                <w:sz w:val="12"/>
                <w:szCs w:val="12"/>
                <w:color w:val="auto"/>
              </w:rPr>
            </w:pPr>
          </w:p>
        </w:tc>
        <w:tc>
          <w:tcPr>
            <w:tcW w:w="1080" w:type="dxa"/>
            <w:vAlign w:val="bottom"/>
            <w:gridSpan w:val="2"/>
            <w:vMerge w:val="restart"/>
          </w:tcPr>
          <w:p>
            <w:pPr>
              <w:jc w:val="right"/>
              <w:ind w:right="60"/>
              <w:spacing w:after="0"/>
              <w:rPr>
                <w:sz w:val="20"/>
                <w:szCs w:val="20"/>
                <w:color w:val="auto"/>
              </w:rPr>
            </w:pPr>
            <w:r>
              <w:rPr>
                <w:rFonts w:ascii="Arial" w:cs="Arial" w:eastAsia="Arial" w:hAnsi="Arial"/>
                <w:sz w:val="14"/>
                <w:szCs w:val="14"/>
                <w:color w:val="auto"/>
              </w:rPr>
              <w:t>191,145</w:t>
            </w:r>
          </w:p>
        </w:tc>
        <w:tc>
          <w:tcPr>
            <w:tcW w:w="11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5.3</w:t>
            </w: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3.8</w:t>
            </w:r>
          </w:p>
        </w:tc>
        <w:tc>
          <w:tcPr>
            <w:tcW w:w="0" w:type="dxa"/>
            <w:vAlign w:val="bottom"/>
          </w:tcPr>
          <w:p>
            <w:pPr>
              <w:spacing w:after="0"/>
              <w:rPr>
                <w:sz w:val="1"/>
                <w:szCs w:val="1"/>
                <w:color w:val="auto"/>
              </w:rPr>
            </w:pPr>
          </w:p>
        </w:tc>
      </w:tr>
      <w:tr>
        <w:trPr>
          <w:trHeight w:val="180"/>
        </w:trPr>
        <w:tc>
          <w:tcPr>
            <w:tcW w:w="6300" w:type="dxa"/>
            <w:vAlign w:val="bottom"/>
          </w:tcPr>
          <w:p>
            <w:pPr>
              <w:ind w:left="880"/>
              <w:spacing w:after="0"/>
              <w:rPr>
                <w:sz w:val="20"/>
                <w:szCs w:val="20"/>
                <w:color w:val="auto"/>
              </w:rPr>
            </w:pPr>
            <w:r>
              <w:rPr>
                <w:rFonts w:ascii="Arial" w:cs="Arial" w:eastAsia="Arial" w:hAnsi="Arial"/>
                <w:sz w:val="14"/>
                <w:szCs w:val="14"/>
                <w:color w:val="auto"/>
              </w:rPr>
              <w:t>respectively)</w:t>
            </w:r>
          </w:p>
        </w:tc>
        <w:tc>
          <w:tcPr>
            <w:tcW w:w="300" w:type="dxa"/>
            <w:vAlign w:val="bottom"/>
          </w:tcPr>
          <w:p>
            <w:pPr>
              <w:spacing w:after="0"/>
              <w:rPr>
                <w:sz w:val="15"/>
                <w:szCs w:val="15"/>
                <w:color w:val="auto"/>
              </w:rPr>
            </w:pPr>
          </w:p>
        </w:tc>
        <w:tc>
          <w:tcPr>
            <w:tcW w:w="1100" w:type="dxa"/>
            <w:vAlign w:val="bottom"/>
            <w:gridSpan w:val="2"/>
            <w:vMerge w:val="continue"/>
          </w:tcPr>
          <w:p>
            <w:pPr>
              <w:spacing w:after="0"/>
              <w:rPr>
                <w:sz w:val="15"/>
                <w:szCs w:val="15"/>
                <w:color w:val="auto"/>
              </w:rPr>
            </w:pPr>
          </w:p>
        </w:tc>
        <w:tc>
          <w:tcPr>
            <w:tcW w:w="300" w:type="dxa"/>
            <w:vAlign w:val="bottom"/>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9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300" w:type="dxa"/>
            <w:vAlign w:val="bottom"/>
          </w:tcPr>
          <w:p>
            <w:pPr>
              <w:spacing w:after="0"/>
              <w:rPr>
                <w:sz w:val="20"/>
                <w:szCs w:val="20"/>
                <w:color w:val="auto"/>
              </w:rPr>
            </w:pPr>
            <w:r>
              <w:rPr>
                <w:rFonts w:ascii="Arial" w:cs="Arial" w:eastAsia="Arial" w:hAnsi="Arial"/>
                <w:sz w:val="14"/>
                <w:szCs w:val="14"/>
                <w:color w:val="auto"/>
              </w:rPr>
              <w:t>Asia and other:</w:t>
            </w:r>
          </w:p>
        </w:tc>
        <w:tc>
          <w:tcPr>
            <w:tcW w:w="3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6300" w:type="dxa"/>
            <w:vAlign w:val="bottom"/>
          </w:tcPr>
          <w:p>
            <w:pPr>
              <w:ind w:left="740"/>
              <w:spacing w:after="0" w:line="155" w:lineRule="exact"/>
              <w:rPr>
                <w:sz w:val="20"/>
                <w:szCs w:val="20"/>
                <w:color w:val="auto"/>
              </w:rPr>
            </w:pPr>
            <w:r>
              <w:rPr>
                <w:rFonts w:ascii="Arial" w:cs="Arial" w:eastAsia="Arial" w:hAnsi="Arial"/>
                <w:sz w:val="14"/>
                <w:szCs w:val="14"/>
                <w:color w:val="auto"/>
              </w:rPr>
              <w:t>Debt securities (cost: $556,028 and $680,671 as of December 31, 2025 and 2024,</w:t>
            </w:r>
          </w:p>
        </w:tc>
        <w:tc>
          <w:tcPr>
            <w:tcW w:w="300" w:type="dxa"/>
            <w:vAlign w:val="bottom"/>
          </w:tcPr>
          <w:p>
            <w:pPr>
              <w:spacing w:after="0"/>
              <w:rPr>
                <w:sz w:val="13"/>
                <w:szCs w:val="13"/>
                <w:color w:val="auto"/>
              </w:rPr>
            </w:pPr>
          </w:p>
        </w:tc>
        <w:tc>
          <w:tcPr>
            <w:tcW w:w="1100" w:type="dxa"/>
            <w:vAlign w:val="bottom"/>
            <w:gridSpan w:val="2"/>
            <w:vMerge w:val="restart"/>
          </w:tcPr>
          <w:p>
            <w:pPr>
              <w:jc w:val="right"/>
              <w:ind w:right="80"/>
              <w:spacing w:after="0"/>
              <w:rPr>
                <w:sz w:val="20"/>
                <w:szCs w:val="20"/>
                <w:color w:val="auto"/>
              </w:rPr>
            </w:pPr>
            <w:r>
              <w:rPr>
                <w:rFonts w:ascii="Arial" w:cs="Arial" w:eastAsia="Arial" w:hAnsi="Arial"/>
                <w:sz w:val="14"/>
                <w:szCs w:val="14"/>
                <w:color w:val="auto"/>
              </w:rPr>
              <w:t>568,395</w:t>
            </w:r>
          </w:p>
        </w:tc>
        <w:tc>
          <w:tcPr>
            <w:tcW w:w="300" w:type="dxa"/>
            <w:vAlign w:val="bottom"/>
          </w:tcPr>
          <w:p>
            <w:pPr>
              <w:spacing w:after="0"/>
              <w:rPr>
                <w:sz w:val="13"/>
                <w:szCs w:val="13"/>
                <w:color w:val="auto"/>
              </w:rPr>
            </w:pPr>
          </w:p>
        </w:tc>
        <w:tc>
          <w:tcPr>
            <w:tcW w:w="1080" w:type="dxa"/>
            <w:vAlign w:val="bottom"/>
            <w:gridSpan w:val="2"/>
            <w:vMerge w:val="restart"/>
          </w:tcPr>
          <w:p>
            <w:pPr>
              <w:jc w:val="right"/>
              <w:ind w:right="60"/>
              <w:spacing w:after="0"/>
              <w:rPr>
                <w:sz w:val="20"/>
                <w:szCs w:val="20"/>
                <w:color w:val="auto"/>
              </w:rPr>
            </w:pPr>
            <w:r>
              <w:rPr>
                <w:rFonts w:ascii="Arial" w:cs="Arial" w:eastAsia="Arial" w:hAnsi="Arial"/>
                <w:sz w:val="14"/>
                <w:szCs w:val="14"/>
                <w:color w:val="auto"/>
              </w:rPr>
              <w:t>664,845</w:t>
            </w:r>
          </w:p>
        </w:tc>
        <w:tc>
          <w:tcPr>
            <w:tcW w:w="11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11.3</w:t>
            </w: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13.4</w:t>
            </w:r>
          </w:p>
        </w:tc>
        <w:tc>
          <w:tcPr>
            <w:tcW w:w="0" w:type="dxa"/>
            <w:vAlign w:val="bottom"/>
          </w:tcPr>
          <w:p>
            <w:pPr>
              <w:spacing w:after="0"/>
              <w:rPr>
                <w:sz w:val="1"/>
                <w:szCs w:val="1"/>
                <w:color w:val="auto"/>
              </w:rPr>
            </w:pPr>
          </w:p>
        </w:tc>
      </w:tr>
      <w:tr>
        <w:trPr>
          <w:trHeight w:val="180"/>
        </w:trPr>
        <w:tc>
          <w:tcPr>
            <w:tcW w:w="6300" w:type="dxa"/>
            <w:vAlign w:val="bottom"/>
          </w:tcPr>
          <w:p>
            <w:pPr>
              <w:ind w:left="880"/>
              <w:spacing w:after="0"/>
              <w:rPr>
                <w:sz w:val="20"/>
                <w:szCs w:val="20"/>
                <w:color w:val="auto"/>
              </w:rPr>
            </w:pPr>
            <w:r>
              <w:rPr>
                <w:rFonts w:ascii="Arial" w:cs="Arial" w:eastAsia="Arial" w:hAnsi="Arial"/>
                <w:sz w:val="14"/>
                <w:szCs w:val="14"/>
                <w:color w:val="auto"/>
              </w:rPr>
              <w:t>respectively)</w:t>
            </w:r>
          </w:p>
        </w:tc>
        <w:tc>
          <w:tcPr>
            <w:tcW w:w="300" w:type="dxa"/>
            <w:vAlign w:val="bottom"/>
          </w:tcPr>
          <w:p>
            <w:pPr>
              <w:spacing w:after="0"/>
              <w:rPr>
                <w:sz w:val="15"/>
                <w:szCs w:val="15"/>
                <w:color w:val="auto"/>
              </w:rPr>
            </w:pPr>
          </w:p>
        </w:tc>
        <w:tc>
          <w:tcPr>
            <w:tcW w:w="1100" w:type="dxa"/>
            <w:vAlign w:val="bottom"/>
            <w:gridSpan w:val="2"/>
            <w:vMerge w:val="continue"/>
          </w:tcPr>
          <w:p>
            <w:pPr>
              <w:spacing w:after="0"/>
              <w:rPr>
                <w:sz w:val="15"/>
                <w:szCs w:val="15"/>
                <w:color w:val="auto"/>
              </w:rPr>
            </w:pPr>
          </w:p>
        </w:tc>
        <w:tc>
          <w:tcPr>
            <w:tcW w:w="300" w:type="dxa"/>
            <w:vAlign w:val="bottom"/>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9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8"/>
        </w:trPr>
        <w:tc>
          <w:tcPr>
            <w:tcW w:w="6300" w:type="dxa"/>
            <w:vAlign w:val="bottom"/>
          </w:tcPr>
          <w:p>
            <w:pPr>
              <w:ind w:left="740"/>
              <w:spacing w:after="0"/>
              <w:rPr>
                <w:sz w:val="20"/>
                <w:szCs w:val="20"/>
                <w:color w:val="auto"/>
              </w:rPr>
            </w:pPr>
            <w:r>
              <w:rPr>
                <w:rFonts w:ascii="Arial" w:cs="Arial" w:eastAsia="Arial" w:hAnsi="Arial"/>
                <w:sz w:val="14"/>
                <w:szCs w:val="14"/>
                <w:color w:val="auto"/>
              </w:rPr>
              <w:t>Equity securities (cost: $111,335 and $55,638 as of December 31, 2025 and 2024,</w:t>
            </w:r>
          </w:p>
        </w:tc>
        <w:tc>
          <w:tcPr>
            <w:tcW w:w="300" w:type="dxa"/>
            <w:vAlign w:val="bottom"/>
          </w:tcPr>
          <w:p>
            <w:pPr>
              <w:spacing w:after="0"/>
              <w:rPr>
                <w:sz w:val="22"/>
                <w:szCs w:val="22"/>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126,560</w:t>
            </w:r>
          </w:p>
        </w:tc>
        <w:tc>
          <w:tcPr>
            <w:tcW w:w="2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71,060</w:t>
            </w:r>
          </w:p>
        </w:tc>
        <w:tc>
          <w:tcPr>
            <w:tcW w:w="200" w:type="dxa"/>
            <w:vAlign w:val="bottom"/>
          </w:tcPr>
          <w:p>
            <w:pPr>
              <w:spacing w:after="0"/>
              <w:rPr>
                <w:sz w:val="22"/>
                <w:szCs w:val="22"/>
                <w:color w:val="auto"/>
              </w:rPr>
            </w:pPr>
          </w:p>
        </w:tc>
        <w:tc>
          <w:tcPr>
            <w:tcW w:w="980" w:type="dxa"/>
            <w:vAlign w:val="bottom"/>
            <w:vMerge w:val="restart"/>
          </w:tcPr>
          <w:p>
            <w:pPr>
              <w:jc w:val="right"/>
              <w:ind w:right="111"/>
              <w:spacing w:after="0"/>
              <w:rPr>
                <w:sz w:val="20"/>
                <w:szCs w:val="20"/>
                <w:color w:val="auto"/>
              </w:rPr>
            </w:pPr>
            <w:r>
              <w:rPr>
                <w:rFonts w:ascii="Arial" w:cs="Arial" w:eastAsia="Arial" w:hAnsi="Arial"/>
                <w:sz w:val="14"/>
                <w:szCs w:val="14"/>
                <w:color w:val="auto"/>
              </w:rPr>
              <w:t>2.5</w:t>
            </w:r>
          </w:p>
        </w:tc>
        <w:tc>
          <w:tcPr>
            <w:tcW w:w="200" w:type="dxa"/>
            <w:vAlign w:val="bottom"/>
          </w:tcPr>
          <w:p>
            <w:pPr>
              <w:spacing w:after="0"/>
              <w:rPr>
                <w:sz w:val="22"/>
                <w:szCs w:val="22"/>
                <w:color w:val="auto"/>
              </w:rPr>
            </w:pPr>
          </w:p>
        </w:tc>
        <w:tc>
          <w:tcPr>
            <w:tcW w:w="960" w:type="dxa"/>
            <w:vAlign w:val="bottom"/>
            <w:vMerge w:val="restart"/>
          </w:tcPr>
          <w:p>
            <w:pPr>
              <w:jc w:val="right"/>
              <w:ind w:right="111"/>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175"/>
        </w:trPr>
        <w:tc>
          <w:tcPr>
            <w:tcW w:w="6300" w:type="dxa"/>
            <w:vAlign w:val="bottom"/>
          </w:tcPr>
          <w:p>
            <w:pPr>
              <w:ind w:left="880"/>
              <w:spacing w:after="0"/>
              <w:rPr>
                <w:sz w:val="20"/>
                <w:szCs w:val="20"/>
                <w:color w:val="auto"/>
              </w:rPr>
            </w:pPr>
            <w:r>
              <w:rPr>
                <w:rFonts w:ascii="Arial" w:cs="Arial" w:eastAsia="Arial" w:hAnsi="Arial"/>
                <w:sz w:val="14"/>
                <w:szCs w:val="14"/>
                <w:color w:val="auto"/>
              </w:rPr>
              <w:t>respectively)</w:t>
            </w:r>
          </w:p>
        </w:tc>
        <w:tc>
          <w:tcPr>
            <w:tcW w:w="3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vMerge w:val="continue"/>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vMerge w:val="continue"/>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Borders>
              <w:bottom w:val="single" w:sz="8" w:color="auto"/>
            </w:tcBorders>
            <w:vMerge w:val="continue"/>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72"/>
        </w:trPr>
        <w:tc>
          <w:tcPr>
            <w:tcW w:w="6300" w:type="dxa"/>
            <w:vAlign w:val="bottom"/>
          </w:tcPr>
          <w:p>
            <w:pPr>
              <w:ind w:left="300"/>
              <w:spacing w:after="0"/>
              <w:rPr>
                <w:sz w:val="20"/>
                <w:szCs w:val="20"/>
                <w:color w:val="auto"/>
              </w:rPr>
            </w:pPr>
            <w:r>
              <w:rPr>
                <w:rFonts w:ascii="Arial" w:cs="Arial" w:eastAsia="Arial" w:hAnsi="Arial"/>
                <w:sz w:val="14"/>
                <w:szCs w:val="14"/>
                <w:color w:val="auto"/>
              </w:rPr>
              <w:t>Total debt securities</w:t>
            </w:r>
          </w:p>
        </w:tc>
        <w:tc>
          <w:tcPr>
            <w:tcW w:w="3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2,032,649</w:t>
            </w: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2,683,708</w:t>
            </w:r>
          </w:p>
        </w:tc>
        <w:tc>
          <w:tcPr>
            <w:tcW w:w="200" w:type="dxa"/>
            <w:vAlign w:val="bottom"/>
          </w:tcPr>
          <w:p>
            <w:pPr>
              <w:spacing w:after="0"/>
              <w:rPr>
                <w:sz w:val="24"/>
                <w:szCs w:val="24"/>
                <w:color w:val="auto"/>
              </w:rPr>
            </w:pPr>
          </w:p>
        </w:tc>
        <w:tc>
          <w:tcPr>
            <w:tcW w:w="980" w:type="dxa"/>
            <w:vAlign w:val="bottom"/>
          </w:tcPr>
          <w:p>
            <w:pPr>
              <w:jc w:val="right"/>
              <w:ind w:right="111"/>
              <w:spacing w:after="0"/>
              <w:rPr>
                <w:sz w:val="20"/>
                <w:szCs w:val="20"/>
                <w:color w:val="auto"/>
              </w:rPr>
            </w:pPr>
            <w:r>
              <w:rPr>
                <w:rFonts w:ascii="Arial" w:cs="Arial" w:eastAsia="Arial" w:hAnsi="Arial"/>
                <w:sz w:val="14"/>
                <w:szCs w:val="14"/>
                <w:color w:val="auto"/>
              </w:rPr>
              <w:t>40.6</w:t>
            </w:r>
          </w:p>
        </w:tc>
        <w:tc>
          <w:tcPr>
            <w:tcW w:w="200" w:type="dxa"/>
            <w:vAlign w:val="bottom"/>
          </w:tcPr>
          <w:p>
            <w:pPr>
              <w:spacing w:after="0"/>
              <w:rPr>
                <w:sz w:val="24"/>
                <w:szCs w:val="24"/>
                <w:color w:val="auto"/>
              </w:rPr>
            </w:pPr>
          </w:p>
        </w:tc>
        <w:tc>
          <w:tcPr>
            <w:tcW w:w="960" w:type="dxa"/>
            <w:vAlign w:val="bottom"/>
          </w:tcPr>
          <w:p>
            <w:pPr>
              <w:jc w:val="right"/>
              <w:ind w:right="111"/>
              <w:spacing w:after="0"/>
              <w:rPr>
                <w:sz w:val="20"/>
                <w:szCs w:val="20"/>
                <w:color w:val="auto"/>
              </w:rPr>
            </w:pPr>
            <w:r>
              <w:rPr>
                <w:rFonts w:ascii="Arial" w:cs="Arial" w:eastAsia="Arial" w:hAnsi="Arial"/>
                <w:sz w:val="14"/>
                <w:szCs w:val="14"/>
                <w:color w:val="auto"/>
              </w:rPr>
              <w:t>54.3</w:t>
            </w:r>
          </w:p>
        </w:tc>
        <w:tc>
          <w:tcPr>
            <w:tcW w:w="0" w:type="dxa"/>
            <w:vAlign w:val="bottom"/>
          </w:tcPr>
          <w:p>
            <w:pPr>
              <w:spacing w:after="0"/>
              <w:rPr>
                <w:sz w:val="1"/>
                <w:szCs w:val="1"/>
                <w:color w:val="auto"/>
              </w:rPr>
            </w:pPr>
          </w:p>
        </w:tc>
      </w:tr>
      <w:tr>
        <w:trPr>
          <w:trHeight w:val="193"/>
        </w:trPr>
        <w:tc>
          <w:tcPr>
            <w:tcW w:w="6300" w:type="dxa"/>
            <w:vAlign w:val="bottom"/>
          </w:tcPr>
          <w:p>
            <w:pPr>
              <w:ind w:left="300"/>
              <w:spacing w:after="0"/>
              <w:rPr>
                <w:sz w:val="20"/>
                <w:szCs w:val="20"/>
                <w:color w:val="auto"/>
              </w:rPr>
            </w:pPr>
            <w:r>
              <w:rPr>
                <w:rFonts w:ascii="Arial" w:cs="Arial" w:eastAsia="Arial" w:hAnsi="Arial"/>
                <w:sz w:val="14"/>
                <w:szCs w:val="14"/>
                <w:color w:val="auto"/>
              </w:rPr>
              <w:t>Total equity securities</w:t>
            </w:r>
          </w:p>
        </w:tc>
        <w:tc>
          <w:tcPr>
            <w:tcW w:w="3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2,627,788</w:t>
            </w: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2,056,973</w:t>
            </w:r>
          </w:p>
        </w:tc>
        <w:tc>
          <w:tcPr>
            <w:tcW w:w="200" w:type="dxa"/>
            <w:vAlign w:val="bottom"/>
          </w:tcPr>
          <w:p>
            <w:pPr>
              <w:spacing w:after="0"/>
              <w:rPr>
                <w:sz w:val="16"/>
                <w:szCs w:val="16"/>
                <w:color w:val="auto"/>
              </w:rPr>
            </w:pPr>
          </w:p>
        </w:tc>
        <w:tc>
          <w:tcPr>
            <w:tcW w:w="980" w:type="dxa"/>
            <w:vAlign w:val="bottom"/>
          </w:tcPr>
          <w:p>
            <w:pPr>
              <w:jc w:val="right"/>
              <w:ind w:right="111"/>
              <w:spacing w:after="0"/>
              <w:rPr>
                <w:sz w:val="20"/>
                <w:szCs w:val="20"/>
                <w:color w:val="auto"/>
              </w:rPr>
            </w:pPr>
            <w:r>
              <w:rPr>
                <w:rFonts w:ascii="Arial" w:cs="Arial" w:eastAsia="Arial" w:hAnsi="Arial"/>
                <w:sz w:val="14"/>
                <w:szCs w:val="14"/>
                <w:color w:val="auto"/>
              </w:rPr>
              <w:t>52.4</w:t>
            </w:r>
          </w:p>
        </w:tc>
        <w:tc>
          <w:tcPr>
            <w:tcW w:w="200" w:type="dxa"/>
            <w:vAlign w:val="bottom"/>
          </w:tcPr>
          <w:p>
            <w:pPr>
              <w:spacing w:after="0"/>
              <w:rPr>
                <w:sz w:val="16"/>
                <w:szCs w:val="16"/>
                <w:color w:val="auto"/>
              </w:rPr>
            </w:pPr>
          </w:p>
        </w:tc>
        <w:tc>
          <w:tcPr>
            <w:tcW w:w="960" w:type="dxa"/>
            <w:vAlign w:val="bottom"/>
          </w:tcPr>
          <w:p>
            <w:pPr>
              <w:jc w:val="right"/>
              <w:ind w:right="111"/>
              <w:spacing w:after="0"/>
              <w:rPr>
                <w:sz w:val="20"/>
                <w:szCs w:val="20"/>
                <w:color w:val="auto"/>
              </w:rPr>
            </w:pPr>
            <w:r>
              <w:rPr>
                <w:rFonts w:ascii="Arial" w:cs="Arial" w:eastAsia="Arial" w:hAnsi="Arial"/>
                <w:sz w:val="14"/>
                <w:szCs w:val="14"/>
                <w:color w:val="auto"/>
              </w:rPr>
              <w:t>41.5</w:t>
            </w:r>
          </w:p>
        </w:tc>
        <w:tc>
          <w:tcPr>
            <w:tcW w:w="0" w:type="dxa"/>
            <w:vAlign w:val="bottom"/>
          </w:tcPr>
          <w:p>
            <w:pPr>
              <w:spacing w:after="0"/>
              <w:rPr>
                <w:sz w:val="1"/>
                <w:szCs w:val="1"/>
                <w:color w:val="auto"/>
              </w:rPr>
            </w:pPr>
          </w:p>
        </w:tc>
      </w:tr>
      <w:tr>
        <w:trPr>
          <w:trHeight w:val="197"/>
        </w:trPr>
        <w:tc>
          <w:tcPr>
            <w:tcW w:w="6300" w:type="dxa"/>
            <w:vAlign w:val="bottom"/>
          </w:tcPr>
          <w:p>
            <w:pPr>
              <w:ind w:left="300"/>
              <w:spacing w:after="0"/>
              <w:rPr>
                <w:sz w:val="20"/>
                <w:szCs w:val="20"/>
                <w:color w:val="auto"/>
              </w:rPr>
            </w:pPr>
            <w:r>
              <w:rPr>
                <w:rFonts w:ascii="Arial" w:cs="Arial" w:eastAsia="Arial" w:hAnsi="Arial"/>
                <w:sz w:val="14"/>
                <w:szCs w:val="14"/>
                <w:color w:val="auto"/>
              </w:rPr>
              <w:t>Total real estate</w:t>
            </w:r>
          </w:p>
        </w:tc>
        <w:tc>
          <w:tcPr>
            <w:tcW w:w="3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352,540</w:t>
            </w:r>
          </w:p>
        </w:tc>
        <w:tc>
          <w:tcPr>
            <w:tcW w:w="2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206,181</w:t>
            </w:r>
          </w:p>
        </w:tc>
        <w:tc>
          <w:tcPr>
            <w:tcW w:w="200" w:type="dxa"/>
            <w:vAlign w:val="bottom"/>
          </w:tcPr>
          <w:p>
            <w:pPr>
              <w:spacing w:after="0"/>
              <w:rPr>
                <w:sz w:val="17"/>
                <w:szCs w:val="17"/>
                <w:color w:val="auto"/>
              </w:rPr>
            </w:pPr>
          </w:p>
        </w:tc>
        <w:tc>
          <w:tcPr>
            <w:tcW w:w="98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color w:val="auto"/>
              </w:rPr>
              <w:t>7.0</w:t>
            </w:r>
          </w:p>
        </w:tc>
        <w:tc>
          <w:tcPr>
            <w:tcW w:w="200" w:type="dxa"/>
            <w:vAlign w:val="bottom"/>
          </w:tcPr>
          <w:p>
            <w:pPr>
              <w:spacing w:after="0"/>
              <w:rPr>
                <w:sz w:val="17"/>
                <w:szCs w:val="17"/>
                <w:color w:val="auto"/>
              </w:rPr>
            </w:pPr>
          </w:p>
        </w:tc>
        <w:tc>
          <w:tcPr>
            <w:tcW w:w="96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color w:val="auto"/>
              </w:rPr>
              <w:t>4.2</w:t>
            </w:r>
          </w:p>
        </w:tc>
        <w:tc>
          <w:tcPr>
            <w:tcW w:w="0" w:type="dxa"/>
            <w:vAlign w:val="bottom"/>
          </w:tcPr>
          <w:p>
            <w:pPr>
              <w:spacing w:after="0"/>
              <w:rPr>
                <w:sz w:val="1"/>
                <w:szCs w:val="1"/>
                <w:color w:val="auto"/>
              </w:rPr>
            </w:pPr>
          </w:p>
        </w:tc>
      </w:tr>
      <w:tr>
        <w:trPr>
          <w:trHeight w:val="190"/>
        </w:trPr>
        <w:tc>
          <w:tcPr>
            <w:tcW w:w="6300" w:type="dxa"/>
            <w:vAlign w:val="bottom"/>
          </w:tcPr>
          <w:p>
            <w:pPr>
              <w:ind w:left="500"/>
              <w:spacing w:after="0"/>
              <w:rPr>
                <w:sz w:val="20"/>
                <w:szCs w:val="20"/>
                <w:color w:val="auto"/>
              </w:rPr>
            </w:pPr>
            <w:r>
              <w:rPr>
                <w:rFonts w:ascii="Arial" w:cs="Arial" w:eastAsia="Arial" w:hAnsi="Arial"/>
                <w:sz w:val="14"/>
                <w:szCs w:val="14"/>
                <w:color w:val="auto"/>
              </w:rPr>
              <w:t>Total investments, at fair value</w:t>
            </w:r>
          </w:p>
        </w:tc>
        <w:tc>
          <w:tcPr>
            <w:tcW w:w="30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5,012,977</w:t>
            </w:r>
          </w:p>
        </w:tc>
        <w:tc>
          <w:tcPr>
            <w:tcW w:w="220" w:type="dxa"/>
            <w:vAlign w:val="bottom"/>
          </w:tcPr>
          <w:p>
            <w:pPr>
              <w:spacing w:after="0"/>
              <w:rPr>
                <w:sz w:val="16"/>
                <w:szCs w:val="16"/>
                <w:color w:val="auto"/>
              </w:rPr>
            </w:pPr>
          </w:p>
        </w:tc>
        <w:tc>
          <w:tcPr>
            <w:tcW w:w="30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4,946,862</w:t>
            </w:r>
          </w:p>
        </w:tc>
        <w:tc>
          <w:tcPr>
            <w:tcW w:w="200" w:type="dxa"/>
            <w:vAlign w:val="bottom"/>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100.0 %</w:t>
            </w:r>
          </w:p>
        </w:tc>
        <w:tc>
          <w:tcPr>
            <w:tcW w:w="200" w:type="dxa"/>
            <w:vAlign w:val="bottom"/>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100.0 %</w:t>
            </w:r>
          </w:p>
        </w:tc>
        <w:tc>
          <w:tcPr>
            <w:tcW w:w="0" w:type="dxa"/>
            <w:vAlign w:val="bottom"/>
          </w:tcPr>
          <w:p>
            <w:pPr>
              <w:spacing w:after="0"/>
              <w:rPr>
                <w:sz w:val="1"/>
                <w:szCs w:val="1"/>
                <w:color w:val="auto"/>
              </w:rPr>
            </w:pPr>
          </w:p>
        </w:tc>
      </w:tr>
      <w:tr>
        <w:trPr>
          <w:trHeight w:val="20"/>
        </w:trPr>
        <w:tc>
          <w:tcPr>
            <w:tcW w:w="63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7" w:lineRule="exact"/>
        <w:rPr>
          <w:sz w:val="20"/>
          <w:szCs w:val="20"/>
          <w:color w:val="auto"/>
        </w:rPr>
      </w:pPr>
    </w:p>
    <w:p>
      <w:pPr>
        <w:ind w:left="620"/>
        <w:spacing w:after="0"/>
        <w:rPr>
          <w:sz w:val="20"/>
          <w:szCs w:val="20"/>
          <w:color w:val="auto"/>
        </w:rPr>
      </w:pPr>
      <w:r>
        <w:rPr>
          <w:rFonts w:ascii="Arial" w:cs="Arial" w:eastAsia="Arial" w:hAnsi="Arial"/>
          <w:sz w:val="17"/>
          <w:szCs w:val="17"/>
          <w:color w:val="auto"/>
        </w:rPr>
        <w:t>As of December 31, 2025, the following issuers or investments had a fair value that exceeded 5% of the Company’s total consolidated net</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assets.</w:t>
      </w:r>
    </w:p>
    <w:p>
      <w:pPr>
        <w:spacing w:after="0" w:line="97" w:lineRule="exact"/>
        <w:rPr>
          <w:sz w:val="20"/>
          <w:szCs w:val="20"/>
          <w:color w:val="auto"/>
        </w:rPr>
      </w:pPr>
    </w:p>
    <w:tbl>
      <w:tblPr>
        <w:tblLayout w:type="fixed"/>
        <w:tblInd w:w="1020" w:type="dxa"/>
        <w:tblCellMar>
          <w:top w:w="0" w:type="dxa"/>
          <w:left w:w="0" w:type="dxa"/>
          <w:bottom w:w="0" w:type="dxa"/>
          <w:right w:w="0" w:type="dxa"/>
        </w:tblCellMar>
      </w:tblPr>
      <w:tr>
        <w:trPr>
          <w:trHeight w:val="169"/>
        </w:trPr>
        <w:tc>
          <w:tcPr>
            <w:tcW w:w="318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rPr>
              <w:t>Principal Amount/ Number of Shares</w:t>
            </w:r>
          </w:p>
        </w:tc>
        <w:tc>
          <w:tcPr>
            <w:tcW w:w="140" w:type="dxa"/>
            <w:vAlign w:val="bottom"/>
          </w:tcPr>
          <w:p>
            <w:pPr>
              <w:spacing w:after="0"/>
              <w:rPr>
                <w:sz w:val="14"/>
                <w:szCs w:val="14"/>
                <w:color w:val="auto"/>
              </w:rPr>
            </w:pPr>
          </w:p>
        </w:tc>
        <w:tc>
          <w:tcPr>
            <w:tcW w:w="316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rPr>
              <w:t>Investments</w:t>
            </w:r>
          </w:p>
        </w:tc>
        <w:tc>
          <w:tcPr>
            <w:tcW w:w="140" w:type="dxa"/>
            <w:vAlign w:val="bottom"/>
          </w:tcPr>
          <w:p>
            <w:pPr>
              <w:spacing w:after="0"/>
              <w:rPr>
                <w:sz w:val="14"/>
                <w:szCs w:val="14"/>
                <w:color w:val="auto"/>
              </w:rPr>
            </w:pPr>
          </w:p>
        </w:tc>
        <w:tc>
          <w:tcPr>
            <w:tcW w:w="320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8"/>
              </w:rPr>
              <w:t>Combined Fair Value</w:t>
            </w:r>
          </w:p>
        </w:tc>
      </w:tr>
      <w:tr>
        <w:trPr>
          <w:trHeight w:val="182"/>
        </w:trPr>
        <w:tc>
          <w:tcPr>
            <w:tcW w:w="3180" w:type="dxa"/>
            <w:vAlign w:val="bottom"/>
          </w:tcPr>
          <w:p>
            <w:pPr>
              <w:jc w:val="right"/>
              <w:ind w:right="1276"/>
              <w:spacing w:after="0"/>
              <w:rPr>
                <w:sz w:val="20"/>
                <w:szCs w:val="20"/>
                <w:color w:val="auto"/>
              </w:rPr>
            </w:pPr>
            <w:r>
              <w:rPr>
                <w:rFonts w:ascii="Arial" w:cs="Arial" w:eastAsia="Arial" w:hAnsi="Arial"/>
                <w:sz w:val="14"/>
                <w:szCs w:val="14"/>
                <w:color w:val="auto"/>
              </w:rPr>
              <w:t>179,840</w:t>
            </w:r>
          </w:p>
        </w:tc>
        <w:tc>
          <w:tcPr>
            <w:tcW w:w="140" w:type="dxa"/>
            <w:vAlign w:val="bottom"/>
          </w:tcPr>
          <w:p>
            <w:pPr>
              <w:spacing w:after="0"/>
              <w:rPr>
                <w:sz w:val="15"/>
                <w:szCs w:val="15"/>
                <w:color w:val="auto"/>
              </w:rPr>
            </w:pPr>
          </w:p>
        </w:tc>
        <w:tc>
          <w:tcPr>
            <w:tcW w:w="3300" w:type="dxa"/>
            <w:vAlign w:val="bottom"/>
            <w:gridSpan w:val="2"/>
          </w:tcPr>
          <w:p>
            <w:pPr>
              <w:jc w:val="center"/>
              <w:ind w:right="140"/>
              <w:spacing w:after="0"/>
              <w:rPr>
                <w:sz w:val="20"/>
                <w:szCs w:val="20"/>
                <w:color w:val="auto"/>
              </w:rPr>
            </w:pPr>
            <w:r>
              <w:rPr>
                <w:rFonts w:ascii="Arial" w:cs="Arial" w:eastAsia="Arial" w:hAnsi="Arial"/>
                <w:sz w:val="14"/>
                <w:szCs w:val="14"/>
                <w:color w:val="auto"/>
                <w:w w:val="98"/>
              </w:rPr>
              <w:t>Azorra Aviation Holdings LLC</w:t>
            </w:r>
          </w:p>
        </w:tc>
        <w:tc>
          <w:tcPr>
            <w:tcW w:w="3200" w:type="dxa"/>
            <w:vAlign w:val="bottom"/>
          </w:tcPr>
          <w:p>
            <w:pPr>
              <w:jc w:val="right"/>
              <w:ind w:right="1236"/>
              <w:spacing w:after="0"/>
              <w:rPr>
                <w:sz w:val="20"/>
                <w:szCs w:val="20"/>
                <w:color w:val="auto"/>
              </w:rPr>
            </w:pPr>
            <w:r>
              <w:rPr>
                <w:rFonts w:ascii="Arial" w:cs="Arial" w:eastAsia="Arial" w:hAnsi="Arial"/>
                <w:sz w:val="14"/>
                <w:szCs w:val="14"/>
                <w:color w:val="auto"/>
              </w:rPr>
              <w:t>$266,177</w:t>
            </w:r>
          </w:p>
        </w:tc>
      </w:tr>
    </w:tbl>
    <w:p>
      <w:pPr>
        <w:spacing w:after="0" w:line="378" w:lineRule="exact"/>
        <w:rPr>
          <w:sz w:val="20"/>
          <w:szCs w:val="20"/>
          <w:color w:val="auto"/>
        </w:rPr>
      </w:pPr>
    </w:p>
    <w:p>
      <w:pPr>
        <w:ind w:left="620"/>
        <w:spacing w:after="0"/>
        <w:rPr>
          <w:sz w:val="20"/>
          <w:szCs w:val="20"/>
          <w:color w:val="auto"/>
        </w:rPr>
      </w:pPr>
      <w:r>
        <w:rPr>
          <w:rFonts w:ascii="Arial" w:cs="Arial" w:eastAsia="Arial" w:hAnsi="Arial"/>
          <w:sz w:val="17"/>
          <w:szCs w:val="17"/>
          <w:color w:val="auto"/>
        </w:rPr>
        <w:t>As of December 31, 2024, no single issuer or investment had a fair value that exceeded 5% of the Company’s total consolidated net assets.</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89" w:name="page90"/>
    <w:bookmarkEnd w:id="89"/>
    <w:p>
      <w:pPr>
        <w:jc w:val="center"/>
        <w:ind w:right="-39"/>
        <w:spacing w:after="0"/>
        <w:rPr>
          <w:sz w:val="20"/>
          <w:szCs w:val="20"/>
          <w:color w:val="auto"/>
        </w:rPr>
      </w:pPr>
      <w:r>
        <w:rPr>
          <w:rFonts w:ascii="Arial" w:cs="Arial" w:eastAsia="Arial" w:hAnsi="Arial"/>
          <w:sz w:val="17"/>
          <w:szCs w:val="17"/>
          <w:b w:val="1"/>
          <w:bCs w:val="1"/>
          <w:color w:val="auto"/>
        </w:rPr>
        <w:t>Brookfield Oaktree Holdings, LLC</w:t>
      </w:r>
    </w:p>
    <w:p>
      <w:pPr>
        <w:spacing w:after="0" w:line="15"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Notes to Consolidated Financial Statements — (Continued)</w:t>
      </w:r>
    </w:p>
    <w:p>
      <w:pPr>
        <w:spacing w:after="0" w:line="11"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December 31, 2025</w:t>
      </w:r>
    </w:p>
    <w:p>
      <w:pPr>
        <w:spacing w:after="0" w:line="11"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 in thousands, except where noted)</w:t>
      </w: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Net Gains (Losses) From Investment Activities of Consolidated Funds</w:t>
      </w:r>
    </w:p>
    <w:p>
      <w:pPr>
        <w:spacing w:after="0" w:line="165" w:lineRule="exact"/>
        <w:rPr>
          <w:sz w:val="20"/>
          <w:szCs w:val="20"/>
          <w:color w:val="auto"/>
        </w:rPr>
      </w:pPr>
    </w:p>
    <w:p>
      <w:pPr>
        <w:ind w:right="60" w:firstLine="619"/>
        <w:spacing w:after="0" w:line="262" w:lineRule="auto"/>
        <w:rPr>
          <w:sz w:val="20"/>
          <w:szCs w:val="20"/>
          <w:color w:val="auto"/>
        </w:rPr>
      </w:pPr>
      <w:r>
        <w:rPr>
          <w:rFonts w:ascii="Arial" w:cs="Arial" w:eastAsia="Arial" w:hAnsi="Arial"/>
          <w:sz w:val="17"/>
          <w:szCs w:val="17"/>
          <w:color w:val="auto"/>
        </w:rPr>
        <w:t>Net gains (losses) from investment activities in the consolidated statements of operations consist primarily of realized and unrealized gains and losses on the consolidated funds’ investments (including foreign exchange gains and losses attributable to foreign-denominated investments and related activities) and other financial instruments. Unrealized gains or losses result from changes in the fair value of these investments and other financial instruments. Upon disposition of an investment, unrealized gains or losses are reversed and an offsetting realized gain or loss is recognized in the current period.</w:t>
      </w:r>
    </w:p>
    <w:p>
      <w:pPr>
        <w:spacing w:after="0" w:line="119"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following table summarizes net gains (losses) from investment activities:</w:t>
      </w:r>
    </w:p>
    <w:p>
      <w:pPr>
        <w:spacing w:after="0" w:line="203" w:lineRule="exact"/>
        <w:rPr>
          <w:sz w:val="20"/>
          <w:szCs w:val="20"/>
          <w:color w:val="auto"/>
        </w:rPr>
      </w:pPr>
    </w:p>
    <w:tbl>
      <w:tblPr>
        <w:tblLayout w:type="fixed"/>
        <w:tblInd w:w="20" w:type="dxa"/>
        <w:tblCellMar>
          <w:top w:w="0" w:type="dxa"/>
          <w:left w:w="0" w:type="dxa"/>
          <w:bottom w:w="0" w:type="dxa"/>
          <w:right w:w="0" w:type="dxa"/>
        </w:tblCellMar>
      </w:tblPr>
      <w:tr>
        <w:trPr>
          <w:trHeight w:val="169"/>
        </w:trPr>
        <w:tc>
          <w:tcPr>
            <w:tcW w:w="26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820" w:type="dxa"/>
            <w:vAlign w:val="bottom"/>
            <w:tcBorders>
              <w:bottom w:val="single" w:sz="8" w:color="auto"/>
            </w:tcBorders>
            <w:gridSpan w:val="6"/>
          </w:tcPr>
          <w:p>
            <w:pPr>
              <w:ind w:left="520"/>
              <w:spacing w:after="0"/>
              <w:rPr>
                <w:sz w:val="20"/>
                <w:szCs w:val="20"/>
                <w:color w:val="auto"/>
              </w:rPr>
            </w:pPr>
            <w:r>
              <w:rPr>
                <w:rFonts w:ascii="Arial" w:cs="Arial" w:eastAsia="Arial" w:hAnsi="Arial"/>
                <w:sz w:val="12"/>
                <w:szCs w:val="12"/>
                <w:b w:val="1"/>
                <w:bCs w:val="1"/>
                <w:color w:val="auto"/>
              </w:rPr>
              <w:t>Year Ended December 31,</w:t>
            </w:r>
          </w:p>
        </w:tc>
        <w:tc>
          <w:tcPr>
            <w:tcW w:w="1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6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2"/>
                <w:szCs w:val="12"/>
                <w:b w:val="1"/>
                <w:bCs w:val="1"/>
                <w:color w:val="auto"/>
                <w:w w:val="97"/>
              </w:rPr>
              <w:t>2025</w:t>
            </w:r>
          </w:p>
        </w:tc>
        <w:tc>
          <w:tcPr>
            <w:tcW w:w="11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2"/>
                <w:szCs w:val="12"/>
                <w:b w:val="1"/>
                <w:bCs w:val="1"/>
                <w:color w:val="auto"/>
                <w:w w:val="97"/>
              </w:rPr>
              <w:t>2024</w:t>
            </w:r>
          </w:p>
        </w:tc>
        <w:tc>
          <w:tcPr>
            <w:tcW w:w="11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2"/>
                <w:szCs w:val="12"/>
                <w:b w:val="1"/>
                <w:bCs w:val="1"/>
                <w:color w:val="auto"/>
              </w:rPr>
              <w:t>2023</w:t>
            </w:r>
          </w:p>
        </w:tc>
        <w:tc>
          <w:tcPr>
            <w:tcW w:w="11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0"/>
        </w:trPr>
        <w:tc>
          <w:tcPr>
            <w:tcW w:w="2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40" w:type="dxa"/>
            <w:vAlign w:val="bottom"/>
          </w:tcPr>
          <w:p>
            <w:pPr>
              <w:jc w:val="center"/>
              <w:ind w:right="35"/>
              <w:spacing w:after="0" w:line="110" w:lineRule="exact"/>
              <w:rPr>
                <w:sz w:val="20"/>
                <w:szCs w:val="20"/>
                <w:color w:val="auto"/>
              </w:rPr>
            </w:pPr>
            <w:r>
              <w:rPr>
                <w:rFonts w:ascii="Arial" w:cs="Arial" w:eastAsia="Arial" w:hAnsi="Arial"/>
                <w:sz w:val="12"/>
                <w:szCs w:val="12"/>
                <w:b w:val="1"/>
                <w:bCs w:val="1"/>
                <w:color w:val="auto"/>
                <w:w w:val="99"/>
              </w:rPr>
              <w:t>Net Change in</w:t>
            </w: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40" w:type="dxa"/>
            <w:vAlign w:val="bottom"/>
          </w:tcPr>
          <w:p>
            <w:pPr>
              <w:jc w:val="center"/>
              <w:ind w:right="35"/>
              <w:spacing w:after="0" w:line="110" w:lineRule="exact"/>
              <w:rPr>
                <w:sz w:val="20"/>
                <w:szCs w:val="20"/>
                <w:color w:val="auto"/>
              </w:rPr>
            </w:pPr>
            <w:r>
              <w:rPr>
                <w:rFonts w:ascii="Arial" w:cs="Arial" w:eastAsia="Arial" w:hAnsi="Arial"/>
                <w:sz w:val="12"/>
                <w:szCs w:val="12"/>
                <w:b w:val="1"/>
                <w:bCs w:val="1"/>
                <w:color w:val="auto"/>
                <w:w w:val="99"/>
              </w:rPr>
              <w:t>Net Change in</w:t>
            </w: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40" w:type="dxa"/>
            <w:vAlign w:val="bottom"/>
          </w:tcPr>
          <w:p>
            <w:pPr>
              <w:jc w:val="center"/>
              <w:ind w:right="35"/>
              <w:spacing w:after="0" w:line="110" w:lineRule="exact"/>
              <w:rPr>
                <w:sz w:val="20"/>
                <w:szCs w:val="20"/>
                <w:color w:val="auto"/>
              </w:rPr>
            </w:pPr>
            <w:r>
              <w:rPr>
                <w:rFonts w:ascii="Arial" w:cs="Arial" w:eastAsia="Arial" w:hAnsi="Arial"/>
                <w:sz w:val="12"/>
                <w:szCs w:val="12"/>
                <w:b w:val="1"/>
                <w:bCs w:val="1"/>
                <w:color w:val="auto"/>
                <w:w w:val="99"/>
              </w:rPr>
              <w:t>Net Change in</w:t>
            </w:r>
          </w:p>
        </w:tc>
        <w:tc>
          <w:tcPr>
            <w:tcW w:w="0" w:type="dxa"/>
            <w:vAlign w:val="bottom"/>
          </w:tcPr>
          <w:p>
            <w:pPr>
              <w:spacing w:after="0"/>
              <w:rPr>
                <w:sz w:val="1"/>
                <w:szCs w:val="1"/>
                <w:color w:val="auto"/>
              </w:rPr>
            </w:pPr>
          </w:p>
        </w:tc>
      </w:tr>
      <w:tr>
        <w:trPr>
          <w:trHeight w:val="124"/>
        </w:trPr>
        <w:tc>
          <w:tcPr>
            <w:tcW w:w="2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98"/>
              </w:rPr>
              <w:t>Net Realized Gain</w:t>
            </w: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40" w:type="dxa"/>
            <w:vAlign w:val="bottom"/>
            <w:gridSpan w:val="2"/>
          </w:tcPr>
          <w:p>
            <w:pPr>
              <w:jc w:val="center"/>
              <w:ind w:right="300"/>
              <w:spacing w:after="0" w:line="124" w:lineRule="exact"/>
              <w:rPr>
                <w:sz w:val="20"/>
                <w:szCs w:val="20"/>
                <w:color w:val="auto"/>
              </w:rPr>
            </w:pPr>
            <w:r>
              <w:rPr>
                <w:rFonts w:ascii="Arial" w:cs="Arial" w:eastAsia="Arial" w:hAnsi="Arial"/>
                <w:sz w:val="12"/>
                <w:szCs w:val="12"/>
                <w:b w:val="1"/>
                <w:bCs w:val="1"/>
                <w:color w:val="auto"/>
                <w:w w:val="98"/>
              </w:rPr>
              <w:t>Unrealized</w:t>
            </w:r>
          </w:p>
        </w:tc>
        <w:tc>
          <w:tcPr>
            <w:tcW w:w="120" w:type="dxa"/>
            <w:vAlign w:val="bottom"/>
          </w:tcPr>
          <w:p>
            <w:pPr>
              <w:spacing w:after="0"/>
              <w:rPr>
                <w:sz w:val="10"/>
                <w:szCs w:val="10"/>
                <w:color w:val="auto"/>
              </w:rPr>
            </w:pPr>
          </w:p>
        </w:tc>
        <w:tc>
          <w:tcPr>
            <w:tcW w:w="1100" w:type="dxa"/>
            <w:vAlign w:val="bottom"/>
            <w:vMerge w:val="restart"/>
          </w:tcPr>
          <w:p>
            <w:pPr>
              <w:jc w:val="center"/>
              <w:ind w:right="14"/>
              <w:spacing w:after="0"/>
              <w:rPr>
                <w:sz w:val="20"/>
                <w:szCs w:val="20"/>
                <w:color w:val="auto"/>
              </w:rPr>
            </w:pPr>
            <w:r>
              <w:rPr>
                <w:rFonts w:ascii="Arial" w:cs="Arial" w:eastAsia="Arial" w:hAnsi="Arial"/>
                <w:sz w:val="12"/>
                <w:szCs w:val="12"/>
                <w:b w:val="1"/>
                <w:bCs w:val="1"/>
                <w:color w:val="auto"/>
              </w:rPr>
              <w:t>Net Realized Gain</w:t>
            </w: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60" w:type="dxa"/>
            <w:vAlign w:val="bottom"/>
            <w:gridSpan w:val="2"/>
          </w:tcPr>
          <w:p>
            <w:pPr>
              <w:jc w:val="center"/>
              <w:ind w:right="320"/>
              <w:spacing w:after="0" w:line="124" w:lineRule="exact"/>
              <w:rPr>
                <w:sz w:val="20"/>
                <w:szCs w:val="20"/>
                <w:color w:val="auto"/>
              </w:rPr>
            </w:pPr>
            <w:r>
              <w:rPr>
                <w:rFonts w:ascii="Arial" w:cs="Arial" w:eastAsia="Arial" w:hAnsi="Arial"/>
                <w:sz w:val="12"/>
                <w:szCs w:val="12"/>
                <w:b w:val="1"/>
                <w:bCs w:val="1"/>
                <w:color w:val="auto"/>
                <w:w w:val="98"/>
              </w:rPr>
              <w:t>Unrealized</w:t>
            </w:r>
          </w:p>
        </w:tc>
        <w:tc>
          <w:tcPr>
            <w:tcW w:w="100" w:type="dxa"/>
            <w:vAlign w:val="bottom"/>
          </w:tcPr>
          <w:p>
            <w:pPr>
              <w:spacing w:after="0"/>
              <w:rPr>
                <w:sz w:val="10"/>
                <w:szCs w:val="10"/>
                <w:color w:val="auto"/>
              </w:rPr>
            </w:pPr>
          </w:p>
        </w:tc>
        <w:tc>
          <w:tcPr>
            <w:tcW w:w="1100" w:type="dxa"/>
            <w:vAlign w:val="bottom"/>
            <w:vMerge w:val="restart"/>
          </w:tcPr>
          <w:p>
            <w:pPr>
              <w:jc w:val="center"/>
              <w:spacing w:after="0"/>
              <w:rPr>
                <w:sz w:val="20"/>
                <w:szCs w:val="20"/>
                <w:color w:val="auto"/>
              </w:rPr>
            </w:pPr>
            <w:r>
              <w:rPr>
                <w:rFonts w:ascii="Arial" w:cs="Arial" w:eastAsia="Arial" w:hAnsi="Arial"/>
                <w:sz w:val="12"/>
                <w:szCs w:val="12"/>
                <w:b w:val="1"/>
                <w:bCs w:val="1"/>
                <w:color w:val="auto"/>
              </w:rPr>
              <w:t>Net Realized Gain</w:t>
            </w: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40" w:type="dxa"/>
            <w:vAlign w:val="bottom"/>
          </w:tcPr>
          <w:p>
            <w:pPr>
              <w:jc w:val="center"/>
              <w:ind w:right="35"/>
              <w:spacing w:after="0" w:line="124" w:lineRule="exact"/>
              <w:rPr>
                <w:sz w:val="20"/>
                <w:szCs w:val="20"/>
                <w:color w:val="auto"/>
              </w:rPr>
            </w:pPr>
            <w:r>
              <w:rPr>
                <w:rFonts w:ascii="Arial" w:cs="Arial" w:eastAsia="Arial" w:hAnsi="Arial"/>
                <w:sz w:val="12"/>
                <w:szCs w:val="12"/>
                <w:b w:val="1"/>
                <w:bCs w:val="1"/>
                <w:color w:val="auto"/>
                <w:w w:val="98"/>
              </w:rPr>
              <w:t>Unrealized</w:t>
            </w:r>
          </w:p>
        </w:tc>
        <w:tc>
          <w:tcPr>
            <w:tcW w:w="0" w:type="dxa"/>
            <w:vAlign w:val="bottom"/>
          </w:tcPr>
          <w:p>
            <w:pPr>
              <w:spacing w:after="0"/>
              <w:rPr>
                <w:sz w:val="1"/>
                <w:szCs w:val="1"/>
                <w:color w:val="auto"/>
              </w:rPr>
            </w:pPr>
          </w:p>
        </w:tc>
      </w:tr>
      <w:tr>
        <w:trPr>
          <w:trHeight w:val="121"/>
        </w:trPr>
        <w:tc>
          <w:tcPr>
            <w:tcW w:w="2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40" w:type="dxa"/>
            <w:vAlign w:val="bottom"/>
            <w:gridSpan w:val="2"/>
          </w:tcPr>
          <w:p>
            <w:pPr>
              <w:jc w:val="center"/>
              <w:ind w:right="320"/>
              <w:spacing w:after="0" w:line="121" w:lineRule="exact"/>
              <w:rPr>
                <w:sz w:val="20"/>
                <w:szCs w:val="20"/>
                <w:color w:val="auto"/>
              </w:rPr>
            </w:pPr>
            <w:r>
              <w:rPr>
                <w:rFonts w:ascii="Arial" w:cs="Arial" w:eastAsia="Arial" w:hAnsi="Arial"/>
                <w:sz w:val="12"/>
                <w:szCs w:val="12"/>
                <w:b w:val="1"/>
                <w:bCs w:val="1"/>
                <w:color w:val="auto"/>
              </w:rPr>
              <w:t>Appreciation</w:t>
            </w:r>
          </w:p>
        </w:tc>
        <w:tc>
          <w:tcPr>
            <w:tcW w:w="120" w:type="dxa"/>
            <w:vAlign w:val="bottom"/>
          </w:tcPr>
          <w:p>
            <w:pPr>
              <w:spacing w:after="0"/>
              <w:rPr>
                <w:sz w:val="10"/>
                <w:szCs w:val="10"/>
                <w:color w:val="auto"/>
              </w:rPr>
            </w:pPr>
          </w:p>
        </w:tc>
        <w:tc>
          <w:tcPr>
            <w:tcW w:w="11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60" w:type="dxa"/>
            <w:vAlign w:val="bottom"/>
            <w:gridSpan w:val="2"/>
          </w:tcPr>
          <w:p>
            <w:pPr>
              <w:jc w:val="center"/>
              <w:ind w:right="340"/>
              <w:spacing w:after="0" w:line="121" w:lineRule="exact"/>
              <w:rPr>
                <w:sz w:val="20"/>
                <w:szCs w:val="20"/>
                <w:color w:val="auto"/>
              </w:rPr>
            </w:pPr>
            <w:r>
              <w:rPr>
                <w:rFonts w:ascii="Arial" w:cs="Arial" w:eastAsia="Arial" w:hAnsi="Arial"/>
                <w:sz w:val="12"/>
                <w:szCs w:val="12"/>
                <w:b w:val="1"/>
                <w:bCs w:val="1"/>
                <w:color w:val="auto"/>
              </w:rPr>
              <w:t>Appreciation</w:t>
            </w:r>
          </w:p>
        </w:tc>
        <w:tc>
          <w:tcPr>
            <w:tcW w:w="100" w:type="dxa"/>
            <w:vAlign w:val="bottom"/>
          </w:tcPr>
          <w:p>
            <w:pPr>
              <w:spacing w:after="0"/>
              <w:rPr>
                <w:sz w:val="10"/>
                <w:szCs w:val="10"/>
                <w:color w:val="auto"/>
              </w:rPr>
            </w:pPr>
          </w:p>
        </w:tc>
        <w:tc>
          <w:tcPr>
            <w:tcW w:w="110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40" w:type="dxa"/>
            <w:vAlign w:val="bottom"/>
          </w:tcPr>
          <w:p>
            <w:pPr>
              <w:jc w:val="center"/>
              <w:ind w:right="55"/>
              <w:spacing w:after="0" w:line="121" w:lineRule="exact"/>
              <w:rPr>
                <w:sz w:val="20"/>
                <w:szCs w:val="20"/>
                <w:color w:val="auto"/>
              </w:rPr>
            </w:pPr>
            <w:r>
              <w:rPr>
                <w:rFonts w:ascii="Arial" w:cs="Arial" w:eastAsia="Arial" w:hAnsi="Arial"/>
                <w:sz w:val="12"/>
                <w:szCs w:val="12"/>
                <w:b w:val="1"/>
                <w:bCs w:val="1"/>
                <w:color w:val="auto"/>
              </w:rPr>
              <w:t>Appreciation</w:t>
            </w:r>
          </w:p>
        </w:tc>
        <w:tc>
          <w:tcPr>
            <w:tcW w:w="0" w:type="dxa"/>
            <w:vAlign w:val="bottom"/>
          </w:tcPr>
          <w:p>
            <w:pPr>
              <w:spacing w:after="0"/>
              <w:rPr>
                <w:sz w:val="1"/>
                <w:szCs w:val="1"/>
                <w:color w:val="auto"/>
              </w:rPr>
            </w:pPr>
          </w:p>
        </w:tc>
      </w:tr>
      <w:tr>
        <w:trPr>
          <w:trHeight w:val="116"/>
        </w:trPr>
        <w:tc>
          <w:tcPr>
            <w:tcW w:w="2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tcPr>
          <w:p>
            <w:pPr>
              <w:jc w:val="center"/>
              <w:ind w:right="14"/>
              <w:spacing w:after="0" w:line="116" w:lineRule="exact"/>
              <w:rPr>
                <w:sz w:val="20"/>
                <w:szCs w:val="20"/>
                <w:color w:val="auto"/>
              </w:rPr>
            </w:pPr>
            <w:r>
              <w:rPr>
                <w:rFonts w:ascii="Arial" w:cs="Arial" w:eastAsia="Arial" w:hAnsi="Arial"/>
                <w:sz w:val="12"/>
                <w:szCs w:val="12"/>
                <w:b w:val="1"/>
                <w:bCs w:val="1"/>
                <w:color w:val="auto"/>
                <w:w w:val="99"/>
              </w:rPr>
              <w:t>(Loss) on</w:t>
            </w: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40" w:type="dxa"/>
            <w:vAlign w:val="bottom"/>
            <w:gridSpan w:val="2"/>
          </w:tcPr>
          <w:p>
            <w:pPr>
              <w:jc w:val="center"/>
              <w:ind w:right="320"/>
              <w:spacing w:after="0" w:line="116" w:lineRule="exact"/>
              <w:rPr>
                <w:sz w:val="20"/>
                <w:szCs w:val="20"/>
                <w:color w:val="auto"/>
              </w:rPr>
            </w:pPr>
            <w:r>
              <w:rPr>
                <w:rFonts w:ascii="Arial" w:cs="Arial" w:eastAsia="Arial" w:hAnsi="Arial"/>
                <w:sz w:val="12"/>
                <w:szCs w:val="12"/>
                <w:b w:val="1"/>
                <w:bCs w:val="1"/>
                <w:color w:val="auto"/>
                <w:w w:val="99"/>
              </w:rPr>
              <w:t>(Depreciation) on</w:t>
            </w:r>
          </w:p>
        </w:tc>
        <w:tc>
          <w:tcPr>
            <w:tcW w:w="120" w:type="dxa"/>
            <w:vAlign w:val="bottom"/>
          </w:tcPr>
          <w:p>
            <w:pPr>
              <w:spacing w:after="0"/>
              <w:rPr>
                <w:sz w:val="10"/>
                <w:szCs w:val="10"/>
                <w:color w:val="auto"/>
              </w:rPr>
            </w:pPr>
          </w:p>
        </w:tc>
        <w:tc>
          <w:tcPr>
            <w:tcW w:w="1100" w:type="dxa"/>
            <w:vAlign w:val="bottom"/>
          </w:tcPr>
          <w:p>
            <w:pPr>
              <w:jc w:val="center"/>
              <w:ind w:right="14"/>
              <w:spacing w:after="0" w:line="116" w:lineRule="exact"/>
              <w:rPr>
                <w:sz w:val="20"/>
                <w:szCs w:val="20"/>
                <w:color w:val="auto"/>
              </w:rPr>
            </w:pPr>
            <w:r>
              <w:rPr>
                <w:rFonts w:ascii="Arial" w:cs="Arial" w:eastAsia="Arial" w:hAnsi="Arial"/>
                <w:sz w:val="12"/>
                <w:szCs w:val="12"/>
                <w:b w:val="1"/>
                <w:bCs w:val="1"/>
                <w:color w:val="auto"/>
                <w:w w:val="99"/>
              </w:rPr>
              <w:t>(Loss) on</w:t>
            </w: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60" w:type="dxa"/>
            <w:vAlign w:val="bottom"/>
            <w:gridSpan w:val="2"/>
          </w:tcPr>
          <w:p>
            <w:pPr>
              <w:jc w:val="center"/>
              <w:ind w:right="340"/>
              <w:spacing w:after="0" w:line="116" w:lineRule="exact"/>
              <w:rPr>
                <w:sz w:val="20"/>
                <w:szCs w:val="20"/>
                <w:color w:val="auto"/>
              </w:rPr>
            </w:pPr>
            <w:r>
              <w:rPr>
                <w:rFonts w:ascii="Arial" w:cs="Arial" w:eastAsia="Arial" w:hAnsi="Arial"/>
                <w:sz w:val="12"/>
                <w:szCs w:val="12"/>
                <w:b w:val="1"/>
                <w:bCs w:val="1"/>
                <w:color w:val="auto"/>
                <w:w w:val="99"/>
              </w:rPr>
              <w:t>(Depreciation) on</w:t>
            </w:r>
          </w:p>
        </w:tc>
        <w:tc>
          <w:tcPr>
            <w:tcW w:w="100" w:type="dxa"/>
            <w:vAlign w:val="bottom"/>
          </w:tcPr>
          <w:p>
            <w:pPr>
              <w:spacing w:after="0"/>
              <w:rPr>
                <w:sz w:val="10"/>
                <w:szCs w:val="10"/>
                <w:color w:val="auto"/>
              </w:rPr>
            </w:pPr>
          </w:p>
        </w:tc>
        <w:tc>
          <w:tcPr>
            <w:tcW w:w="1100" w:type="dxa"/>
            <w:vAlign w:val="bottom"/>
          </w:tcPr>
          <w:p>
            <w:pPr>
              <w:jc w:val="center"/>
              <w:spacing w:after="0" w:line="116" w:lineRule="exact"/>
              <w:rPr>
                <w:sz w:val="20"/>
                <w:szCs w:val="20"/>
                <w:color w:val="auto"/>
              </w:rPr>
            </w:pPr>
            <w:r>
              <w:rPr>
                <w:rFonts w:ascii="Arial" w:cs="Arial" w:eastAsia="Arial" w:hAnsi="Arial"/>
                <w:sz w:val="12"/>
                <w:szCs w:val="12"/>
                <w:b w:val="1"/>
                <w:bCs w:val="1"/>
                <w:color w:val="auto"/>
                <w:w w:val="99"/>
              </w:rPr>
              <w:t>(Loss) on</w:t>
            </w: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40" w:type="dxa"/>
            <w:vAlign w:val="bottom"/>
          </w:tcPr>
          <w:p>
            <w:pPr>
              <w:jc w:val="center"/>
              <w:ind w:right="55"/>
              <w:spacing w:after="0" w:line="116" w:lineRule="exact"/>
              <w:rPr>
                <w:sz w:val="20"/>
                <w:szCs w:val="20"/>
                <w:color w:val="auto"/>
              </w:rPr>
            </w:pPr>
            <w:r>
              <w:rPr>
                <w:rFonts w:ascii="Arial" w:cs="Arial" w:eastAsia="Arial" w:hAnsi="Arial"/>
                <w:sz w:val="12"/>
                <w:szCs w:val="12"/>
                <w:b w:val="1"/>
                <w:bCs w:val="1"/>
                <w:color w:val="auto"/>
                <w:w w:val="99"/>
              </w:rPr>
              <w:t>(Depreciation) on</w:t>
            </w:r>
          </w:p>
        </w:tc>
        <w:tc>
          <w:tcPr>
            <w:tcW w:w="0" w:type="dxa"/>
            <w:vAlign w:val="bottom"/>
          </w:tcPr>
          <w:p>
            <w:pPr>
              <w:spacing w:after="0"/>
              <w:rPr>
                <w:sz w:val="1"/>
                <w:szCs w:val="1"/>
                <w:color w:val="auto"/>
              </w:rPr>
            </w:pPr>
          </w:p>
        </w:tc>
      </w:tr>
      <w:tr>
        <w:trPr>
          <w:trHeight w:val="173"/>
        </w:trPr>
        <w:tc>
          <w:tcPr>
            <w:tcW w:w="26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center"/>
              <w:ind w:right="14"/>
              <w:spacing w:after="0"/>
              <w:rPr>
                <w:sz w:val="20"/>
                <w:szCs w:val="20"/>
                <w:color w:val="auto"/>
              </w:rPr>
            </w:pPr>
            <w:r>
              <w:rPr>
                <w:rFonts w:ascii="Arial" w:cs="Arial" w:eastAsia="Arial" w:hAnsi="Arial"/>
                <w:sz w:val="12"/>
                <w:szCs w:val="12"/>
                <w:b w:val="1"/>
                <w:bCs w:val="1"/>
                <w:color w:val="auto"/>
                <w:w w:val="99"/>
              </w:rPr>
              <w:t>Investments</w:t>
            </w:r>
          </w:p>
        </w:tc>
        <w:tc>
          <w:tcPr>
            <w:tcW w:w="4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center"/>
              <w:ind w:right="55"/>
              <w:spacing w:after="0"/>
              <w:rPr>
                <w:sz w:val="20"/>
                <w:szCs w:val="20"/>
                <w:color w:val="auto"/>
              </w:rPr>
            </w:pPr>
            <w:r>
              <w:rPr>
                <w:rFonts w:ascii="Arial" w:cs="Arial" w:eastAsia="Arial" w:hAnsi="Arial"/>
                <w:sz w:val="12"/>
                <w:szCs w:val="12"/>
                <w:b w:val="1"/>
                <w:bCs w:val="1"/>
                <w:color w:val="auto"/>
                <w:w w:val="99"/>
              </w:rPr>
              <w:t>Investments</w:t>
            </w:r>
          </w:p>
        </w:tc>
        <w:tc>
          <w:tcPr>
            <w:tcW w:w="2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center"/>
              <w:ind w:right="14"/>
              <w:spacing w:after="0"/>
              <w:rPr>
                <w:sz w:val="20"/>
                <w:szCs w:val="20"/>
                <w:color w:val="auto"/>
              </w:rPr>
            </w:pPr>
            <w:r>
              <w:rPr>
                <w:rFonts w:ascii="Arial" w:cs="Arial" w:eastAsia="Arial" w:hAnsi="Arial"/>
                <w:sz w:val="12"/>
                <w:szCs w:val="12"/>
                <w:b w:val="1"/>
                <w:bCs w:val="1"/>
                <w:color w:val="auto"/>
                <w:w w:val="99"/>
              </w:rPr>
              <w:t>Investments</w:t>
            </w:r>
          </w:p>
        </w:tc>
        <w:tc>
          <w:tcPr>
            <w:tcW w:w="4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center"/>
              <w:ind w:right="55"/>
              <w:spacing w:after="0"/>
              <w:rPr>
                <w:sz w:val="20"/>
                <w:szCs w:val="20"/>
                <w:color w:val="auto"/>
              </w:rPr>
            </w:pPr>
            <w:r>
              <w:rPr>
                <w:rFonts w:ascii="Arial" w:cs="Arial" w:eastAsia="Arial" w:hAnsi="Arial"/>
                <w:sz w:val="12"/>
                <w:szCs w:val="12"/>
                <w:b w:val="1"/>
                <w:bCs w:val="1"/>
                <w:color w:val="auto"/>
                <w:w w:val="99"/>
              </w:rPr>
              <w:t>Investments</w:t>
            </w:r>
          </w:p>
        </w:tc>
        <w:tc>
          <w:tcPr>
            <w:tcW w:w="2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9"/>
              </w:rPr>
              <w:t>Investments</w:t>
            </w:r>
          </w:p>
        </w:tc>
        <w:tc>
          <w:tcPr>
            <w:tcW w:w="6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center"/>
              <w:ind w:right="55"/>
              <w:spacing w:after="0"/>
              <w:rPr>
                <w:sz w:val="20"/>
                <w:szCs w:val="20"/>
                <w:color w:val="auto"/>
              </w:rPr>
            </w:pPr>
            <w:r>
              <w:rPr>
                <w:rFonts w:ascii="Arial" w:cs="Arial" w:eastAsia="Arial" w:hAnsi="Arial"/>
                <w:sz w:val="12"/>
                <w:szCs w:val="12"/>
                <w:b w:val="1"/>
                <w:bCs w:val="1"/>
                <w:color w:val="auto"/>
                <w:w w:val="99"/>
              </w:rPr>
              <w:t>Investments</w:t>
            </w:r>
          </w:p>
        </w:tc>
        <w:tc>
          <w:tcPr>
            <w:tcW w:w="0" w:type="dxa"/>
            <w:vAlign w:val="bottom"/>
          </w:tcPr>
          <w:p>
            <w:pPr>
              <w:spacing w:after="0"/>
              <w:rPr>
                <w:sz w:val="1"/>
                <w:szCs w:val="1"/>
                <w:color w:val="auto"/>
              </w:rPr>
            </w:pPr>
          </w:p>
        </w:tc>
      </w:tr>
      <w:tr>
        <w:trPr>
          <w:trHeight w:val="134"/>
        </w:trPr>
        <w:tc>
          <w:tcPr>
            <w:tcW w:w="2620" w:type="dxa"/>
            <w:vAlign w:val="bottom"/>
          </w:tcPr>
          <w:p>
            <w:pPr>
              <w:spacing w:after="0" w:line="135" w:lineRule="exact"/>
              <w:rPr>
                <w:sz w:val="20"/>
                <w:szCs w:val="20"/>
                <w:color w:val="auto"/>
              </w:rPr>
            </w:pPr>
            <w:r>
              <w:rPr>
                <w:rFonts w:ascii="Arial" w:cs="Arial" w:eastAsia="Arial" w:hAnsi="Arial"/>
                <w:sz w:val="14"/>
                <w:szCs w:val="14"/>
                <w:color w:val="auto"/>
              </w:rPr>
              <w:t>Investments and other financial</w:t>
            </w: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vMerge w:val="restart"/>
          </w:tcPr>
          <w:p>
            <w:pPr>
              <w:jc w:val="right"/>
              <w:spacing w:after="0"/>
              <w:rPr>
                <w:sz w:val="20"/>
                <w:szCs w:val="20"/>
                <w:color w:val="auto"/>
              </w:rPr>
            </w:pPr>
            <w:r>
              <w:rPr>
                <w:rFonts w:ascii="Arial" w:cs="Arial" w:eastAsia="Arial" w:hAnsi="Arial"/>
                <w:sz w:val="14"/>
                <w:szCs w:val="14"/>
                <w:color w:val="auto"/>
              </w:rPr>
              <w:t>45,322</w:t>
            </w:r>
          </w:p>
        </w:tc>
        <w:tc>
          <w:tcPr>
            <w:tcW w:w="360" w:type="dxa"/>
            <w:vAlign w:val="bottom"/>
            <w:gridSpan w:val="3"/>
            <w:vMerge w:val="restart"/>
          </w:tcPr>
          <w:p>
            <w:pPr>
              <w:jc w:val="right"/>
              <w:ind w:right="20"/>
              <w:spacing w:after="0"/>
              <w:rPr>
                <w:sz w:val="20"/>
                <w:szCs w:val="20"/>
                <w:color w:val="auto"/>
              </w:rPr>
            </w:pPr>
            <w:r>
              <w:rPr>
                <w:rFonts w:ascii="Arial" w:cs="Arial" w:eastAsia="Arial" w:hAnsi="Arial"/>
                <w:sz w:val="14"/>
                <w:szCs w:val="14"/>
                <w:color w:val="auto"/>
              </w:rPr>
              <w:t>$</w:t>
            </w: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13,824</w:t>
            </w:r>
          </w:p>
        </w:tc>
        <w:tc>
          <w:tcPr>
            <w:tcW w:w="200" w:type="dxa"/>
            <w:vAlign w:val="bottom"/>
          </w:tcPr>
          <w:p>
            <w:pPr>
              <w:spacing w:after="0"/>
              <w:rPr>
                <w:sz w:val="11"/>
                <w:szCs w:val="11"/>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100" w:type="dxa"/>
            <w:vAlign w:val="bottom"/>
            <w:vMerge w:val="restart"/>
          </w:tcPr>
          <w:p>
            <w:pPr>
              <w:jc w:val="right"/>
              <w:spacing w:after="0"/>
              <w:rPr>
                <w:sz w:val="20"/>
                <w:szCs w:val="20"/>
                <w:color w:val="auto"/>
              </w:rPr>
            </w:pPr>
            <w:r>
              <w:rPr>
                <w:rFonts w:ascii="Arial" w:cs="Arial" w:eastAsia="Arial" w:hAnsi="Arial"/>
                <w:sz w:val="14"/>
                <w:szCs w:val="14"/>
                <w:color w:val="auto"/>
              </w:rPr>
              <w:t>54,580</w:t>
            </w:r>
          </w:p>
        </w:tc>
        <w:tc>
          <w:tcPr>
            <w:tcW w:w="360" w:type="dxa"/>
            <w:vAlign w:val="bottom"/>
            <w:gridSpan w:val="3"/>
            <w:vMerge w:val="restart"/>
          </w:tcPr>
          <w:p>
            <w:pPr>
              <w:jc w:val="right"/>
              <w:ind w:right="20"/>
              <w:spacing w:after="0"/>
              <w:rPr>
                <w:sz w:val="20"/>
                <w:szCs w:val="20"/>
                <w:color w:val="auto"/>
              </w:rPr>
            </w:pPr>
            <w:r>
              <w:rPr>
                <w:rFonts w:ascii="Arial" w:cs="Arial" w:eastAsia="Arial" w:hAnsi="Arial"/>
                <w:sz w:val="14"/>
                <w:szCs w:val="14"/>
                <w:color w:val="auto"/>
              </w:rPr>
              <w:t>$</w:t>
            </w: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131,725</w:t>
            </w:r>
          </w:p>
        </w:tc>
        <w:tc>
          <w:tcPr>
            <w:tcW w:w="220" w:type="dxa"/>
            <w:vAlign w:val="bottom"/>
          </w:tcPr>
          <w:p>
            <w:pPr>
              <w:spacing w:after="0"/>
              <w:rPr>
                <w:sz w:val="11"/>
                <w:szCs w:val="11"/>
                <w:color w:val="auto"/>
              </w:rPr>
            </w:pP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vMerge w:val="restart"/>
          </w:tcPr>
          <w:p>
            <w:pPr>
              <w:jc w:val="right"/>
              <w:spacing w:after="0"/>
              <w:rPr>
                <w:sz w:val="20"/>
                <w:szCs w:val="20"/>
                <w:color w:val="auto"/>
              </w:rPr>
            </w:pPr>
            <w:r>
              <w:rPr>
                <w:rFonts w:ascii="Arial" w:cs="Arial" w:eastAsia="Arial" w:hAnsi="Arial"/>
                <w:sz w:val="14"/>
                <w:szCs w:val="14"/>
                <w:color w:val="auto"/>
              </w:rPr>
              <w:t>63,213</w:t>
            </w:r>
          </w:p>
        </w:tc>
        <w:tc>
          <w:tcPr>
            <w:tcW w:w="380" w:type="dxa"/>
            <w:vAlign w:val="bottom"/>
            <w:gridSpan w:val="3"/>
            <w:vMerge w:val="restart"/>
          </w:tcPr>
          <w:p>
            <w:pPr>
              <w:jc w:val="right"/>
              <w:ind w:right="20"/>
              <w:spacing w:after="0"/>
              <w:rPr>
                <w:sz w:val="20"/>
                <w:szCs w:val="20"/>
                <w:color w:val="auto"/>
              </w:rPr>
            </w:pPr>
            <w:r>
              <w:rPr>
                <w:rFonts w:ascii="Arial" w:cs="Arial" w:eastAsia="Arial" w:hAnsi="Arial"/>
                <w:sz w:val="14"/>
                <w:szCs w:val="14"/>
                <w:color w:val="auto"/>
              </w:rPr>
              <w:t>$</w:t>
            </w: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27,890</w:t>
            </w:r>
          </w:p>
        </w:tc>
        <w:tc>
          <w:tcPr>
            <w:tcW w:w="0" w:type="dxa"/>
            <w:vAlign w:val="bottom"/>
          </w:tcPr>
          <w:p>
            <w:pPr>
              <w:spacing w:after="0"/>
              <w:rPr>
                <w:sz w:val="1"/>
                <w:szCs w:val="1"/>
                <w:color w:val="auto"/>
              </w:rPr>
            </w:pPr>
          </w:p>
        </w:tc>
      </w:tr>
      <w:tr>
        <w:trPr>
          <w:trHeight w:val="176"/>
        </w:trPr>
        <w:tc>
          <w:tcPr>
            <w:tcW w:w="2620" w:type="dxa"/>
            <w:vAlign w:val="bottom"/>
          </w:tcPr>
          <w:p>
            <w:pPr>
              <w:ind w:left="160"/>
              <w:spacing w:after="0"/>
              <w:rPr>
                <w:sz w:val="20"/>
                <w:szCs w:val="20"/>
                <w:color w:val="auto"/>
              </w:rPr>
            </w:pPr>
            <w:r>
              <w:rPr>
                <w:rFonts w:ascii="Arial" w:cs="Arial" w:eastAsia="Arial" w:hAnsi="Arial"/>
                <w:sz w:val="14"/>
                <w:szCs w:val="14"/>
                <w:color w:val="auto"/>
              </w:rPr>
              <w:t>instruments</w:t>
            </w:r>
          </w:p>
        </w:tc>
        <w:tc>
          <w:tcPr>
            <w:tcW w:w="100" w:type="dxa"/>
            <w:vAlign w:val="bottom"/>
            <w:vMerge w:val="continue"/>
          </w:tcPr>
          <w:p>
            <w:pPr>
              <w:spacing w:after="0"/>
              <w:rPr>
                <w:sz w:val="15"/>
                <w:szCs w:val="15"/>
                <w:color w:val="auto"/>
              </w:rPr>
            </w:pPr>
          </w:p>
        </w:tc>
        <w:tc>
          <w:tcPr>
            <w:tcW w:w="1100" w:type="dxa"/>
            <w:vAlign w:val="bottom"/>
            <w:vMerge w:val="continue"/>
          </w:tcPr>
          <w:p>
            <w:pPr>
              <w:spacing w:after="0"/>
              <w:rPr>
                <w:sz w:val="15"/>
                <w:szCs w:val="15"/>
                <w:color w:val="auto"/>
              </w:rPr>
            </w:pPr>
          </w:p>
        </w:tc>
        <w:tc>
          <w:tcPr>
            <w:tcW w:w="360" w:type="dxa"/>
            <w:vAlign w:val="bottom"/>
            <w:gridSpan w:val="3"/>
            <w:vMerge w:val="continue"/>
          </w:tcPr>
          <w:p>
            <w:pPr>
              <w:spacing w:after="0"/>
              <w:rPr>
                <w:sz w:val="15"/>
                <w:szCs w:val="15"/>
                <w:color w:val="auto"/>
              </w:rPr>
            </w:pPr>
          </w:p>
        </w:tc>
        <w:tc>
          <w:tcPr>
            <w:tcW w:w="114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vMerge w:val="continue"/>
          </w:tcPr>
          <w:p>
            <w:pPr>
              <w:spacing w:after="0"/>
              <w:rPr>
                <w:sz w:val="15"/>
                <w:szCs w:val="15"/>
                <w:color w:val="auto"/>
              </w:rPr>
            </w:pPr>
          </w:p>
        </w:tc>
        <w:tc>
          <w:tcPr>
            <w:tcW w:w="1100" w:type="dxa"/>
            <w:vAlign w:val="bottom"/>
            <w:vMerge w:val="continue"/>
          </w:tcPr>
          <w:p>
            <w:pPr>
              <w:spacing w:after="0"/>
              <w:rPr>
                <w:sz w:val="15"/>
                <w:szCs w:val="15"/>
                <w:color w:val="auto"/>
              </w:rPr>
            </w:pPr>
          </w:p>
        </w:tc>
        <w:tc>
          <w:tcPr>
            <w:tcW w:w="360" w:type="dxa"/>
            <w:vAlign w:val="bottom"/>
            <w:gridSpan w:val="3"/>
            <w:vMerge w:val="continue"/>
          </w:tcPr>
          <w:p>
            <w:pPr>
              <w:spacing w:after="0"/>
              <w:rPr>
                <w:sz w:val="15"/>
                <w:szCs w:val="15"/>
                <w:color w:val="auto"/>
              </w:rPr>
            </w:pPr>
          </w:p>
        </w:tc>
        <w:tc>
          <w:tcPr>
            <w:tcW w:w="114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vMerge w:val="continue"/>
          </w:tcPr>
          <w:p>
            <w:pPr>
              <w:spacing w:after="0"/>
              <w:rPr>
                <w:sz w:val="15"/>
                <w:szCs w:val="15"/>
                <w:color w:val="auto"/>
              </w:rPr>
            </w:pPr>
          </w:p>
        </w:tc>
        <w:tc>
          <w:tcPr>
            <w:tcW w:w="1100" w:type="dxa"/>
            <w:vAlign w:val="bottom"/>
            <w:vMerge w:val="continue"/>
          </w:tcPr>
          <w:p>
            <w:pPr>
              <w:spacing w:after="0"/>
              <w:rPr>
                <w:sz w:val="15"/>
                <w:szCs w:val="15"/>
                <w:color w:val="auto"/>
              </w:rPr>
            </w:pPr>
          </w:p>
        </w:tc>
        <w:tc>
          <w:tcPr>
            <w:tcW w:w="380" w:type="dxa"/>
            <w:vAlign w:val="bottom"/>
            <w:gridSpan w:val="3"/>
            <w:vMerge w:val="continue"/>
          </w:tcPr>
          <w:p>
            <w:pPr>
              <w:spacing w:after="0"/>
              <w:rPr>
                <w:sz w:val="15"/>
                <w:szCs w:val="15"/>
                <w:color w:val="auto"/>
              </w:rPr>
            </w:pPr>
          </w:p>
        </w:tc>
        <w:tc>
          <w:tcPr>
            <w:tcW w:w="11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620" w:type="dxa"/>
            <w:vAlign w:val="bottom"/>
          </w:tcPr>
          <w:p>
            <w:pPr>
              <w:spacing w:after="0" w:line="194" w:lineRule="exact"/>
              <w:rPr>
                <w:sz w:val="20"/>
                <w:szCs w:val="20"/>
                <w:color w:val="auto"/>
              </w:rPr>
            </w:pPr>
            <w:r>
              <w:rPr>
                <w:rFonts w:ascii="Arial" w:cs="Arial" w:eastAsia="Arial" w:hAnsi="Arial"/>
                <w:sz w:val="14"/>
                <w:szCs w:val="14"/>
                <w:color w:val="auto"/>
              </w:rPr>
              <w:t xml:space="preserve">CLO liabilities </w:t>
            </w:r>
            <w:r>
              <w:rPr>
                <w:rFonts w:ascii="Arial" w:cs="Arial" w:eastAsia="Arial" w:hAnsi="Arial"/>
                <w:sz w:val="17"/>
                <w:szCs w:val="17"/>
                <w:color w:val="auto"/>
                <w:vertAlign w:val="superscript"/>
              </w:rPr>
              <w:t>(1)</w:t>
            </w:r>
          </w:p>
        </w:tc>
        <w:tc>
          <w:tcPr>
            <w:tcW w:w="1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185</w:t>
            </w: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1,597</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3"/>
        </w:trPr>
        <w:tc>
          <w:tcPr>
            <w:tcW w:w="2620" w:type="dxa"/>
            <w:vAlign w:val="bottom"/>
          </w:tcPr>
          <w:p>
            <w:pPr>
              <w:spacing w:after="0" w:line="194" w:lineRule="exact"/>
              <w:rPr>
                <w:sz w:val="20"/>
                <w:szCs w:val="20"/>
                <w:color w:val="auto"/>
              </w:rPr>
            </w:pPr>
            <w:r>
              <w:rPr>
                <w:rFonts w:ascii="Arial" w:cs="Arial" w:eastAsia="Arial" w:hAnsi="Arial"/>
                <w:sz w:val="14"/>
                <w:szCs w:val="14"/>
                <w:color w:val="auto"/>
              </w:rPr>
              <w:t xml:space="preserve">Foreign-currency forward contracts </w:t>
            </w:r>
            <w:r>
              <w:rPr>
                <w:rFonts w:ascii="Arial" w:cs="Arial" w:eastAsia="Arial" w:hAnsi="Arial"/>
                <w:sz w:val="17"/>
                <w:szCs w:val="17"/>
                <w:color w:val="auto"/>
                <w:vertAlign w:val="superscript"/>
              </w:rPr>
              <w:t>(2)</w:t>
            </w:r>
          </w:p>
        </w:tc>
        <w:tc>
          <w:tcPr>
            <w:tcW w:w="1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2,481</w:t>
            </w: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(48,297)</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337</w:t>
            </w: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28,193</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898</w:t>
            </w: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(14,909)</w:t>
            </w:r>
          </w:p>
        </w:tc>
        <w:tc>
          <w:tcPr>
            <w:tcW w:w="0" w:type="dxa"/>
            <w:vAlign w:val="bottom"/>
          </w:tcPr>
          <w:p>
            <w:pPr>
              <w:spacing w:after="0"/>
              <w:rPr>
                <w:sz w:val="1"/>
                <w:szCs w:val="1"/>
                <w:color w:val="auto"/>
              </w:rPr>
            </w:pPr>
          </w:p>
        </w:tc>
      </w:tr>
      <w:tr>
        <w:trPr>
          <w:trHeight w:val="193"/>
        </w:trPr>
        <w:tc>
          <w:tcPr>
            <w:tcW w:w="2620" w:type="dxa"/>
            <w:vAlign w:val="bottom"/>
          </w:tcPr>
          <w:p>
            <w:pPr>
              <w:spacing w:after="0" w:line="194" w:lineRule="exact"/>
              <w:rPr>
                <w:sz w:val="20"/>
                <w:szCs w:val="20"/>
                <w:color w:val="auto"/>
              </w:rPr>
            </w:pPr>
            <w:r>
              <w:rPr>
                <w:rFonts w:ascii="Arial" w:cs="Arial" w:eastAsia="Arial" w:hAnsi="Arial"/>
                <w:sz w:val="14"/>
                <w:szCs w:val="14"/>
                <w:color w:val="auto"/>
              </w:rPr>
              <w:t xml:space="preserve">Total-return and interest-rate swaps </w:t>
            </w:r>
            <w:r>
              <w:rPr>
                <w:rFonts w:ascii="Arial" w:cs="Arial" w:eastAsia="Arial" w:hAnsi="Arial"/>
                <w:sz w:val="17"/>
                <w:szCs w:val="17"/>
                <w:color w:val="auto"/>
                <w:vertAlign w:val="superscript"/>
              </w:rPr>
              <w:t>(2)</w:t>
            </w:r>
          </w:p>
        </w:tc>
        <w:tc>
          <w:tcPr>
            <w:tcW w:w="1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403</w:t>
            </w: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811</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613</w:t>
            </w: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(19)</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gridSpan w:val="2"/>
          </w:tcPr>
          <w:p>
            <w:pPr>
              <w:jc w:val="right"/>
              <w:spacing w:after="0"/>
              <w:rPr>
                <w:sz w:val="20"/>
                <w:szCs w:val="20"/>
                <w:color w:val="auto"/>
              </w:rPr>
            </w:pPr>
            <w:r>
              <w:rPr>
                <w:rFonts w:ascii="Arial" w:cs="Arial" w:eastAsia="Arial" w:hAnsi="Arial"/>
                <w:sz w:val="14"/>
                <w:szCs w:val="14"/>
                <w:color w:val="auto"/>
              </w:rPr>
              <w:t>(235)</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328</w:t>
            </w:r>
          </w:p>
        </w:tc>
        <w:tc>
          <w:tcPr>
            <w:tcW w:w="0" w:type="dxa"/>
            <w:vAlign w:val="bottom"/>
          </w:tcPr>
          <w:p>
            <w:pPr>
              <w:spacing w:after="0"/>
              <w:rPr>
                <w:sz w:val="1"/>
                <w:szCs w:val="1"/>
                <w:color w:val="auto"/>
              </w:rPr>
            </w:pPr>
          </w:p>
        </w:tc>
      </w:tr>
      <w:tr>
        <w:trPr>
          <w:trHeight w:val="193"/>
        </w:trPr>
        <w:tc>
          <w:tcPr>
            <w:tcW w:w="2620" w:type="dxa"/>
            <w:vAlign w:val="bottom"/>
          </w:tcPr>
          <w:p>
            <w:pPr>
              <w:spacing w:after="0" w:line="194" w:lineRule="exact"/>
              <w:rPr>
                <w:sz w:val="20"/>
                <w:szCs w:val="20"/>
                <w:color w:val="auto"/>
              </w:rPr>
            </w:pPr>
            <w:r>
              <w:rPr>
                <w:rFonts w:ascii="Arial" w:cs="Arial" w:eastAsia="Arial" w:hAnsi="Arial"/>
                <w:sz w:val="14"/>
                <w:szCs w:val="14"/>
                <w:color w:val="auto"/>
              </w:rPr>
              <w:t xml:space="preserve">Options and futures </w:t>
            </w:r>
            <w:r>
              <w:rPr>
                <w:rFonts w:ascii="Arial" w:cs="Arial" w:eastAsia="Arial" w:hAnsi="Arial"/>
                <w:sz w:val="17"/>
                <w:szCs w:val="17"/>
                <w:color w:val="auto"/>
                <w:vertAlign w:val="superscript"/>
              </w:rPr>
              <w:t>(2)</w:t>
            </w:r>
          </w:p>
        </w:tc>
        <w:tc>
          <w:tcPr>
            <w:tcW w:w="1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2,187</w:t>
            </w: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2,207</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1,440</w:t>
            </w: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(2,176)</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4,382</w:t>
            </w: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(569)</w:t>
            </w:r>
          </w:p>
        </w:tc>
        <w:tc>
          <w:tcPr>
            <w:tcW w:w="0" w:type="dxa"/>
            <w:vAlign w:val="bottom"/>
          </w:tcPr>
          <w:p>
            <w:pPr>
              <w:spacing w:after="0"/>
              <w:rPr>
                <w:sz w:val="1"/>
                <w:szCs w:val="1"/>
                <w:color w:val="auto"/>
              </w:rPr>
            </w:pPr>
          </w:p>
        </w:tc>
      </w:tr>
      <w:tr>
        <w:trPr>
          <w:trHeight w:val="192"/>
        </w:trPr>
        <w:tc>
          <w:tcPr>
            <w:tcW w:w="2620" w:type="dxa"/>
            <w:vAlign w:val="bottom"/>
          </w:tcPr>
          <w:p>
            <w:pPr>
              <w:spacing w:after="0" w:line="192" w:lineRule="exact"/>
              <w:rPr>
                <w:sz w:val="20"/>
                <w:szCs w:val="20"/>
                <w:color w:val="auto"/>
              </w:rPr>
            </w:pPr>
            <w:r>
              <w:rPr>
                <w:rFonts w:ascii="Arial" w:cs="Arial" w:eastAsia="Arial" w:hAnsi="Arial"/>
                <w:sz w:val="14"/>
                <w:szCs w:val="14"/>
                <w:color w:val="auto"/>
              </w:rPr>
              <w:t xml:space="preserve">Commodity swaps </w:t>
            </w:r>
            <w:r>
              <w:rPr>
                <w:rFonts w:ascii="Arial" w:cs="Arial" w:eastAsia="Arial" w:hAnsi="Arial"/>
                <w:sz w:val="17"/>
                <w:szCs w:val="17"/>
                <w:color w:val="auto"/>
                <w:vertAlign w:val="superscript"/>
              </w:rPr>
              <w:t>(2)</w:t>
            </w:r>
          </w:p>
        </w:tc>
        <w:tc>
          <w:tcPr>
            <w:tcW w:w="1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1,882</w:t>
            </w:r>
          </w:p>
        </w:tc>
        <w:tc>
          <w:tcPr>
            <w:tcW w:w="4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8,489</w:t>
            </w:r>
          </w:p>
        </w:tc>
        <w:tc>
          <w:tcPr>
            <w:tcW w:w="4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(8,654)</w:t>
            </w:r>
          </w:p>
        </w:tc>
        <w:tc>
          <w:tcPr>
            <w:tcW w:w="2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11,162</w:t>
            </w:r>
          </w:p>
        </w:tc>
        <w:tc>
          <w:tcPr>
            <w:tcW w:w="6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16,324</w:t>
            </w:r>
          </w:p>
        </w:tc>
        <w:tc>
          <w:tcPr>
            <w:tcW w:w="0" w:type="dxa"/>
            <w:vAlign w:val="bottom"/>
          </w:tcPr>
          <w:p>
            <w:pPr>
              <w:spacing w:after="0"/>
              <w:rPr>
                <w:sz w:val="1"/>
                <w:szCs w:val="1"/>
                <w:color w:val="auto"/>
              </w:rPr>
            </w:pPr>
          </w:p>
        </w:tc>
      </w:tr>
      <w:tr>
        <w:trPr>
          <w:trHeight w:val="186"/>
        </w:trPr>
        <w:tc>
          <w:tcPr>
            <w:tcW w:w="2620" w:type="dxa"/>
            <w:vAlign w:val="bottom"/>
          </w:tcPr>
          <w:p>
            <w:pPr>
              <w:ind w:left="300"/>
              <w:spacing w:after="0"/>
              <w:rPr>
                <w:sz w:val="20"/>
                <w:szCs w:val="20"/>
                <w:color w:val="auto"/>
              </w:rPr>
            </w:pPr>
            <w:r>
              <w:rPr>
                <w:rFonts w:ascii="Arial" w:cs="Arial" w:eastAsia="Arial" w:hAnsi="Arial"/>
                <w:sz w:val="14"/>
                <w:szCs w:val="14"/>
                <w:color w:val="auto"/>
              </w:rPr>
              <w:t>Total</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52,275</w:t>
            </w:r>
          </w:p>
        </w:tc>
        <w:tc>
          <w:tcPr>
            <w:tcW w:w="360" w:type="dxa"/>
            <w:vAlign w:val="bottom"/>
            <w:gridSpan w:val="3"/>
          </w:tcPr>
          <w:p>
            <w:pPr>
              <w:jc w:val="right"/>
              <w:ind w:right="20"/>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(31,455)</w:t>
            </w:r>
          </w:p>
        </w:tc>
        <w:tc>
          <w:tcPr>
            <w:tcW w:w="2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65,644</w:t>
            </w:r>
          </w:p>
        </w:tc>
        <w:tc>
          <w:tcPr>
            <w:tcW w:w="360" w:type="dxa"/>
            <w:vAlign w:val="bottom"/>
            <w:gridSpan w:val="3"/>
          </w:tcPr>
          <w:p>
            <w:pPr>
              <w:jc w:val="right"/>
              <w:ind w:right="20"/>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150,666</w:t>
            </w:r>
          </w:p>
        </w:tc>
        <w:tc>
          <w:tcPr>
            <w:tcW w:w="22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79,420</w:t>
            </w:r>
          </w:p>
        </w:tc>
        <w:tc>
          <w:tcPr>
            <w:tcW w:w="380" w:type="dxa"/>
            <w:vAlign w:val="bottom"/>
            <w:gridSpan w:val="3"/>
          </w:tcPr>
          <w:p>
            <w:pPr>
              <w:jc w:val="right"/>
              <w:ind w:right="20"/>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29,064</w:t>
            </w:r>
          </w:p>
        </w:tc>
        <w:tc>
          <w:tcPr>
            <w:tcW w:w="0" w:type="dxa"/>
            <w:vAlign w:val="bottom"/>
          </w:tcPr>
          <w:p>
            <w:pPr>
              <w:spacing w:after="0"/>
              <w:rPr>
                <w:sz w:val="1"/>
                <w:szCs w:val="1"/>
                <w:color w:val="auto"/>
              </w:rPr>
            </w:pPr>
          </w:p>
        </w:tc>
      </w:tr>
      <w:tr>
        <w:trPr>
          <w:trHeight w:val="20"/>
        </w:trPr>
        <w:tc>
          <w:tcPr>
            <w:tcW w:w="2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204470</wp:posOffset>
            </wp:positionV>
            <wp:extent cx="38481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84810" cy="8255"/>
                    </a:xfrm>
                    <a:prstGeom prst="rect">
                      <a:avLst/>
                    </a:prstGeom>
                    <a:noFill/>
                  </pic:spPr>
                </pic:pic>
              </a:graphicData>
            </a:graphic>
          </wp:anchor>
        </w:drawing>
      </w:r>
    </w:p>
    <w:p>
      <w:pPr>
        <w:spacing w:after="0" w:line="200" w:lineRule="exact"/>
        <w:rPr>
          <w:sz w:val="20"/>
          <w:szCs w:val="20"/>
          <w:color w:val="auto"/>
        </w:rPr>
      </w:pPr>
    </w:p>
    <w:p>
      <w:pPr>
        <w:spacing w:after="0" w:line="224" w:lineRule="exact"/>
        <w:rPr>
          <w:sz w:val="20"/>
          <w:szCs w:val="20"/>
          <w:color w:val="auto"/>
        </w:rPr>
      </w:pPr>
    </w:p>
    <w:p>
      <w:pPr>
        <w:ind w:left="420" w:right="320" w:hanging="378"/>
        <w:spacing w:after="0" w:line="268" w:lineRule="auto"/>
        <w:tabs>
          <w:tab w:leader="none" w:pos="354" w:val="left"/>
        </w:tabs>
        <w:numPr>
          <w:ilvl w:val="1"/>
          <w:numId w:val="34"/>
        </w:numPr>
        <w:rPr>
          <w:rFonts w:ascii="Arial" w:cs="Arial" w:eastAsia="Arial" w:hAnsi="Arial"/>
          <w:sz w:val="13"/>
          <w:szCs w:val="13"/>
          <w:color w:val="auto"/>
        </w:rPr>
      </w:pPr>
      <w:r>
        <w:rPr>
          <w:rFonts w:ascii="Arial" w:cs="Arial" w:eastAsia="Arial" w:hAnsi="Arial"/>
          <w:sz w:val="13"/>
          <w:szCs w:val="13"/>
          <w:color w:val="auto"/>
        </w:rPr>
        <w:t>Represents the net change in the fair value of CLO liabilities based on the more observable fair value of CLO assets, as measured under the CLO measurement guidance. Subsequent to the 2024 Restructuring and deconsolidation of Oaktree Capital I, the Company no longer holds investments in CLOs. Please see note 2 for more information.</w:t>
      </w:r>
    </w:p>
    <w:p>
      <w:pPr>
        <w:ind w:left="300" w:hanging="297"/>
        <w:spacing w:after="0"/>
        <w:tabs>
          <w:tab w:leader="none" w:pos="300" w:val="left"/>
        </w:tabs>
        <w:numPr>
          <w:ilvl w:val="0"/>
          <w:numId w:val="35"/>
        </w:numPr>
        <w:rPr>
          <w:rFonts w:ascii="Arial" w:cs="Arial" w:eastAsia="Arial" w:hAnsi="Arial"/>
          <w:sz w:val="14"/>
          <w:szCs w:val="14"/>
          <w:color w:val="auto"/>
        </w:rPr>
      </w:pPr>
      <w:r>
        <w:rPr>
          <w:rFonts w:ascii="Arial" w:cs="Arial" w:eastAsia="Arial" w:hAnsi="Arial"/>
          <w:sz w:val="14"/>
          <w:szCs w:val="14"/>
          <w:color w:val="auto"/>
        </w:rPr>
        <w:t>Please see note 7 for additional information.</w:t>
      </w:r>
    </w:p>
    <w:p>
      <w:pPr>
        <w:spacing w:after="0" w:line="200" w:lineRule="exact"/>
        <w:rPr>
          <w:sz w:val="20"/>
          <w:szCs w:val="20"/>
          <w:color w:val="auto"/>
        </w:rPr>
      </w:pPr>
    </w:p>
    <w:p>
      <w:pPr>
        <w:spacing w:after="0" w:line="36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90" w:name="page91"/>
    <w:bookmarkEnd w:id="90"/>
    <w:p>
      <w:pPr>
        <w:jc w:val="center"/>
        <w:spacing w:after="0"/>
        <w:rPr>
          <w:sz w:val="20"/>
          <w:szCs w:val="20"/>
          <w:color w:val="auto"/>
        </w:rPr>
      </w:pPr>
      <w:r>
        <w:rPr>
          <w:rFonts w:ascii="Arial" w:cs="Arial" w:eastAsia="Arial" w:hAnsi="Arial"/>
          <w:sz w:val="17"/>
          <w:szCs w:val="17"/>
          <w:b w:val="1"/>
          <w:bCs w:val="1"/>
          <w:color w:val="auto"/>
        </w:rPr>
        <w:t>Brookfield Oaktree Holdings, LLC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 (Continued)</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December 31, 2025</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 in thousands, except where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6. FAIR VALUE</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Fair Value of Financial Assets and Liabilities</w:t>
      </w:r>
    </w:p>
    <w:p>
      <w:pPr>
        <w:spacing w:after="0" w:line="90" w:lineRule="exact"/>
        <w:rPr>
          <w:sz w:val="20"/>
          <w:szCs w:val="20"/>
          <w:color w:val="auto"/>
        </w:rPr>
      </w:pPr>
    </w:p>
    <w:p>
      <w:pPr>
        <w:ind w:right="720" w:firstLine="619"/>
        <w:spacing w:after="0" w:line="290" w:lineRule="auto"/>
        <w:rPr>
          <w:sz w:val="20"/>
          <w:szCs w:val="20"/>
          <w:color w:val="auto"/>
        </w:rPr>
      </w:pPr>
      <w:r>
        <w:rPr>
          <w:rFonts w:ascii="Arial" w:cs="Arial" w:eastAsia="Arial" w:hAnsi="Arial"/>
          <w:sz w:val="17"/>
          <w:szCs w:val="17"/>
          <w:color w:val="auto"/>
        </w:rPr>
        <w:t>The Company’s other financial assets by fair-value hierarchy level are set forth below. There were no other financial liabilities as of December 31, 2025 and 2024.</w:t>
      </w:r>
    </w:p>
    <w:p>
      <w:pPr>
        <w:spacing w:after="0" w:line="146" w:lineRule="exact"/>
        <w:rPr>
          <w:sz w:val="20"/>
          <w:szCs w:val="20"/>
          <w:color w:val="auto"/>
        </w:rPr>
      </w:pPr>
    </w:p>
    <w:tbl>
      <w:tblPr>
        <w:tblLayout w:type="fixed"/>
        <w:tblInd w:w="20" w:type="dxa"/>
        <w:tblCellMar>
          <w:top w:w="0" w:type="dxa"/>
          <w:left w:w="0" w:type="dxa"/>
          <w:bottom w:w="0" w:type="dxa"/>
          <w:right w:w="0" w:type="dxa"/>
        </w:tblCellMar>
      </w:tblPr>
      <w:tr>
        <w:trPr>
          <w:trHeight w:val="169"/>
        </w:trPr>
        <w:tc>
          <w:tcPr>
            <w:tcW w:w="46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3"/>
          </w:tcPr>
          <w:p>
            <w:pPr>
              <w:jc w:val="right"/>
              <w:ind w:right="14"/>
              <w:spacing w:after="0"/>
              <w:rPr>
                <w:sz w:val="20"/>
                <w:szCs w:val="20"/>
                <w:color w:val="auto"/>
              </w:rPr>
            </w:pPr>
            <w:r>
              <w:rPr>
                <w:rFonts w:ascii="Arial" w:cs="Arial" w:eastAsia="Arial" w:hAnsi="Arial"/>
                <w:sz w:val="12"/>
                <w:szCs w:val="12"/>
                <w:b w:val="1"/>
                <w:bCs w:val="1"/>
                <w:color w:val="auto"/>
              </w:rPr>
              <w:t>As of December 31, 2025</w:t>
            </w:r>
          </w:p>
        </w:tc>
        <w:tc>
          <w:tcPr>
            <w:tcW w:w="2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3"/>
          </w:tcPr>
          <w:p>
            <w:pPr>
              <w:jc w:val="right"/>
              <w:ind w:right="14"/>
              <w:spacing w:after="0"/>
              <w:rPr>
                <w:sz w:val="20"/>
                <w:szCs w:val="20"/>
                <w:color w:val="auto"/>
              </w:rPr>
            </w:pPr>
            <w:r>
              <w:rPr>
                <w:rFonts w:ascii="Arial" w:cs="Arial" w:eastAsia="Arial" w:hAnsi="Arial"/>
                <w:sz w:val="12"/>
                <w:szCs w:val="12"/>
                <w:b w:val="1"/>
                <w:bCs w:val="1"/>
                <w:color w:val="auto"/>
              </w:rPr>
              <w:t>As of December 31, 2024</w:t>
            </w:r>
          </w:p>
        </w:tc>
        <w:tc>
          <w:tcPr>
            <w:tcW w:w="2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r>
      <w:tr>
        <w:trPr>
          <w:trHeight w:val="162"/>
        </w:trPr>
        <w:tc>
          <w:tcPr>
            <w:tcW w:w="46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2"/>
                <w:szCs w:val="12"/>
                <w:b w:val="1"/>
                <w:bCs w:val="1"/>
                <w:color w:val="auto"/>
              </w:rPr>
              <w:t>Level I</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gridSpan w:val="2"/>
          </w:tcPr>
          <w:p>
            <w:pPr>
              <w:ind w:left="80"/>
              <w:spacing w:after="0"/>
              <w:rPr>
                <w:sz w:val="20"/>
                <w:szCs w:val="20"/>
                <w:color w:val="auto"/>
              </w:rPr>
            </w:pPr>
            <w:r>
              <w:rPr>
                <w:rFonts w:ascii="Arial" w:cs="Arial" w:eastAsia="Arial" w:hAnsi="Arial"/>
                <w:sz w:val="12"/>
                <w:szCs w:val="12"/>
                <w:b w:val="1"/>
                <w:bCs w:val="1"/>
                <w:color w:val="auto"/>
              </w:rPr>
              <w:t>Level II</w:t>
            </w:r>
          </w:p>
        </w:tc>
        <w:tc>
          <w:tcPr>
            <w:tcW w:w="720" w:type="dxa"/>
            <w:vAlign w:val="bottom"/>
          </w:tcPr>
          <w:p>
            <w:pPr>
              <w:jc w:val="right"/>
              <w:spacing w:after="0"/>
              <w:rPr>
                <w:sz w:val="20"/>
                <w:szCs w:val="20"/>
                <w:color w:val="auto"/>
              </w:rPr>
            </w:pPr>
            <w:r>
              <w:rPr>
                <w:rFonts w:ascii="Arial" w:cs="Arial" w:eastAsia="Arial" w:hAnsi="Arial"/>
                <w:sz w:val="12"/>
                <w:szCs w:val="12"/>
                <w:b w:val="1"/>
                <w:bCs w:val="1"/>
                <w:color w:val="auto"/>
              </w:rPr>
              <w:t>Level III</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jc w:val="right"/>
              <w:ind w:right="274"/>
              <w:spacing w:after="0"/>
              <w:rPr>
                <w:sz w:val="20"/>
                <w:szCs w:val="20"/>
                <w:color w:val="auto"/>
              </w:rPr>
            </w:pPr>
            <w:r>
              <w:rPr>
                <w:rFonts w:ascii="Arial" w:cs="Arial" w:eastAsia="Arial" w:hAnsi="Arial"/>
                <w:sz w:val="12"/>
                <w:szCs w:val="12"/>
                <w:b w:val="1"/>
                <w:bCs w:val="1"/>
                <w:color w:val="auto"/>
              </w:rPr>
              <w:t>Total</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gridSpan w:val="2"/>
          </w:tcPr>
          <w:p>
            <w:pPr>
              <w:ind w:left="100"/>
              <w:spacing w:after="0"/>
              <w:rPr>
                <w:sz w:val="20"/>
                <w:szCs w:val="20"/>
                <w:color w:val="auto"/>
              </w:rPr>
            </w:pPr>
            <w:r>
              <w:rPr>
                <w:rFonts w:ascii="Arial" w:cs="Arial" w:eastAsia="Arial" w:hAnsi="Arial"/>
                <w:sz w:val="12"/>
                <w:szCs w:val="12"/>
                <w:b w:val="1"/>
                <w:bCs w:val="1"/>
                <w:color w:val="auto"/>
              </w:rPr>
              <w:t>Level I</w:t>
            </w:r>
          </w:p>
        </w:tc>
        <w:tc>
          <w:tcPr>
            <w:tcW w:w="180" w:type="dxa"/>
            <w:vAlign w:val="bottom"/>
          </w:tcPr>
          <w:p>
            <w:pPr>
              <w:spacing w:after="0"/>
              <w:rPr>
                <w:sz w:val="14"/>
                <w:szCs w:val="14"/>
                <w:color w:val="auto"/>
              </w:rPr>
            </w:pPr>
          </w:p>
        </w:tc>
        <w:tc>
          <w:tcPr>
            <w:tcW w:w="920" w:type="dxa"/>
            <w:vAlign w:val="bottom"/>
            <w:gridSpan w:val="2"/>
          </w:tcPr>
          <w:p>
            <w:pPr>
              <w:ind w:left="100"/>
              <w:spacing w:after="0"/>
              <w:rPr>
                <w:sz w:val="20"/>
                <w:szCs w:val="20"/>
                <w:color w:val="auto"/>
              </w:rPr>
            </w:pPr>
            <w:r>
              <w:rPr>
                <w:rFonts w:ascii="Arial" w:cs="Arial" w:eastAsia="Arial" w:hAnsi="Arial"/>
                <w:sz w:val="12"/>
                <w:szCs w:val="12"/>
                <w:b w:val="1"/>
                <w:bCs w:val="1"/>
                <w:color w:val="auto"/>
              </w:rPr>
              <w:t>Level II</w:t>
            </w:r>
          </w:p>
        </w:tc>
        <w:tc>
          <w:tcPr>
            <w:tcW w:w="720" w:type="dxa"/>
            <w:vAlign w:val="bottom"/>
          </w:tcPr>
          <w:p>
            <w:pPr>
              <w:jc w:val="right"/>
              <w:spacing w:after="0"/>
              <w:rPr>
                <w:sz w:val="20"/>
                <w:szCs w:val="20"/>
                <w:color w:val="auto"/>
              </w:rPr>
            </w:pPr>
            <w:r>
              <w:rPr>
                <w:rFonts w:ascii="Arial" w:cs="Arial" w:eastAsia="Arial" w:hAnsi="Arial"/>
                <w:sz w:val="12"/>
                <w:szCs w:val="12"/>
                <w:b w:val="1"/>
                <w:bCs w:val="1"/>
                <w:color w:val="auto"/>
              </w:rPr>
              <w:t>Level III</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jc w:val="right"/>
              <w:ind w:right="274"/>
              <w:spacing w:after="0"/>
              <w:rPr>
                <w:sz w:val="20"/>
                <w:szCs w:val="20"/>
                <w:color w:val="auto"/>
              </w:rPr>
            </w:pPr>
            <w:r>
              <w:rPr>
                <w:rFonts w:ascii="Arial" w:cs="Arial" w:eastAsia="Arial" w:hAnsi="Arial"/>
                <w:sz w:val="12"/>
                <w:szCs w:val="12"/>
                <w:b w:val="1"/>
                <w:bCs w:val="1"/>
                <w:color w:val="auto"/>
              </w:rPr>
              <w:t>Total</w:t>
            </w:r>
          </w:p>
        </w:tc>
      </w:tr>
      <w:tr>
        <w:trPr>
          <w:trHeight w:val="137"/>
        </w:trPr>
        <w:tc>
          <w:tcPr>
            <w:tcW w:w="460" w:type="dxa"/>
            <w:vAlign w:val="bottom"/>
            <w:tcBorders>
              <w:bottom w:val="single" w:sz="8" w:color="auto"/>
            </w:tcBorders>
          </w:tcPr>
          <w:p>
            <w:pPr>
              <w:spacing w:after="0" w:line="137" w:lineRule="exact"/>
              <w:rPr>
                <w:sz w:val="20"/>
                <w:szCs w:val="20"/>
                <w:color w:val="auto"/>
              </w:rPr>
            </w:pPr>
            <w:r>
              <w:rPr>
                <w:rFonts w:ascii="Arial" w:cs="Arial" w:eastAsia="Arial" w:hAnsi="Arial"/>
                <w:sz w:val="14"/>
                <w:szCs w:val="14"/>
                <w:b w:val="1"/>
                <w:bCs w:val="1"/>
                <w:color w:val="auto"/>
                <w:w w:val="95"/>
              </w:rPr>
              <w:t>Assets</w:t>
            </w:r>
          </w:p>
        </w:tc>
        <w:tc>
          <w:tcPr>
            <w:tcW w:w="2040" w:type="dxa"/>
            <w:vAlign w:val="bottom"/>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r>
      <w:tr>
        <w:trPr>
          <w:trHeight w:val="208"/>
        </w:trPr>
        <w:tc>
          <w:tcPr>
            <w:tcW w:w="2500" w:type="dxa"/>
            <w:vAlign w:val="bottom"/>
            <w:gridSpan w:val="2"/>
          </w:tcPr>
          <w:p>
            <w:pPr>
              <w:spacing w:after="0"/>
              <w:rPr>
                <w:sz w:val="20"/>
                <w:szCs w:val="20"/>
                <w:color w:val="auto"/>
              </w:rPr>
            </w:pPr>
            <w:r>
              <w:rPr>
                <w:rFonts w:ascii="Arial" w:cs="Arial" w:eastAsia="Arial" w:hAnsi="Arial"/>
                <w:sz w:val="14"/>
                <w:szCs w:val="14"/>
                <w:color w:val="auto"/>
              </w:rPr>
              <w:t>Corporate investments</w:t>
            </w:r>
          </w:p>
        </w:tc>
        <w:tc>
          <w:tcPr>
            <w:tcW w:w="70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18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310,956</w:t>
            </w:r>
          </w:p>
        </w:tc>
        <w:tc>
          <w:tcPr>
            <w:tcW w:w="140" w:type="dxa"/>
            <w:vAlign w:val="bottom"/>
          </w:tcPr>
          <w:p>
            <w:pPr>
              <w:spacing w:after="0"/>
              <w:rPr>
                <w:sz w:val="18"/>
                <w:szCs w:val="18"/>
                <w:color w:val="auto"/>
              </w:rPr>
            </w:pPr>
          </w:p>
        </w:tc>
        <w:tc>
          <w:tcPr>
            <w:tcW w:w="72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20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310,956</w:t>
            </w:r>
          </w:p>
        </w:tc>
        <w:tc>
          <w:tcPr>
            <w:tcW w:w="240" w:type="dxa"/>
            <w:vAlign w:val="bottom"/>
          </w:tcPr>
          <w:p>
            <w:pPr>
              <w:spacing w:after="0"/>
              <w:rPr>
                <w:sz w:val="18"/>
                <w:szCs w:val="18"/>
                <w:color w:val="auto"/>
              </w:rPr>
            </w:pPr>
          </w:p>
        </w:tc>
        <w:tc>
          <w:tcPr>
            <w:tcW w:w="18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ind w:left="5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18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307,825</w:t>
            </w:r>
          </w:p>
        </w:tc>
        <w:tc>
          <w:tcPr>
            <w:tcW w:w="140" w:type="dxa"/>
            <w:vAlign w:val="bottom"/>
          </w:tcPr>
          <w:p>
            <w:pPr>
              <w:spacing w:after="0"/>
              <w:rPr>
                <w:sz w:val="18"/>
                <w:szCs w:val="18"/>
                <w:color w:val="auto"/>
              </w:rPr>
            </w:pPr>
          </w:p>
        </w:tc>
        <w:tc>
          <w:tcPr>
            <w:tcW w:w="72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22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307,825</w:t>
            </w:r>
          </w:p>
        </w:tc>
      </w:tr>
      <w:tr>
        <w:trPr>
          <w:trHeight w:val="190"/>
        </w:trPr>
        <w:tc>
          <w:tcPr>
            <w:tcW w:w="2500" w:type="dxa"/>
            <w:vAlign w:val="bottom"/>
            <w:gridSpan w:val="2"/>
          </w:tcPr>
          <w:p>
            <w:pPr>
              <w:spacing w:after="0"/>
              <w:rPr>
                <w:sz w:val="20"/>
                <w:szCs w:val="20"/>
                <w:color w:val="auto"/>
              </w:rPr>
            </w:pPr>
            <w:r>
              <w:rPr>
                <w:rFonts w:ascii="Arial" w:cs="Arial" w:eastAsia="Arial" w:hAnsi="Arial"/>
                <w:sz w:val="14"/>
                <w:szCs w:val="14"/>
                <w:color w:val="auto"/>
              </w:rPr>
              <w:t>Total assets</w:t>
            </w:r>
          </w:p>
        </w:tc>
        <w:tc>
          <w:tcPr>
            <w:tcW w:w="700" w:type="dxa"/>
            <w:vAlign w:val="bottom"/>
          </w:tcPr>
          <w:p>
            <w:pPr>
              <w:jc w:val="right"/>
              <w:ind w:right="534"/>
              <w:spacing w:after="0"/>
              <w:rPr>
                <w:sz w:val="20"/>
                <w:szCs w:val="20"/>
                <w:color w:val="auto"/>
              </w:rPr>
            </w:pPr>
            <w:r>
              <w:rPr>
                <w:rFonts w:ascii="Arial" w:cs="Arial" w:eastAsia="Arial" w:hAnsi="Arial"/>
                <w:sz w:val="14"/>
                <w:szCs w:val="14"/>
                <w:color w:val="auto"/>
              </w:rPr>
              <w:t>$</w:t>
            </w:r>
          </w:p>
        </w:tc>
        <w:tc>
          <w:tcPr>
            <w:tcW w:w="400" w:type="dxa"/>
            <w:vAlign w:val="bottom"/>
            <w:gridSpan w:val="2"/>
          </w:tcPr>
          <w:p>
            <w:pPr>
              <w:ind w:left="40"/>
              <w:spacing w:after="0"/>
              <w:rPr>
                <w:sz w:val="20"/>
                <w:szCs w:val="20"/>
                <w:color w:val="auto"/>
              </w:rPr>
            </w:pPr>
            <w:r>
              <w:rPr>
                <w:rFonts w:ascii="Arial" w:cs="Arial" w:eastAsia="Arial" w:hAnsi="Arial"/>
                <w:sz w:val="14"/>
                <w:szCs w:val="14"/>
                <w:color w:val="auto"/>
              </w:rPr>
              <w:t>—</w:t>
            </w:r>
          </w:p>
        </w:tc>
        <w:tc>
          <w:tcPr>
            <w:tcW w:w="180" w:type="dxa"/>
            <w:vAlign w:val="bottom"/>
          </w:tcPr>
          <w:p>
            <w:pPr>
              <w:jc w:val="right"/>
              <w:ind w:right="31"/>
              <w:spacing w:after="0"/>
              <w:rPr>
                <w:sz w:val="20"/>
                <w:szCs w:val="20"/>
                <w:color w:val="auto"/>
              </w:rPr>
            </w:pPr>
            <w:r>
              <w:rPr>
                <w:rFonts w:ascii="Arial" w:cs="Arial" w:eastAsia="Arial" w:hAnsi="Arial"/>
                <w:sz w:val="14"/>
                <w:szCs w:val="14"/>
                <w:color w:val="auto"/>
                <w:w w:val="76"/>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310,956</w:t>
            </w:r>
          </w:p>
        </w:tc>
        <w:tc>
          <w:tcPr>
            <w:tcW w:w="140" w:type="dxa"/>
            <w:vAlign w:val="bottom"/>
          </w:tcPr>
          <w:p>
            <w:pPr>
              <w:spacing w:after="0"/>
              <w:rPr>
                <w:sz w:val="16"/>
                <w:szCs w:val="16"/>
                <w:color w:val="auto"/>
              </w:rPr>
            </w:pPr>
          </w:p>
        </w:tc>
        <w:tc>
          <w:tcPr>
            <w:tcW w:w="720" w:type="dxa"/>
            <w:vAlign w:val="bottom"/>
          </w:tcPr>
          <w:p>
            <w:pPr>
              <w:jc w:val="right"/>
              <w:ind w:right="554"/>
              <w:spacing w:after="0"/>
              <w:rPr>
                <w:sz w:val="20"/>
                <w:szCs w:val="20"/>
                <w:color w:val="auto"/>
              </w:rPr>
            </w:pPr>
            <w:r>
              <w:rPr>
                <w:rFonts w:ascii="Arial" w:cs="Arial" w:eastAsia="Arial" w:hAnsi="Arial"/>
                <w:sz w:val="14"/>
                <w:szCs w:val="14"/>
                <w:color w:val="auto"/>
              </w:rPr>
              <w:t>$</w:t>
            </w:r>
          </w:p>
        </w:tc>
        <w:tc>
          <w:tcPr>
            <w:tcW w:w="380" w:type="dxa"/>
            <w:vAlign w:val="bottom"/>
            <w:gridSpan w:val="2"/>
          </w:tcPr>
          <w:p>
            <w:pPr>
              <w:ind w:left="20"/>
              <w:spacing w:after="0"/>
              <w:rPr>
                <w:sz w:val="20"/>
                <w:szCs w:val="20"/>
                <w:color w:val="auto"/>
              </w:rPr>
            </w:pPr>
            <w:r>
              <w:rPr>
                <w:rFonts w:ascii="Arial" w:cs="Arial" w:eastAsia="Arial" w:hAnsi="Arial"/>
                <w:sz w:val="14"/>
                <w:szCs w:val="14"/>
                <w:color w:val="auto"/>
              </w:rPr>
              <w:t>—</w:t>
            </w:r>
          </w:p>
        </w:tc>
        <w:tc>
          <w:tcPr>
            <w:tcW w:w="200" w:type="dxa"/>
            <w:vAlign w:val="bottom"/>
          </w:tcPr>
          <w:p>
            <w:pPr>
              <w:jc w:val="right"/>
              <w:ind w:right="51"/>
              <w:spacing w:after="0"/>
              <w:rPr>
                <w:sz w:val="20"/>
                <w:szCs w:val="20"/>
                <w:color w:val="auto"/>
              </w:rPr>
            </w:pPr>
            <w:r>
              <w:rPr>
                <w:rFonts w:ascii="Arial" w:cs="Arial" w:eastAsia="Arial" w:hAnsi="Arial"/>
                <w:sz w:val="14"/>
                <w:szCs w:val="14"/>
                <w:color w:val="auto"/>
                <w:w w:val="76"/>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310,956</w:t>
            </w:r>
          </w:p>
        </w:tc>
        <w:tc>
          <w:tcPr>
            <w:tcW w:w="240" w:type="dxa"/>
            <w:vAlign w:val="bottom"/>
          </w:tcPr>
          <w:p>
            <w:pPr>
              <w:spacing w:after="0"/>
              <w:rPr>
                <w:sz w:val="16"/>
                <w:szCs w:val="16"/>
                <w:color w:val="auto"/>
              </w:rPr>
            </w:pPr>
          </w:p>
        </w:tc>
        <w:tc>
          <w:tcPr>
            <w:tcW w:w="180" w:type="dxa"/>
            <w:vAlign w:val="bottom"/>
          </w:tcPr>
          <w:p>
            <w:pPr>
              <w:jc w:val="right"/>
              <w:ind w:right="11"/>
              <w:spacing w:after="0"/>
              <w:rPr>
                <w:sz w:val="20"/>
                <w:szCs w:val="20"/>
                <w:color w:val="auto"/>
              </w:rPr>
            </w:pPr>
            <w:r>
              <w:rPr>
                <w:rFonts w:ascii="Arial" w:cs="Arial" w:eastAsia="Arial" w:hAnsi="Arial"/>
                <w:sz w:val="14"/>
                <w:szCs w:val="14"/>
                <w:color w:val="auto"/>
              </w:rPr>
              <w:t>$</w:t>
            </w:r>
          </w:p>
        </w:tc>
        <w:tc>
          <w:tcPr>
            <w:tcW w:w="920" w:type="dxa"/>
            <w:vAlign w:val="bottom"/>
            <w:gridSpan w:val="2"/>
          </w:tcPr>
          <w:p>
            <w:pPr>
              <w:ind w:left="580"/>
              <w:spacing w:after="0"/>
              <w:rPr>
                <w:sz w:val="20"/>
                <w:szCs w:val="20"/>
                <w:color w:val="auto"/>
              </w:rPr>
            </w:pPr>
            <w:r>
              <w:rPr>
                <w:rFonts w:ascii="Arial" w:cs="Arial" w:eastAsia="Arial" w:hAnsi="Arial"/>
                <w:sz w:val="14"/>
                <w:szCs w:val="14"/>
                <w:color w:val="auto"/>
              </w:rPr>
              <w:t>—</w:t>
            </w:r>
          </w:p>
        </w:tc>
        <w:tc>
          <w:tcPr>
            <w:tcW w:w="180" w:type="dxa"/>
            <w:vAlign w:val="bottom"/>
          </w:tcPr>
          <w:p>
            <w:pPr>
              <w:jc w:val="right"/>
              <w:ind w:right="31"/>
              <w:spacing w:after="0"/>
              <w:rPr>
                <w:sz w:val="20"/>
                <w:szCs w:val="20"/>
                <w:color w:val="auto"/>
              </w:rPr>
            </w:pPr>
            <w:r>
              <w:rPr>
                <w:rFonts w:ascii="Arial" w:cs="Arial" w:eastAsia="Arial" w:hAnsi="Arial"/>
                <w:sz w:val="14"/>
                <w:szCs w:val="14"/>
                <w:color w:val="auto"/>
                <w:w w:val="76"/>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307,825</w:t>
            </w:r>
          </w:p>
        </w:tc>
        <w:tc>
          <w:tcPr>
            <w:tcW w:w="140" w:type="dxa"/>
            <w:vAlign w:val="bottom"/>
          </w:tcPr>
          <w:p>
            <w:pPr>
              <w:spacing w:after="0"/>
              <w:rPr>
                <w:sz w:val="16"/>
                <w:szCs w:val="16"/>
                <w:color w:val="auto"/>
              </w:rPr>
            </w:pPr>
          </w:p>
        </w:tc>
        <w:tc>
          <w:tcPr>
            <w:tcW w:w="720" w:type="dxa"/>
            <w:vAlign w:val="bottom"/>
          </w:tcPr>
          <w:p>
            <w:pPr>
              <w:jc w:val="right"/>
              <w:ind w:right="554"/>
              <w:spacing w:after="0"/>
              <w:rPr>
                <w:sz w:val="20"/>
                <w:szCs w:val="20"/>
                <w:color w:val="auto"/>
              </w:rPr>
            </w:pPr>
            <w:r>
              <w:rPr>
                <w:rFonts w:ascii="Arial" w:cs="Arial" w:eastAsia="Arial" w:hAnsi="Arial"/>
                <w:sz w:val="14"/>
                <w:szCs w:val="14"/>
                <w:color w:val="auto"/>
              </w:rPr>
              <w:t>$</w:t>
            </w:r>
          </w:p>
        </w:tc>
        <w:tc>
          <w:tcPr>
            <w:tcW w:w="380" w:type="dxa"/>
            <w:vAlign w:val="bottom"/>
            <w:gridSpan w:val="2"/>
          </w:tcPr>
          <w:p>
            <w:pPr>
              <w:ind w:left="40"/>
              <w:spacing w:after="0"/>
              <w:rPr>
                <w:sz w:val="20"/>
                <w:szCs w:val="20"/>
                <w:color w:val="auto"/>
              </w:rPr>
            </w:pPr>
            <w:r>
              <w:rPr>
                <w:rFonts w:ascii="Arial" w:cs="Arial" w:eastAsia="Arial" w:hAnsi="Arial"/>
                <w:sz w:val="14"/>
                <w:szCs w:val="14"/>
                <w:color w:val="auto"/>
              </w:rPr>
              <w:t>—</w:t>
            </w:r>
          </w:p>
        </w:tc>
        <w:tc>
          <w:tcPr>
            <w:tcW w:w="220" w:type="dxa"/>
            <w:vAlign w:val="bottom"/>
          </w:tcPr>
          <w:p>
            <w:pPr>
              <w:jc w:val="right"/>
              <w:ind w:right="51"/>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307,825</w:t>
            </w:r>
          </w:p>
        </w:tc>
      </w:tr>
      <w:tr>
        <w:trPr>
          <w:trHeight w:val="20"/>
        </w:trPr>
        <w:tc>
          <w:tcPr>
            <w:tcW w:w="4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Fair Value of Financial Instruments Held By Consolidated Funds</w:t>
      </w:r>
    </w:p>
    <w:p>
      <w:pPr>
        <w:spacing w:after="0" w:line="90" w:lineRule="exact"/>
        <w:rPr>
          <w:sz w:val="20"/>
          <w:szCs w:val="20"/>
          <w:color w:val="auto"/>
        </w:rPr>
      </w:pPr>
    </w:p>
    <w:p>
      <w:pPr>
        <w:ind w:right="80" w:firstLine="619"/>
        <w:spacing w:after="0" w:line="265" w:lineRule="auto"/>
        <w:rPr>
          <w:sz w:val="20"/>
          <w:szCs w:val="20"/>
          <w:color w:val="auto"/>
        </w:rPr>
      </w:pPr>
      <w:r>
        <w:rPr>
          <w:rFonts w:ascii="Arial" w:cs="Arial" w:eastAsia="Arial" w:hAnsi="Arial"/>
          <w:sz w:val="17"/>
          <w:szCs w:val="17"/>
          <w:color w:val="auto"/>
        </w:rPr>
        <w:t>The short-term nature of cash and cash-equivalents held at the consolidated funds causes their carrying value to approximate fair value. The fair value of cash-equivalents is a Level I valuation. Derivatives may relate to a mix of Level I, II or III investments, and therefore their fair-value hierarchy level may not correspond to the fair value hierarchy level of the economically hedged investment. The table below summarizes the investments and other financial instruments of the consolidated funds by fair-value hierarchy level:</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gridSpan w:val="5"/>
          </w:tcPr>
          <w:p>
            <w:pPr>
              <w:ind w:left="180"/>
              <w:spacing w:after="0"/>
              <w:rPr>
                <w:sz w:val="20"/>
                <w:szCs w:val="20"/>
                <w:color w:val="auto"/>
              </w:rPr>
            </w:pPr>
            <w:r>
              <w:rPr>
                <w:rFonts w:ascii="Arial" w:cs="Arial" w:eastAsia="Arial" w:hAnsi="Arial"/>
                <w:sz w:val="12"/>
                <w:szCs w:val="12"/>
                <w:b w:val="1"/>
                <w:bCs w:val="1"/>
                <w:color w:val="auto"/>
              </w:rPr>
              <w:t>As of December 31, 2025</w:t>
            </w: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100" w:type="dxa"/>
            <w:vAlign w:val="bottom"/>
            <w:tcBorders>
              <w:bottom w:val="single" w:sz="8" w:color="auto"/>
            </w:tcBorders>
            <w:gridSpan w:val="5"/>
          </w:tcPr>
          <w:p>
            <w:pPr>
              <w:ind w:left="200"/>
              <w:spacing w:after="0"/>
              <w:rPr>
                <w:sz w:val="20"/>
                <w:szCs w:val="20"/>
                <w:color w:val="auto"/>
              </w:rPr>
            </w:pPr>
            <w:r>
              <w:rPr>
                <w:rFonts w:ascii="Arial" w:cs="Arial" w:eastAsia="Arial" w:hAnsi="Arial"/>
                <w:sz w:val="12"/>
                <w:szCs w:val="12"/>
                <w:b w:val="1"/>
                <w:bCs w:val="1"/>
                <w:color w:val="auto"/>
              </w:rPr>
              <w:t>As of December 31, 2024</w:t>
            </w:r>
          </w:p>
        </w:tc>
        <w:tc>
          <w:tcPr>
            <w:tcW w:w="2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gridSpan w:val="2"/>
          </w:tcPr>
          <w:p>
            <w:pPr>
              <w:ind w:left="120"/>
              <w:spacing w:after="0"/>
              <w:rPr>
                <w:sz w:val="20"/>
                <w:szCs w:val="20"/>
                <w:color w:val="auto"/>
              </w:rPr>
            </w:pPr>
            <w:r>
              <w:rPr>
                <w:rFonts w:ascii="Arial" w:cs="Arial" w:eastAsia="Arial" w:hAnsi="Arial"/>
                <w:sz w:val="12"/>
                <w:szCs w:val="12"/>
                <w:b w:val="1"/>
                <w:bCs w:val="1"/>
                <w:color w:val="auto"/>
              </w:rPr>
              <w:t>Level I</w:t>
            </w:r>
          </w:p>
        </w:tc>
        <w:tc>
          <w:tcPr>
            <w:tcW w:w="200" w:type="dxa"/>
            <w:vAlign w:val="bottom"/>
          </w:tcPr>
          <w:p>
            <w:pPr>
              <w:spacing w:after="0"/>
              <w:rPr>
                <w:sz w:val="15"/>
                <w:szCs w:val="15"/>
                <w:color w:val="auto"/>
              </w:rPr>
            </w:pPr>
          </w:p>
        </w:tc>
        <w:tc>
          <w:tcPr>
            <w:tcW w:w="940" w:type="dxa"/>
            <w:vAlign w:val="bottom"/>
            <w:gridSpan w:val="2"/>
          </w:tcPr>
          <w:p>
            <w:pPr>
              <w:ind w:left="100"/>
              <w:spacing w:after="0"/>
              <w:rPr>
                <w:sz w:val="20"/>
                <w:szCs w:val="20"/>
                <w:color w:val="auto"/>
              </w:rPr>
            </w:pPr>
            <w:r>
              <w:rPr>
                <w:rFonts w:ascii="Arial" w:cs="Arial" w:eastAsia="Arial" w:hAnsi="Arial"/>
                <w:sz w:val="12"/>
                <w:szCs w:val="12"/>
                <w:b w:val="1"/>
                <w:bCs w:val="1"/>
                <w:color w:val="auto"/>
              </w:rPr>
              <w:t>Level II</w:t>
            </w:r>
          </w:p>
        </w:tc>
        <w:tc>
          <w:tcPr>
            <w:tcW w:w="180" w:type="dxa"/>
            <w:vAlign w:val="bottom"/>
          </w:tcPr>
          <w:p>
            <w:pPr>
              <w:spacing w:after="0"/>
              <w:rPr>
                <w:sz w:val="15"/>
                <w:szCs w:val="15"/>
                <w:color w:val="auto"/>
              </w:rPr>
            </w:pPr>
          </w:p>
        </w:tc>
        <w:tc>
          <w:tcPr>
            <w:tcW w:w="960" w:type="dxa"/>
            <w:vAlign w:val="bottom"/>
            <w:gridSpan w:val="2"/>
          </w:tcPr>
          <w:p>
            <w:pPr>
              <w:ind w:left="120"/>
              <w:spacing w:after="0"/>
              <w:rPr>
                <w:sz w:val="20"/>
                <w:szCs w:val="20"/>
                <w:color w:val="auto"/>
              </w:rPr>
            </w:pPr>
            <w:r>
              <w:rPr>
                <w:rFonts w:ascii="Arial" w:cs="Arial" w:eastAsia="Arial" w:hAnsi="Arial"/>
                <w:sz w:val="12"/>
                <w:szCs w:val="12"/>
                <w:b w:val="1"/>
                <w:bCs w:val="1"/>
                <w:color w:val="auto"/>
              </w:rPr>
              <w:t>Level III</w:t>
            </w:r>
          </w:p>
        </w:tc>
        <w:tc>
          <w:tcPr>
            <w:tcW w:w="240" w:type="dxa"/>
            <w:vAlign w:val="bottom"/>
          </w:tcPr>
          <w:p>
            <w:pPr>
              <w:spacing w:after="0"/>
              <w:rPr>
                <w:sz w:val="15"/>
                <w:szCs w:val="15"/>
                <w:color w:val="auto"/>
              </w:rPr>
            </w:pPr>
          </w:p>
        </w:tc>
        <w:tc>
          <w:tcPr>
            <w:tcW w:w="1020" w:type="dxa"/>
            <w:vAlign w:val="bottom"/>
            <w:gridSpan w:val="2"/>
          </w:tcPr>
          <w:p>
            <w:pPr>
              <w:ind w:left="140"/>
              <w:spacing w:after="0"/>
              <w:rPr>
                <w:sz w:val="20"/>
                <w:szCs w:val="20"/>
                <w:color w:val="auto"/>
              </w:rPr>
            </w:pPr>
            <w:r>
              <w:rPr>
                <w:rFonts w:ascii="Arial" w:cs="Arial" w:eastAsia="Arial" w:hAnsi="Arial"/>
                <w:sz w:val="12"/>
                <w:szCs w:val="12"/>
                <w:b w:val="1"/>
                <w:bCs w:val="1"/>
                <w:color w:val="auto"/>
              </w:rPr>
              <w:t>Total</w:t>
            </w:r>
          </w:p>
        </w:tc>
        <w:tc>
          <w:tcPr>
            <w:tcW w:w="200" w:type="dxa"/>
            <w:vAlign w:val="bottom"/>
          </w:tcPr>
          <w:p>
            <w:pPr>
              <w:spacing w:after="0"/>
              <w:rPr>
                <w:sz w:val="15"/>
                <w:szCs w:val="15"/>
                <w:color w:val="auto"/>
              </w:rPr>
            </w:pPr>
          </w:p>
        </w:tc>
        <w:tc>
          <w:tcPr>
            <w:tcW w:w="940" w:type="dxa"/>
            <w:vAlign w:val="bottom"/>
            <w:gridSpan w:val="2"/>
          </w:tcPr>
          <w:p>
            <w:pPr>
              <w:ind w:left="120"/>
              <w:spacing w:after="0"/>
              <w:rPr>
                <w:sz w:val="20"/>
                <w:szCs w:val="20"/>
                <w:color w:val="auto"/>
              </w:rPr>
            </w:pPr>
            <w:r>
              <w:rPr>
                <w:rFonts w:ascii="Arial" w:cs="Arial" w:eastAsia="Arial" w:hAnsi="Arial"/>
                <w:sz w:val="12"/>
                <w:szCs w:val="12"/>
                <w:b w:val="1"/>
                <w:bCs w:val="1"/>
                <w:color w:val="auto"/>
              </w:rPr>
              <w:t>Level I</w:t>
            </w:r>
          </w:p>
        </w:tc>
        <w:tc>
          <w:tcPr>
            <w:tcW w:w="200" w:type="dxa"/>
            <w:vAlign w:val="bottom"/>
          </w:tcPr>
          <w:p>
            <w:pPr>
              <w:spacing w:after="0"/>
              <w:rPr>
                <w:sz w:val="15"/>
                <w:szCs w:val="15"/>
                <w:color w:val="auto"/>
              </w:rPr>
            </w:pPr>
          </w:p>
        </w:tc>
        <w:tc>
          <w:tcPr>
            <w:tcW w:w="940" w:type="dxa"/>
            <w:vAlign w:val="bottom"/>
            <w:gridSpan w:val="2"/>
          </w:tcPr>
          <w:p>
            <w:pPr>
              <w:ind w:left="120"/>
              <w:spacing w:after="0"/>
              <w:rPr>
                <w:sz w:val="20"/>
                <w:szCs w:val="20"/>
                <w:color w:val="auto"/>
              </w:rPr>
            </w:pPr>
            <w:r>
              <w:rPr>
                <w:rFonts w:ascii="Arial" w:cs="Arial" w:eastAsia="Arial" w:hAnsi="Arial"/>
                <w:sz w:val="12"/>
                <w:szCs w:val="12"/>
                <w:b w:val="1"/>
                <w:bCs w:val="1"/>
                <w:color w:val="auto"/>
              </w:rPr>
              <w:t>Level II</w:t>
            </w:r>
          </w:p>
        </w:tc>
        <w:tc>
          <w:tcPr>
            <w:tcW w:w="200" w:type="dxa"/>
            <w:vAlign w:val="bottom"/>
          </w:tcPr>
          <w:p>
            <w:pPr>
              <w:spacing w:after="0"/>
              <w:rPr>
                <w:sz w:val="15"/>
                <w:szCs w:val="15"/>
                <w:color w:val="auto"/>
              </w:rPr>
            </w:pPr>
          </w:p>
        </w:tc>
        <w:tc>
          <w:tcPr>
            <w:tcW w:w="960" w:type="dxa"/>
            <w:vAlign w:val="bottom"/>
            <w:gridSpan w:val="2"/>
          </w:tcPr>
          <w:p>
            <w:pPr>
              <w:ind w:left="100"/>
              <w:spacing w:after="0"/>
              <w:rPr>
                <w:sz w:val="20"/>
                <w:szCs w:val="20"/>
                <w:color w:val="auto"/>
              </w:rPr>
            </w:pPr>
            <w:r>
              <w:rPr>
                <w:rFonts w:ascii="Arial" w:cs="Arial" w:eastAsia="Arial" w:hAnsi="Arial"/>
                <w:sz w:val="12"/>
                <w:szCs w:val="12"/>
                <w:b w:val="1"/>
                <w:bCs w:val="1"/>
                <w:color w:val="auto"/>
              </w:rPr>
              <w:t>Level III</w:t>
            </w:r>
          </w:p>
        </w:tc>
        <w:tc>
          <w:tcPr>
            <w:tcW w:w="220" w:type="dxa"/>
            <w:vAlign w:val="bottom"/>
          </w:tcPr>
          <w:p>
            <w:pPr>
              <w:spacing w:after="0"/>
              <w:rPr>
                <w:sz w:val="15"/>
                <w:szCs w:val="15"/>
                <w:color w:val="auto"/>
              </w:rPr>
            </w:pPr>
          </w:p>
        </w:tc>
        <w:tc>
          <w:tcPr>
            <w:tcW w:w="840" w:type="dxa"/>
            <w:vAlign w:val="bottom"/>
          </w:tcPr>
          <w:p>
            <w:pPr>
              <w:jc w:val="right"/>
              <w:ind w:right="336"/>
              <w:spacing w:after="0"/>
              <w:rPr>
                <w:sz w:val="20"/>
                <w:szCs w:val="20"/>
                <w:color w:val="auto"/>
              </w:rPr>
            </w:pPr>
            <w:r>
              <w:rPr>
                <w:rFonts w:ascii="Arial" w:cs="Arial" w:eastAsia="Arial" w:hAnsi="Arial"/>
                <w:sz w:val="12"/>
                <w:szCs w:val="12"/>
                <w:b w:val="1"/>
                <w:bCs w:val="1"/>
                <w:color w:val="auto"/>
              </w:rPr>
              <w:t>Total</w:t>
            </w:r>
          </w:p>
        </w:tc>
        <w:tc>
          <w:tcPr>
            <w:tcW w:w="0" w:type="dxa"/>
            <w:vAlign w:val="bottom"/>
          </w:tcPr>
          <w:p>
            <w:pPr>
              <w:spacing w:after="0"/>
              <w:rPr>
                <w:sz w:val="1"/>
                <w:szCs w:val="1"/>
                <w:color w:val="auto"/>
              </w:rPr>
            </w:pPr>
          </w:p>
        </w:tc>
      </w:tr>
      <w:tr>
        <w:trPr>
          <w:trHeight w:val="129"/>
        </w:trPr>
        <w:tc>
          <w:tcPr>
            <w:tcW w:w="40" w:type="dxa"/>
            <w:vAlign w:val="bottom"/>
          </w:tcPr>
          <w:p>
            <w:pPr>
              <w:spacing w:after="0"/>
              <w:rPr>
                <w:sz w:val="11"/>
                <w:szCs w:val="11"/>
                <w:color w:val="auto"/>
              </w:rPr>
            </w:pPr>
          </w:p>
        </w:tc>
        <w:tc>
          <w:tcPr>
            <w:tcW w:w="2020" w:type="dxa"/>
            <w:vAlign w:val="bottom"/>
            <w:gridSpan w:val="4"/>
          </w:tcPr>
          <w:p>
            <w:pPr>
              <w:spacing w:after="0" w:line="129" w:lineRule="exact"/>
              <w:rPr>
                <w:sz w:val="20"/>
                <w:szCs w:val="20"/>
                <w:color w:val="auto"/>
              </w:rPr>
            </w:pPr>
            <w:r>
              <w:rPr>
                <w:rFonts w:ascii="Arial" w:cs="Arial" w:eastAsia="Arial" w:hAnsi="Arial"/>
                <w:sz w:val="13"/>
                <w:szCs w:val="13"/>
                <w:b w:val="1"/>
                <w:bCs w:val="1"/>
                <w:color w:val="auto"/>
              </w:rPr>
              <w:t>Assets</w:t>
            </w:r>
          </w:p>
        </w:tc>
        <w:tc>
          <w:tcPr>
            <w:tcW w:w="20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40" w:type="dxa"/>
            <w:vAlign w:val="bottom"/>
          </w:tcPr>
          <w:p>
            <w:pPr>
              <w:spacing w:after="0"/>
              <w:rPr>
                <w:sz w:val="16"/>
                <w:szCs w:val="16"/>
                <w:color w:val="auto"/>
              </w:rPr>
            </w:pPr>
          </w:p>
        </w:tc>
        <w:tc>
          <w:tcPr>
            <w:tcW w:w="2020" w:type="dxa"/>
            <w:vAlign w:val="bottom"/>
            <w:gridSpan w:val="4"/>
          </w:tcPr>
          <w:p>
            <w:pPr>
              <w:spacing w:after="0"/>
              <w:rPr>
                <w:sz w:val="20"/>
                <w:szCs w:val="20"/>
                <w:color w:val="auto"/>
              </w:rPr>
            </w:pPr>
            <w:r>
              <w:rPr>
                <w:rFonts w:ascii="Arial" w:cs="Arial" w:eastAsia="Arial" w:hAnsi="Arial"/>
                <w:sz w:val="13"/>
                <w:szCs w:val="13"/>
                <w:color w:val="auto"/>
              </w:rPr>
              <w:t>Investments:</w:t>
            </w: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2020" w:type="dxa"/>
            <w:vAlign w:val="bottom"/>
            <w:gridSpan w:val="4"/>
          </w:tcPr>
          <w:p>
            <w:pPr>
              <w:ind w:left="160"/>
              <w:spacing w:after="0"/>
              <w:rPr>
                <w:sz w:val="20"/>
                <w:szCs w:val="20"/>
                <w:color w:val="auto"/>
              </w:rPr>
            </w:pPr>
            <w:r>
              <w:rPr>
                <w:rFonts w:ascii="Arial" w:cs="Arial" w:eastAsia="Arial" w:hAnsi="Arial"/>
                <w:sz w:val="13"/>
                <w:szCs w:val="13"/>
                <w:color w:val="auto"/>
              </w:rPr>
              <w:t>Corporate debt – bank debt</w:t>
            </w:r>
          </w:p>
        </w:tc>
        <w:tc>
          <w:tcPr>
            <w:tcW w:w="200" w:type="dxa"/>
            <w:vAlign w:val="bottom"/>
          </w:tcPr>
          <w:p>
            <w:pPr>
              <w:jc w:val="right"/>
              <w:ind w:right="56"/>
              <w:spacing w:after="0"/>
              <w:rPr>
                <w:sz w:val="20"/>
                <w:szCs w:val="20"/>
                <w:color w:val="auto"/>
              </w:rPr>
            </w:pPr>
            <w:r>
              <w:rPr>
                <w:rFonts w:ascii="Arial" w:cs="Arial" w:eastAsia="Arial" w:hAnsi="Arial"/>
                <w:sz w:val="13"/>
                <w:szCs w:val="13"/>
                <w:color w:val="auto"/>
                <w:w w:val="82"/>
              </w:rPr>
              <w:t>$</w:t>
            </w:r>
          </w:p>
        </w:tc>
        <w:tc>
          <w:tcPr>
            <w:tcW w:w="9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200" w:type="dxa"/>
            <w:vAlign w:val="bottom"/>
          </w:tcPr>
          <w:p>
            <w:pPr>
              <w:jc w:val="right"/>
              <w:ind w:right="56"/>
              <w:spacing w:after="0"/>
              <w:rPr>
                <w:sz w:val="20"/>
                <w:szCs w:val="20"/>
                <w:color w:val="auto"/>
              </w:rPr>
            </w:pPr>
            <w:r>
              <w:rPr>
                <w:rFonts w:ascii="Arial" w:cs="Arial" w:eastAsia="Arial" w:hAnsi="Arial"/>
                <w:sz w:val="13"/>
                <w:szCs w:val="13"/>
                <w:color w:val="auto"/>
                <w:w w:val="82"/>
              </w:rPr>
              <w:t>$</w:t>
            </w:r>
          </w:p>
        </w:tc>
        <w:tc>
          <w:tcPr>
            <w:tcW w:w="840" w:type="dxa"/>
            <w:vAlign w:val="bottom"/>
          </w:tcPr>
          <w:p>
            <w:pPr>
              <w:jc w:val="right"/>
              <w:ind w:right="16"/>
              <w:spacing w:after="0"/>
              <w:rPr>
                <w:sz w:val="20"/>
                <w:szCs w:val="20"/>
                <w:color w:val="auto"/>
              </w:rPr>
            </w:pPr>
            <w:r>
              <w:rPr>
                <w:rFonts w:ascii="Arial" w:cs="Arial" w:eastAsia="Arial" w:hAnsi="Arial"/>
                <w:sz w:val="13"/>
                <w:szCs w:val="13"/>
                <w:color w:val="auto"/>
              </w:rPr>
              <w:t>116,518</w:t>
            </w:r>
          </w:p>
        </w:tc>
        <w:tc>
          <w:tcPr>
            <w:tcW w:w="100" w:type="dxa"/>
            <w:vAlign w:val="bottom"/>
          </w:tcPr>
          <w:p>
            <w:pPr>
              <w:spacing w:after="0"/>
              <w:rPr>
                <w:sz w:val="15"/>
                <w:szCs w:val="15"/>
                <w:color w:val="auto"/>
              </w:rPr>
            </w:pPr>
          </w:p>
        </w:tc>
        <w:tc>
          <w:tcPr>
            <w:tcW w:w="180" w:type="dxa"/>
            <w:vAlign w:val="bottom"/>
          </w:tcPr>
          <w:p>
            <w:pPr>
              <w:jc w:val="right"/>
              <w:ind w:right="36"/>
              <w:spacing w:after="0"/>
              <w:rPr>
                <w:sz w:val="20"/>
                <w:szCs w:val="20"/>
                <w:color w:val="auto"/>
              </w:rPr>
            </w:pPr>
            <w:r>
              <w:rPr>
                <w:rFonts w:ascii="Arial" w:cs="Arial" w:eastAsia="Arial" w:hAnsi="Arial"/>
                <w:sz w:val="13"/>
                <w:szCs w:val="13"/>
                <w:color w:val="auto"/>
                <w:w w:val="82"/>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1,626,609</w:t>
            </w:r>
          </w:p>
        </w:tc>
        <w:tc>
          <w:tcPr>
            <w:tcW w:w="100" w:type="dxa"/>
            <w:vAlign w:val="bottom"/>
          </w:tcPr>
          <w:p>
            <w:pPr>
              <w:spacing w:after="0"/>
              <w:rPr>
                <w:sz w:val="15"/>
                <w:szCs w:val="15"/>
                <w:color w:val="auto"/>
              </w:rPr>
            </w:pPr>
          </w:p>
        </w:tc>
        <w:tc>
          <w:tcPr>
            <w:tcW w:w="240" w:type="dxa"/>
            <w:vAlign w:val="bottom"/>
          </w:tcPr>
          <w:p>
            <w:pPr>
              <w:jc w:val="right"/>
              <w:ind w:right="96"/>
              <w:spacing w:after="0"/>
              <w:rPr>
                <w:sz w:val="20"/>
                <w:szCs w:val="20"/>
                <w:color w:val="auto"/>
              </w:rPr>
            </w:pPr>
            <w:r>
              <w:rPr>
                <w:rFonts w:ascii="Arial" w:cs="Arial" w:eastAsia="Arial" w:hAnsi="Arial"/>
                <w:sz w:val="13"/>
                <w:szCs w:val="13"/>
                <w:color w:val="auto"/>
                <w:w w:val="82"/>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1,743,127</w:t>
            </w:r>
          </w:p>
        </w:tc>
        <w:tc>
          <w:tcPr>
            <w:tcW w:w="220" w:type="dxa"/>
            <w:vAlign w:val="bottom"/>
          </w:tcPr>
          <w:p>
            <w:pPr>
              <w:spacing w:after="0"/>
              <w:rPr>
                <w:sz w:val="15"/>
                <w:szCs w:val="15"/>
                <w:color w:val="auto"/>
              </w:rPr>
            </w:pPr>
          </w:p>
        </w:tc>
        <w:tc>
          <w:tcPr>
            <w:tcW w:w="200" w:type="dxa"/>
            <w:vAlign w:val="bottom"/>
          </w:tcPr>
          <w:p>
            <w:pPr>
              <w:jc w:val="right"/>
              <w:ind w:right="56"/>
              <w:spacing w:after="0"/>
              <w:rPr>
                <w:sz w:val="20"/>
                <w:szCs w:val="20"/>
                <w:color w:val="auto"/>
              </w:rPr>
            </w:pPr>
            <w:r>
              <w:rPr>
                <w:rFonts w:ascii="Arial" w:cs="Arial" w:eastAsia="Arial" w:hAnsi="Arial"/>
                <w:sz w:val="13"/>
                <w:szCs w:val="13"/>
                <w:color w:val="auto"/>
                <w:w w:val="82"/>
              </w:rPr>
              <w:t>$</w:t>
            </w:r>
          </w:p>
        </w:tc>
        <w:tc>
          <w:tcPr>
            <w:tcW w:w="9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200" w:type="dxa"/>
            <w:vAlign w:val="bottom"/>
          </w:tcPr>
          <w:p>
            <w:pPr>
              <w:jc w:val="right"/>
              <w:ind w:right="56"/>
              <w:spacing w:after="0"/>
              <w:rPr>
                <w:sz w:val="20"/>
                <w:szCs w:val="20"/>
                <w:color w:val="auto"/>
              </w:rPr>
            </w:pPr>
            <w:r>
              <w:rPr>
                <w:rFonts w:ascii="Arial" w:cs="Arial" w:eastAsia="Arial" w:hAnsi="Arial"/>
                <w:sz w:val="13"/>
                <w:szCs w:val="13"/>
                <w:color w:val="auto"/>
                <w:w w:val="82"/>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281,918</w:t>
            </w:r>
          </w:p>
        </w:tc>
        <w:tc>
          <w:tcPr>
            <w:tcW w:w="100" w:type="dxa"/>
            <w:vAlign w:val="bottom"/>
          </w:tcPr>
          <w:p>
            <w:pPr>
              <w:spacing w:after="0"/>
              <w:rPr>
                <w:sz w:val="15"/>
                <w:szCs w:val="15"/>
                <w:color w:val="auto"/>
              </w:rPr>
            </w:pPr>
          </w:p>
        </w:tc>
        <w:tc>
          <w:tcPr>
            <w:tcW w:w="200" w:type="dxa"/>
            <w:vAlign w:val="bottom"/>
          </w:tcPr>
          <w:p>
            <w:pPr>
              <w:jc w:val="right"/>
              <w:ind w:right="56"/>
              <w:spacing w:after="0"/>
              <w:rPr>
                <w:sz w:val="20"/>
                <w:szCs w:val="20"/>
                <w:color w:val="auto"/>
              </w:rPr>
            </w:pPr>
            <w:r>
              <w:rPr>
                <w:rFonts w:ascii="Arial" w:cs="Arial" w:eastAsia="Arial" w:hAnsi="Arial"/>
                <w:sz w:val="13"/>
                <w:szCs w:val="13"/>
                <w:color w:val="auto"/>
                <w:w w:val="82"/>
              </w:rPr>
              <w:t>$</w:t>
            </w:r>
          </w:p>
        </w:tc>
        <w:tc>
          <w:tcPr>
            <w:tcW w:w="860" w:type="dxa"/>
            <w:vAlign w:val="bottom"/>
          </w:tcPr>
          <w:p>
            <w:pPr>
              <w:jc w:val="right"/>
              <w:ind w:right="16"/>
              <w:spacing w:after="0"/>
              <w:rPr>
                <w:sz w:val="20"/>
                <w:szCs w:val="20"/>
                <w:color w:val="auto"/>
              </w:rPr>
            </w:pPr>
            <w:r>
              <w:rPr>
                <w:rFonts w:ascii="Arial" w:cs="Arial" w:eastAsia="Arial" w:hAnsi="Arial"/>
                <w:sz w:val="13"/>
                <w:szCs w:val="13"/>
                <w:color w:val="auto"/>
              </w:rPr>
              <w:t>1,936,315</w:t>
            </w:r>
          </w:p>
        </w:tc>
        <w:tc>
          <w:tcPr>
            <w:tcW w:w="100" w:type="dxa"/>
            <w:vAlign w:val="bottom"/>
          </w:tcPr>
          <w:p>
            <w:pPr>
              <w:spacing w:after="0"/>
              <w:rPr>
                <w:sz w:val="15"/>
                <w:szCs w:val="15"/>
                <w:color w:val="auto"/>
              </w:rPr>
            </w:pPr>
          </w:p>
        </w:tc>
        <w:tc>
          <w:tcPr>
            <w:tcW w:w="220" w:type="dxa"/>
            <w:vAlign w:val="bottom"/>
          </w:tcPr>
          <w:p>
            <w:pPr>
              <w:jc w:val="right"/>
              <w:ind w:right="76"/>
              <w:spacing w:after="0"/>
              <w:rPr>
                <w:sz w:val="20"/>
                <w:szCs w:val="20"/>
                <w:color w:val="auto"/>
              </w:rPr>
            </w:pPr>
            <w:r>
              <w:rPr>
                <w:rFonts w:ascii="Arial" w:cs="Arial" w:eastAsia="Arial" w:hAnsi="Arial"/>
                <w:sz w:val="13"/>
                <w:szCs w:val="13"/>
                <w:color w:val="auto"/>
                <w:w w:val="82"/>
              </w:rPr>
              <w:t>$</w:t>
            </w:r>
          </w:p>
        </w:tc>
        <w:tc>
          <w:tcPr>
            <w:tcW w:w="840" w:type="dxa"/>
            <w:vAlign w:val="bottom"/>
          </w:tcPr>
          <w:p>
            <w:pPr>
              <w:jc w:val="right"/>
              <w:ind w:right="16"/>
              <w:spacing w:after="0"/>
              <w:rPr>
                <w:sz w:val="20"/>
                <w:szCs w:val="20"/>
                <w:color w:val="auto"/>
              </w:rPr>
            </w:pPr>
            <w:r>
              <w:rPr>
                <w:rFonts w:ascii="Arial" w:cs="Arial" w:eastAsia="Arial" w:hAnsi="Arial"/>
                <w:sz w:val="13"/>
                <w:szCs w:val="13"/>
                <w:color w:val="auto"/>
              </w:rPr>
              <w:t>2,218,233</w:t>
            </w: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2020" w:type="dxa"/>
            <w:vAlign w:val="bottom"/>
            <w:gridSpan w:val="4"/>
          </w:tcPr>
          <w:p>
            <w:pPr>
              <w:ind w:left="160"/>
              <w:spacing w:after="0"/>
              <w:rPr>
                <w:sz w:val="20"/>
                <w:szCs w:val="20"/>
                <w:color w:val="auto"/>
              </w:rPr>
            </w:pPr>
            <w:r>
              <w:rPr>
                <w:rFonts w:ascii="Arial" w:cs="Arial" w:eastAsia="Arial" w:hAnsi="Arial"/>
                <w:sz w:val="13"/>
                <w:szCs w:val="13"/>
                <w:color w:val="auto"/>
              </w:rPr>
              <w:t>Corporate debt – all other</w:t>
            </w:r>
          </w:p>
        </w:tc>
        <w:tc>
          <w:tcPr>
            <w:tcW w:w="200" w:type="dxa"/>
            <w:vAlign w:val="bottom"/>
          </w:tcPr>
          <w:p>
            <w:pPr>
              <w:spacing w:after="0"/>
              <w:rPr>
                <w:sz w:val="15"/>
                <w:szCs w:val="15"/>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840" w:type="dxa"/>
            <w:vAlign w:val="bottom"/>
          </w:tcPr>
          <w:p>
            <w:pPr>
              <w:jc w:val="right"/>
              <w:ind w:right="16"/>
              <w:spacing w:after="0"/>
              <w:rPr>
                <w:sz w:val="20"/>
                <w:szCs w:val="20"/>
                <w:color w:val="auto"/>
              </w:rPr>
            </w:pPr>
            <w:r>
              <w:rPr>
                <w:rFonts w:ascii="Arial" w:cs="Arial" w:eastAsia="Arial" w:hAnsi="Arial"/>
                <w:sz w:val="13"/>
                <w:szCs w:val="13"/>
                <w:color w:val="auto"/>
              </w:rPr>
              <w:t>209,394</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80,128</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289,522</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353,922</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jc w:val="right"/>
              <w:ind w:right="16"/>
              <w:spacing w:after="0"/>
              <w:rPr>
                <w:sz w:val="20"/>
                <w:szCs w:val="20"/>
                <w:color w:val="auto"/>
              </w:rPr>
            </w:pPr>
            <w:r>
              <w:rPr>
                <w:rFonts w:ascii="Arial" w:cs="Arial" w:eastAsia="Arial" w:hAnsi="Arial"/>
                <w:sz w:val="13"/>
                <w:szCs w:val="13"/>
                <w:color w:val="auto"/>
              </w:rPr>
              <w:t>111,552</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jc w:val="right"/>
              <w:ind w:right="16"/>
              <w:spacing w:after="0"/>
              <w:rPr>
                <w:sz w:val="20"/>
                <w:szCs w:val="20"/>
                <w:color w:val="auto"/>
              </w:rPr>
            </w:pPr>
            <w:r>
              <w:rPr>
                <w:rFonts w:ascii="Arial" w:cs="Arial" w:eastAsia="Arial" w:hAnsi="Arial"/>
                <w:sz w:val="13"/>
                <w:szCs w:val="13"/>
                <w:color w:val="auto"/>
              </w:rPr>
              <w:t>465,474</w:t>
            </w: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2020" w:type="dxa"/>
            <w:vAlign w:val="bottom"/>
            <w:gridSpan w:val="4"/>
          </w:tcPr>
          <w:p>
            <w:pPr>
              <w:ind w:left="160"/>
              <w:spacing w:after="0"/>
              <w:rPr>
                <w:sz w:val="20"/>
                <w:szCs w:val="20"/>
                <w:color w:val="auto"/>
              </w:rPr>
            </w:pPr>
            <w:r>
              <w:rPr>
                <w:rFonts w:ascii="Arial" w:cs="Arial" w:eastAsia="Arial" w:hAnsi="Arial"/>
                <w:sz w:val="13"/>
                <w:szCs w:val="13"/>
                <w:color w:val="auto"/>
              </w:rPr>
              <w:t>Equities – common stock</w:t>
            </w:r>
          </w:p>
        </w:tc>
        <w:tc>
          <w:tcPr>
            <w:tcW w:w="200" w:type="dxa"/>
            <w:vAlign w:val="bottom"/>
          </w:tcPr>
          <w:p>
            <w:pPr>
              <w:spacing w:after="0"/>
              <w:rPr>
                <w:sz w:val="15"/>
                <w:szCs w:val="15"/>
                <w:color w:val="auto"/>
              </w:rPr>
            </w:pPr>
          </w:p>
        </w:tc>
        <w:tc>
          <w:tcPr>
            <w:tcW w:w="840" w:type="dxa"/>
            <w:vAlign w:val="bottom"/>
          </w:tcPr>
          <w:p>
            <w:pPr>
              <w:jc w:val="right"/>
              <w:ind w:right="16"/>
              <w:spacing w:after="0"/>
              <w:rPr>
                <w:sz w:val="20"/>
                <w:szCs w:val="20"/>
                <w:color w:val="auto"/>
              </w:rPr>
            </w:pPr>
            <w:r>
              <w:rPr>
                <w:rFonts w:ascii="Arial" w:cs="Arial" w:eastAsia="Arial" w:hAnsi="Arial"/>
                <w:sz w:val="13"/>
                <w:szCs w:val="13"/>
                <w:color w:val="auto"/>
              </w:rPr>
              <w:t>197,832</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jc w:val="right"/>
              <w:ind w:right="16"/>
              <w:spacing w:after="0"/>
              <w:rPr>
                <w:sz w:val="20"/>
                <w:szCs w:val="20"/>
                <w:color w:val="auto"/>
              </w:rPr>
            </w:pPr>
            <w:r>
              <w:rPr>
                <w:rFonts w:ascii="Arial" w:cs="Arial" w:eastAsia="Arial" w:hAnsi="Arial"/>
                <w:sz w:val="13"/>
                <w:szCs w:val="13"/>
                <w:color w:val="auto"/>
              </w:rPr>
              <w:t>91,815</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1,559,531</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1,849,178</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jc w:val="right"/>
              <w:ind w:right="16"/>
              <w:spacing w:after="0"/>
              <w:rPr>
                <w:sz w:val="20"/>
                <w:szCs w:val="20"/>
                <w:color w:val="auto"/>
              </w:rPr>
            </w:pPr>
            <w:r>
              <w:rPr>
                <w:rFonts w:ascii="Arial" w:cs="Arial" w:eastAsia="Arial" w:hAnsi="Arial"/>
                <w:sz w:val="13"/>
                <w:szCs w:val="13"/>
                <w:color w:val="auto"/>
              </w:rPr>
              <w:t>222,670</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39,290</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jc w:val="right"/>
              <w:ind w:right="16"/>
              <w:spacing w:after="0"/>
              <w:rPr>
                <w:sz w:val="20"/>
                <w:szCs w:val="20"/>
                <w:color w:val="auto"/>
              </w:rPr>
            </w:pPr>
            <w:r>
              <w:rPr>
                <w:rFonts w:ascii="Arial" w:cs="Arial" w:eastAsia="Arial" w:hAnsi="Arial"/>
                <w:sz w:val="13"/>
                <w:szCs w:val="13"/>
                <w:color w:val="auto"/>
              </w:rPr>
              <w:t>1,187,023</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jc w:val="right"/>
              <w:ind w:right="16"/>
              <w:spacing w:after="0"/>
              <w:rPr>
                <w:sz w:val="20"/>
                <w:szCs w:val="20"/>
                <w:color w:val="auto"/>
              </w:rPr>
            </w:pPr>
            <w:r>
              <w:rPr>
                <w:rFonts w:ascii="Arial" w:cs="Arial" w:eastAsia="Arial" w:hAnsi="Arial"/>
                <w:sz w:val="13"/>
                <w:szCs w:val="13"/>
                <w:color w:val="auto"/>
              </w:rPr>
              <w:t>1,448,983</w:t>
            </w: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2020" w:type="dxa"/>
            <w:vAlign w:val="bottom"/>
            <w:gridSpan w:val="4"/>
          </w:tcPr>
          <w:p>
            <w:pPr>
              <w:ind w:left="160"/>
              <w:spacing w:after="0"/>
              <w:rPr>
                <w:sz w:val="20"/>
                <w:szCs w:val="20"/>
                <w:color w:val="auto"/>
              </w:rPr>
            </w:pPr>
            <w:r>
              <w:rPr>
                <w:rFonts w:ascii="Arial" w:cs="Arial" w:eastAsia="Arial" w:hAnsi="Arial"/>
                <w:sz w:val="13"/>
                <w:szCs w:val="13"/>
                <w:color w:val="auto"/>
              </w:rPr>
              <w:t>Equities – preferred stock</w:t>
            </w:r>
          </w:p>
        </w:tc>
        <w:tc>
          <w:tcPr>
            <w:tcW w:w="200" w:type="dxa"/>
            <w:vAlign w:val="bottom"/>
          </w:tcPr>
          <w:p>
            <w:pPr>
              <w:spacing w:after="0"/>
              <w:rPr>
                <w:sz w:val="15"/>
                <w:szCs w:val="15"/>
                <w:color w:val="auto"/>
              </w:rPr>
            </w:pPr>
          </w:p>
        </w:tc>
        <w:tc>
          <w:tcPr>
            <w:tcW w:w="840" w:type="dxa"/>
            <w:vAlign w:val="bottom"/>
          </w:tcPr>
          <w:p>
            <w:pPr>
              <w:jc w:val="right"/>
              <w:ind w:right="16"/>
              <w:spacing w:after="0"/>
              <w:rPr>
                <w:sz w:val="20"/>
                <w:szCs w:val="20"/>
                <w:color w:val="auto"/>
              </w:rPr>
            </w:pPr>
            <w:r>
              <w:rPr>
                <w:rFonts w:ascii="Arial" w:cs="Arial" w:eastAsia="Arial" w:hAnsi="Arial"/>
                <w:sz w:val="13"/>
                <w:szCs w:val="13"/>
                <w:color w:val="auto"/>
              </w:rPr>
              <w:t>1,678</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776,932</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778,610</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jc w:val="right"/>
              <w:ind w:right="16"/>
              <w:spacing w:after="0"/>
              <w:rPr>
                <w:sz w:val="20"/>
                <w:szCs w:val="20"/>
                <w:color w:val="auto"/>
              </w:rPr>
            </w:pPr>
            <w:r>
              <w:rPr>
                <w:rFonts w:ascii="Arial" w:cs="Arial" w:eastAsia="Arial" w:hAnsi="Arial"/>
                <w:sz w:val="13"/>
                <w:szCs w:val="13"/>
                <w:color w:val="auto"/>
              </w:rPr>
              <w:t>1,850</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860" w:type="dxa"/>
            <w:vAlign w:val="bottom"/>
          </w:tcPr>
          <w:p>
            <w:pPr>
              <w:jc w:val="right"/>
              <w:ind w:right="16"/>
              <w:spacing w:after="0"/>
              <w:rPr>
                <w:sz w:val="20"/>
                <w:szCs w:val="20"/>
                <w:color w:val="auto"/>
              </w:rPr>
            </w:pPr>
            <w:r>
              <w:rPr>
                <w:rFonts w:ascii="Arial" w:cs="Arial" w:eastAsia="Arial" w:hAnsi="Arial"/>
                <w:sz w:val="13"/>
                <w:szCs w:val="13"/>
                <w:color w:val="auto"/>
              </w:rPr>
              <w:t>606,141</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jc w:val="right"/>
              <w:ind w:right="16"/>
              <w:spacing w:after="0"/>
              <w:rPr>
                <w:sz w:val="20"/>
                <w:szCs w:val="20"/>
                <w:color w:val="auto"/>
              </w:rPr>
            </w:pPr>
            <w:r>
              <w:rPr>
                <w:rFonts w:ascii="Arial" w:cs="Arial" w:eastAsia="Arial" w:hAnsi="Arial"/>
                <w:sz w:val="13"/>
                <w:szCs w:val="13"/>
                <w:color w:val="auto"/>
              </w:rPr>
              <w:t>607,991</w:t>
            </w:r>
          </w:p>
        </w:tc>
        <w:tc>
          <w:tcPr>
            <w:tcW w:w="0" w:type="dxa"/>
            <w:vAlign w:val="bottom"/>
          </w:tcPr>
          <w:p>
            <w:pPr>
              <w:spacing w:after="0"/>
              <w:rPr>
                <w:sz w:val="1"/>
                <w:szCs w:val="1"/>
                <w:color w:val="auto"/>
              </w:rPr>
            </w:pPr>
          </w:p>
        </w:tc>
      </w:tr>
      <w:tr>
        <w:trPr>
          <w:trHeight w:val="185"/>
        </w:trPr>
        <w:tc>
          <w:tcPr>
            <w:tcW w:w="40" w:type="dxa"/>
            <w:vAlign w:val="bottom"/>
          </w:tcPr>
          <w:p>
            <w:pPr>
              <w:spacing w:after="0"/>
              <w:rPr>
                <w:sz w:val="16"/>
                <w:szCs w:val="16"/>
                <w:color w:val="auto"/>
              </w:rPr>
            </w:pPr>
          </w:p>
        </w:tc>
        <w:tc>
          <w:tcPr>
            <w:tcW w:w="2020" w:type="dxa"/>
            <w:vAlign w:val="bottom"/>
            <w:gridSpan w:val="4"/>
          </w:tcPr>
          <w:p>
            <w:pPr>
              <w:ind w:left="160"/>
              <w:spacing w:after="0"/>
              <w:rPr>
                <w:sz w:val="20"/>
                <w:szCs w:val="20"/>
                <w:color w:val="auto"/>
              </w:rPr>
            </w:pPr>
            <w:r>
              <w:rPr>
                <w:rFonts w:ascii="Arial" w:cs="Arial" w:eastAsia="Arial" w:hAnsi="Arial"/>
                <w:sz w:val="13"/>
                <w:szCs w:val="13"/>
                <w:color w:val="auto"/>
              </w:rPr>
              <w:t>Real estate</w:t>
            </w:r>
          </w:p>
        </w:tc>
        <w:tc>
          <w:tcPr>
            <w:tcW w:w="200" w:type="dxa"/>
            <w:vAlign w:val="bottom"/>
          </w:tcPr>
          <w:p>
            <w:pPr>
              <w:spacing w:after="0"/>
              <w:rPr>
                <w:sz w:val="16"/>
                <w:szCs w:val="16"/>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6"/>
                <w:szCs w:val="16"/>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352,540</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352,540</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6"/>
                <w:szCs w:val="16"/>
                <w:color w:val="auto"/>
              </w:rPr>
            </w:pPr>
          </w:p>
        </w:tc>
        <w:tc>
          <w:tcPr>
            <w:tcW w:w="860" w:type="dxa"/>
            <w:vAlign w:val="bottom"/>
          </w:tcPr>
          <w:p>
            <w:pPr>
              <w:jc w:val="right"/>
              <w:ind w:right="16"/>
              <w:spacing w:after="0"/>
              <w:rPr>
                <w:sz w:val="20"/>
                <w:szCs w:val="20"/>
                <w:color w:val="auto"/>
              </w:rPr>
            </w:pPr>
            <w:r>
              <w:rPr>
                <w:rFonts w:ascii="Arial" w:cs="Arial" w:eastAsia="Arial" w:hAnsi="Arial"/>
                <w:sz w:val="13"/>
                <w:szCs w:val="13"/>
                <w:color w:val="auto"/>
              </w:rPr>
              <w:t>206,181</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jc w:val="right"/>
              <w:ind w:right="16"/>
              <w:spacing w:after="0"/>
              <w:rPr>
                <w:sz w:val="20"/>
                <w:szCs w:val="20"/>
                <w:color w:val="auto"/>
              </w:rPr>
            </w:pPr>
            <w:r>
              <w:rPr>
                <w:rFonts w:ascii="Arial" w:cs="Arial" w:eastAsia="Arial" w:hAnsi="Arial"/>
                <w:sz w:val="13"/>
                <w:szCs w:val="13"/>
                <w:color w:val="auto"/>
              </w:rPr>
              <w:t>206,181</w:t>
            </w:r>
          </w:p>
        </w:tc>
        <w:tc>
          <w:tcPr>
            <w:tcW w:w="0" w:type="dxa"/>
            <w:vAlign w:val="bottom"/>
          </w:tcPr>
          <w:p>
            <w:pPr>
              <w:spacing w:after="0"/>
              <w:rPr>
                <w:sz w:val="1"/>
                <w:szCs w:val="1"/>
                <w:color w:val="auto"/>
              </w:rPr>
            </w:pPr>
          </w:p>
        </w:tc>
      </w:tr>
      <w:tr>
        <w:trPr>
          <w:trHeight w:val="173"/>
        </w:trPr>
        <w:tc>
          <w:tcPr>
            <w:tcW w:w="40" w:type="dxa"/>
            <w:vAlign w:val="bottom"/>
          </w:tcPr>
          <w:p>
            <w:pPr>
              <w:spacing w:after="0"/>
              <w:rPr>
                <w:sz w:val="15"/>
                <w:szCs w:val="15"/>
                <w:color w:val="auto"/>
              </w:rPr>
            </w:pPr>
          </w:p>
        </w:tc>
        <w:tc>
          <w:tcPr>
            <w:tcW w:w="2020" w:type="dxa"/>
            <w:vAlign w:val="bottom"/>
            <w:gridSpan w:val="4"/>
          </w:tcPr>
          <w:p>
            <w:pPr>
              <w:ind w:left="300"/>
              <w:spacing w:after="0"/>
              <w:rPr>
                <w:sz w:val="20"/>
                <w:szCs w:val="20"/>
                <w:color w:val="auto"/>
              </w:rPr>
            </w:pPr>
            <w:r>
              <w:rPr>
                <w:rFonts w:ascii="Arial" w:cs="Arial" w:eastAsia="Arial" w:hAnsi="Arial"/>
                <w:sz w:val="13"/>
                <w:szCs w:val="13"/>
                <w:color w:val="auto"/>
              </w:rPr>
              <w:t>Total investments</w:t>
            </w:r>
          </w:p>
        </w:tc>
        <w:tc>
          <w:tcPr>
            <w:tcW w:w="200" w:type="dxa"/>
            <w:vAlign w:val="bottom"/>
            <w:tcBorders>
              <w:top w:val="single" w:sz="8" w:color="auto"/>
              <w:bottom w:val="single" w:sz="8" w:color="auto"/>
            </w:tcBorders>
          </w:tcPr>
          <w:p>
            <w:pPr>
              <w:spacing w:after="0"/>
              <w:rPr>
                <w:sz w:val="15"/>
                <w:szCs w:val="15"/>
                <w:color w:val="auto"/>
              </w:rPr>
            </w:pPr>
          </w:p>
        </w:tc>
        <w:tc>
          <w:tcPr>
            <w:tcW w:w="84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3"/>
                <w:szCs w:val="13"/>
                <w:color w:val="auto"/>
              </w:rPr>
              <w:t>199,510</w:t>
            </w:r>
          </w:p>
        </w:tc>
        <w:tc>
          <w:tcPr>
            <w:tcW w:w="100" w:type="dxa"/>
            <w:vAlign w:val="bottom"/>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84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3"/>
                <w:szCs w:val="13"/>
                <w:color w:val="auto"/>
              </w:rPr>
              <w:t>417,727</w:t>
            </w:r>
          </w:p>
        </w:tc>
        <w:tc>
          <w:tcPr>
            <w:tcW w:w="100" w:type="dxa"/>
            <w:vAlign w:val="bottom"/>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4,395,740</w:t>
            </w:r>
          </w:p>
        </w:tc>
        <w:tc>
          <w:tcPr>
            <w:tcW w:w="100" w:type="dxa"/>
            <w:vAlign w:val="bottom"/>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5,012,977</w:t>
            </w:r>
          </w:p>
        </w:tc>
        <w:tc>
          <w:tcPr>
            <w:tcW w:w="220" w:type="dxa"/>
            <w:vAlign w:val="bottom"/>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84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3"/>
                <w:szCs w:val="13"/>
                <w:color w:val="auto"/>
              </w:rPr>
              <w:t>224,520</w:t>
            </w:r>
          </w:p>
        </w:tc>
        <w:tc>
          <w:tcPr>
            <w:tcW w:w="100" w:type="dxa"/>
            <w:vAlign w:val="bottom"/>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675,130</w:t>
            </w:r>
          </w:p>
        </w:tc>
        <w:tc>
          <w:tcPr>
            <w:tcW w:w="100" w:type="dxa"/>
            <w:vAlign w:val="bottom"/>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86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3"/>
                <w:szCs w:val="13"/>
                <w:color w:val="auto"/>
              </w:rPr>
              <w:t>4,047,212</w:t>
            </w:r>
          </w:p>
        </w:tc>
        <w:tc>
          <w:tcPr>
            <w:tcW w:w="100" w:type="dxa"/>
            <w:vAlign w:val="bottom"/>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84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3"/>
                <w:szCs w:val="13"/>
                <w:color w:val="auto"/>
              </w:rPr>
              <w:t>4,946,862</w:t>
            </w:r>
          </w:p>
        </w:tc>
        <w:tc>
          <w:tcPr>
            <w:tcW w:w="0" w:type="dxa"/>
            <w:vAlign w:val="bottom"/>
          </w:tcPr>
          <w:p>
            <w:pPr>
              <w:spacing w:after="0"/>
              <w:rPr>
                <w:sz w:val="1"/>
                <w:szCs w:val="1"/>
                <w:color w:val="auto"/>
              </w:rPr>
            </w:pPr>
          </w:p>
        </w:tc>
      </w:tr>
      <w:tr>
        <w:trPr>
          <w:trHeight w:val="156"/>
        </w:trPr>
        <w:tc>
          <w:tcPr>
            <w:tcW w:w="40" w:type="dxa"/>
            <w:vAlign w:val="bottom"/>
          </w:tcPr>
          <w:p>
            <w:pPr>
              <w:spacing w:after="0"/>
              <w:rPr>
                <w:sz w:val="13"/>
                <w:szCs w:val="13"/>
                <w:color w:val="auto"/>
              </w:rPr>
            </w:pPr>
          </w:p>
        </w:tc>
        <w:tc>
          <w:tcPr>
            <w:tcW w:w="2020" w:type="dxa"/>
            <w:vAlign w:val="bottom"/>
            <w:gridSpan w:val="4"/>
          </w:tcPr>
          <w:p>
            <w:pPr>
              <w:spacing w:after="0"/>
              <w:rPr>
                <w:sz w:val="20"/>
                <w:szCs w:val="20"/>
                <w:color w:val="auto"/>
              </w:rPr>
            </w:pPr>
            <w:r>
              <w:rPr>
                <w:rFonts w:ascii="Arial" w:cs="Arial" w:eastAsia="Arial" w:hAnsi="Arial"/>
                <w:sz w:val="13"/>
                <w:szCs w:val="13"/>
                <w:color w:val="auto"/>
              </w:rPr>
              <w:t>Derivatives:</w:t>
            </w: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2020" w:type="dxa"/>
            <w:vAlign w:val="bottom"/>
            <w:gridSpan w:val="4"/>
          </w:tcPr>
          <w:p>
            <w:pPr>
              <w:ind w:left="160"/>
              <w:spacing w:after="0" w:line="141" w:lineRule="exact"/>
              <w:rPr>
                <w:sz w:val="20"/>
                <w:szCs w:val="20"/>
                <w:color w:val="auto"/>
              </w:rPr>
            </w:pPr>
            <w:r>
              <w:rPr>
                <w:rFonts w:ascii="Arial" w:cs="Arial" w:eastAsia="Arial" w:hAnsi="Arial"/>
                <w:sz w:val="13"/>
                <w:szCs w:val="13"/>
                <w:color w:val="auto"/>
              </w:rPr>
              <w:t>Foreign-currency forward</w:t>
            </w:r>
          </w:p>
        </w:tc>
        <w:tc>
          <w:tcPr>
            <w:tcW w:w="200" w:type="dxa"/>
            <w:vAlign w:val="bottom"/>
          </w:tcPr>
          <w:p>
            <w:pPr>
              <w:spacing w:after="0"/>
              <w:rPr>
                <w:sz w:val="12"/>
                <w:szCs w:val="12"/>
                <w:color w:val="auto"/>
              </w:rPr>
            </w:pPr>
          </w:p>
        </w:tc>
        <w:tc>
          <w:tcPr>
            <w:tcW w:w="94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840" w:type="dxa"/>
            <w:vAlign w:val="bottom"/>
            <w:vMerge w:val="restart"/>
          </w:tcPr>
          <w:p>
            <w:pPr>
              <w:jc w:val="right"/>
              <w:ind w:right="16"/>
              <w:spacing w:after="0"/>
              <w:rPr>
                <w:sz w:val="20"/>
                <w:szCs w:val="20"/>
                <w:color w:val="auto"/>
              </w:rPr>
            </w:pPr>
            <w:r>
              <w:rPr>
                <w:rFonts w:ascii="Arial" w:cs="Arial" w:eastAsia="Arial" w:hAnsi="Arial"/>
                <w:sz w:val="13"/>
                <w:szCs w:val="13"/>
                <w:color w:val="auto"/>
              </w:rPr>
              <w:t>7,800</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Arial" w:cs="Arial" w:eastAsia="Arial" w:hAnsi="Arial"/>
                <w:sz w:val="13"/>
                <w:szCs w:val="13"/>
                <w:color w:val="auto"/>
              </w:rPr>
              <w:t>7,800</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840" w:type="dxa"/>
            <w:vAlign w:val="bottom"/>
            <w:vMerge w:val="restart"/>
          </w:tcPr>
          <w:p>
            <w:pPr>
              <w:jc w:val="right"/>
              <w:spacing w:after="0"/>
              <w:rPr>
                <w:sz w:val="20"/>
                <w:szCs w:val="20"/>
                <w:color w:val="auto"/>
              </w:rPr>
            </w:pPr>
            <w:r>
              <w:rPr>
                <w:rFonts w:ascii="Arial" w:cs="Arial" w:eastAsia="Arial" w:hAnsi="Arial"/>
                <w:sz w:val="13"/>
                <w:szCs w:val="13"/>
                <w:color w:val="auto"/>
              </w:rPr>
              <w:t>17,578</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840" w:type="dxa"/>
            <w:vAlign w:val="bottom"/>
            <w:vMerge w:val="restart"/>
          </w:tcPr>
          <w:p>
            <w:pPr>
              <w:jc w:val="right"/>
              <w:ind w:right="16"/>
              <w:spacing w:after="0"/>
              <w:rPr>
                <w:sz w:val="20"/>
                <w:szCs w:val="20"/>
                <w:color w:val="auto"/>
              </w:rPr>
            </w:pPr>
            <w:r>
              <w:rPr>
                <w:rFonts w:ascii="Arial" w:cs="Arial" w:eastAsia="Arial" w:hAnsi="Arial"/>
                <w:sz w:val="13"/>
                <w:szCs w:val="13"/>
                <w:color w:val="auto"/>
              </w:rPr>
              <w:t>17,578</w:t>
            </w:r>
          </w:p>
        </w:tc>
        <w:tc>
          <w:tcPr>
            <w:tcW w:w="0" w:type="dxa"/>
            <w:vAlign w:val="bottom"/>
          </w:tcPr>
          <w:p>
            <w:pPr>
              <w:spacing w:after="0"/>
              <w:rPr>
                <w:sz w:val="1"/>
                <w:szCs w:val="1"/>
                <w:color w:val="auto"/>
              </w:rPr>
            </w:pPr>
          </w:p>
        </w:tc>
      </w:tr>
      <w:tr>
        <w:trPr>
          <w:trHeight w:val="169"/>
        </w:trPr>
        <w:tc>
          <w:tcPr>
            <w:tcW w:w="40" w:type="dxa"/>
            <w:vAlign w:val="bottom"/>
          </w:tcPr>
          <w:p>
            <w:pPr>
              <w:spacing w:after="0"/>
              <w:rPr>
                <w:sz w:val="14"/>
                <w:szCs w:val="14"/>
                <w:color w:val="auto"/>
              </w:rPr>
            </w:pPr>
          </w:p>
        </w:tc>
        <w:tc>
          <w:tcPr>
            <w:tcW w:w="2020" w:type="dxa"/>
            <w:vAlign w:val="bottom"/>
            <w:gridSpan w:val="4"/>
          </w:tcPr>
          <w:p>
            <w:pPr>
              <w:ind w:left="300"/>
              <w:spacing w:after="0"/>
              <w:rPr>
                <w:sz w:val="20"/>
                <w:szCs w:val="20"/>
                <w:color w:val="auto"/>
              </w:rPr>
            </w:pPr>
            <w:r>
              <w:rPr>
                <w:rFonts w:ascii="Arial" w:cs="Arial" w:eastAsia="Arial" w:hAnsi="Arial"/>
                <w:sz w:val="13"/>
                <w:szCs w:val="13"/>
                <w:color w:val="auto"/>
              </w:rPr>
              <w:t>contracts</w:t>
            </w:r>
          </w:p>
        </w:tc>
        <w:tc>
          <w:tcPr>
            <w:tcW w:w="20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40" w:type="dxa"/>
            <w:vAlign w:val="bottom"/>
          </w:tcPr>
          <w:p>
            <w:pPr>
              <w:spacing w:after="0"/>
              <w:rPr>
                <w:sz w:val="16"/>
                <w:szCs w:val="16"/>
                <w:color w:val="auto"/>
              </w:rPr>
            </w:pPr>
          </w:p>
        </w:tc>
        <w:tc>
          <w:tcPr>
            <w:tcW w:w="2020" w:type="dxa"/>
            <w:vAlign w:val="bottom"/>
            <w:gridSpan w:val="4"/>
          </w:tcPr>
          <w:p>
            <w:pPr>
              <w:ind w:left="160"/>
              <w:spacing w:after="0"/>
              <w:rPr>
                <w:sz w:val="20"/>
                <w:szCs w:val="20"/>
                <w:color w:val="auto"/>
              </w:rPr>
            </w:pPr>
            <w:r>
              <w:rPr>
                <w:rFonts w:ascii="Arial" w:cs="Arial" w:eastAsia="Arial" w:hAnsi="Arial"/>
                <w:sz w:val="13"/>
                <w:szCs w:val="13"/>
                <w:color w:val="auto"/>
              </w:rPr>
              <w:t>Swaps</w:t>
            </w:r>
          </w:p>
        </w:tc>
        <w:tc>
          <w:tcPr>
            <w:tcW w:w="2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1,270</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1,270</w:t>
            </w:r>
          </w:p>
        </w:tc>
        <w:tc>
          <w:tcPr>
            <w:tcW w:w="2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15,771</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15,771</w:t>
            </w: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2020" w:type="dxa"/>
            <w:vAlign w:val="bottom"/>
            <w:gridSpan w:val="4"/>
          </w:tcPr>
          <w:p>
            <w:pPr>
              <w:ind w:left="300"/>
              <w:spacing w:after="0" w:line="181" w:lineRule="exact"/>
              <w:rPr>
                <w:sz w:val="20"/>
                <w:szCs w:val="20"/>
                <w:color w:val="auto"/>
              </w:rPr>
            </w:pPr>
            <w:r>
              <w:rPr>
                <w:rFonts w:ascii="Arial" w:cs="Arial" w:eastAsia="Arial" w:hAnsi="Arial"/>
                <w:sz w:val="13"/>
                <w:szCs w:val="13"/>
                <w:color w:val="auto"/>
              </w:rPr>
              <w:t xml:space="preserve">Total derivatives </w:t>
            </w:r>
            <w:r>
              <w:rPr>
                <w:rFonts w:ascii="Arial" w:cs="Arial" w:eastAsia="Arial" w:hAnsi="Arial"/>
                <w:sz w:val="16"/>
                <w:szCs w:val="16"/>
                <w:color w:val="auto"/>
                <w:vertAlign w:val="superscript"/>
              </w:rPr>
              <w:t>(1)</w:t>
            </w:r>
          </w:p>
        </w:tc>
        <w:tc>
          <w:tcPr>
            <w:tcW w:w="200" w:type="dxa"/>
            <w:vAlign w:val="bottom"/>
          </w:tcPr>
          <w:p>
            <w:pPr>
              <w:spacing w:after="0"/>
              <w:rPr>
                <w:sz w:val="15"/>
                <w:szCs w:val="15"/>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840" w:type="dxa"/>
            <w:vAlign w:val="bottom"/>
          </w:tcPr>
          <w:p>
            <w:pPr>
              <w:jc w:val="right"/>
              <w:ind w:right="16"/>
              <w:spacing w:after="0"/>
              <w:rPr>
                <w:sz w:val="20"/>
                <w:szCs w:val="20"/>
                <w:color w:val="auto"/>
              </w:rPr>
            </w:pPr>
            <w:r>
              <w:rPr>
                <w:rFonts w:ascii="Arial" w:cs="Arial" w:eastAsia="Arial" w:hAnsi="Arial"/>
                <w:sz w:val="13"/>
                <w:szCs w:val="13"/>
                <w:color w:val="auto"/>
              </w:rPr>
              <w:t>9,070</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9,070</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17,578</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jc w:val="right"/>
              <w:ind w:right="16"/>
              <w:spacing w:after="0"/>
              <w:rPr>
                <w:sz w:val="20"/>
                <w:szCs w:val="20"/>
                <w:color w:val="auto"/>
              </w:rPr>
            </w:pPr>
            <w:r>
              <w:rPr>
                <w:rFonts w:ascii="Arial" w:cs="Arial" w:eastAsia="Arial" w:hAnsi="Arial"/>
                <w:sz w:val="13"/>
                <w:szCs w:val="13"/>
                <w:color w:val="auto"/>
              </w:rPr>
              <w:t>15,771</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jc w:val="right"/>
              <w:ind w:right="16"/>
              <w:spacing w:after="0"/>
              <w:rPr>
                <w:sz w:val="20"/>
                <w:szCs w:val="20"/>
                <w:color w:val="auto"/>
              </w:rPr>
            </w:pPr>
            <w:r>
              <w:rPr>
                <w:rFonts w:ascii="Arial" w:cs="Arial" w:eastAsia="Arial" w:hAnsi="Arial"/>
                <w:sz w:val="13"/>
                <w:szCs w:val="13"/>
                <w:color w:val="auto"/>
              </w:rPr>
              <w:t>33,349</w:t>
            </w:r>
          </w:p>
        </w:tc>
        <w:tc>
          <w:tcPr>
            <w:tcW w:w="0" w:type="dxa"/>
            <w:vAlign w:val="bottom"/>
          </w:tcPr>
          <w:p>
            <w:pPr>
              <w:spacing w:after="0"/>
              <w:rPr>
                <w:sz w:val="1"/>
                <w:szCs w:val="1"/>
                <w:color w:val="auto"/>
              </w:rPr>
            </w:pPr>
          </w:p>
        </w:tc>
      </w:tr>
      <w:tr>
        <w:trPr>
          <w:trHeight w:val="173"/>
        </w:trPr>
        <w:tc>
          <w:tcPr>
            <w:tcW w:w="40" w:type="dxa"/>
            <w:vAlign w:val="bottom"/>
          </w:tcPr>
          <w:p>
            <w:pPr>
              <w:spacing w:after="0"/>
              <w:rPr>
                <w:sz w:val="15"/>
                <w:szCs w:val="15"/>
                <w:color w:val="auto"/>
              </w:rPr>
            </w:pPr>
          </w:p>
        </w:tc>
        <w:tc>
          <w:tcPr>
            <w:tcW w:w="2020" w:type="dxa"/>
            <w:vAlign w:val="bottom"/>
            <w:gridSpan w:val="4"/>
          </w:tcPr>
          <w:p>
            <w:pPr>
              <w:spacing w:after="0"/>
              <w:rPr>
                <w:sz w:val="20"/>
                <w:szCs w:val="20"/>
                <w:color w:val="auto"/>
              </w:rPr>
            </w:pPr>
            <w:r>
              <w:rPr>
                <w:rFonts w:ascii="Arial" w:cs="Arial" w:eastAsia="Arial" w:hAnsi="Arial"/>
                <w:sz w:val="13"/>
                <w:szCs w:val="13"/>
                <w:color w:val="auto"/>
              </w:rPr>
              <w:t>Total assets</w:t>
            </w:r>
          </w:p>
        </w:tc>
        <w:tc>
          <w:tcPr>
            <w:tcW w:w="200" w:type="dxa"/>
            <w:vAlign w:val="bottom"/>
            <w:tcBorders>
              <w:top w:val="single" w:sz="8" w:color="auto"/>
              <w:bottom w:val="single" w:sz="8" w:color="auto"/>
            </w:tcBorders>
          </w:tcPr>
          <w:p>
            <w:pPr>
              <w:jc w:val="right"/>
              <w:ind w:right="56"/>
              <w:spacing w:after="0"/>
              <w:rPr>
                <w:sz w:val="20"/>
                <w:szCs w:val="20"/>
                <w:color w:val="auto"/>
              </w:rPr>
            </w:pPr>
            <w:r>
              <w:rPr>
                <w:rFonts w:ascii="Arial" w:cs="Arial" w:eastAsia="Arial" w:hAnsi="Arial"/>
                <w:sz w:val="13"/>
                <w:szCs w:val="13"/>
                <w:color w:val="auto"/>
                <w:w w:val="82"/>
              </w:rPr>
              <w:t>$</w:t>
            </w:r>
          </w:p>
        </w:tc>
        <w:tc>
          <w:tcPr>
            <w:tcW w:w="84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3"/>
                <w:szCs w:val="13"/>
                <w:color w:val="auto"/>
              </w:rPr>
              <w:t>199,510</w:t>
            </w:r>
          </w:p>
        </w:tc>
        <w:tc>
          <w:tcPr>
            <w:tcW w:w="100" w:type="dxa"/>
            <w:vAlign w:val="bottom"/>
          </w:tcPr>
          <w:p>
            <w:pPr>
              <w:spacing w:after="0"/>
              <w:rPr>
                <w:sz w:val="15"/>
                <w:szCs w:val="15"/>
                <w:color w:val="auto"/>
              </w:rPr>
            </w:pPr>
          </w:p>
        </w:tc>
        <w:tc>
          <w:tcPr>
            <w:tcW w:w="200" w:type="dxa"/>
            <w:vAlign w:val="bottom"/>
            <w:tcBorders>
              <w:top w:val="single" w:sz="8" w:color="auto"/>
              <w:bottom w:val="single" w:sz="8" w:color="auto"/>
            </w:tcBorders>
          </w:tcPr>
          <w:p>
            <w:pPr>
              <w:jc w:val="right"/>
              <w:ind w:right="56"/>
              <w:spacing w:after="0"/>
              <w:rPr>
                <w:sz w:val="20"/>
                <w:szCs w:val="20"/>
                <w:color w:val="auto"/>
              </w:rPr>
            </w:pPr>
            <w:r>
              <w:rPr>
                <w:rFonts w:ascii="Arial" w:cs="Arial" w:eastAsia="Arial" w:hAnsi="Arial"/>
                <w:sz w:val="13"/>
                <w:szCs w:val="13"/>
                <w:color w:val="auto"/>
                <w:w w:val="82"/>
              </w:rPr>
              <w:t>$</w:t>
            </w:r>
          </w:p>
        </w:tc>
        <w:tc>
          <w:tcPr>
            <w:tcW w:w="84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3"/>
                <w:szCs w:val="13"/>
                <w:color w:val="auto"/>
              </w:rPr>
              <w:t>426,797</w:t>
            </w:r>
          </w:p>
        </w:tc>
        <w:tc>
          <w:tcPr>
            <w:tcW w:w="100" w:type="dxa"/>
            <w:vAlign w:val="bottom"/>
          </w:tcPr>
          <w:p>
            <w:pPr>
              <w:spacing w:after="0"/>
              <w:rPr>
                <w:sz w:val="15"/>
                <w:szCs w:val="15"/>
                <w:color w:val="auto"/>
              </w:rPr>
            </w:pPr>
          </w:p>
        </w:tc>
        <w:tc>
          <w:tcPr>
            <w:tcW w:w="18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3"/>
                <w:szCs w:val="13"/>
                <w:color w:val="auto"/>
                <w:w w:val="82"/>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4,395,740</w:t>
            </w:r>
          </w:p>
        </w:tc>
        <w:tc>
          <w:tcPr>
            <w:tcW w:w="100" w:type="dxa"/>
            <w:vAlign w:val="bottom"/>
          </w:tcPr>
          <w:p>
            <w:pPr>
              <w:spacing w:after="0"/>
              <w:rPr>
                <w:sz w:val="15"/>
                <w:szCs w:val="15"/>
                <w:color w:val="auto"/>
              </w:rPr>
            </w:pPr>
          </w:p>
        </w:tc>
        <w:tc>
          <w:tcPr>
            <w:tcW w:w="240" w:type="dxa"/>
            <w:vAlign w:val="bottom"/>
            <w:tcBorders>
              <w:top w:val="single" w:sz="8" w:color="auto"/>
              <w:bottom w:val="single" w:sz="8" w:color="auto"/>
            </w:tcBorders>
          </w:tcPr>
          <w:p>
            <w:pPr>
              <w:jc w:val="right"/>
              <w:ind w:right="96"/>
              <w:spacing w:after="0"/>
              <w:rPr>
                <w:sz w:val="20"/>
                <w:szCs w:val="20"/>
                <w:color w:val="auto"/>
              </w:rPr>
            </w:pPr>
            <w:r>
              <w:rPr>
                <w:rFonts w:ascii="Arial" w:cs="Arial" w:eastAsia="Arial" w:hAnsi="Arial"/>
                <w:sz w:val="13"/>
                <w:szCs w:val="13"/>
                <w:color w:val="auto"/>
                <w:w w:val="82"/>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5,022,047</w:t>
            </w:r>
          </w:p>
        </w:tc>
        <w:tc>
          <w:tcPr>
            <w:tcW w:w="220" w:type="dxa"/>
            <w:vAlign w:val="bottom"/>
          </w:tcPr>
          <w:p>
            <w:pPr>
              <w:spacing w:after="0"/>
              <w:rPr>
                <w:sz w:val="15"/>
                <w:szCs w:val="15"/>
                <w:color w:val="auto"/>
              </w:rPr>
            </w:pPr>
          </w:p>
        </w:tc>
        <w:tc>
          <w:tcPr>
            <w:tcW w:w="200" w:type="dxa"/>
            <w:vAlign w:val="bottom"/>
            <w:tcBorders>
              <w:top w:val="single" w:sz="8" w:color="auto"/>
              <w:bottom w:val="single" w:sz="8" w:color="auto"/>
            </w:tcBorders>
          </w:tcPr>
          <w:p>
            <w:pPr>
              <w:jc w:val="right"/>
              <w:ind w:right="56"/>
              <w:spacing w:after="0"/>
              <w:rPr>
                <w:sz w:val="20"/>
                <w:szCs w:val="20"/>
                <w:color w:val="auto"/>
              </w:rPr>
            </w:pPr>
            <w:r>
              <w:rPr>
                <w:rFonts w:ascii="Arial" w:cs="Arial" w:eastAsia="Arial" w:hAnsi="Arial"/>
                <w:sz w:val="13"/>
                <w:szCs w:val="13"/>
                <w:color w:val="auto"/>
                <w:w w:val="82"/>
              </w:rPr>
              <w:t>$</w:t>
            </w:r>
          </w:p>
        </w:tc>
        <w:tc>
          <w:tcPr>
            <w:tcW w:w="84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3"/>
                <w:szCs w:val="13"/>
                <w:color w:val="auto"/>
              </w:rPr>
              <w:t>224,520</w:t>
            </w:r>
          </w:p>
        </w:tc>
        <w:tc>
          <w:tcPr>
            <w:tcW w:w="100" w:type="dxa"/>
            <w:vAlign w:val="bottom"/>
          </w:tcPr>
          <w:p>
            <w:pPr>
              <w:spacing w:after="0"/>
              <w:rPr>
                <w:sz w:val="15"/>
                <w:szCs w:val="15"/>
                <w:color w:val="auto"/>
              </w:rPr>
            </w:pPr>
          </w:p>
        </w:tc>
        <w:tc>
          <w:tcPr>
            <w:tcW w:w="200" w:type="dxa"/>
            <w:vAlign w:val="bottom"/>
            <w:tcBorders>
              <w:top w:val="single" w:sz="8" w:color="auto"/>
              <w:bottom w:val="single" w:sz="8" w:color="auto"/>
            </w:tcBorders>
          </w:tcPr>
          <w:p>
            <w:pPr>
              <w:jc w:val="right"/>
              <w:ind w:right="56"/>
              <w:spacing w:after="0"/>
              <w:rPr>
                <w:sz w:val="20"/>
                <w:szCs w:val="20"/>
                <w:color w:val="auto"/>
              </w:rPr>
            </w:pPr>
            <w:r>
              <w:rPr>
                <w:rFonts w:ascii="Arial" w:cs="Arial" w:eastAsia="Arial" w:hAnsi="Arial"/>
                <w:sz w:val="13"/>
                <w:szCs w:val="13"/>
                <w:color w:val="auto"/>
                <w:w w:val="82"/>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692,708</w:t>
            </w:r>
          </w:p>
        </w:tc>
        <w:tc>
          <w:tcPr>
            <w:tcW w:w="100" w:type="dxa"/>
            <w:vAlign w:val="bottom"/>
          </w:tcPr>
          <w:p>
            <w:pPr>
              <w:spacing w:after="0"/>
              <w:rPr>
                <w:sz w:val="15"/>
                <w:szCs w:val="15"/>
                <w:color w:val="auto"/>
              </w:rPr>
            </w:pPr>
          </w:p>
        </w:tc>
        <w:tc>
          <w:tcPr>
            <w:tcW w:w="200" w:type="dxa"/>
            <w:vAlign w:val="bottom"/>
            <w:tcBorders>
              <w:top w:val="single" w:sz="8" w:color="auto"/>
              <w:bottom w:val="single" w:sz="8" w:color="auto"/>
            </w:tcBorders>
          </w:tcPr>
          <w:p>
            <w:pPr>
              <w:jc w:val="right"/>
              <w:ind w:right="56"/>
              <w:spacing w:after="0"/>
              <w:rPr>
                <w:sz w:val="20"/>
                <w:szCs w:val="20"/>
                <w:color w:val="auto"/>
              </w:rPr>
            </w:pPr>
            <w:r>
              <w:rPr>
                <w:rFonts w:ascii="Arial" w:cs="Arial" w:eastAsia="Arial" w:hAnsi="Arial"/>
                <w:sz w:val="13"/>
                <w:szCs w:val="13"/>
                <w:color w:val="auto"/>
                <w:w w:val="82"/>
              </w:rPr>
              <w:t>$</w:t>
            </w:r>
          </w:p>
        </w:tc>
        <w:tc>
          <w:tcPr>
            <w:tcW w:w="86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3"/>
                <w:szCs w:val="13"/>
                <w:color w:val="auto"/>
              </w:rPr>
              <w:t>4,062,983</w:t>
            </w:r>
          </w:p>
        </w:tc>
        <w:tc>
          <w:tcPr>
            <w:tcW w:w="100" w:type="dxa"/>
            <w:vAlign w:val="bottom"/>
          </w:tcPr>
          <w:p>
            <w:pPr>
              <w:spacing w:after="0"/>
              <w:rPr>
                <w:sz w:val="15"/>
                <w:szCs w:val="15"/>
                <w:color w:val="auto"/>
              </w:rPr>
            </w:pPr>
          </w:p>
        </w:tc>
        <w:tc>
          <w:tcPr>
            <w:tcW w:w="220" w:type="dxa"/>
            <w:vAlign w:val="bottom"/>
            <w:tcBorders>
              <w:top w:val="single" w:sz="8" w:color="auto"/>
              <w:bottom w:val="single" w:sz="8" w:color="auto"/>
            </w:tcBorders>
          </w:tcPr>
          <w:p>
            <w:pPr>
              <w:jc w:val="right"/>
              <w:ind w:right="76"/>
              <w:spacing w:after="0"/>
              <w:rPr>
                <w:sz w:val="20"/>
                <w:szCs w:val="20"/>
                <w:color w:val="auto"/>
              </w:rPr>
            </w:pPr>
            <w:r>
              <w:rPr>
                <w:rFonts w:ascii="Arial" w:cs="Arial" w:eastAsia="Arial" w:hAnsi="Arial"/>
                <w:sz w:val="13"/>
                <w:szCs w:val="13"/>
                <w:color w:val="auto"/>
                <w:w w:val="82"/>
              </w:rPr>
              <w:t>$</w:t>
            </w:r>
          </w:p>
        </w:tc>
        <w:tc>
          <w:tcPr>
            <w:tcW w:w="84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3"/>
                <w:szCs w:val="13"/>
                <w:color w:val="auto"/>
              </w:rPr>
              <w:t>4,980,211</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600" w:type="dxa"/>
            <w:vAlign w:val="bottom"/>
            <w:gridSpan w:val="3"/>
            <w:vMerge w:val="restart"/>
          </w:tcPr>
          <w:p>
            <w:pPr>
              <w:spacing w:after="0"/>
              <w:rPr>
                <w:sz w:val="20"/>
                <w:szCs w:val="20"/>
                <w:color w:val="auto"/>
              </w:rPr>
            </w:pPr>
            <w:r>
              <w:rPr>
                <w:rFonts w:ascii="Arial" w:cs="Arial" w:eastAsia="Arial" w:hAnsi="Arial"/>
                <w:sz w:val="13"/>
                <w:szCs w:val="13"/>
                <w:b w:val="1"/>
                <w:bCs w:val="1"/>
                <w:color w:val="auto"/>
                <w:w w:val="96"/>
              </w:rPr>
              <w:t>Liabilities</w:t>
            </w:r>
          </w:p>
        </w:tc>
        <w:tc>
          <w:tcPr>
            <w:tcW w:w="1420" w:type="dxa"/>
            <w:vAlign w:val="bottom"/>
            <w:vMerge w:val="restart"/>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40" w:type="dxa"/>
            <w:vAlign w:val="bottom"/>
          </w:tcPr>
          <w:p>
            <w:pPr>
              <w:spacing w:after="0"/>
              <w:rPr>
                <w:sz w:val="18"/>
                <w:szCs w:val="18"/>
                <w:color w:val="auto"/>
              </w:rPr>
            </w:pPr>
          </w:p>
        </w:tc>
        <w:tc>
          <w:tcPr>
            <w:tcW w:w="600" w:type="dxa"/>
            <w:vAlign w:val="bottom"/>
            <w:tcBorders>
              <w:bottom w:val="single" w:sz="8" w:color="auto"/>
            </w:tcBorders>
            <w:gridSpan w:val="3"/>
            <w:vMerge w:val="continue"/>
          </w:tcPr>
          <w:p>
            <w:pPr>
              <w:spacing w:after="0"/>
              <w:rPr>
                <w:sz w:val="18"/>
                <w:szCs w:val="18"/>
                <w:color w:val="auto"/>
              </w:rPr>
            </w:pPr>
          </w:p>
        </w:tc>
        <w:tc>
          <w:tcPr>
            <w:tcW w:w="142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40" w:type="dxa"/>
            <w:vAlign w:val="bottom"/>
          </w:tcPr>
          <w:p>
            <w:pPr>
              <w:spacing w:after="0"/>
              <w:rPr>
                <w:sz w:val="16"/>
                <w:szCs w:val="16"/>
                <w:color w:val="auto"/>
              </w:rPr>
            </w:pPr>
          </w:p>
        </w:tc>
        <w:tc>
          <w:tcPr>
            <w:tcW w:w="2020" w:type="dxa"/>
            <w:vAlign w:val="bottom"/>
            <w:gridSpan w:val="4"/>
          </w:tcPr>
          <w:p>
            <w:pPr>
              <w:spacing w:after="0"/>
              <w:rPr>
                <w:sz w:val="20"/>
                <w:szCs w:val="20"/>
                <w:color w:val="auto"/>
              </w:rPr>
            </w:pPr>
            <w:r>
              <w:rPr>
                <w:rFonts w:ascii="Arial" w:cs="Arial" w:eastAsia="Arial" w:hAnsi="Arial"/>
                <w:sz w:val="13"/>
                <w:szCs w:val="13"/>
                <w:color w:val="auto"/>
              </w:rPr>
              <w:t>Derivatives:</w:t>
            </w: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2020" w:type="dxa"/>
            <w:vAlign w:val="bottom"/>
            <w:gridSpan w:val="4"/>
          </w:tcPr>
          <w:p>
            <w:pPr>
              <w:ind w:left="160"/>
              <w:spacing w:after="0" w:line="141" w:lineRule="exact"/>
              <w:rPr>
                <w:sz w:val="20"/>
                <w:szCs w:val="20"/>
                <w:color w:val="auto"/>
              </w:rPr>
            </w:pPr>
            <w:r>
              <w:rPr>
                <w:rFonts w:ascii="Arial" w:cs="Arial" w:eastAsia="Arial" w:hAnsi="Arial"/>
                <w:sz w:val="13"/>
                <w:szCs w:val="13"/>
                <w:color w:val="auto"/>
              </w:rPr>
              <w:t>Foreign-currency forward</w:t>
            </w:r>
          </w:p>
        </w:tc>
        <w:tc>
          <w:tcPr>
            <w:tcW w:w="200" w:type="dxa"/>
            <w:vAlign w:val="bottom"/>
          </w:tcPr>
          <w:p>
            <w:pPr>
              <w:spacing w:after="0"/>
              <w:rPr>
                <w:sz w:val="12"/>
                <w:szCs w:val="12"/>
                <w:color w:val="auto"/>
              </w:rPr>
            </w:pPr>
          </w:p>
        </w:tc>
        <w:tc>
          <w:tcPr>
            <w:tcW w:w="94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840" w:type="dxa"/>
            <w:vAlign w:val="bottom"/>
            <w:vMerge w:val="restart"/>
          </w:tcPr>
          <w:p>
            <w:pPr>
              <w:jc w:val="right"/>
              <w:spacing w:after="0"/>
              <w:rPr>
                <w:sz w:val="20"/>
                <w:szCs w:val="20"/>
                <w:color w:val="auto"/>
              </w:rPr>
            </w:pPr>
            <w:r>
              <w:rPr>
                <w:rFonts w:ascii="Arial" w:cs="Arial" w:eastAsia="Arial" w:hAnsi="Arial"/>
                <w:sz w:val="13"/>
                <w:szCs w:val="13"/>
                <w:color w:val="auto"/>
              </w:rPr>
              <w:t>(47,032)</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Arial" w:cs="Arial" w:eastAsia="Arial" w:hAnsi="Arial"/>
                <w:sz w:val="13"/>
                <w:szCs w:val="13"/>
                <w:color w:val="auto"/>
              </w:rPr>
              <w:t>(47,032)</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840" w:type="dxa"/>
            <w:vAlign w:val="bottom"/>
            <w:vMerge w:val="restart"/>
          </w:tcPr>
          <w:p>
            <w:pPr>
              <w:jc w:val="right"/>
              <w:spacing w:after="0"/>
              <w:rPr>
                <w:sz w:val="20"/>
                <w:szCs w:val="20"/>
                <w:color w:val="auto"/>
              </w:rPr>
            </w:pPr>
            <w:r>
              <w:rPr>
                <w:rFonts w:ascii="Arial" w:cs="Arial" w:eastAsia="Arial" w:hAnsi="Arial"/>
                <w:sz w:val="13"/>
                <w:szCs w:val="13"/>
                <w:color w:val="auto"/>
              </w:rPr>
              <w:t>(8,513)</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840" w:type="dxa"/>
            <w:vAlign w:val="bottom"/>
            <w:vMerge w:val="restart"/>
          </w:tcPr>
          <w:p>
            <w:pPr>
              <w:jc w:val="right"/>
              <w:spacing w:after="0"/>
              <w:rPr>
                <w:sz w:val="20"/>
                <w:szCs w:val="20"/>
                <w:color w:val="auto"/>
              </w:rPr>
            </w:pPr>
            <w:r>
              <w:rPr>
                <w:rFonts w:ascii="Arial" w:cs="Arial" w:eastAsia="Arial" w:hAnsi="Arial"/>
                <w:sz w:val="13"/>
                <w:szCs w:val="13"/>
                <w:color w:val="auto"/>
              </w:rPr>
              <w:t>(8,513)</w:t>
            </w:r>
          </w:p>
        </w:tc>
        <w:tc>
          <w:tcPr>
            <w:tcW w:w="0" w:type="dxa"/>
            <w:vAlign w:val="bottom"/>
          </w:tcPr>
          <w:p>
            <w:pPr>
              <w:spacing w:after="0"/>
              <w:rPr>
                <w:sz w:val="1"/>
                <w:szCs w:val="1"/>
                <w:color w:val="auto"/>
              </w:rPr>
            </w:pPr>
          </w:p>
        </w:tc>
      </w:tr>
      <w:tr>
        <w:trPr>
          <w:trHeight w:val="169"/>
        </w:trPr>
        <w:tc>
          <w:tcPr>
            <w:tcW w:w="40" w:type="dxa"/>
            <w:vAlign w:val="bottom"/>
          </w:tcPr>
          <w:p>
            <w:pPr>
              <w:spacing w:after="0"/>
              <w:rPr>
                <w:sz w:val="14"/>
                <w:szCs w:val="14"/>
                <w:color w:val="auto"/>
              </w:rPr>
            </w:pPr>
          </w:p>
        </w:tc>
        <w:tc>
          <w:tcPr>
            <w:tcW w:w="2020" w:type="dxa"/>
            <w:vAlign w:val="bottom"/>
            <w:gridSpan w:val="4"/>
          </w:tcPr>
          <w:p>
            <w:pPr>
              <w:ind w:left="300"/>
              <w:spacing w:after="0"/>
              <w:rPr>
                <w:sz w:val="20"/>
                <w:szCs w:val="20"/>
                <w:color w:val="auto"/>
              </w:rPr>
            </w:pPr>
            <w:r>
              <w:rPr>
                <w:rFonts w:ascii="Arial" w:cs="Arial" w:eastAsia="Arial" w:hAnsi="Arial"/>
                <w:sz w:val="13"/>
                <w:szCs w:val="13"/>
                <w:color w:val="auto"/>
              </w:rPr>
              <w:t>contracts</w:t>
            </w:r>
          </w:p>
        </w:tc>
        <w:tc>
          <w:tcPr>
            <w:tcW w:w="20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2020" w:type="dxa"/>
            <w:vAlign w:val="bottom"/>
            <w:gridSpan w:val="4"/>
          </w:tcPr>
          <w:p>
            <w:pPr>
              <w:ind w:left="160"/>
              <w:spacing w:after="0"/>
              <w:rPr>
                <w:sz w:val="20"/>
                <w:szCs w:val="20"/>
                <w:color w:val="auto"/>
              </w:rPr>
            </w:pPr>
            <w:r>
              <w:rPr>
                <w:rFonts w:ascii="Arial" w:cs="Arial" w:eastAsia="Arial" w:hAnsi="Arial"/>
                <w:sz w:val="13"/>
                <w:szCs w:val="13"/>
                <w:color w:val="auto"/>
              </w:rPr>
              <w:t>Swaps</w:t>
            </w:r>
          </w:p>
        </w:tc>
        <w:tc>
          <w:tcPr>
            <w:tcW w:w="200" w:type="dxa"/>
            <w:vAlign w:val="bottom"/>
          </w:tcPr>
          <w:p>
            <w:pPr>
              <w:spacing w:after="0"/>
              <w:rPr>
                <w:sz w:val="15"/>
                <w:szCs w:val="15"/>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5"/>
                <w:szCs w:val="15"/>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(19)</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(19)</w:t>
            </w:r>
          </w:p>
        </w:tc>
        <w:tc>
          <w:tcPr>
            <w:tcW w:w="0" w:type="dxa"/>
            <w:vAlign w:val="bottom"/>
          </w:tcPr>
          <w:p>
            <w:pPr>
              <w:spacing w:after="0"/>
              <w:rPr>
                <w:sz w:val="1"/>
                <w:szCs w:val="1"/>
                <w:color w:val="auto"/>
              </w:rPr>
            </w:pPr>
          </w:p>
        </w:tc>
      </w:tr>
      <w:tr>
        <w:trPr>
          <w:trHeight w:val="185"/>
        </w:trPr>
        <w:tc>
          <w:tcPr>
            <w:tcW w:w="40" w:type="dxa"/>
            <w:vAlign w:val="bottom"/>
          </w:tcPr>
          <w:p>
            <w:pPr>
              <w:spacing w:after="0"/>
              <w:rPr>
                <w:sz w:val="16"/>
                <w:szCs w:val="16"/>
                <w:color w:val="auto"/>
              </w:rPr>
            </w:pPr>
          </w:p>
        </w:tc>
        <w:tc>
          <w:tcPr>
            <w:tcW w:w="2020" w:type="dxa"/>
            <w:vAlign w:val="bottom"/>
            <w:gridSpan w:val="4"/>
          </w:tcPr>
          <w:p>
            <w:pPr>
              <w:ind w:left="160"/>
              <w:spacing w:after="0"/>
              <w:rPr>
                <w:sz w:val="20"/>
                <w:szCs w:val="20"/>
                <w:color w:val="auto"/>
              </w:rPr>
            </w:pPr>
            <w:r>
              <w:rPr>
                <w:rFonts w:ascii="Arial" w:cs="Arial" w:eastAsia="Arial" w:hAnsi="Arial"/>
                <w:sz w:val="13"/>
                <w:szCs w:val="13"/>
                <w:color w:val="auto"/>
              </w:rPr>
              <w:t>Options and futures</w:t>
            </w:r>
          </w:p>
        </w:tc>
        <w:tc>
          <w:tcPr>
            <w:tcW w:w="2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(1,861)</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(1,861)</w:t>
            </w:r>
          </w:p>
        </w:tc>
        <w:tc>
          <w:tcPr>
            <w:tcW w:w="2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(4,853)</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(4,853)</w:t>
            </w: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2020" w:type="dxa"/>
            <w:vAlign w:val="bottom"/>
            <w:gridSpan w:val="4"/>
          </w:tcPr>
          <w:p>
            <w:pPr>
              <w:ind w:left="300"/>
              <w:spacing w:after="0" w:line="181" w:lineRule="exact"/>
              <w:rPr>
                <w:sz w:val="20"/>
                <w:szCs w:val="20"/>
                <w:color w:val="auto"/>
              </w:rPr>
            </w:pPr>
            <w:r>
              <w:rPr>
                <w:rFonts w:ascii="Arial" w:cs="Arial" w:eastAsia="Arial" w:hAnsi="Arial"/>
                <w:sz w:val="13"/>
                <w:szCs w:val="13"/>
                <w:color w:val="auto"/>
              </w:rPr>
              <w:t xml:space="preserve">Total derivatives </w:t>
            </w:r>
            <w:r>
              <w:rPr>
                <w:rFonts w:ascii="Arial" w:cs="Arial" w:eastAsia="Arial" w:hAnsi="Arial"/>
                <w:sz w:val="16"/>
                <w:szCs w:val="16"/>
                <w:color w:val="auto"/>
                <w:vertAlign w:val="superscript"/>
              </w:rPr>
              <w:t>(2)</w:t>
            </w:r>
          </w:p>
        </w:tc>
        <w:tc>
          <w:tcPr>
            <w:tcW w:w="2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(48,893)</w:t>
            </w: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(48,893)</w:t>
            </w:r>
          </w:p>
        </w:tc>
        <w:tc>
          <w:tcPr>
            <w:tcW w:w="2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(13,385)</w:t>
            </w: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(13,385)</w:t>
            </w:r>
          </w:p>
        </w:tc>
        <w:tc>
          <w:tcPr>
            <w:tcW w:w="0" w:type="dxa"/>
            <w:vAlign w:val="bottom"/>
          </w:tcPr>
          <w:p>
            <w:pPr>
              <w:spacing w:after="0"/>
              <w:rPr>
                <w:sz w:val="1"/>
                <w:szCs w:val="1"/>
                <w:color w:val="auto"/>
              </w:rPr>
            </w:pPr>
          </w:p>
        </w:tc>
      </w:tr>
      <w:tr>
        <w:trPr>
          <w:trHeight w:val="173"/>
        </w:trPr>
        <w:tc>
          <w:tcPr>
            <w:tcW w:w="40" w:type="dxa"/>
            <w:vAlign w:val="bottom"/>
          </w:tcPr>
          <w:p>
            <w:pPr>
              <w:spacing w:after="0"/>
              <w:rPr>
                <w:sz w:val="15"/>
                <w:szCs w:val="15"/>
                <w:color w:val="auto"/>
              </w:rPr>
            </w:pPr>
          </w:p>
        </w:tc>
        <w:tc>
          <w:tcPr>
            <w:tcW w:w="2020" w:type="dxa"/>
            <w:vAlign w:val="bottom"/>
            <w:gridSpan w:val="4"/>
          </w:tcPr>
          <w:p>
            <w:pPr>
              <w:spacing w:after="0"/>
              <w:rPr>
                <w:sz w:val="20"/>
                <w:szCs w:val="20"/>
                <w:color w:val="auto"/>
              </w:rPr>
            </w:pPr>
            <w:r>
              <w:rPr>
                <w:rFonts w:ascii="Arial" w:cs="Arial" w:eastAsia="Arial" w:hAnsi="Arial"/>
                <w:sz w:val="13"/>
                <w:szCs w:val="13"/>
                <w:color w:val="auto"/>
              </w:rPr>
              <w:t>Total liabilities</w:t>
            </w:r>
          </w:p>
        </w:tc>
        <w:tc>
          <w:tcPr>
            <w:tcW w:w="200" w:type="dxa"/>
            <w:vAlign w:val="bottom"/>
          </w:tcPr>
          <w:p>
            <w:pPr>
              <w:jc w:val="right"/>
              <w:ind w:right="56"/>
              <w:spacing w:after="0"/>
              <w:rPr>
                <w:sz w:val="20"/>
                <w:szCs w:val="20"/>
                <w:color w:val="auto"/>
              </w:rPr>
            </w:pPr>
            <w:r>
              <w:rPr>
                <w:rFonts w:ascii="Arial" w:cs="Arial" w:eastAsia="Arial" w:hAnsi="Arial"/>
                <w:sz w:val="13"/>
                <w:szCs w:val="13"/>
                <w:color w:val="auto"/>
                <w:w w:val="82"/>
              </w:rPr>
              <w:t>$</w:t>
            </w:r>
          </w:p>
        </w:tc>
        <w:tc>
          <w:tcPr>
            <w:tcW w:w="9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200" w:type="dxa"/>
            <w:vAlign w:val="bottom"/>
          </w:tcPr>
          <w:p>
            <w:pPr>
              <w:jc w:val="right"/>
              <w:ind w:right="56"/>
              <w:spacing w:after="0"/>
              <w:rPr>
                <w:sz w:val="20"/>
                <w:szCs w:val="20"/>
                <w:color w:val="auto"/>
              </w:rPr>
            </w:pPr>
            <w:r>
              <w:rPr>
                <w:rFonts w:ascii="Arial" w:cs="Arial" w:eastAsia="Arial" w:hAnsi="Arial"/>
                <w:sz w:val="13"/>
                <w:szCs w:val="13"/>
                <w:color w:val="auto"/>
                <w:w w:val="82"/>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(48,893)</w:t>
            </w:r>
          </w:p>
        </w:tc>
        <w:tc>
          <w:tcPr>
            <w:tcW w:w="100" w:type="dxa"/>
            <w:vAlign w:val="bottom"/>
          </w:tcPr>
          <w:p>
            <w:pPr>
              <w:spacing w:after="0"/>
              <w:rPr>
                <w:sz w:val="15"/>
                <w:szCs w:val="15"/>
                <w:color w:val="auto"/>
              </w:rPr>
            </w:pPr>
          </w:p>
        </w:tc>
        <w:tc>
          <w:tcPr>
            <w:tcW w:w="180" w:type="dxa"/>
            <w:vAlign w:val="bottom"/>
          </w:tcPr>
          <w:p>
            <w:pPr>
              <w:jc w:val="right"/>
              <w:ind w:right="36"/>
              <w:spacing w:after="0"/>
              <w:rPr>
                <w:sz w:val="20"/>
                <w:szCs w:val="20"/>
                <w:color w:val="auto"/>
              </w:rPr>
            </w:pPr>
            <w:r>
              <w:rPr>
                <w:rFonts w:ascii="Arial" w:cs="Arial" w:eastAsia="Arial" w:hAnsi="Arial"/>
                <w:sz w:val="13"/>
                <w:szCs w:val="13"/>
                <w:color w:val="auto"/>
                <w:w w:val="82"/>
              </w:rPr>
              <w:t>$</w:t>
            </w:r>
          </w:p>
        </w:tc>
        <w:tc>
          <w:tcPr>
            <w:tcW w:w="9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40" w:type="dxa"/>
            <w:vAlign w:val="bottom"/>
          </w:tcPr>
          <w:p>
            <w:pPr>
              <w:jc w:val="right"/>
              <w:ind w:right="96"/>
              <w:spacing w:after="0"/>
              <w:rPr>
                <w:sz w:val="20"/>
                <w:szCs w:val="20"/>
                <w:color w:val="auto"/>
              </w:rPr>
            </w:pPr>
            <w:r>
              <w:rPr>
                <w:rFonts w:ascii="Arial" w:cs="Arial" w:eastAsia="Arial" w:hAnsi="Arial"/>
                <w:sz w:val="13"/>
                <w:szCs w:val="13"/>
                <w:color w:val="auto"/>
                <w:w w:val="82"/>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(48,893)</w:t>
            </w:r>
          </w:p>
        </w:tc>
        <w:tc>
          <w:tcPr>
            <w:tcW w:w="220" w:type="dxa"/>
            <w:vAlign w:val="bottom"/>
          </w:tcPr>
          <w:p>
            <w:pPr>
              <w:spacing w:after="0"/>
              <w:rPr>
                <w:sz w:val="15"/>
                <w:szCs w:val="15"/>
                <w:color w:val="auto"/>
              </w:rPr>
            </w:pPr>
          </w:p>
        </w:tc>
        <w:tc>
          <w:tcPr>
            <w:tcW w:w="200" w:type="dxa"/>
            <w:vAlign w:val="bottom"/>
          </w:tcPr>
          <w:p>
            <w:pPr>
              <w:jc w:val="right"/>
              <w:ind w:right="56"/>
              <w:spacing w:after="0"/>
              <w:rPr>
                <w:sz w:val="20"/>
                <w:szCs w:val="20"/>
                <w:color w:val="auto"/>
              </w:rPr>
            </w:pPr>
            <w:r>
              <w:rPr>
                <w:rFonts w:ascii="Arial" w:cs="Arial" w:eastAsia="Arial" w:hAnsi="Arial"/>
                <w:sz w:val="13"/>
                <w:szCs w:val="13"/>
                <w:color w:val="auto"/>
                <w:w w:val="82"/>
              </w:rPr>
              <w:t>$</w:t>
            </w:r>
          </w:p>
        </w:tc>
        <w:tc>
          <w:tcPr>
            <w:tcW w:w="9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200" w:type="dxa"/>
            <w:vAlign w:val="bottom"/>
          </w:tcPr>
          <w:p>
            <w:pPr>
              <w:jc w:val="right"/>
              <w:ind w:right="56"/>
              <w:spacing w:after="0"/>
              <w:rPr>
                <w:sz w:val="20"/>
                <w:szCs w:val="20"/>
                <w:color w:val="auto"/>
              </w:rPr>
            </w:pPr>
            <w:r>
              <w:rPr>
                <w:rFonts w:ascii="Arial" w:cs="Arial" w:eastAsia="Arial" w:hAnsi="Arial"/>
                <w:sz w:val="13"/>
                <w:szCs w:val="13"/>
                <w:color w:val="auto"/>
                <w:w w:val="82"/>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(13,385)</w:t>
            </w:r>
          </w:p>
        </w:tc>
        <w:tc>
          <w:tcPr>
            <w:tcW w:w="100" w:type="dxa"/>
            <w:vAlign w:val="bottom"/>
          </w:tcPr>
          <w:p>
            <w:pPr>
              <w:spacing w:after="0"/>
              <w:rPr>
                <w:sz w:val="15"/>
                <w:szCs w:val="15"/>
                <w:color w:val="auto"/>
              </w:rPr>
            </w:pPr>
          </w:p>
        </w:tc>
        <w:tc>
          <w:tcPr>
            <w:tcW w:w="200" w:type="dxa"/>
            <w:vAlign w:val="bottom"/>
          </w:tcPr>
          <w:p>
            <w:pPr>
              <w:jc w:val="right"/>
              <w:ind w:right="56"/>
              <w:spacing w:after="0"/>
              <w:rPr>
                <w:sz w:val="20"/>
                <w:szCs w:val="20"/>
                <w:color w:val="auto"/>
              </w:rPr>
            </w:pPr>
            <w:r>
              <w:rPr>
                <w:rFonts w:ascii="Arial" w:cs="Arial" w:eastAsia="Arial" w:hAnsi="Arial"/>
                <w:sz w:val="13"/>
                <w:szCs w:val="13"/>
                <w:color w:val="auto"/>
                <w:w w:val="82"/>
              </w:rPr>
              <w:t>$</w:t>
            </w:r>
          </w:p>
        </w:tc>
        <w:tc>
          <w:tcPr>
            <w:tcW w:w="9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220" w:type="dxa"/>
            <w:vAlign w:val="bottom"/>
          </w:tcPr>
          <w:p>
            <w:pPr>
              <w:jc w:val="right"/>
              <w:ind w:right="76"/>
              <w:spacing w:after="0"/>
              <w:rPr>
                <w:sz w:val="20"/>
                <w:szCs w:val="20"/>
                <w:color w:val="auto"/>
              </w:rPr>
            </w:pPr>
            <w:r>
              <w:rPr>
                <w:rFonts w:ascii="Arial" w:cs="Arial" w:eastAsia="Arial" w:hAnsi="Arial"/>
                <w:sz w:val="13"/>
                <w:szCs w:val="13"/>
                <w:color w:val="auto"/>
                <w:w w:val="82"/>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(13,385)</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4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78" w:lineRule="exact"/>
        <w:rPr>
          <w:sz w:val="20"/>
          <w:szCs w:val="20"/>
          <w:color w:val="auto"/>
        </w:rPr>
      </w:pPr>
    </w:p>
    <w:p>
      <w:pPr>
        <w:ind w:left="360" w:hanging="357"/>
        <w:spacing w:after="0"/>
        <w:tabs>
          <w:tab w:leader="none" w:pos="360" w:val="left"/>
        </w:tabs>
        <w:numPr>
          <w:ilvl w:val="0"/>
          <w:numId w:val="36"/>
        </w:numPr>
        <w:rPr>
          <w:rFonts w:ascii="Arial" w:cs="Arial" w:eastAsia="Arial" w:hAnsi="Arial"/>
          <w:sz w:val="15"/>
          <w:szCs w:val="15"/>
          <w:color w:val="auto"/>
        </w:rPr>
      </w:pPr>
      <w:r>
        <w:rPr>
          <w:rFonts w:ascii="Arial" w:cs="Arial" w:eastAsia="Arial" w:hAnsi="Arial"/>
          <w:sz w:val="15"/>
          <w:szCs w:val="15"/>
          <w:color w:val="auto"/>
        </w:rPr>
        <w:t>Amounts are included in derivative assets under “assets of consolidated funds” in the consolidated statements of financial condition.</w:t>
      </w:r>
    </w:p>
    <w:p>
      <w:pPr>
        <w:spacing w:after="0" w:line="9" w:lineRule="exact"/>
        <w:rPr>
          <w:rFonts w:ascii="Arial" w:cs="Arial" w:eastAsia="Arial" w:hAnsi="Arial"/>
          <w:sz w:val="15"/>
          <w:szCs w:val="15"/>
          <w:color w:val="auto"/>
        </w:rPr>
      </w:pPr>
    </w:p>
    <w:p>
      <w:pPr>
        <w:ind w:left="360" w:hanging="357"/>
        <w:spacing w:after="0" w:line="238" w:lineRule="auto"/>
        <w:tabs>
          <w:tab w:leader="none" w:pos="360" w:val="left"/>
        </w:tabs>
        <w:numPr>
          <w:ilvl w:val="0"/>
          <w:numId w:val="36"/>
        </w:numPr>
        <w:rPr>
          <w:rFonts w:ascii="Arial" w:cs="Arial" w:eastAsia="Arial" w:hAnsi="Arial"/>
          <w:sz w:val="15"/>
          <w:szCs w:val="15"/>
          <w:color w:val="auto"/>
        </w:rPr>
      </w:pPr>
      <w:r>
        <w:rPr>
          <w:rFonts w:ascii="Arial" w:cs="Arial" w:eastAsia="Arial" w:hAnsi="Arial"/>
          <w:sz w:val="15"/>
          <w:szCs w:val="15"/>
          <w:color w:val="auto"/>
        </w:rPr>
        <w:t>Amounts are included in derivative liabilities under “liabilities of consolidated</w:t>
      </w:r>
      <w:r>
        <w:rPr>
          <w:rFonts w:ascii="Arial" w:cs="Arial" w:eastAsia="Arial" w:hAnsi="Arial"/>
          <w:sz w:val="17"/>
          <w:szCs w:val="17"/>
          <w:color w:val="auto"/>
        </w:rPr>
        <w:t>91</w:t>
      </w:r>
      <w:r>
        <w:rPr>
          <w:rFonts w:ascii="Arial" w:cs="Arial" w:eastAsia="Arial" w:hAnsi="Arial"/>
          <w:sz w:val="15"/>
          <w:szCs w:val="15"/>
          <w:color w:val="auto"/>
        </w:rPr>
        <w:t>funds” in the consolidated statements of financial condition.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51435</wp:posOffset>
            </wp:positionV>
            <wp:extent cx="7164070" cy="4191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1" w:name="page92"/>
    <w:bookmarkEnd w:id="91"/>
    <w:p>
      <w:pPr>
        <w:jc w:val="center"/>
        <w:spacing w:after="0"/>
        <w:rPr>
          <w:sz w:val="20"/>
          <w:szCs w:val="20"/>
          <w:color w:val="auto"/>
        </w:rPr>
      </w:pPr>
      <w:r>
        <w:rPr>
          <w:rFonts w:ascii="Arial" w:cs="Arial" w:eastAsia="Arial" w:hAnsi="Arial"/>
          <w:sz w:val="17"/>
          <w:szCs w:val="17"/>
          <w:b w:val="1"/>
          <w:bCs w:val="1"/>
          <w:color w:val="auto"/>
        </w:rPr>
        <w:t>Brookfield Oaktree Holdings, LLC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 (Continued)</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December 31, 2025</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 in thousands, except where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following tables set forth a summary of changes in the fair value of Level III investments:</w:t>
      </w:r>
    </w:p>
    <w:p>
      <w:pPr>
        <w:spacing w:after="0" w:line="122"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280" w:type="dxa"/>
            <w:vAlign w:val="bottom"/>
          </w:tcPr>
          <w:p>
            <w:pPr>
              <w:spacing w:after="0"/>
              <w:rPr>
                <w:sz w:val="12"/>
                <w:szCs w:val="12"/>
                <w:color w:val="auto"/>
              </w:rPr>
            </w:pPr>
          </w:p>
        </w:tc>
        <w:tc>
          <w:tcPr>
            <w:tcW w:w="3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rPr>
              <w:t>Corporate</w:t>
            </w:r>
          </w:p>
        </w:tc>
        <w:tc>
          <w:tcPr>
            <w:tcW w:w="120" w:type="dxa"/>
            <w:vAlign w:val="bottom"/>
          </w:tcPr>
          <w:p>
            <w:pPr>
              <w:spacing w:after="0"/>
              <w:rPr>
                <w:sz w:val="12"/>
                <w:szCs w:val="12"/>
                <w:color w:val="auto"/>
              </w:rPr>
            </w:pPr>
          </w:p>
        </w:tc>
        <w:tc>
          <w:tcPr>
            <w:tcW w:w="86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rPr>
              <w:t>Corporate</w:t>
            </w:r>
          </w:p>
        </w:tc>
        <w:tc>
          <w:tcPr>
            <w:tcW w:w="120" w:type="dxa"/>
            <w:vAlign w:val="bottom"/>
          </w:tcPr>
          <w:p>
            <w:pPr>
              <w:spacing w:after="0"/>
              <w:rPr>
                <w:sz w:val="12"/>
                <w:szCs w:val="12"/>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rPr>
              <w:t>Equities –</w:t>
            </w:r>
          </w:p>
        </w:tc>
        <w:tc>
          <w:tcPr>
            <w:tcW w:w="120" w:type="dxa"/>
            <w:vAlign w:val="bottom"/>
          </w:tcPr>
          <w:p>
            <w:pPr>
              <w:spacing w:after="0"/>
              <w:rPr>
                <w:sz w:val="12"/>
                <w:szCs w:val="12"/>
                <w:color w:val="auto"/>
              </w:rPr>
            </w:pPr>
          </w:p>
        </w:tc>
        <w:tc>
          <w:tcPr>
            <w:tcW w:w="86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98"/>
              </w:rPr>
              <w:t>Equities –</w:t>
            </w: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6"/>
        </w:trPr>
        <w:tc>
          <w:tcPr>
            <w:tcW w:w="280" w:type="dxa"/>
            <w:vAlign w:val="bottom"/>
          </w:tcPr>
          <w:p>
            <w:pPr>
              <w:spacing w:after="0"/>
              <w:rPr>
                <w:sz w:val="10"/>
                <w:szCs w:val="10"/>
                <w:color w:val="auto"/>
              </w:rPr>
            </w:pPr>
          </w:p>
        </w:tc>
        <w:tc>
          <w:tcPr>
            <w:tcW w:w="3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gridSpan w:val="2"/>
          </w:tcPr>
          <w:p>
            <w:pPr>
              <w:jc w:val="center"/>
              <w:ind w:right="200"/>
              <w:spacing w:after="0" w:line="116" w:lineRule="exact"/>
              <w:rPr>
                <w:sz w:val="20"/>
                <w:szCs w:val="20"/>
                <w:color w:val="auto"/>
              </w:rPr>
            </w:pPr>
            <w:r>
              <w:rPr>
                <w:rFonts w:ascii="Arial" w:cs="Arial" w:eastAsia="Arial" w:hAnsi="Arial"/>
                <w:sz w:val="12"/>
                <w:szCs w:val="12"/>
                <w:b w:val="1"/>
                <w:bCs w:val="1"/>
                <w:color w:val="auto"/>
              </w:rPr>
              <w:t>Debt – Bank</w:t>
            </w:r>
          </w:p>
        </w:tc>
        <w:tc>
          <w:tcPr>
            <w:tcW w:w="120" w:type="dxa"/>
            <w:vAlign w:val="bottom"/>
          </w:tcPr>
          <w:p>
            <w:pPr>
              <w:spacing w:after="0"/>
              <w:rPr>
                <w:sz w:val="10"/>
                <w:szCs w:val="10"/>
                <w:color w:val="auto"/>
              </w:rPr>
            </w:pPr>
          </w:p>
        </w:tc>
        <w:tc>
          <w:tcPr>
            <w:tcW w:w="860" w:type="dxa"/>
            <w:vAlign w:val="bottom"/>
            <w:gridSpan w:val="2"/>
          </w:tcPr>
          <w:p>
            <w:pPr>
              <w:jc w:val="center"/>
              <w:ind w:right="220"/>
              <w:spacing w:after="0" w:line="116" w:lineRule="exact"/>
              <w:rPr>
                <w:sz w:val="20"/>
                <w:szCs w:val="20"/>
                <w:color w:val="auto"/>
              </w:rPr>
            </w:pPr>
            <w:r>
              <w:rPr>
                <w:rFonts w:ascii="Arial" w:cs="Arial" w:eastAsia="Arial" w:hAnsi="Arial"/>
                <w:sz w:val="12"/>
                <w:szCs w:val="12"/>
                <w:b w:val="1"/>
                <w:bCs w:val="1"/>
                <w:color w:val="auto"/>
              </w:rPr>
              <w:t>Debt – All</w:t>
            </w:r>
          </w:p>
        </w:tc>
        <w:tc>
          <w:tcPr>
            <w:tcW w:w="120" w:type="dxa"/>
            <w:vAlign w:val="bottom"/>
          </w:tcPr>
          <w:p>
            <w:pPr>
              <w:spacing w:after="0"/>
              <w:rPr>
                <w:sz w:val="10"/>
                <w:szCs w:val="10"/>
                <w:color w:val="auto"/>
              </w:rPr>
            </w:pPr>
          </w:p>
        </w:tc>
        <w:tc>
          <w:tcPr>
            <w:tcW w:w="880" w:type="dxa"/>
            <w:vAlign w:val="bottom"/>
            <w:gridSpan w:val="2"/>
          </w:tcPr>
          <w:p>
            <w:pPr>
              <w:jc w:val="center"/>
              <w:ind w:right="240"/>
              <w:spacing w:after="0" w:line="116" w:lineRule="exact"/>
              <w:rPr>
                <w:sz w:val="20"/>
                <w:szCs w:val="20"/>
                <w:color w:val="auto"/>
              </w:rPr>
            </w:pPr>
            <w:r>
              <w:rPr>
                <w:rFonts w:ascii="Arial" w:cs="Arial" w:eastAsia="Arial" w:hAnsi="Arial"/>
                <w:sz w:val="12"/>
                <w:szCs w:val="12"/>
                <w:b w:val="1"/>
                <w:bCs w:val="1"/>
                <w:color w:val="auto"/>
                <w:w w:val="99"/>
              </w:rPr>
              <w:t>Common</w:t>
            </w:r>
          </w:p>
        </w:tc>
        <w:tc>
          <w:tcPr>
            <w:tcW w:w="120" w:type="dxa"/>
            <w:vAlign w:val="bottom"/>
          </w:tcPr>
          <w:p>
            <w:pPr>
              <w:spacing w:after="0"/>
              <w:rPr>
                <w:sz w:val="10"/>
                <w:szCs w:val="10"/>
                <w:color w:val="auto"/>
              </w:rPr>
            </w:pPr>
          </w:p>
        </w:tc>
        <w:tc>
          <w:tcPr>
            <w:tcW w:w="860" w:type="dxa"/>
            <w:vAlign w:val="bottom"/>
            <w:gridSpan w:val="2"/>
          </w:tcPr>
          <w:p>
            <w:pPr>
              <w:jc w:val="center"/>
              <w:ind w:right="220"/>
              <w:spacing w:after="0" w:line="116" w:lineRule="exact"/>
              <w:rPr>
                <w:sz w:val="20"/>
                <w:szCs w:val="20"/>
                <w:color w:val="auto"/>
              </w:rPr>
            </w:pPr>
            <w:r>
              <w:rPr>
                <w:rFonts w:ascii="Arial" w:cs="Arial" w:eastAsia="Arial" w:hAnsi="Arial"/>
                <w:sz w:val="12"/>
                <w:szCs w:val="12"/>
                <w:b w:val="1"/>
                <w:bCs w:val="1"/>
                <w:color w:val="auto"/>
                <w:w w:val="97"/>
              </w:rPr>
              <w:t>Preferred</w:t>
            </w:r>
          </w:p>
        </w:tc>
        <w:tc>
          <w:tcPr>
            <w:tcW w:w="120" w:type="dxa"/>
            <w:vAlign w:val="bottom"/>
          </w:tcPr>
          <w:p>
            <w:pPr>
              <w:spacing w:after="0"/>
              <w:rPr>
                <w:sz w:val="10"/>
                <w:szCs w:val="10"/>
                <w:color w:val="auto"/>
              </w:rPr>
            </w:pPr>
          </w:p>
        </w:tc>
        <w:tc>
          <w:tcPr>
            <w:tcW w:w="88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Real Estate</w:t>
            </w:r>
          </w:p>
        </w:tc>
        <w:tc>
          <w:tcPr>
            <w:tcW w:w="200" w:type="dxa"/>
            <w:vAlign w:val="bottom"/>
          </w:tcPr>
          <w:p>
            <w:pPr>
              <w:spacing w:after="0"/>
              <w:rPr>
                <w:sz w:val="10"/>
                <w:szCs w:val="10"/>
                <w:color w:val="auto"/>
              </w:rPr>
            </w:pPr>
          </w:p>
        </w:tc>
        <w:tc>
          <w:tcPr>
            <w:tcW w:w="88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Swaps</w:t>
            </w:r>
          </w:p>
        </w:tc>
        <w:tc>
          <w:tcPr>
            <w:tcW w:w="200" w:type="dxa"/>
            <w:vAlign w:val="bottom"/>
          </w:tcPr>
          <w:p>
            <w:pPr>
              <w:spacing w:after="0"/>
              <w:rPr>
                <w:sz w:val="10"/>
                <w:szCs w:val="10"/>
                <w:color w:val="auto"/>
              </w:rPr>
            </w:pPr>
          </w:p>
        </w:tc>
        <w:tc>
          <w:tcPr>
            <w:tcW w:w="780" w:type="dxa"/>
            <w:vAlign w:val="bottom"/>
            <w:vMerge w:val="restart"/>
          </w:tcPr>
          <w:p>
            <w:pPr>
              <w:jc w:val="right"/>
              <w:ind w:right="296"/>
              <w:spacing w:after="0"/>
              <w:rPr>
                <w:sz w:val="20"/>
                <w:szCs w:val="20"/>
                <w:color w:val="auto"/>
              </w:rPr>
            </w:pPr>
            <w:r>
              <w:rPr>
                <w:rFonts w:ascii="Arial" w:cs="Arial" w:eastAsia="Arial" w:hAnsi="Arial"/>
                <w:sz w:val="12"/>
                <w:szCs w:val="12"/>
                <w:b w:val="1"/>
                <w:bCs w:val="1"/>
                <w:color w:val="auto"/>
              </w:rPr>
              <w:t>Total</w:t>
            </w:r>
          </w:p>
        </w:tc>
        <w:tc>
          <w:tcPr>
            <w:tcW w:w="0" w:type="dxa"/>
            <w:vAlign w:val="bottom"/>
          </w:tcPr>
          <w:p>
            <w:pPr>
              <w:spacing w:after="0"/>
              <w:rPr>
                <w:sz w:val="1"/>
                <w:szCs w:val="1"/>
                <w:color w:val="auto"/>
              </w:rPr>
            </w:pPr>
          </w:p>
        </w:tc>
      </w:tr>
      <w:tr>
        <w:trPr>
          <w:trHeight w:val="173"/>
        </w:trPr>
        <w:tc>
          <w:tcPr>
            <w:tcW w:w="280" w:type="dxa"/>
            <w:vAlign w:val="bottom"/>
          </w:tcPr>
          <w:p>
            <w:pPr>
              <w:spacing w:after="0"/>
              <w:rPr>
                <w:sz w:val="15"/>
                <w:szCs w:val="15"/>
                <w:color w:val="auto"/>
              </w:rPr>
            </w:pPr>
          </w:p>
        </w:tc>
        <w:tc>
          <w:tcPr>
            <w:tcW w:w="3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97"/>
              </w:rPr>
              <w:t>Debt</w:t>
            </w:r>
          </w:p>
        </w:tc>
        <w:tc>
          <w:tcPr>
            <w:tcW w:w="120" w:type="dxa"/>
            <w:vAlign w:val="bottom"/>
          </w:tcPr>
          <w:p>
            <w:pPr>
              <w:spacing w:after="0"/>
              <w:rPr>
                <w:sz w:val="15"/>
                <w:szCs w:val="15"/>
                <w:color w:val="auto"/>
              </w:rPr>
            </w:pPr>
          </w:p>
        </w:tc>
        <w:tc>
          <w:tcPr>
            <w:tcW w:w="86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99"/>
              </w:rPr>
              <w:t>Other</w:t>
            </w:r>
          </w:p>
        </w:tc>
        <w:tc>
          <w:tcPr>
            <w:tcW w:w="120" w:type="dxa"/>
            <w:vAlign w:val="bottom"/>
          </w:tcPr>
          <w:p>
            <w:pPr>
              <w:spacing w:after="0"/>
              <w:rPr>
                <w:sz w:val="15"/>
                <w:szCs w:val="15"/>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rPr>
              <w:t>Stock</w:t>
            </w:r>
          </w:p>
        </w:tc>
        <w:tc>
          <w:tcPr>
            <w:tcW w:w="120" w:type="dxa"/>
            <w:vAlign w:val="bottom"/>
          </w:tcPr>
          <w:p>
            <w:pPr>
              <w:spacing w:after="0"/>
              <w:rPr>
                <w:sz w:val="15"/>
                <w:szCs w:val="15"/>
                <w:color w:val="auto"/>
              </w:rPr>
            </w:pPr>
          </w:p>
        </w:tc>
        <w:tc>
          <w:tcPr>
            <w:tcW w:w="86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97"/>
              </w:rPr>
              <w:t>Stock</w:t>
            </w:r>
          </w:p>
        </w:tc>
        <w:tc>
          <w:tcPr>
            <w:tcW w:w="12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28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w w:val="89"/>
              </w:rPr>
              <w:t>2025</w:t>
            </w:r>
          </w:p>
        </w:tc>
        <w:tc>
          <w:tcPr>
            <w:tcW w:w="39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4200" w:type="dxa"/>
            <w:vAlign w:val="bottom"/>
            <w:gridSpan w:val="2"/>
          </w:tcPr>
          <w:p>
            <w:pPr>
              <w:spacing w:after="0"/>
              <w:rPr>
                <w:sz w:val="20"/>
                <w:szCs w:val="20"/>
                <w:color w:val="auto"/>
              </w:rPr>
            </w:pPr>
            <w:r>
              <w:rPr>
                <w:rFonts w:ascii="Arial" w:cs="Arial" w:eastAsia="Arial" w:hAnsi="Arial"/>
                <w:sz w:val="13"/>
                <w:szCs w:val="13"/>
                <w:color w:val="auto"/>
              </w:rPr>
              <w:t>Beginning balance</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1,936,315</w:t>
            </w:r>
          </w:p>
        </w:tc>
        <w:tc>
          <w:tcPr>
            <w:tcW w:w="1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111,552</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1,187,023</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606,141</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206,181</w:t>
            </w:r>
          </w:p>
        </w:tc>
        <w:tc>
          <w:tcPr>
            <w:tcW w:w="100" w:type="dxa"/>
            <w:vAlign w:val="bottom"/>
          </w:tcPr>
          <w:p>
            <w:pPr>
              <w:spacing w:after="0"/>
              <w:rPr>
                <w:sz w:val="16"/>
                <w:szCs w:val="16"/>
                <w:color w:val="auto"/>
              </w:rPr>
            </w:pPr>
          </w:p>
        </w:tc>
        <w:tc>
          <w:tcPr>
            <w:tcW w:w="20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15,771</w:t>
            </w:r>
          </w:p>
        </w:tc>
        <w:tc>
          <w:tcPr>
            <w:tcW w:w="80" w:type="dxa"/>
            <w:vAlign w:val="bottom"/>
          </w:tcPr>
          <w:p>
            <w:pPr>
              <w:spacing w:after="0"/>
              <w:rPr>
                <w:sz w:val="16"/>
                <w:szCs w:val="16"/>
                <w:color w:val="auto"/>
              </w:rPr>
            </w:pPr>
          </w:p>
        </w:tc>
        <w:tc>
          <w:tcPr>
            <w:tcW w:w="200" w:type="dxa"/>
            <w:vAlign w:val="bottom"/>
          </w:tcPr>
          <w:p>
            <w:pPr>
              <w:jc w:val="right"/>
              <w:ind w:right="56"/>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4,062,983</w:t>
            </w:r>
          </w:p>
        </w:tc>
        <w:tc>
          <w:tcPr>
            <w:tcW w:w="0" w:type="dxa"/>
            <w:vAlign w:val="bottom"/>
          </w:tcPr>
          <w:p>
            <w:pPr>
              <w:spacing w:after="0"/>
              <w:rPr>
                <w:sz w:val="1"/>
                <w:szCs w:val="1"/>
                <w:color w:val="auto"/>
              </w:rPr>
            </w:pPr>
          </w:p>
        </w:tc>
      </w:tr>
      <w:tr>
        <w:trPr>
          <w:trHeight w:val="180"/>
        </w:trPr>
        <w:tc>
          <w:tcPr>
            <w:tcW w:w="280" w:type="dxa"/>
            <w:vAlign w:val="bottom"/>
          </w:tcPr>
          <w:p>
            <w:pPr>
              <w:spacing w:after="0"/>
              <w:rPr>
                <w:sz w:val="15"/>
                <w:szCs w:val="15"/>
                <w:color w:val="auto"/>
              </w:rPr>
            </w:pPr>
          </w:p>
        </w:tc>
        <w:tc>
          <w:tcPr>
            <w:tcW w:w="3920" w:type="dxa"/>
            <w:vAlign w:val="bottom"/>
          </w:tcPr>
          <w:p>
            <w:pPr>
              <w:ind w:left="20"/>
              <w:spacing w:after="0"/>
              <w:rPr>
                <w:sz w:val="20"/>
                <w:szCs w:val="20"/>
                <w:color w:val="auto"/>
              </w:rPr>
            </w:pPr>
            <w:r>
              <w:rPr>
                <w:rFonts w:ascii="Arial" w:cs="Arial" w:eastAsia="Arial" w:hAnsi="Arial"/>
                <w:sz w:val="13"/>
                <w:szCs w:val="13"/>
                <w:color w:val="auto"/>
              </w:rPr>
              <w:t>Deconsolidation of funds</w:t>
            </w:r>
          </w:p>
        </w:tc>
        <w:tc>
          <w:tcPr>
            <w:tcW w:w="100" w:type="dxa"/>
            <w:vAlign w:val="bottom"/>
          </w:tcPr>
          <w:p>
            <w:pPr>
              <w:spacing w:after="0"/>
              <w:rPr>
                <w:sz w:val="15"/>
                <w:szCs w:val="15"/>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0"/>
        </w:trPr>
        <w:tc>
          <w:tcPr>
            <w:tcW w:w="280" w:type="dxa"/>
            <w:vAlign w:val="bottom"/>
          </w:tcPr>
          <w:p>
            <w:pPr>
              <w:spacing w:after="0"/>
              <w:rPr>
                <w:sz w:val="15"/>
                <w:szCs w:val="15"/>
                <w:color w:val="auto"/>
              </w:rPr>
            </w:pPr>
          </w:p>
        </w:tc>
        <w:tc>
          <w:tcPr>
            <w:tcW w:w="3920" w:type="dxa"/>
            <w:vAlign w:val="bottom"/>
          </w:tcPr>
          <w:p>
            <w:pPr>
              <w:ind w:left="20"/>
              <w:spacing w:after="0"/>
              <w:rPr>
                <w:sz w:val="20"/>
                <w:szCs w:val="20"/>
                <w:color w:val="auto"/>
              </w:rPr>
            </w:pPr>
            <w:r>
              <w:rPr>
                <w:rFonts w:ascii="Arial" w:cs="Arial" w:eastAsia="Arial" w:hAnsi="Arial"/>
                <w:sz w:val="13"/>
                <w:szCs w:val="13"/>
                <w:color w:val="auto"/>
              </w:rPr>
              <w:t>Transfers into Level III</w:t>
            </w:r>
          </w:p>
        </w:tc>
        <w:tc>
          <w:tcPr>
            <w:tcW w:w="1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1,151,973</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46,298</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20,000</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37</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28,839</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1,247,147</w:t>
            </w:r>
          </w:p>
        </w:tc>
        <w:tc>
          <w:tcPr>
            <w:tcW w:w="0" w:type="dxa"/>
            <w:vAlign w:val="bottom"/>
          </w:tcPr>
          <w:p>
            <w:pPr>
              <w:spacing w:after="0"/>
              <w:rPr>
                <w:sz w:val="1"/>
                <w:szCs w:val="1"/>
                <w:color w:val="auto"/>
              </w:rPr>
            </w:pPr>
          </w:p>
        </w:tc>
      </w:tr>
      <w:tr>
        <w:trPr>
          <w:trHeight w:val="180"/>
        </w:trPr>
        <w:tc>
          <w:tcPr>
            <w:tcW w:w="280" w:type="dxa"/>
            <w:vAlign w:val="bottom"/>
          </w:tcPr>
          <w:p>
            <w:pPr>
              <w:spacing w:after="0"/>
              <w:rPr>
                <w:sz w:val="15"/>
                <w:szCs w:val="15"/>
                <w:color w:val="auto"/>
              </w:rPr>
            </w:pPr>
          </w:p>
        </w:tc>
        <w:tc>
          <w:tcPr>
            <w:tcW w:w="3920" w:type="dxa"/>
            <w:vAlign w:val="bottom"/>
          </w:tcPr>
          <w:p>
            <w:pPr>
              <w:ind w:left="20"/>
              <w:spacing w:after="0"/>
              <w:rPr>
                <w:sz w:val="20"/>
                <w:szCs w:val="20"/>
                <w:color w:val="auto"/>
              </w:rPr>
            </w:pPr>
            <w:r>
              <w:rPr>
                <w:rFonts w:ascii="Arial" w:cs="Arial" w:eastAsia="Arial" w:hAnsi="Arial"/>
                <w:sz w:val="13"/>
                <w:szCs w:val="13"/>
                <w:color w:val="auto"/>
              </w:rPr>
              <w:t>Transfers out of Level III</w:t>
            </w:r>
          </w:p>
        </w:tc>
        <w:tc>
          <w:tcPr>
            <w:tcW w:w="1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(1,014,056)</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(41,190)</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(46,400)</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(22,032)</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(1,123,678)</w:t>
            </w:r>
          </w:p>
        </w:tc>
        <w:tc>
          <w:tcPr>
            <w:tcW w:w="0" w:type="dxa"/>
            <w:vAlign w:val="bottom"/>
          </w:tcPr>
          <w:p>
            <w:pPr>
              <w:spacing w:after="0"/>
              <w:rPr>
                <w:sz w:val="1"/>
                <w:szCs w:val="1"/>
                <w:color w:val="auto"/>
              </w:rPr>
            </w:pPr>
          </w:p>
        </w:tc>
      </w:tr>
      <w:tr>
        <w:trPr>
          <w:trHeight w:val="180"/>
        </w:trPr>
        <w:tc>
          <w:tcPr>
            <w:tcW w:w="280" w:type="dxa"/>
            <w:vAlign w:val="bottom"/>
          </w:tcPr>
          <w:p>
            <w:pPr>
              <w:spacing w:after="0"/>
              <w:rPr>
                <w:sz w:val="15"/>
                <w:szCs w:val="15"/>
                <w:color w:val="auto"/>
              </w:rPr>
            </w:pPr>
          </w:p>
        </w:tc>
        <w:tc>
          <w:tcPr>
            <w:tcW w:w="3920" w:type="dxa"/>
            <w:vAlign w:val="bottom"/>
          </w:tcPr>
          <w:p>
            <w:pPr>
              <w:ind w:left="20"/>
              <w:spacing w:after="0"/>
              <w:rPr>
                <w:sz w:val="20"/>
                <w:szCs w:val="20"/>
                <w:color w:val="auto"/>
              </w:rPr>
            </w:pPr>
            <w:r>
              <w:rPr>
                <w:rFonts w:ascii="Arial" w:cs="Arial" w:eastAsia="Arial" w:hAnsi="Arial"/>
                <w:sz w:val="13"/>
                <w:szCs w:val="13"/>
                <w:color w:val="auto"/>
              </w:rPr>
              <w:t>Purchases</w:t>
            </w:r>
          </w:p>
        </w:tc>
        <w:tc>
          <w:tcPr>
            <w:tcW w:w="1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1,558,833</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53,330</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398,625</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218,179</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125,959</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1,576</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2,356,502</w:t>
            </w:r>
          </w:p>
        </w:tc>
        <w:tc>
          <w:tcPr>
            <w:tcW w:w="0" w:type="dxa"/>
            <w:vAlign w:val="bottom"/>
          </w:tcPr>
          <w:p>
            <w:pPr>
              <w:spacing w:after="0"/>
              <w:rPr>
                <w:sz w:val="1"/>
                <w:szCs w:val="1"/>
                <w:color w:val="auto"/>
              </w:rPr>
            </w:pPr>
          </w:p>
        </w:tc>
      </w:tr>
      <w:tr>
        <w:trPr>
          <w:trHeight w:val="180"/>
        </w:trPr>
        <w:tc>
          <w:tcPr>
            <w:tcW w:w="280" w:type="dxa"/>
            <w:vAlign w:val="bottom"/>
          </w:tcPr>
          <w:p>
            <w:pPr>
              <w:spacing w:after="0"/>
              <w:rPr>
                <w:sz w:val="15"/>
                <w:szCs w:val="15"/>
                <w:color w:val="auto"/>
              </w:rPr>
            </w:pPr>
          </w:p>
        </w:tc>
        <w:tc>
          <w:tcPr>
            <w:tcW w:w="3920" w:type="dxa"/>
            <w:vAlign w:val="bottom"/>
          </w:tcPr>
          <w:p>
            <w:pPr>
              <w:ind w:left="20"/>
              <w:spacing w:after="0"/>
              <w:rPr>
                <w:sz w:val="20"/>
                <w:szCs w:val="20"/>
                <w:color w:val="auto"/>
              </w:rPr>
            </w:pPr>
            <w:r>
              <w:rPr>
                <w:rFonts w:ascii="Arial" w:cs="Arial" w:eastAsia="Arial" w:hAnsi="Arial"/>
                <w:sz w:val="13"/>
                <w:szCs w:val="13"/>
                <w:color w:val="auto"/>
              </w:rPr>
              <w:t>Sales</w:t>
            </w:r>
          </w:p>
        </w:tc>
        <w:tc>
          <w:tcPr>
            <w:tcW w:w="1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(1,850,082)</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(94,218)</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(91,876)</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(116,418)</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(31,220)</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(17,580)</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(2,201,394)</w:t>
            </w:r>
          </w:p>
        </w:tc>
        <w:tc>
          <w:tcPr>
            <w:tcW w:w="0" w:type="dxa"/>
            <w:vAlign w:val="bottom"/>
          </w:tcPr>
          <w:p>
            <w:pPr>
              <w:spacing w:after="0"/>
              <w:rPr>
                <w:sz w:val="1"/>
                <w:szCs w:val="1"/>
                <w:color w:val="auto"/>
              </w:rPr>
            </w:pPr>
          </w:p>
        </w:tc>
      </w:tr>
      <w:tr>
        <w:trPr>
          <w:trHeight w:val="180"/>
        </w:trPr>
        <w:tc>
          <w:tcPr>
            <w:tcW w:w="280" w:type="dxa"/>
            <w:vAlign w:val="bottom"/>
          </w:tcPr>
          <w:p>
            <w:pPr>
              <w:spacing w:after="0"/>
              <w:rPr>
                <w:sz w:val="15"/>
                <w:szCs w:val="15"/>
                <w:color w:val="auto"/>
              </w:rPr>
            </w:pPr>
          </w:p>
        </w:tc>
        <w:tc>
          <w:tcPr>
            <w:tcW w:w="3920" w:type="dxa"/>
            <w:vAlign w:val="bottom"/>
          </w:tcPr>
          <w:p>
            <w:pPr>
              <w:ind w:left="20"/>
              <w:spacing w:after="0"/>
              <w:rPr>
                <w:sz w:val="20"/>
                <w:szCs w:val="20"/>
                <w:color w:val="auto"/>
              </w:rPr>
            </w:pPr>
            <w:r>
              <w:rPr>
                <w:rFonts w:ascii="Arial" w:cs="Arial" w:eastAsia="Arial" w:hAnsi="Arial"/>
                <w:sz w:val="13"/>
                <w:szCs w:val="13"/>
                <w:color w:val="auto"/>
              </w:rPr>
              <w:t>Realized gain (losses), net</w:t>
            </w:r>
          </w:p>
        </w:tc>
        <w:tc>
          <w:tcPr>
            <w:tcW w:w="1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26,418</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7,162</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23,846</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(39,751)</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5,195</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233</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23,103</w:t>
            </w:r>
          </w:p>
        </w:tc>
        <w:tc>
          <w:tcPr>
            <w:tcW w:w="0" w:type="dxa"/>
            <w:vAlign w:val="bottom"/>
          </w:tcPr>
          <w:p>
            <w:pPr>
              <w:spacing w:after="0"/>
              <w:rPr>
                <w:sz w:val="1"/>
                <w:szCs w:val="1"/>
                <w:color w:val="auto"/>
              </w:rPr>
            </w:pPr>
          </w:p>
        </w:tc>
      </w:tr>
      <w:tr>
        <w:trPr>
          <w:trHeight w:val="186"/>
        </w:trPr>
        <w:tc>
          <w:tcPr>
            <w:tcW w:w="280" w:type="dxa"/>
            <w:vAlign w:val="bottom"/>
          </w:tcPr>
          <w:p>
            <w:pPr>
              <w:spacing w:after="0"/>
              <w:rPr>
                <w:sz w:val="16"/>
                <w:szCs w:val="16"/>
                <w:color w:val="auto"/>
              </w:rPr>
            </w:pPr>
          </w:p>
        </w:tc>
        <w:tc>
          <w:tcPr>
            <w:tcW w:w="3920" w:type="dxa"/>
            <w:vAlign w:val="bottom"/>
          </w:tcPr>
          <w:p>
            <w:pPr>
              <w:ind w:left="20"/>
              <w:spacing w:after="0"/>
              <w:rPr>
                <w:sz w:val="20"/>
                <w:szCs w:val="20"/>
                <w:color w:val="auto"/>
              </w:rPr>
            </w:pPr>
            <w:r>
              <w:rPr>
                <w:rFonts w:ascii="Arial" w:cs="Arial" w:eastAsia="Arial" w:hAnsi="Arial"/>
                <w:sz w:val="13"/>
                <w:szCs w:val="13"/>
                <w:color w:val="auto"/>
              </w:rPr>
              <w:t>Unrealized appreciation (depreciation), net</w:t>
            </w:r>
          </w:p>
        </w:tc>
        <w:tc>
          <w:tcPr>
            <w:tcW w:w="1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(182,792)</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(2,806)</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68,313</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108,744</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39,618</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31,077</w:t>
            </w:r>
          </w:p>
        </w:tc>
        <w:tc>
          <w:tcPr>
            <w:tcW w:w="0" w:type="dxa"/>
            <w:vAlign w:val="bottom"/>
          </w:tcPr>
          <w:p>
            <w:pPr>
              <w:spacing w:after="0"/>
              <w:rPr>
                <w:sz w:val="1"/>
                <w:szCs w:val="1"/>
                <w:color w:val="auto"/>
              </w:rPr>
            </w:pPr>
          </w:p>
        </w:tc>
      </w:tr>
      <w:tr>
        <w:trPr>
          <w:trHeight w:val="179"/>
        </w:trPr>
        <w:tc>
          <w:tcPr>
            <w:tcW w:w="4200" w:type="dxa"/>
            <w:vAlign w:val="bottom"/>
            <w:gridSpan w:val="2"/>
          </w:tcPr>
          <w:p>
            <w:pPr>
              <w:spacing w:after="0"/>
              <w:rPr>
                <w:sz w:val="20"/>
                <w:szCs w:val="20"/>
                <w:color w:val="auto"/>
              </w:rPr>
            </w:pPr>
            <w:r>
              <w:rPr>
                <w:rFonts w:ascii="Arial" w:cs="Arial" w:eastAsia="Arial" w:hAnsi="Arial"/>
                <w:sz w:val="13"/>
                <w:szCs w:val="13"/>
                <w:color w:val="auto"/>
              </w:rPr>
              <w:t>Ending balance</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1,626,609</w:t>
            </w:r>
          </w:p>
        </w:tc>
        <w:tc>
          <w:tcPr>
            <w:tcW w:w="12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80,128</w:t>
            </w:r>
          </w:p>
        </w:tc>
        <w:tc>
          <w:tcPr>
            <w:tcW w:w="1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1,559,531</w:t>
            </w:r>
          </w:p>
        </w:tc>
        <w:tc>
          <w:tcPr>
            <w:tcW w:w="1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776,932</w:t>
            </w:r>
          </w:p>
        </w:tc>
        <w:tc>
          <w:tcPr>
            <w:tcW w:w="1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352,540</w:t>
            </w:r>
          </w:p>
        </w:tc>
        <w:tc>
          <w:tcPr>
            <w:tcW w:w="100" w:type="dxa"/>
            <w:vAlign w:val="bottom"/>
          </w:tcPr>
          <w:p>
            <w:pPr>
              <w:spacing w:after="0"/>
              <w:rPr>
                <w:sz w:val="15"/>
                <w:szCs w:val="15"/>
                <w:color w:val="auto"/>
              </w:rPr>
            </w:pPr>
          </w:p>
        </w:tc>
        <w:tc>
          <w:tcPr>
            <w:tcW w:w="20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00" w:type="dxa"/>
            <w:vAlign w:val="bottom"/>
          </w:tcPr>
          <w:p>
            <w:pPr>
              <w:jc w:val="right"/>
              <w:ind w:right="56"/>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4,395,740</w:t>
            </w:r>
          </w:p>
        </w:tc>
        <w:tc>
          <w:tcPr>
            <w:tcW w:w="0" w:type="dxa"/>
            <w:vAlign w:val="bottom"/>
          </w:tcPr>
          <w:p>
            <w:pPr>
              <w:spacing w:after="0"/>
              <w:rPr>
                <w:sz w:val="1"/>
                <w:szCs w:val="1"/>
                <w:color w:val="auto"/>
              </w:rPr>
            </w:pPr>
          </w:p>
        </w:tc>
      </w:tr>
      <w:tr>
        <w:trPr>
          <w:trHeight w:val="20"/>
        </w:trPr>
        <w:tc>
          <w:tcPr>
            <w:tcW w:w="4200" w:type="dxa"/>
            <w:vAlign w:val="bottom"/>
            <w:gridSpan w:val="2"/>
            <w:vMerge w:val="restart"/>
          </w:tcPr>
          <w:p>
            <w:pPr>
              <w:spacing w:after="0" w:line="135" w:lineRule="exact"/>
              <w:rPr>
                <w:sz w:val="20"/>
                <w:szCs w:val="20"/>
                <w:color w:val="auto"/>
              </w:rPr>
            </w:pPr>
            <w:r>
              <w:rPr>
                <w:rFonts w:ascii="Arial" w:cs="Arial" w:eastAsia="Arial" w:hAnsi="Arial"/>
                <w:sz w:val="13"/>
                <w:szCs w:val="13"/>
                <w:color w:val="auto"/>
              </w:rPr>
              <w:t>Net change in unrealized appreciation (depreciation) attributable to</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4200" w:type="dxa"/>
            <w:vAlign w:val="bottom"/>
            <w:gridSpan w:val="2"/>
            <w:vMerge w:val="continue"/>
          </w:tcPr>
          <w:p>
            <w:pPr>
              <w:spacing w:after="0"/>
              <w:rPr>
                <w:sz w:val="8"/>
                <w:szCs w:val="8"/>
                <w:color w:val="auto"/>
              </w:rPr>
            </w:pPr>
          </w:p>
        </w:tc>
        <w:tc>
          <w:tcPr>
            <w:tcW w:w="10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vMerge w:val="restart"/>
          </w:tcPr>
          <w:p>
            <w:pPr>
              <w:jc w:val="right"/>
              <w:spacing w:after="0"/>
              <w:rPr>
                <w:sz w:val="20"/>
                <w:szCs w:val="20"/>
                <w:color w:val="auto"/>
              </w:rPr>
            </w:pPr>
            <w:r>
              <w:rPr>
                <w:rFonts w:ascii="Arial" w:cs="Arial" w:eastAsia="Arial" w:hAnsi="Arial"/>
                <w:sz w:val="13"/>
                <w:szCs w:val="13"/>
                <w:color w:val="auto"/>
              </w:rPr>
              <w:t>(170,832)</w:t>
            </w:r>
          </w:p>
        </w:tc>
        <w:tc>
          <w:tcPr>
            <w:tcW w:w="120" w:type="dxa"/>
            <w:vAlign w:val="bottom"/>
          </w:tcPr>
          <w:p>
            <w:pPr>
              <w:spacing w:after="0"/>
              <w:rPr>
                <w:sz w:val="8"/>
                <w:szCs w:val="8"/>
                <w:color w:val="auto"/>
              </w:rPr>
            </w:pPr>
          </w:p>
        </w:tc>
        <w:tc>
          <w:tcPr>
            <w:tcW w:w="12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vMerge w:val="restart"/>
          </w:tcPr>
          <w:p>
            <w:pPr>
              <w:jc w:val="right"/>
              <w:spacing w:after="0"/>
              <w:rPr>
                <w:sz w:val="20"/>
                <w:szCs w:val="20"/>
                <w:color w:val="auto"/>
              </w:rPr>
            </w:pPr>
            <w:r>
              <w:rPr>
                <w:rFonts w:ascii="Arial" w:cs="Arial" w:eastAsia="Arial" w:hAnsi="Arial"/>
                <w:sz w:val="13"/>
                <w:szCs w:val="13"/>
                <w:color w:val="auto"/>
              </w:rPr>
              <w:t>(2,806)</w:t>
            </w:r>
          </w:p>
        </w:tc>
        <w:tc>
          <w:tcPr>
            <w:tcW w:w="100" w:type="dxa"/>
            <w:vAlign w:val="bottom"/>
          </w:tcPr>
          <w:p>
            <w:pPr>
              <w:spacing w:after="0"/>
              <w:rPr>
                <w:sz w:val="8"/>
                <w:szCs w:val="8"/>
                <w:color w:val="auto"/>
              </w:rPr>
            </w:pPr>
          </w:p>
        </w:tc>
        <w:tc>
          <w:tcPr>
            <w:tcW w:w="1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780" w:type="dxa"/>
            <w:vAlign w:val="bottom"/>
            <w:vMerge w:val="restart"/>
          </w:tcPr>
          <w:p>
            <w:pPr>
              <w:jc w:val="right"/>
              <w:spacing w:after="0"/>
              <w:rPr>
                <w:sz w:val="20"/>
                <w:szCs w:val="20"/>
                <w:color w:val="auto"/>
              </w:rPr>
            </w:pPr>
            <w:r>
              <w:rPr>
                <w:rFonts w:ascii="Arial" w:cs="Arial" w:eastAsia="Arial" w:hAnsi="Arial"/>
                <w:sz w:val="13"/>
                <w:szCs w:val="13"/>
                <w:color w:val="auto"/>
              </w:rPr>
              <w:t>83,279</w:t>
            </w:r>
          </w:p>
        </w:tc>
        <w:tc>
          <w:tcPr>
            <w:tcW w:w="100" w:type="dxa"/>
            <w:vAlign w:val="bottom"/>
          </w:tcPr>
          <w:p>
            <w:pPr>
              <w:spacing w:after="0"/>
              <w:rPr>
                <w:sz w:val="8"/>
                <w:szCs w:val="8"/>
                <w:color w:val="auto"/>
              </w:rPr>
            </w:pPr>
          </w:p>
        </w:tc>
        <w:tc>
          <w:tcPr>
            <w:tcW w:w="12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vMerge w:val="restart"/>
          </w:tcPr>
          <w:p>
            <w:pPr>
              <w:jc w:val="right"/>
              <w:spacing w:after="0"/>
              <w:rPr>
                <w:sz w:val="20"/>
                <w:szCs w:val="20"/>
                <w:color w:val="auto"/>
              </w:rPr>
            </w:pPr>
            <w:r>
              <w:rPr>
                <w:rFonts w:ascii="Arial" w:cs="Arial" w:eastAsia="Arial" w:hAnsi="Arial"/>
                <w:sz w:val="13"/>
                <w:szCs w:val="13"/>
                <w:color w:val="auto"/>
              </w:rPr>
              <w:t>108,744</w:t>
            </w:r>
          </w:p>
        </w:tc>
        <w:tc>
          <w:tcPr>
            <w:tcW w:w="100" w:type="dxa"/>
            <w:vAlign w:val="bottom"/>
          </w:tcPr>
          <w:p>
            <w:pPr>
              <w:spacing w:after="0"/>
              <w:rPr>
                <w:sz w:val="8"/>
                <w:szCs w:val="8"/>
                <w:color w:val="auto"/>
              </w:rPr>
            </w:pPr>
          </w:p>
        </w:tc>
        <w:tc>
          <w:tcPr>
            <w:tcW w:w="1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780" w:type="dxa"/>
            <w:vAlign w:val="bottom"/>
            <w:vMerge w:val="restart"/>
          </w:tcPr>
          <w:p>
            <w:pPr>
              <w:jc w:val="right"/>
              <w:spacing w:after="0"/>
              <w:rPr>
                <w:sz w:val="20"/>
                <w:szCs w:val="20"/>
                <w:color w:val="auto"/>
              </w:rPr>
            </w:pPr>
            <w:r>
              <w:rPr>
                <w:rFonts w:ascii="Arial" w:cs="Arial" w:eastAsia="Arial" w:hAnsi="Arial"/>
                <w:sz w:val="13"/>
                <w:szCs w:val="13"/>
                <w:color w:val="auto"/>
              </w:rPr>
              <w:t>26,638</w:t>
            </w:r>
          </w:p>
        </w:tc>
        <w:tc>
          <w:tcPr>
            <w:tcW w:w="100" w:type="dxa"/>
            <w:vAlign w:val="bottom"/>
          </w:tcPr>
          <w:p>
            <w:pPr>
              <w:spacing w:after="0"/>
              <w:rPr>
                <w:sz w:val="8"/>
                <w:szCs w:val="8"/>
                <w:color w:val="auto"/>
              </w:rPr>
            </w:pPr>
          </w:p>
        </w:tc>
        <w:tc>
          <w:tcPr>
            <w:tcW w:w="200" w:type="dxa"/>
            <w:vAlign w:val="bottom"/>
            <w:vMerge w:val="restart"/>
          </w:tcPr>
          <w:p>
            <w:pPr>
              <w:jc w:val="right"/>
              <w:ind w:right="36"/>
              <w:spacing w:after="0"/>
              <w:rPr>
                <w:sz w:val="20"/>
                <w:szCs w:val="20"/>
                <w:color w:val="auto"/>
              </w:rPr>
            </w:pPr>
            <w:r>
              <w:rPr>
                <w:rFonts w:ascii="Arial" w:cs="Arial" w:eastAsia="Arial" w:hAnsi="Arial"/>
                <w:sz w:val="13"/>
                <w:szCs w:val="13"/>
                <w:color w:val="auto"/>
              </w:rPr>
              <w:t>$</w:t>
            </w:r>
          </w:p>
        </w:tc>
        <w:tc>
          <w:tcPr>
            <w:tcW w:w="88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200" w:type="dxa"/>
            <w:vAlign w:val="bottom"/>
            <w:vMerge w:val="restart"/>
          </w:tcPr>
          <w:p>
            <w:pPr>
              <w:jc w:val="right"/>
              <w:ind w:right="56"/>
              <w:spacing w:after="0"/>
              <w:rPr>
                <w:sz w:val="20"/>
                <w:szCs w:val="20"/>
                <w:color w:val="auto"/>
              </w:rPr>
            </w:pPr>
            <w:r>
              <w:rPr>
                <w:rFonts w:ascii="Arial" w:cs="Arial" w:eastAsia="Arial" w:hAnsi="Arial"/>
                <w:sz w:val="13"/>
                <w:szCs w:val="13"/>
                <w:color w:val="auto"/>
                <w:w w:val="82"/>
              </w:rPr>
              <w:t>$</w:t>
            </w:r>
          </w:p>
        </w:tc>
        <w:tc>
          <w:tcPr>
            <w:tcW w:w="780" w:type="dxa"/>
            <w:vAlign w:val="bottom"/>
            <w:vMerge w:val="restart"/>
          </w:tcPr>
          <w:p>
            <w:pPr>
              <w:jc w:val="right"/>
              <w:spacing w:after="0"/>
              <w:rPr>
                <w:sz w:val="20"/>
                <w:szCs w:val="20"/>
                <w:color w:val="auto"/>
              </w:rPr>
            </w:pPr>
            <w:r>
              <w:rPr>
                <w:rFonts w:ascii="Arial" w:cs="Arial" w:eastAsia="Arial" w:hAnsi="Arial"/>
                <w:sz w:val="13"/>
                <w:szCs w:val="13"/>
                <w:color w:val="auto"/>
              </w:rPr>
              <w:t>45,023</w:t>
            </w:r>
          </w:p>
        </w:tc>
        <w:tc>
          <w:tcPr>
            <w:tcW w:w="0" w:type="dxa"/>
            <w:vAlign w:val="bottom"/>
          </w:tcPr>
          <w:p>
            <w:pPr>
              <w:spacing w:after="0"/>
              <w:rPr>
                <w:sz w:val="1"/>
                <w:szCs w:val="1"/>
                <w:color w:val="auto"/>
              </w:rPr>
            </w:pPr>
          </w:p>
        </w:tc>
      </w:tr>
      <w:tr>
        <w:trPr>
          <w:trHeight w:val="154"/>
        </w:trPr>
        <w:tc>
          <w:tcPr>
            <w:tcW w:w="4200" w:type="dxa"/>
            <w:vAlign w:val="bottom"/>
            <w:gridSpan w:val="2"/>
          </w:tcPr>
          <w:p>
            <w:pPr>
              <w:ind w:left="160"/>
              <w:spacing w:after="0"/>
              <w:rPr>
                <w:sz w:val="20"/>
                <w:szCs w:val="20"/>
                <w:color w:val="auto"/>
              </w:rPr>
            </w:pPr>
            <w:r>
              <w:rPr>
                <w:rFonts w:ascii="Arial" w:cs="Arial" w:eastAsia="Arial" w:hAnsi="Arial"/>
                <w:sz w:val="13"/>
                <w:szCs w:val="13"/>
                <w:color w:val="auto"/>
              </w:rPr>
              <w:t>assets still held at end of period</w:t>
            </w:r>
          </w:p>
        </w:tc>
        <w:tc>
          <w:tcPr>
            <w:tcW w:w="100" w:type="dxa"/>
            <w:vAlign w:val="bottom"/>
            <w:vMerge w:val="continue"/>
          </w:tcPr>
          <w:p>
            <w:pPr>
              <w:spacing w:after="0"/>
              <w:rPr>
                <w:sz w:val="13"/>
                <w:szCs w:val="13"/>
                <w:color w:val="auto"/>
              </w:rPr>
            </w:pPr>
          </w:p>
        </w:tc>
        <w:tc>
          <w:tcPr>
            <w:tcW w:w="78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vMerge w:val="continue"/>
          </w:tcPr>
          <w:p>
            <w:pPr>
              <w:spacing w:after="0"/>
              <w:rPr>
                <w:sz w:val="13"/>
                <w:szCs w:val="13"/>
                <w:color w:val="auto"/>
              </w:rPr>
            </w:pPr>
          </w:p>
        </w:tc>
        <w:tc>
          <w:tcPr>
            <w:tcW w:w="76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vMerge w:val="continue"/>
          </w:tcPr>
          <w:p>
            <w:pPr>
              <w:spacing w:after="0"/>
              <w:rPr>
                <w:sz w:val="13"/>
                <w:szCs w:val="13"/>
                <w:color w:val="auto"/>
              </w:rPr>
            </w:pPr>
          </w:p>
        </w:tc>
        <w:tc>
          <w:tcPr>
            <w:tcW w:w="7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vMerge w:val="continue"/>
          </w:tcPr>
          <w:p>
            <w:pPr>
              <w:spacing w:after="0"/>
              <w:rPr>
                <w:sz w:val="13"/>
                <w:szCs w:val="13"/>
                <w:color w:val="auto"/>
              </w:rPr>
            </w:pPr>
          </w:p>
        </w:tc>
        <w:tc>
          <w:tcPr>
            <w:tcW w:w="76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vMerge w:val="continue"/>
          </w:tcPr>
          <w:p>
            <w:pPr>
              <w:spacing w:after="0"/>
              <w:rPr>
                <w:sz w:val="13"/>
                <w:szCs w:val="13"/>
                <w:color w:val="auto"/>
              </w:rPr>
            </w:pPr>
          </w:p>
        </w:tc>
        <w:tc>
          <w:tcPr>
            <w:tcW w:w="7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vMerge w:val="continue"/>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200" w:type="dxa"/>
            <w:vAlign w:val="bottom"/>
            <w:vMerge w:val="continue"/>
          </w:tcPr>
          <w:p>
            <w:pPr>
              <w:spacing w:after="0"/>
              <w:rPr>
                <w:sz w:val="13"/>
                <w:szCs w:val="13"/>
                <w:color w:val="auto"/>
              </w:rPr>
            </w:pPr>
          </w:p>
        </w:tc>
        <w:tc>
          <w:tcPr>
            <w:tcW w:w="7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80" w:type="dxa"/>
            <w:vAlign w:val="bottom"/>
            <w:vMerge w:val="restart"/>
          </w:tcPr>
          <w:p>
            <w:pPr>
              <w:spacing w:after="0"/>
              <w:rPr>
                <w:sz w:val="20"/>
                <w:szCs w:val="20"/>
                <w:color w:val="auto"/>
              </w:rPr>
            </w:pPr>
            <w:r>
              <w:rPr>
                <w:rFonts w:ascii="Arial" w:cs="Arial" w:eastAsia="Arial" w:hAnsi="Arial"/>
                <w:sz w:val="13"/>
                <w:szCs w:val="13"/>
                <w:b w:val="1"/>
                <w:bCs w:val="1"/>
                <w:color w:val="auto"/>
                <w:w w:val="89"/>
              </w:rPr>
              <w:t>2024</w:t>
            </w:r>
          </w:p>
        </w:tc>
        <w:tc>
          <w:tcPr>
            <w:tcW w:w="39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3"/>
        </w:trPr>
        <w:tc>
          <w:tcPr>
            <w:tcW w:w="280" w:type="dxa"/>
            <w:vAlign w:val="bottom"/>
            <w:tcBorders>
              <w:bottom w:val="single" w:sz="8" w:color="auto"/>
            </w:tcBorders>
            <w:vMerge w:val="continue"/>
          </w:tcPr>
          <w:p>
            <w:pPr>
              <w:spacing w:after="0"/>
              <w:rPr>
                <w:sz w:val="24"/>
                <w:szCs w:val="24"/>
                <w:color w:val="auto"/>
              </w:rPr>
            </w:pPr>
          </w:p>
        </w:tc>
        <w:tc>
          <w:tcPr>
            <w:tcW w:w="3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4200" w:type="dxa"/>
            <w:vAlign w:val="bottom"/>
            <w:gridSpan w:val="2"/>
          </w:tcPr>
          <w:p>
            <w:pPr>
              <w:spacing w:after="0"/>
              <w:rPr>
                <w:sz w:val="20"/>
                <w:szCs w:val="20"/>
                <w:color w:val="auto"/>
              </w:rPr>
            </w:pPr>
            <w:r>
              <w:rPr>
                <w:rFonts w:ascii="Arial" w:cs="Arial" w:eastAsia="Arial" w:hAnsi="Arial"/>
                <w:sz w:val="13"/>
                <w:szCs w:val="13"/>
                <w:color w:val="auto"/>
              </w:rPr>
              <w:t>Beginning balance</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1,721,888</w:t>
            </w:r>
          </w:p>
        </w:tc>
        <w:tc>
          <w:tcPr>
            <w:tcW w:w="1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260,292</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846,773</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599,636</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175,353</w:t>
            </w:r>
          </w:p>
        </w:tc>
        <w:tc>
          <w:tcPr>
            <w:tcW w:w="100" w:type="dxa"/>
            <w:vAlign w:val="bottom"/>
          </w:tcPr>
          <w:p>
            <w:pPr>
              <w:spacing w:after="0"/>
              <w:rPr>
                <w:sz w:val="16"/>
                <w:szCs w:val="16"/>
                <w:color w:val="auto"/>
              </w:rPr>
            </w:pPr>
          </w:p>
        </w:tc>
        <w:tc>
          <w:tcPr>
            <w:tcW w:w="20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00" w:type="dxa"/>
            <w:vAlign w:val="bottom"/>
          </w:tcPr>
          <w:p>
            <w:pPr>
              <w:jc w:val="right"/>
              <w:ind w:right="56"/>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3,603,942</w:t>
            </w:r>
          </w:p>
        </w:tc>
        <w:tc>
          <w:tcPr>
            <w:tcW w:w="0" w:type="dxa"/>
            <w:vAlign w:val="bottom"/>
          </w:tcPr>
          <w:p>
            <w:pPr>
              <w:spacing w:after="0"/>
              <w:rPr>
                <w:sz w:val="1"/>
                <w:szCs w:val="1"/>
                <w:color w:val="auto"/>
              </w:rPr>
            </w:pPr>
          </w:p>
        </w:tc>
      </w:tr>
      <w:tr>
        <w:trPr>
          <w:trHeight w:val="180"/>
        </w:trPr>
        <w:tc>
          <w:tcPr>
            <w:tcW w:w="280" w:type="dxa"/>
            <w:vAlign w:val="bottom"/>
          </w:tcPr>
          <w:p>
            <w:pPr>
              <w:spacing w:after="0"/>
              <w:rPr>
                <w:sz w:val="15"/>
                <w:szCs w:val="15"/>
                <w:color w:val="auto"/>
              </w:rPr>
            </w:pPr>
          </w:p>
        </w:tc>
        <w:tc>
          <w:tcPr>
            <w:tcW w:w="3920" w:type="dxa"/>
            <w:vAlign w:val="bottom"/>
          </w:tcPr>
          <w:p>
            <w:pPr>
              <w:ind w:left="20"/>
              <w:spacing w:after="0"/>
              <w:rPr>
                <w:sz w:val="20"/>
                <w:szCs w:val="20"/>
                <w:color w:val="auto"/>
              </w:rPr>
            </w:pPr>
            <w:r>
              <w:rPr>
                <w:rFonts w:ascii="Arial" w:cs="Arial" w:eastAsia="Arial" w:hAnsi="Arial"/>
                <w:sz w:val="13"/>
                <w:szCs w:val="13"/>
                <w:color w:val="auto"/>
              </w:rPr>
              <w:t>Deconsolidation of funds</w:t>
            </w:r>
          </w:p>
        </w:tc>
        <w:tc>
          <w:tcPr>
            <w:tcW w:w="1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(67,293)</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(10)</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(575)</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(2,356)</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(70,234)</w:t>
            </w:r>
          </w:p>
        </w:tc>
        <w:tc>
          <w:tcPr>
            <w:tcW w:w="0" w:type="dxa"/>
            <w:vAlign w:val="bottom"/>
          </w:tcPr>
          <w:p>
            <w:pPr>
              <w:spacing w:after="0"/>
              <w:rPr>
                <w:sz w:val="1"/>
                <w:szCs w:val="1"/>
                <w:color w:val="auto"/>
              </w:rPr>
            </w:pPr>
          </w:p>
        </w:tc>
      </w:tr>
      <w:tr>
        <w:trPr>
          <w:trHeight w:val="180"/>
        </w:trPr>
        <w:tc>
          <w:tcPr>
            <w:tcW w:w="280" w:type="dxa"/>
            <w:vAlign w:val="bottom"/>
          </w:tcPr>
          <w:p>
            <w:pPr>
              <w:spacing w:after="0"/>
              <w:rPr>
                <w:sz w:val="15"/>
                <w:szCs w:val="15"/>
                <w:color w:val="auto"/>
              </w:rPr>
            </w:pPr>
          </w:p>
        </w:tc>
        <w:tc>
          <w:tcPr>
            <w:tcW w:w="3920" w:type="dxa"/>
            <w:vAlign w:val="bottom"/>
          </w:tcPr>
          <w:p>
            <w:pPr>
              <w:ind w:left="20"/>
              <w:spacing w:after="0"/>
              <w:rPr>
                <w:sz w:val="20"/>
                <w:szCs w:val="20"/>
                <w:color w:val="auto"/>
              </w:rPr>
            </w:pPr>
            <w:r>
              <w:rPr>
                <w:rFonts w:ascii="Arial" w:cs="Arial" w:eastAsia="Arial" w:hAnsi="Arial"/>
                <w:sz w:val="13"/>
                <w:szCs w:val="13"/>
                <w:color w:val="auto"/>
              </w:rPr>
              <w:t>Transfers into Level III</w:t>
            </w:r>
          </w:p>
        </w:tc>
        <w:tc>
          <w:tcPr>
            <w:tcW w:w="1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560,765</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41,610</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138,379</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153</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23,738</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764,645</w:t>
            </w:r>
          </w:p>
        </w:tc>
        <w:tc>
          <w:tcPr>
            <w:tcW w:w="0" w:type="dxa"/>
            <w:vAlign w:val="bottom"/>
          </w:tcPr>
          <w:p>
            <w:pPr>
              <w:spacing w:after="0"/>
              <w:rPr>
                <w:sz w:val="1"/>
                <w:szCs w:val="1"/>
                <w:color w:val="auto"/>
              </w:rPr>
            </w:pPr>
          </w:p>
        </w:tc>
      </w:tr>
      <w:tr>
        <w:trPr>
          <w:trHeight w:val="180"/>
        </w:trPr>
        <w:tc>
          <w:tcPr>
            <w:tcW w:w="280" w:type="dxa"/>
            <w:vAlign w:val="bottom"/>
          </w:tcPr>
          <w:p>
            <w:pPr>
              <w:spacing w:after="0"/>
              <w:rPr>
                <w:sz w:val="15"/>
                <w:szCs w:val="15"/>
                <w:color w:val="auto"/>
              </w:rPr>
            </w:pPr>
          </w:p>
        </w:tc>
        <w:tc>
          <w:tcPr>
            <w:tcW w:w="3920" w:type="dxa"/>
            <w:vAlign w:val="bottom"/>
          </w:tcPr>
          <w:p>
            <w:pPr>
              <w:ind w:left="20"/>
              <w:spacing w:after="0"/>
              <w:rPr>
                <w:sz w:val="20"/>
                <w:szCs w:val="20"/>
                <w:color w:val="auto"/>
              </w:rPr>
            </w:pPr>
            <w:r>
              <w:rPr>
                <w:rFonts w:ascii="Arial" w:cs="Arial" w:eastAsia="Arial" w:hAnsi="Arial"/>
                <w:sz w:val="13"/>
                <w:szCs w:val="13"/>
                <w:color w:val="auto"/>
              </w:rPr>
              <w:t>Transfers out of Level III</w:t>
            </w:r>
          </w:p>
        </w:tc>
        <w:tc>
          <w:tcPr>
            <w:tcW w:w="1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(337,454)</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(150,382)</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(27,724)</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(28,619)</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(544,179)</w:t>
            </w:r>
          </w:p>
        </w:tc>
        <w:tc>
          <w:tcPr>
            <w:tcW w:w="0" w:type="dxa"/>
            <w:vAlign w:val="bottom"/>
          </w:tcPr>
          <w:p>
            <w:pPr>
              <w:spacing w:after="0"/>
              <w:rPr>
                <w:sz w:val="1"/>
                <w:szCs w:val="1"/>
                <w:color w:val="auto"/>
              </w:rPr>
            </w:pPr>
          </w:p>
        </w:tc>
      </w:tr>
      <w:tr>
        <w:trPr>
          <w:trHeight w:val="180"/>
        </w:trPr>
        <w:tc>
          <w:tcPr>
            <w:tcW w:w="280" w:type="dxa"/>
            <w:vAlign w:val="bottom"/>
          </w:tcPr>
          <w:p>
            <w:pPr>
              <w:spacing w:after="0"/>
              <w:rPr>
                <w:sz w:val="15"/>
                <w:szCs w:val="15"/>
                <w:color w:val="auto"/>
              </w:rPr>
            </w:pPr>
          </w:p>
        </w:tc>
        <w:tc>
          <w:tcPr>
            <w:tcW w:w="3920" w:type="dxa"/>
            <w:vAlign w:val="bottom"/>
          </w:tcPr>
          <w:p>
            <w:pPr>
              <w:ind w:left="20"/>
              <w:spacing w:after="0"/>
              <w:rPr>
                <w:sz w:val="20"/>
                <w:szCs w:val="20"/>
                <w:color w:val="auto"/>
              </w:rPr>
            </w:pPr>
            <w:r>
              <w:rPr>
                <w:rFonts w:ascii="Arial" w:cs="Arial" w:eastAsia="Arial" w:hAnsi="Arial"/>
                <w:sz w:val="13"/>
                <w:szCs w:val="13"/>
                <w:color w:val="auto"/>
              </w:rPr>
              <w:t>Purchases</w:t>
            </w:r>
          </w:p>
        </w:tc>
        <w:tc>
          <w:tcPr>
            <w:tcW w:w="1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770,814</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60,292</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314,181</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129,829</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42,203</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15,771</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1,333,090</w:t>
            </w:r>
          </w:p>
        </w:tc>
        <w:tc>
          <w:tcPr>
            <w:tcW w:w="0" w:type="dxa"/>
            <w:vAlign w:val="bottom"/>
          </w:tcPr>
          <w:p>
            <w:pPr>
              <w:spacing w:after="0"/>
              <w:rPr>
                <w:sz w:val="1"/>
                <w:szCs w:val="1"/>
                <w:color w:val="auto"/>
              </w:rPr>
            </w:pPr>
          </w:p>
        </w:tc>
      </w:tr>
      <w:tr>
        <w:trPr>
          <w:trHeight w:val="180"/>
        </w:trPr>
        <w:tc>
          <w:tcPr>
            <w:tcW w:w="280" w:type="dxa"/>
            <w:vAlign w:val="bottom"/>
          </w:tcPr>
          <w:p>
            <w:pPr>
              <w:spacing w:after="0"/>
              <w:rPr>
                <w:sz w:val="15"/>
                <w:szCs w:val="15"/>
                <w:color w:val="auto"/>
              </w:rPr>
            </w:pPr>
          </w:p>
        </w:tc>
        <w:tc>
          <w:tcPr>
            <w:tcW w:w="3920" w:type="dxa"/>
            <w:vAlign w:val="bottom"/>
          </w:tcPr>
          <w:p>
            <w:pPr>
              <w:ind w:left="20"/>
              <w:spacing w:after="0"/>
              <w:rPr>
                <w:sz w:val="20"/>
                <w:szCs w:val="20"/>
                <w:color w:val="auto"/>
              </w:rPr>
            </w:pPr>
            <w:r>
              <w:rPr>
                <w:rFonts w:ascii="Arial" w:cs="Arial" w:eastAsia="Arial" w:hAnsi="Arial"/>
                <w:sz w:val="13"/>
                <w:szCs w:val="13"/>
                <w:color w:val="auto"/>
              </w:rPr>
              <w:t>Sales</w:t>
            </w:r>
          </w:p>
        </w:tc>
        <w:tc>
          <w:tcPr>
            <w:tcW w:w="1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(649,253)</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(79,377)</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(176,382)</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(154,745)</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(1,059,757)</w:t>
            </w:r>
          </w:p>
        </w:tc>
        <w:tc>
          <w:tcPr>
            <w:tcW w:w="0" w:type="dxa"/>
            <w:vAlign w:val="bottom"/>
          </w:tcPr>
          <w:p>
            <w:pPr>
              <w:spacing w:after="0"/>
              <w:rPr>
                <w:sz w:val="1"/>
                <w:szCs w:val="1"/>
                <w:color w:val="auto"/>
              </w:rPr>
            </w:pPr>
          </w:p>
        </w:tc>
      </w:tr>
      <w:tr>
        <w:trPr>
          <w:trHeight w:val="180"/>
        </w:trPr>
        <w:tc>
          <w:tcPr>
            <w:tcW w:w="280" w:type="dxa"/>
            <w:vAlign w:val="bottom"/>
          </w:tcPr>
          <w:p>
            <w:pPr>
              <w:spacing w:after="0"/>
              <w:rPr>
                <w:sz w:val="15"/>
                <w:szCs w:val="15"/>
                <w:color w:val="auto"/>
              </w:rPr>
            </w:pPr>
          </w:p>
        </w:tc>
        <w:tc>
          <w:tcPr>
            <w:tcW w:w="3920" w:type="dxa"/>
            <w:vAlign w:val="bottom"/>
          </w:tcPr>
          <w:p>
            <w:pPr>
              <w:ind w:left="20"/>
              <w:spacing w:after="0"/>
              <w:rPr>
                <w:sz w:val="20"/>
                <w:szCs w:val="20"/>
                <w:color w:val="auto"/>
              </w:rPr>
            </w:pPr>
            <w:r>
              <w:rPr>
                <w:rFonts w:ascii="Arial" w:cs="Arial" w:eastAsia="Arial" w:hAnsi="Arial"/>
                <w:sz w:val="13"/>
                <w:szCs w:val="13"/>
                <w:color w:val="auto"/>
              </w:rPr>
              <w:t>Realized gain (losses), net</w:t>
            </w:r>
          </w:p>
        </w:tc>
        <w:tc>
          <w:tcPr>
            <w:tcW w:w="1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8,926</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1,482</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66,323</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(57,208)</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19,523</w:t>
            </w:r>
          </w:p>
        </w:tc>
        <w:tc>
          <w:tcPr>
            <w:tcW w:w="0" w:type="dxa"/>
            <w:vAlign w:val="bottom"/>
          </w:tcPr>
          <w:p>
            <w:pPr>
              <w:spacing w:after="0"/>
              <w:rPr>
                <w:sz w:val="1"/>
                <w:szCs w:val="1"/>
                <w:color w:val="auto"/>
              </w:rPr>
            </w:pPr>
          </w:p>
        </w:tc>
      </w:tr>
      <w:tr>
        <w:trPr>
          <w:trHeight w:val="186"/>
        </w:trPr>
        <w:tc>
          <w:tcPr>
            <w:tcW w:w="280" w:type="dxa"/>
            <w:vAlign w:val="bottom"/>
          </w:tcPr>
          <w:p>
            <w:pPr>
              <w:spacing w:after="0"/>
              <w:rPr>
                <w:sz w:val="16"/>
                <w:szCs w:val="16"/>
                <w:color w:val="auto"/>
              </w:rPr>
            </w:pPr>
          </w:p>
        </w:tc>
        <w:tc>
          <w:tcPr>
            <w:tcW w:w="3920" w:type="dxa"/>
            <w:vAlign w:val="bottom"/>
          </w:tcPr>
          <w:p>
            <w:pPr>
              <w:ind w:left="20"/>
              <w:spacing w:after="0"/>
              <w:rPr>
                <w:sz w:val="20"/>
                <w:szCs w:val="20"/>
                <w:color w:val="auto"/>
              </w:rPr>
            </w:pPr>
            <w:r>
              <w:rPr>
                <w:rFonts w:ascii="Arial" w:cs="Arial" w:eastAsia="Arial" w:hAnsi="Arial"/>
                <w:sz w:val="13"/>
                <w:szCs w:val="13"/>
                <w:color w:val="auto"/>
              </w:rPr>
              <w:t>Unrealized appreciation (depreciation), net</w:t>
            </w: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(72,078)</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(22,355)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26,048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90,832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(6,494)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15,953</w:t>
            </w:r>
          </w:p>
        </w:tc>
        <w:tc>
          <w:tcPr>
            <w:tcW w:w="0" w:type="dxa"/>
            <w:vAlign w:val="bottom"/>
          </w:tcPr>
          <w:p>
            <w:pPr>
              <w:spacing w:after="0"/>
              <w:rPr>
                <w:sz w:val="1"/>
                <w:szCs w:val="1"/>
                <w:color w:val="auto"/>
              </w:rPr>
            </w:pPr>
          </w:p>
        </w:tc>
      </w:tr>
      <w:tr>
        <w:trPr>
          <w:trHeight w:val="179"/>
        </w:trPr>
        <w:tc>
          <w:tcPr>
            <w:tcW w:w="4200" w:type="dxa"/>
            <w:vAlign w:val="bottom"/>
            <w:gridSpan w:val="2"/>
          </w:tcPr>
          <w:p>
            <w:pPr>
              <w:spacing w:after="0"/>
              <w:rPr>
                <w:sz w:val="20"/>
                <w:szCs w:val="20"/>
                <w:color w:val="auto"/>
              </w:rPr>
            </w:pPr>
            <w:r>
              <w:rPr>
                <w:rFonts w:ascii="Arial" w:cs="Arial" w:eastAsia="Arial" w:hAnsi="Arial"/>
                <w:sz w:val="13"/>
                <w:szCs w:val="13"/>
                <w:color w:val="auto"/>
              </w:rPr>
              <w:t>Ending balance</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1,936,315</w:t>
            </w:r>
          </w:p>
        </w:tc>
        <w:tc>
          <w:tcPr>
            <w:tcW w:w="12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111,552</w:t>
            </w:r>
          </w:p>
        </w:tc>
        <w:tc>
          <w:tcPr>
            <w:tcW w:w="10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1,187,023</w:t>
            </w:r>
          </w:p>
        </w:tc>
        <w:tc>
          <w:tcPr>
            <w:tcW w:w="10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606,141</w:t>
            </w:r>
          </w:p>
        </w:tc>
        <w:tc>
          <w:tcPr>
            <w:tcW w:w="10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206,181</w:t>
            </w:r>
          </w:p>
        </w:tc>
        <w:tc>
          <w:tcPr>
            <w:tcW w:w="100" w:type="dxa"/>
            <w:vAlign w:val="bottom"/>
          </w:tcPr>
          <w:p>
            <w:pPr>
              <w:spacing w:after="0"/>
              <w:rPr>
                <w:sz w:val="15"/>
                <w:szCs w:val="15"/>
                <w:color w:val="auto"/>
              </w:rPr>
            </w:pPr>
          </w:p>
        </w:tc>
        <w:tc>
          <w:tcPr>
            <w:tcW w:w="20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3"/>
                <w:szCs w:val="13"/>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15,771</w:t>
            </w:r>
          </w:p>
        </w:tc>
        <w:tc>
          <w:tcPr>
            <w:tcW w:w="80" w:type="dxa"/>
            <w:vAlign w:val="bottom"/>
          </w:tcPr>
          <w:p>
            <w:pPr>
              <w:spacing w:after="0"/>
              <w:rPr>
                <w:sz w:val="15"/>
                <w:szCs w:val="15"/>
                <w:color w:val="auto"/>
              </w:rPr>
            </w:pPr>
          </w:p>
        </w:tc>
        <w:tc>
          <w:tcPr>
            <w:tcW w:w="200" w:type="dxa"/>
            <w:vAlign w:val="bottom"/>
            <w:tcBorders>
              <w:top w:val="single" w:sz="8" w:color="auto"/>
              <w:bottom w:val="single" w:sz="8" w:color="auto"/>
            </w:tcBorders>
          </w:tcPr>
          <w:p>
            <w:pPr>
              <w:jc w:val="right"/>
              <w:ind w:right="56"/>
              <w:spacing w:after="0"/>
              <w:rPr>
                <w:sz w:val="20"/>
                <w:szCs w:val="20"/>
                <w:color w:val="auto"/>
              </w:rPr>
            </w:pPr>
            <w:r>
              <w:rPr>
                <w:rFonts w:ascii="Arial" w:cs="Arial" w:eastAsia="Arial" w:hAnsi="Arial"/>
                <w:sz w:val="13"/>
                <w:szCs w:val="13"/>
                <w:color w:val="auto"/>
                <w:w w:val="82"/>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4,062,983</w:t>
            </w:r>
          </w:p>
        </w:tc>
        <w:tc>
          <w:tcPr>
            <w:tcW w:w="0" w:type="dxa"/>
            <w:vAlign w:val="bottom"/>
          </w:tcPr>
          <w:p>
            <w:pPr>
              <w:spacing w:after="0"/>
              <w:rPr>
                <w:sz w:val="1"/>
                <w:szCs w:val="1"/>
                <w:color w:val="auto"/>
              </w:rPr>
            </w:pPr>
          </w:p>
        </w:tc>
      </w:tr>
      <w:tr>
        <w:trPr>
          <w:trHeight w:val="20"/>
        </w:trPr>
        <w:tc>
          <w:tcPr>
            <w:tcW w:w="4200" w:type="dxa"/>
            <w:vAlign w:val="bottom"/>
            <w:gridSpan w:val="2"/>
            <w:vMerge w:val="restart"/>
          </w:tcPr>
          <w:p>
            <w:pPr>
              <w:spacing w:after="0" w:line="135" w:lineRule="exact"/>
              <w:rPr>
                <w:sz w:val="20"/>
                <w:szCs w:val="20"/>
                <w:color w:val="auto"/>
              </w:rPr>
            </w:pPr>
            <w:r>
              <w:rPr>
                <w:rFonts w:ascii="Arial" w:cs="Arial" w:eastAsia="Arial" w:hAnsi="Arial"/>
                <w:sz w:val="13"/>
                <w:szCs w:val="13"/>
                <w:color w:val="auto"/>
              </w:rPr>
              <w:t>Net change in unrealized appreciation (depreciation) attributable to</w:t>
            </w: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4200" w:type="dxa"/>
            <w:vAlign w:val="bottom"/>
            <w:gridSpan w:val="2"/>
            <w:vMerge w:val="continue"/>
          </w:tcPr>
          <w:p>
            <w:pPr>
              <w:spacing w:after="0"/>
              <w:rPr>
                <w:sz w:val="8"/>
                <w:szCs w:val="8"/>
                <w:color w:val="auto"/>
              </w:rPr>
            </w:pPr>
          </w:p>
        </w:tc>
        <w:tc>
          <w:tcPr>
            <w:tcW w:w="10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vMerge w:val="restart"/>
          </w:tcPr>
          <w:p>
            <w:pPr>
              <w:jc w:val="right"/>
              <w:spacing w:after="0"/>
              <w:rPr>
                <w:sz w:val="20"/>
                <w:szCs w:val="20"/>
                <w:color w:val="auto"/>
              </w:rPr>
            </w:pPr>
            <w:r>
              <w:rPr>
                <w:rFonts w:ascii="Arial" w:cs="Arial" w:eastAsia="Arial" w:hAnsi="Arial"/>
                <w:sz w:val="13"/>
                <w:szCs w:val="13"/>
                <w:color w:val="auto"/>
              </w:rPr>
              <w:t>(16,125)</w:t>
            </w:r>
          </w:p>
        </w:tc>
        <w:tc>
          <w:tcPr>
            <w:tcW w:w="120" w:type="dxa"/>
            <w:vAlign w:val="bottom"/>
          </w:tcPr>
          <w:p>
            <w:pPr>
              <w:spacing w:after="0"/>
              <w:rPr>
                <w:sz w:val="8"/>
                <w:szCs w:val="8"/>
                <w:color w:val="auto"/>
              </w:rPr>
            </w:pPr>
          </w:p>
        </w:tc>
        <w:tc>
          <w:tcPr>
            <w:tcW w:w="12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vMerge w:val="restart"/>
          </w:tcPr>
          <w:p>
            <w:pPr>
              <w:jc w:val="right"/>
              <w:spacing w:after="0"/>
              <w:rPr>
                <w:sz w:val="20"/>
                <w:szCs w:val="20"/>
                <w:color w:val="auto"/>
              </w:rPr>
            </w:pPr>
            <w:r>
              <w:rPr>
                <w:rFonts w:ascii="Arial" w:cs="Arial" w:eastAsia="Arial" w:hAnsi="Arial"/>
                <w:sz w:val="13"/>
                <w:szCs w:val="13"/>
                <w:color w:val="auto"/>
              </w:rPr>
              <w:t>(18,379)</w:t>
            </w:r>
          </w:p>
        </w:tc>
        <w:tc>
          <w:tcPr>
            <w:tcW w:w="100" w:type="dxa"/>
            <w:vAlign w:val="bottom"/>
          </w:tcPr>
          <w:p>
            <w:pPr>
              <w:spacing w:after="0"/>
              <w:rPr>
                <w:sz w:val="8"/>
                <w:szCs w:val="8"/>
                <w:color w:val="auto"/>
              </w:rPr>
            </w:pPr>
          </w:p>
        </w:tc>
        <w:tc>
          <w:tcPr>
            <w:tcW w:w="1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780" w:type="dxa"/>
            <w:vAlign w:val="bottom"/>
            <w:vMerge w:val="restart"/>
          </w:tcPr>
          <w:p>
            <w:pPr>
              <w:jc w:val="right"/>
              <w:spacing w:after="0"/>
              <w:rPr>
                <w:sz w:val="20"/>
                <w:szCs w:val="20"/>
                <w:color w:val="auto"/>
              </w:rPr>
            </w:pPr>
            <w:r>
              <w:rPr>
                <w:rFonts w:ascii="Arial" w:cs="Arial" w:eastAsia="Arial" w:hAnsi="Arial"/>
                <w:sz w:val="13"/>
                <w:szCs w:val="13"/>
                <w:color w:val="auto"/>
              </w:rPr>
              <w:t>5,993</w:t>
            </w:r>
          </w:p>
        </w:tc>
        <w:tc>
          <w:tcPr>
            <w:tcW w:w="100" w:type="dxa"/>
            <w:vAlign w:val="bottom"/>
          </w:tcPr>
          <w:p>
            <w:pPr>
              <w:spacing w:after="0"/>
              <w:rPr>
                <w:sz w:val="8"/>
                <w:szCs w:val="8"/>
                <w:color w:val="auto"/>
              </w:rPr>
            </w:pPr>
          </w:p>
        </w:tc>
        <w:tc>
          <w:tcPr>
            <w:tcW w:w="12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vMerge w:val="restart"/>
          </w:tcPr>
          <w:p>
            <w:pPr>
              <w:jc w:val="right"/>
              <w:spacing w:after="0"/>
              <w:rPr>
                <w:sz w:val="20"/>
                <w:szCs w:val="20"/>
                <w:color w:val="auto"/>
              </w:rPr>
            </w:pPr>
            <w:r>
              <w:rPr>
                <w:rFonts w:ascii="Arial" w:cs="Arial" w:eastAsia="Arial" w:hAnsi="Arial"/>
                <w:sz w:val="13"/>
                <w:szCs w:val="13"/>
                <w:color w:val="auto"/>
              </w:rPr>
              <w:t>85,880</w:t>
            </w:r>
          </w:p>
        </w:tc>
        <w:tc>
          <w:tcPr>
            <w:tcW w:w="100" w:type="dxa"/>
            <w:vAlign w:val="bottom"/>
          </w:tcPr>
          <w:p>
            <w:pPr>
              <w:spacing w:after="0"/>
              <w:rPr>
                <w:sz w:val="8"/>
                <w:szCs w:val="8"/>
                <w:color w:val="auto"/>
              </w:rPr>
            </w:pPr>
          </w:p>
        </w:tc>
        <w:tc>
          <w:tcPr>
            <w:tcW w:w="1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780" w:type="dxa"/>
            <w:vAlign w:val="bottom"/>
            <w:vMerge w:val="restart"/>
          </w:tcPr>
          <w:p>
            <w:pPr>
              <w:jc w:val="right"/>
              <w:spacing w:after="0"/>
              <w:rPr>
                <w:sz w:val="20"/>
                <w:szCs w:val="20"/>
                <w:color w:val="auto"/>
              </w:rPr>
            </w:pPr>
            <w:r>
              <w:rPr>
                <w:rFonts w:ascii="Arial" w:cs="Arial" w:eastAsia="Arial" w:hAnsi="Arial"/>
                <w:sz w:val="13"/>
                <w:szCs w:val="13"/>
                <w:color w:val="auto"/>
              </w:rPr>
              <w:t>(6,494)</w:t>
            </w:r>
          </w:p>
        </w:tc>
        <w:tc>
          <w:tcPr>
            <w:tcW w:w="100" w:type="dxa"/>
            <w:vAlign w:val="bottom"/>
          </w:tcPr>
          <w:p>
            <w:pPr>
              <w:spacing w:after="0"/>
              <w:rPr>
                <w:sz w:val="8"/>
                <w:szCs w:val="8"/>
                <w:color w:val="auto"/>
              </w:rPr>
            </w:pPr>
          </w:p>
        </w:tc>
        <w:tc>
          <w:tcPr>
            <w:tcW w:w="200" w:type="dxa"/>
            <w:vAlign w:val="bottom"/>
            <w:vMerge w:val="restart"/>
          </w:tcPr>
          <w:p>
            <w:pPr>
              <w:jc w:val="right"/>
              <w:ind w:right="36"/>
              <w:spacing w:after="0"/>
              <w:rPr>
                <w:sz w:val="20"/>
                <w:szCs w:val="20"/>
                <w:color w:val="auto"/>
              </w:rPr>
            </w:pPr>
            <w:r>
              <w:rPr>
                <w:rFonts w:ascii="Arial" w:cs="Arial" w:eastAsia="Arial" w:hAnsi="Arial"/>
                <w:sz w:val="13"/>
                <w:szCs w:val="13"/>
                <w:color w:val="auto"/>
              </w:rPr>
              <w:t>$</w:t>
            </w:r>
          </w:p>
        </w:tc>
        <w:tc>
          <w:tcPr>
            <w:tcW w:w="88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200" w:type="dxa"/>
            <w:vAlign w:val="bottom"/>
            <w:vMerge w:val="restart"/>
          </w:tcPr>
          <w:p>
            <w:pPr>
              <w:jc w:val="right"/>
              <w:ind w:right="56"/>
              <w:spacing w:after="0"/>
              <w:rPr>
                <w:sz w:val="20"/>
                <w:szCs w:val="20"/>
                <w:color w:val="auto"/>
              </w:rPr>
            </w:pPr>
            <w:r>
              <w:rPr>
                <w:rFonts w:ascii="Arial" w:cs="Arial" w:eastAsia="Arial" w:hAnsi="Arial"/>
                <w:sz w:val="13"/>
                <w:szCs w:val="13"/>
                <w:color w:val="auto"/>
                <w:w w:val="82"/>
              </w:rPr>
              <w:t>$</w:t>
            </w:r>
          </w:p>
        </w:tc>
        <w:tc>
          <w:tcPr>
            <w:tcW w:w="780" w:type="dxa"/>
            <w:vAlign w:val="bottom"/>
            <w:vMerge w:val="restart"/>
          </w:tcPr>
          <w:p>
            <w:pPr>
              <w:jc w:val="right"/>
              <w:spacing w:after="0"/>
              <w:rPr>
                <w:sz w:val="20"/>
                <w:szCs w:val="20"/>
                <w:color w:val="auto"/>
              </w:rPr>
            </w:pPr>
            <w:r>
              <w:rPr>
                <w:rFonts w:ascii="Arial" w:cs="Arial" w:eastAsia="Arial" w:hAnsi="Arial"/>
                <w:sz w:val="13"/>
                <w:szCs w:val="13"/>
                <w:color w:val="auto"/>
              </w:rPr>
              <w:t>50,875</w:t>
            </w:r>
          </w:p>
        </w:tc>
        <w:tc>
          <w:tcPr>
            <w:tcW w:w="0" w:type="dxa"/>
            <w:vAlign w:val="bottom"/>
          </w:tcPr>
          <w:p>
            <w:pPr>
              <w:spacing w:after="0"/>
              <w:rPr>
                <w:sz w:val="1"/>
                <w:szCs w:val="1"/>
                <w:color w:val="auto"/>
              </w:rPr>
            </w:pPr>
          </w:p>
        </w:tc>
      </w:tr>
      <w:tr>
        <w:trPr>
          <w:trHeight w:val="154"/>
        </w:trPr>
        <w:tc>
          <w:tcPr>
            <w:tcW w:w="4200" w:type="dxa"/>
            <w:vAlign w:val="bottom"/>
            <w:gridSpan w:val="2"/>
          </w:tcPr>
          <w:p>
            <w:pPr>
              <w:ind w:left="160"/>
              <w:spacing w:after="0"/>
              <w:rPr>
                <w:sz w:val="20"/>
                <w:szCs w:val="20"/>
                <w:color w:val="auto"/>
              </w:rPr>
            </w:pPr>
            <w:r>
              <w:rPr>
                <w:rFonts w:ascii="Arial" w:cs="Arial" w:eastAsia="Arial" w:hAnsi="Arial"/>
                <w:sz w:val="13"/>
                <w:szCs w:val="13"/>
                <w:color w:val="auto"/>
              </w:rPr>
              <w:t>assets still held at end of period</w:t>
            </w:r>
          </w:p>
        </w:tc>
        <w:tc>
          <w:tcPr>
            <w:tcW w:w="100" w:type="dxa"/>
            <w:vAlign w:val="bottom"/>
            <w:vMerge w:val="continue"/>
          </w:tcPr>
          <w:p>
            <w:pPr>
              <w:spacing w:after="0"/>
              <w:rPr>
                <w:sz w:val="13"/>
                <w:szCs w:val="13"/>
                <w:color w:val="auto"/>
              </w:rPr>
            </w:pPr>
          </w:p>
        </w:tc>
        <w:tc>
          <w:tcPr>
            <w:tcW w:w="78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vMerge w:val="continue"/>
          </w:tcPr>
          <w:p>
            <w:pPr>
              <w:spacing w:after="0"/>
              <w:rPr>
                <w:sz w:val="13"/>
                <w:szCs w:val="13"/>
                <w:color w:val="auto"/>
              </w:rPr>
            </w:pPr>
          </w:p>
        </w:tc>
        <w:tc>
          <w:tcPr>
            <w:tcW w:w="76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vMerge w:val="continue"/>
          </w:tcPr>
          <w:p>
            <w:pPr>
              <w:spacing w:after="0"/>
              <w:rPr>
                <w:sz w:val="13"/>
                <w:szCs w:val="13"/>
                <w:color w:val="auto"/>
              </w:rPr>
            </w:pPr>
          </w:p>
        </w:tc>
        <w:tc>
          <w:tcPr>
            <w:tcW w:w="7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vMerge w:val="continue"/>
          </w:tcPr>
          <w:p>
            <w:pPr>
              <w:spacing w:after="0"/>
              <w:rPr>
                <w:sz w:val="13"/>
                <w:szCs w:val="13"/>
                <w:color w:val="auto"/>
              </w:rPr>
            </w:pPr>
          </w:p>
        </w:tc>
        <w:tc>
          <w:tcPr>
            <w:tcW w:w="76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vMerge w:val="continue"/>
          </w:tcPr>
          <w:p>
            <w:pPr>
              <w:spacing w:after="0"/>
              <w:rPr>
                <w:sz w:val="13"/>
                <w:szCs w:val="13"/>
                <w:color w:val="auto"/>
              </w:rPr>
            </w:pPr>
          </w:p>
        </w:tc>
        <w:tc>
          <w:tcPr>
            <w:tcW w:w="7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vMerge w:val="continue"/>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200" w:type="dxa"/>
            <w:vAlign w:val="bottom"/>
            <w:vMerge w:val="continue"/>
          </w:tcPr>
          <w:p>
            <w:pPr>
              <w:spacing w:after="0"/>
              <w:rPr>
                <w:sz w:val="13"/>
                <w:szCs w:val="13"/>
                <w:color w:val="auto"/>
              </w:rPr>
            </w:pPr>
          </w:p>
        </w:tc>
        <w:tc>
          <w:tcPr>
            <w:tcW w:w="7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8" w:lineRule="exact"/>
        <w:rPr>
          <w:sz w:val="20"/>
          <w:szCs w:val="20"/>
          <w:color w:val="auto"/>
        </w:rPr>
      </w:pPr>
    </w:p>
    <w:p>
      <w:pPr>
        <w:ind w:right="280" w:firstLine="619"/>
        <w:spacing w:after="0" w:line="271" w:lineRule="auto"/>
        <w:rPr>
          <w:sz w:val="20"/>
          <w:szCs w:val="20"/>
          <w:color w:val="auto"/>
        </w:rPr>
      </w:pPr>
      <w:r>
        <w:rPr>
          <w:rFonts w:ascii="Arial" w:cs="Arial" w:eastAsia="Arial" w:hAnsi="Arial"/>
          <w:sz w:val="17"/>
          <w:szCs w:val="17"/>
          <w:color w:val="auto"/>
        </w:rPr>
        <w:t>Total realized and unrealized gains and losses recorded for Level III investments are included in net realized gain on consolidated funds’ investments or net change in unrealized appreciation (depreciation) on consolidated funds’ investments in the consolidated statements of operations.</w:t>
      </w:r>
    </w:p>
    <w:p>
      <w:pPr>
        <w:spacing w:after="0" w:line="111" w:lineRule="exact"/>
        <w:rPr>
          <w:sz w:val="20"/>
          <w:szCs w:val="20"/>
          <w:color w:val="auto"/>
        </w:rPr>
      </w:pPr>
    </w:p>
    <w:p>
      <w:pPr>
        <w:ind w:right="100" w:firstLine="619"/>
        <w:spacing w:after="0" w:line="265" w:lineRule="auto"/>
        <w:rPr>
          <w:sz w:val="20"/>
          <w:szCs w:val="20"/>
          <w:color w:val="auto"/>
        </w:rPr>
      </w:pPr>
      <w:r>
        <w:rPr>
          <w:rFonts w:ascii="Arial" w:cs="Arial" w:eastAsia="Arial" w:hAnsi="Arial"/>
          <w:sz w:val="17"/>
          <w:szCs w:val="17"/>
          <w:color w:val="auto"/>
        </w:rPr>
        <w:t>Transfers out of Level III are generally attributable to certain investments that experienced a more significant level of market trading activity or completed an initial public offering during the respective period and thus were valued using observable inputs. Transfers into Level III typically reflect either investments that experienced a less significant level of market trading activity during the period or portfolio companies that undertook restructurings or bankruptcy proceedings and thus were valued in the absence of observable inputs.</w:t>
      </w:r>
    </w:p>
    <w:p>
      <w:pPr>
        <w:spacing w:after="0" w:line="116"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following table sets forth a summary of the valuation techniques and quantitative information utilized in determining the fair value of the</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5320" w:type="dxa"/>
            <w:vAlign w:val="bottom"/>
          </w:tcPr>
          <w:p>
            <w:pPr>
              <w:spacing w:after="0"/>
              <w:rPr>
                <w:sz w:val="20"/>
                <w:szCs w:val="20"/>
                <w:color w:val="auto"/>
              </w:rPr>
            </w:pPr>
            <w:r>
              <w:rPr>
                <w:rFonts w:ascii="Arial" w:cs="Arial" w:eastAsia="Arial" w:hAnsi="Arial"/>
                <w:sz w:val="17"/>
                <w:szCs w:val="17"/>
                <w:color w:val="auto"/>
              </w:rPr>
              <w:t>consolidated funds’ Level III investments as of December 31, 2025:</w:t>
            </w:r>
          </w:p>
        </w:tc>
        <w:tc>
          <w:tcPr>
            <w:tcW w:w="5920" w:type="dxa"/>
            <w:vAlign w:val="bottom"/>
          </w:tcPr>
          <w:p>
            <w:pPr>
              <w:jc w:val="right"/>
              <w:ind w:right="5434"/>
              <w:spacing w:after="0"/>
              <w:rPr>
                <w:sz w:val="20"/>
                <w:szCs w:val="20"/>
                <w:color w:val="auto"/>
              </w:rPr>
            </w:pPr>
            <w:r>
              <w:rPr>
                <w:rFonts w:ascii="Arial" w:cs="Arial" w:eastAsia="Arial" w:hAnsi="Arial"/>
                <w:sz w:val="17"/>
                <w:szCs w:val="17"/>
                <w:color w:val="auto"/>
              </w:rPr>
              <w:t>92</w:t>
            </w:r>
          </w:p>
        </w:tc>
      </w:tr>
      <w:tr>
        <w:trPr>
          <w:trHeight w:val="90"/>
        </w:trPr>
        <w:tc>
          <w:tcPr>
            <w:tcW w:w="5320" w:type="dxa"/>
            <w:vAlign w:val="bottom"/>
            <w:tcBorders>
              <w:bottom w:val="single" w:sz="8" w:color="9A9A9A"/>
            </w:tcBorders>
          </w:tcPr>
          <w:p>
            <w:pPr>
              <w:spacing w:after="0"/>
              <w:rPr>
                <w:sz w:val="7"/>
                <w:szCs w:val="7"/>
                <w:color w:val="auto"/>
              </w:rPr>
            </w:pPr>
          </w:p>
        </w:tc>
        <w:tc>
          <w:tcPr>
            <w:tcW w:w="592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2" w:name="page93"/>
    <w:bookmarkEnd w:id="92"/>
    <w:p>
      <w:pPr>
        <w:jc w:val="center"/>
        <w:spacing w:after="0"/>
        <w:rPr>
          <w:sz w:val="20"/>
          <w:szCs w:val="20"/>
          <w:color w:val="auto"/>
        </w:rPr>
      </w:pPr>
      <w:r>
        <w:rPr>
          <w:rFonts w:ascii="Arial" w:cs="Arial" w:eastAsia="Arial" w:hAnsi="Arial"/>
          <w:sz w:val="17"/>
          <w:szCs w:val="17"/>
          <w:b w:val="1"/>
          <w:bCs w:val="1"/>
          <w:color w:val="auto"/>
        </w:rPr>
        <w:t>Brookfield Oaktree Holdings, LLC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 (Continued)</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December 31, 2025</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 in thousands, except where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1840" w:type="dxa"/>
            <w:vAlign w:val="bottom"/>
            <w:vMerge w:val="restart"/>
          </w:tcPr>
          <w:p>
            <w:pPr>
              <w:ind w:left="480"/>
              <w:spacing w:after="0"/>
              <w:rPr>
                <w:sz w:val="20"/>
                <w:szCs w:val="20"/>
                <w:color w:val="auto"/>
              </w:rPr>
            </w:pPr>
            <w:r>
              <w:rPr>
                <w:rFonts w:ascii="Arial" w:cs="Arial" w:eastAsia="Arial" w:hAnsi="Arial"/>
                <w:sz w:val="11"/>
                <w:szCs w:val="11"/>
                <w:b w:val="1"/>
                <w:bCs w:val="1"/>
                <w:color w:val="auto"/>
              </w:rPr>
              <w:t>Investment Type</w:t>
            </w:r>
          </w:p>
        </w:tc>
        <w:tc>
          <w:tcPr>
            <w:tcW w:w="200" w:type="dxa"/>
            <w:vAlign w:val="bottom"/>
            <w:vMerge w:val="restart"/>
          </w:tcPr>
          <w:p>
            <w:pPr>
              <w:spacing w:after="0"/>
              <w:rPr>
                <w:sz w:val="10"/>
                <w:szCs w:val="10"/>
                <w:color w:val="auto"/>
              </w:rPr>
            </w:pPr>
          </w:p>
        </w:tc>
        <w:tc>
          <w:tcPr>
            <w:tcW w:w="160" w:type="dxa"/>
            <w:vAlign w:val="bottom"/>
          </w:tcPr>
          <w:p>
            <w:pPr>
              <w:spacing w:after="0"/>
              <w:rPr>
                <w:sz w:val="10"/>
                <w:szCs w:val="10"/>
                <w:color w:val="auto"/>
              </w:rPr>
            </w:pPr>
          </w:p>
        </w:tc>
        <w:tc>
          <w:tcPr>
            <w:tcW w:w="880" w:type="dxa"/>
            <w:vAlign w:val="bottom"/>
            <w:vMerge w:val="restart"/>
          </w:tcPr>
          <w:p>
            <w:pPr>
              <w:jc w:val="right"/>
              <w:ind w:right="200"/>
              <w:spacing w:after="0"/>
              <w:rPr>
                <w:sz w:val="20"/>
                <w:szCs w:val="20"/>
                <w:color w:val="auto"/>
              </w:rPr>
            </w:pPr>
            <w:r>
              <w:rPr>
                <w:rFonts w:ascii="Arial" w:cs="Arial" w:eastAsia="Arial" w:hAnsi="Arial"/>
                <w:sz w:val="11"/>
                <w:szCs w:val="11"/>
                <w:b w:val="1"/>
                <w:bCs w:val="1"/>
                <w:color w:val="auto"/>
              </w:rPr>
              <w:t>Fair Value</w:t>
            </w:r>
          </w:p>
        </w:tc>
        <w:tc>
          <w:tcPr>
            <w:tcW w:w="200" w:type="dxa"/>
            <w:vAlign w:val="bottom"/>
          </w:tcPr>
          <w:p>
            <w:pPr>
              <w:spacing w:after="0"/>
              <w:rPr>
                <w:sz w:val="10"/>
                <w:szCs w:val="10"/>
                <w:color w:val="auto"/>
              </w:rPr>
            </w:pPr>
          </w:p>
        </w:tc>
        <w:tc>
          <w:tcPr>
            <w:tcW w:w="2440" w:type="dxa"/>
            <w:vAlign w:val="bottom"/>
            <w:vMerge w:val="restart"/>
          </w:tcPr>
          <w:p>
            <w:pPr>
              <w:ind w:left="680"/>
              <w:spacing w:after="0"/>
              <w:rPr>
                <w:sz w:val="20"/>
                <w:szCs w:val="20"/>
                <w:color w:val="auto"/>
              </w:rPr>
            </w:pPr>
            <w:r>
              <w:rPr>
                <w:rFonts w:ascii="Arial" w:cs="Arial" w:eastAsia="Arial" w:hAnsi="Arial"/>
                <w:sz w:val="11"/>
                <w:szCs w:val="11"/>
                <w:b w:val="1"/>
                <w:bCs w:val="1"/>
                <w:color w:val="auto"/>
              </w:rPr>
              <w:t>Valuation Technique</w:t>
            </w:r>
          </w:p>
        </w:tc>
        <w:tc>
          <w:tcPr>
            <w:tcW w:w="200" w:type="dxa"/>
            <w:vAlign w:val="bottom"/>
            <w:vMerge w:val="restart"/>
          </w:tcPr>
          <w:p>
            <w:pPr>
              <w:spacing w:after="0"/>
              <w:rPr>
                <w:sz w:val="10"/>
                <w:szCs w:val="10"/>
                <w:color w:val="auto"/>
              </w:rPr>
            </w:pPr>
          </w:p>
        </w:tc>
        <w:tc>
          <w:tcPr>
            <w:tcW w:w="2640" w:type="dxa"/>
            <w:vAlign w:val="bottom"/>
            <w:gridSpan w:val="2"/>
          </w:tcPr>
          <w:p>
            <w:pPr>
              <w:ind w:left="540"/>
              <w:spacing w:after="0"/>
              <w:rPr>
                <w:sz w:val="20"/>
                <w:szCs w:val="20"/>
                <w:color w:val="auto"/>
              </w:rPr>
            </w:pPr>
            <w:r>
              <w:rPr>
                <w:rFonts w:ascii="Arial" w:cs="Arial" w:eastAsia="Arial" w:hAnsi="Arial"/>
                <w:sz w:val="11"/>
                <w:szCs w:val="11"/>
                <w:b w:val="1"/>
                <w:bCs w:val="1"/>
                <w:color w:val="auto"/>
              </w:rPr>
              <w:t>Significant Unobservable</w:t>
            </w:r>
          </w:p>
        </w:tc>
        <w:tc>
          <w:tcPr>
            <w:tcW w:w="1240" w:type="dxa"/>
            <w:vAlign w:val="bottom"/>
            <w:gridSpan w:val="2"/>
            <w:vMerge w:val="restart"/>
          </w:tcPr>
          <w:p>
            <w:pPr>
              <w:jc w:val="center"/>
              <w:spacing w:after="0"/>
              <w:rPr>
                <w:sz w:val="20"/>
                <w:szCs w:val="20"/>
                <w:color w:val="auto"/>
              </w:rPr>
            </w:pPr>
            <w:r>
              <w:rPr>
                <w:rFonts w:ascii="Arial" w:cs="Arial" w:eastAsia="Arial" w:hAnsi="Arial"/>
                <w:sz w:val="11"/>
                <w:szCs w:val="11"/>
                <w:b w:val="1"/>
                <w:bCs w:val="1"/>
                <w:color w:val="auto"/>
              </w:rPr>
              <w:t>Range</w:t>
            </w:r>
          </w:p>
        </w:tc>
        <w:tc>
          <w:tcPr>
            <w:tcW w:w="200" w:type="dxa"/>
            <w:vAlign w:val="bottom"/>
            <w:vMerge w:val="restart"/>
          </w:tcPr>
          <w:p>
            <w:pPr>
              <w:spacing w:after="0"/>
              <w:rPr>
                <w:sz w:val="10"/>
                <w:szCs w:val="10"/>
                <w:color w:val="auto"/>
              </w:rPr>
            </w:pPr>
          </w:p>
        </w:tc>
        <w:tc>
          <w:tcPr>
            <w:tcW w:w="1240" w:type="dxa"/>
            <w:vAlign w:val="bottom"/>
            <w:vMerge w:val="restart"/>
          </w:tcPr>
          <w:p>
            <w:pPr>
              <w:jc w:val="center"/>
              <w:spacing w:after="0"/>
              <w:rPr>
                <w:sz w:val="20"/>
                <w:szCs w:val="20"/>
                <w:color w:val="auto"/>
              </w:rPr>
            </w:pPr>
            <w:r>
              <w:rPr>
                <w:rFonts w:ascii="Arial" w:cs="Arial" w:eastAsia="Arial" w:hAnsi="Arial"/>
                <w:sz w:val="11"/>
                <w:szCs w:val="11"/>
                <w:b w:val="1"/>
                <w:bCs w:val="1"/>
                <w:color w:val="auto"/>
                <w:w w:val="97"/>
              </w:rPr>
              <w:t xml:space="preserve">Weighted Average </w:t>
            </w:r>
            <w:r>
              <w:rPr>
                <w:rFonts w:ascii="Arial" w:cs="Arial" w:eastAsia="Arial" w:hAnsi="Arial"/>
                <w:sz w:val="14"/>
                <w:szCs w:val="14"/>
                <w:b w:val="1"/>
                <w:bCs w:val="1"/>
                <w:color w:val="auto"/>
                <w:w w:val="97"/>
                <w:vertAlign w:val="superscript"/>
              </w:rPr>
              <w:t>(3)</w:t>
            </w:r>
          </w:p>
        </w:tc>
        <w:tc>
          <w:tcPr>
            <w:tcW w:w="0" w:type="dxa"/>
            <w:vAlign w:val="bottom"/>
          </w:tcPr>
          <w:p>
            <w:pPr>
              <w:spacing w:after="0"/>
              <w:rPr>
                <w:sz w:val="1"/>
                <w:szCs w:val="1"/>
                <w:color w:val="auto"/>
              </w:rPr>
            </w:pPr>
          </w:p>
        </w:tc>
      </w:tr>
      <w:tr>
        <w:trPr>
          <w:trHeight w:val="150"/>
        </w:trPr>
        <w:tc>
          <w:tcPr>
            <w:tcW w:w="1840" w:type="dxa"/>
            <w:vAlign w:val="bottom"/>
            <w:tcBorders>
              <w:bottom w:val="single" w:sz="8" w:color="auto"/>
            </w:tcBorders>
            <w:vMerge w:val="continue"/>
          </w:tcPr>
          <w:p>
            <w:pPr>
              <w:spacing w:after="0"/>
              <w:rPr>
                <w:sz w:val="13"/>
                <w:szCs w:val="13"/>
                <w:color w:val="auto"/>
              </w:rPr>
            </w:pPr>
          </w:p>
        </w:tc>
        <w:tc>
          <w:tcPr>
            <w:tcW w:w="200" w:type="dxa"/>
            <w:vAlign w:val="bottom"/>
            <w:vMerge w:val="continue"/>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vMerge w:val="continue"/>
          </w:tcPr>
          <w:p>
            <w:pPr>
              <w:spacing w:after="0"/>
              <w:rPr>
                <w:sz w:val="13"/>
                <w:szCs w:val="13"/>
                <w:color w:val="auto"/>
              </w:rPr>
            </w:pPr>
          </w:p>
        </w:tc>
        <w:tc>
          <w:tcPr>
            <w:tcW w:w="200" w:type="dxa"/>
            <w:vAlign w:val="bottom"/>
          </w:tcPr>
          <w:p>
            <w:pPr>
              <w:spacing w:after="0"/>
              <w:rPr>
                <w:sz w:val="13"/>
                <w:szCs w:val="13"/>
                <w:color w:val="auto"/>
              </w:rPr>
            </w:pPr>
          </w:p>
        </w:tc>
        <w:tc>
          <w:tcPr>
            <w:tcW w:w="2440" w:type="dxa"/>
            <w:vAlign w:val="bottom"/>
            <w:tcBorders>
              <w:bottom w:val="single" w:sz="8" w:color="auto"/>
            </w:tcBorders>
            <w:vMerge w:val="continue"/>
          </w:tcPr>
          <w:p>
            <w:pPr>
              <w:spacing w:after="0"/>
              <w:rPr>
                <w:sz w:val="13"/>
                <w:szCs w:val="13"/>
                <w:color w:val="auto"/>
              </w:rPr>
            </w:pPr>
          </w:p>
        </w:tc>
        <w:tc>
          <w:tcPr>
            <w:tcW w:w="200" w:type="dxa"/>
            <w:vAlign w:val="bottom"/>
            <w:vMerge w:val="continue"/>
          </w:tcPr>
          <w:p>
            <w:pPr>
              <w:spacing w:after="0"/>
              <w:rPr>
                <w:sz w:val="13"/>
                <w:szCs w:val="13"/>
                <w:color w:val="auto"/>
              </w:rPr>
            </w:pPr>
          </w:p>
        </w:tc>
        <w:tc>
          <w:tcPr>
            <w:tcW w:w="2440" w:type="dxa"/>
            <w:vAlign w:val="bottom"/>
            <w:tcBorders>
              <w:bottom w:val="single" w:sz="8" w:color="auto"/>
            </w:tcBorders>
          </w:tcPr>
          <w:p>
            <w:pPr>
              <w:ind w:left="960"/>
              <w:spacing w:after="0" w:line="150" w:lineRule="exact"/>
              <w:rPr>
                <w:sz w:val="20"/>
                <w:szCs w:val="20"/>
                <w:color w:val="auto"/>
              </w:rPr>
            </w:pPr>
            <w:r>
              <w:rPr>
                <w:rFonts w:ascii="Arial" w:cs="Arial" w:eastAsia="Arial" w:hAnsi="Arial"/>
                <w:sz w:val="11"/>
                <w:szCs w:val="11"/>
                <w:b w:val="1"/>
                <w:bCs w:val="1"/>
                <w:color w:val="auto"/>
              </w:rPr>
              <w:t xml:space="preserve">Inputs </w:t>
            </w:r>
            <w:r>
              <w:rPr>
                <w:rFonts w:ascii="Arial" w:cs="Arial" w:eastAsia="Arial" w:hAnsi="Arial"/>
                <w:sz w:val="14"/>
                <w:szCs w:val="14"/>
                <w:b w:val="1"/>
                <w:bCs w:val="1"/>
                <w:color w:val="auto"/>
                <w:vertAlign w:val="superscript"/>
              </w:rPr>
              <w:t>(1)(2)</w:t>
            </w:r>
          </w:p>
        </w:tc>
        <w:tc>
          <w:tcPr>
            <w:tcW w:w="200" w:type="dxa"/>
            <w:vAlign w:val="bottom"/>
          </w:tcPr>
          <w:p>
            <w:pPr>
              <w:spacing w:after="0"/>
              <w:rPr>
                <w:sz w:val="13"/>
                <w:szCs w:val="13"/>
                <w:color w:val="auto"/>
              </w:rPr>
            </w:pPr>
          </w:p>
        </w:tc>
        <w:tc>
          <w:tcPr>
            <w:tcW w:w="1240" w:type="dxa"/>
            <w:vAlign w:val="bottom"/>
            <w:tcBorders>
              <w:bottom w:val="single" w:sz="8" w:color="auto"/>
            </w:tcBorders>
            <w:gridSpan w:val="2"/>
            <w:vMerge w:val="continue"/>
          </w:tcPr>
          <w:p>
            <w:pPr>
              <w:spacing w:after="0"/>
              <w:rPr>
                <w:sz w:val="13"/>
                <w:szCs w:val="13"/>
                <w:color w:val="auto"/>
              </w:rPr>
            </w:pPr>
          </w:p>
        </w:tc>
        <w:tc>
          <w:tcPr>
            <w:tcW w:w="200" w:type="dxa"/>
            <w:vAlign w:val="bottom"/>
            <w:vMerge w:val="continue"/>
          </w:tcPr>
          <w:p>
            <w:pPr>
              <w:spacing w:after="0"/>
              <w:rPr>
                <w:sz w:val="13"/>
                <w:szCs w:val="13"/>
                <w:color w:val="auto"/>
              </w:rPr>
            </w:pPr>
          </w:p>
        </w:tc>
        <w:tc>
          <w:tcPr>
            <w:tcW w:w="124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76"/>
        </w:trPr>
        <w:tc>
          <w:tcPr>
            <w:tcW w:w="2040" w:type="dxa"/>
            <w:vAlign w:val="bottom"/>
            <w:gridSpan w:val="2"/>
          </w:tcPr>
          <w:p>
            <w:pPr>
              <w:ind w:left="20"/>
              <w:spacing w:after="0"/>
              <w:rPr>
                <w:sz w:val="20"/>
                <w:szCs w:val="20"/>
                <w:color w:val="auto"/>
              </w:rPr>
            </w:pPr>
            <w:r>
              <w:rPr>
                <w:rFonts w:ascii="Arial" w:cs="Arial" w:eastAsia="Arial" w:hAnsi="Arial"/>
                <w:sz w:val="12"/>
                <w:szCs w:val="12"/>
                <w:color w:val="auto"/>
              </w:rPr>
              <w:t>Credit-oriented investments:</w:t>
            </w:r>
          </w:p>
        </w:tc>
        <w:tc>
          <w:tcPr>
            <w:tcW w:w="1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4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4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6"/>
        </w:trPr>
        <w:tc>
          <w:tcPr>
            <w:tcW w:w="1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$953,783</w:t>
            </w:r>
          </w:p>
        </w:tc>
        <w:tc>
          <w:tcPr>
            <w:tcW w:w="200" w:type="dxa"/>
            <w:vAlign w:val="bottom"/>
          </w:tcPr>
          <w:p>
            <w:pPr>
              <w:spacing w:after="0"/>
              <w:rPr>
                <w:sz w:val="15"/>
                <w:szCs w:val="15"/>
                <w:color w:val="auto"/>
              </w:rPr>
            </w:pPr>
          </w:p>
        </w:tc>
        <w:tc>
          <w:tcPr>
            <w:tcW w:w="2640" w:type="dxa"/>
            <w:vAlign w:val="bottom"/>
            <w:gridSpan w:val="2"/>
          </w:tcPr>
          <w:p>
            <w:pPr>
              <w:ind w:left="20"/>
              <w:spacing w:after="0"/>
              <w:rPr>
                <w:sz w:val="20"/>
                <w:szCs w:val="20"/>
                <w:color w:val="auto"/>
              </w:rPr>
            </w:pPr>
            <w:r>
              <w:rPr>
                <w:rFonts w:ascii="Arial" w:cs="Arial" w:eastAsia="Arial" w:hAnsi="Arial"/>
                <w:sz w:val="12"/>
                <w:szCs w:val="12"/>
                <w:color w:val="auto"/>
              </w:rPr>
              <w:t xml:space="preserve">Discounted cash flow </w:t>
            </w:r>
            <w:r>
              <w:rPr>
                <w:rFonts w:ascii="Arial" w:cs="Arial" w:eastAsia="Arial" w:hAnsi="Arial"/>
                <w:sz w:val="15"/>
                <w:szCs w:val="15"/>
                <w:color w:val="auto"/>
                <w:vertAlign w:val="superscript"/>
              </w:rPr>
              <w:t>(6)</w:t>
            </w:r>
          </w:p>
        </w:tc>
        <w:tc>
          <w:tcPr>
            <w:tcW w:w="2640" w:type="dxa"/>
            <w:vAlign w:val="bottom"/>
            <w:gridSpan w:val="2"/>
          </w:tcPr>
          <w:p>
            <w:pPr>
              <w:ind w:left="20"/>
              <w:spacing w:after="0"/>
              <w:rPr>
                <w:sz w:val="20"/>
                <w:szCs w:val="20"/>
                <w:color w:val="auto"/>
              </w:rPr>
            </w:pPr>
            <w:r>
              <w:rPr>
                <w:rFonts w:ascii="Arial" w:cs="Arial" w:eastAsia="Arial" w:hAnsi="Arial"/>
                <w:sz w:val="12"/>
                <w:szCs w:val="12"/>
                <w:color w:val="auto"/>
              </w:rPr>
              <w:t>Discount rate</w:t>
            </w:r>
          </w:p>
        </w:tc>
        <w:tc>
          <w:tcPr>
            <w:tcW w:w="1440" w:type="dxa"/>
            <w:vAlign w:val="bottom"/>
            <w:gridSpan w:val="3"/>
          </w:tcPr>
          <w:p>
            <w:pPr>
              <w:jc w:val="center"/>
              <w:ind w:right="200"/>
              <w:spacing w:after="0"/>
              <w:rPr>
                <w:sz w:val="20"/>
                <w:szCs w:val="20"/>
                <w:color w:val="auto"/>
              </w:rPr>
            </w:pPr>
            <w:r>
              <w:rPr>
                <w:rFonts w:ascii="Arial" w:cs="Arial" w:eastAsia="Arial" w:hAnsi="Arial"/>
                <w:sz w:val="12"/>
                <w:szCs w:val="12"/>
                <w:color w:val="auto"/>
              </w:rPr>
              <w:t>5% – 21%</w:t>
            </w:r>
          </w:p>
        </w:tc>
        <w:tc>
          <w:tcPr>
            <w:tcW w:w="1240" w:type="dxa"/>
            <w:vAlign w:val="bottom"/>
          </w:tcPr>
          <w:p>
            <w:pPr>
              <w:jc w:val="center"/>
              <w:spacing w:after="0"/>
              <w:rPr>
                <w:sz w:val="20"/>
                <w:szCs w:val="20"/>
                <w:color w:val="auto"/>
              </w:rPr>
            </w:pPr>
            <w:r>
              <w:rPr>
                <w:rFonts w:ascii="Arial" w:cs="Arial" w:eastAsia="Arial" w:hAnsi="Arial"/>
                <w:sz w:val="12"/>
                <w:szCs w:val="12"/>
                <w:color w:val="auto"/>
                <w:w w:val="91"/>
              </w:rPr>
              <w:t>11%</w:t>
            </w:r>
          </w:p>
        </w:tc>
        <w:tc>
          <w:tcPr>
            <w:tcW w:w="0" w:type="dxa"/>
            <w:vAlign w:val="bottom"/>
          </w:tcPr>
          <w:p>
            <w:pPr>
              <w:spacing w:after="0"/>
              <w:rPr>
                <w:sz w:val="1"/>
                <w:szCs w:val="1"/>
                <w:color w:val="auto"/>
              </w:rPr>
            </w:pPr>
          </w:p>
        </w:tc>
      </w:tr>
      <w:tr>
        <w:trPr>
          <w:trHeight w:val="168"/>
        </w:trPr>
        <w:tc>
          <w:tcPr>
            <w:tcW w:w="1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315,845</w:t>
            </w:r>
          </w:p>
        </w:tc>
        <w:tc>
          <w:tcPr>
            <w:tcW w:w="200" w:type="dxa"/>
            <w:vAlign w:val="bottom"/>
          </w:tcPr>
          <w:p>
            <w:pPr>
              <w:spacing w:after="0"/>
              <w:rPr>
                <w:sz w:val="14"/>
                <w:szCs w:val="14"/>
                <w:color w:val="auto"/>
              </w:rPr>
            </w:pPr>
          </w:p>
        </w:tc>
        <w:tc>
          <w:tcPr>
            <w:tcW w:w="2640" w:type="dxa"/>
            <w:vAlign w:val="bottom"/>
            <w:gridSpan w:val="2"/>
          </w:tcPr>
          <w:p>
            <w:pPr>
              <w:ind w:left="20"/>
              <w:spacing w:after="0" w:line="168" w:lineRule="exact"/>
              <w:rPr>
                <w:sz w:val="20"/>
                <w:szCs w:val="20"/>
                <w:color w:val="auto"/>
              </w:rPr>
            </w:pPr>
            <w:r>
              <w:rPr>
                <w:rFonts w:ascii="Arial" w:cs="Arial" w:eastAsia="Arial" w:hAnsi="Arial"/>
                <w:sz w:val="12"/>
                <w:szCs w:val="12"/>
                <w:color w:val="auto"/>
              </w:rPr>
              <w:t xml:space="preserve">Recent market information </w:t>
            </w:r>
            <w:r>
              <w:rPr>
                <w:rFonts w:ascii="Arial" w:cs="Arial" w:eastAsia="Arial" w:hAnsi="Arial"/>
                <w:sz w:val="15"/>
                <w:szCs w:val="15"/>
                <w:color w:val="auto"/>
                <w:vertAlign w:val="superscript"/>
              </w:rPr>
              <w:t>(5)</w:t>
            </w:r>
          </w:p>
        </w:tc>
        <w:tc>
          <w:tcPr>
            <w:tcW w:w="2640" w:type="dxa"/>
            <w:vAlign w:val="bottom"/>
            <w:gridSpan w:val="2"/>
          </w:tcPr>
          <w:p>
            <w:pPr>
              <w:ind w:left="20"/>
              <w:spacing w:after="0"/>
              <w:rPr>
                <w:sz w:val="20"/>
                <w:szCs w:val="20"/>
                <w:color w:val="auto"/>
              </w:rPr>
            </w:pPr>
            <w:r>
              <w:rPr>
                <w:rFonts w:ascii="Arial" w:cs="Arial" w:eastAsia="Arial" w:hAnsi="Arial"/>
                <w:sz w:val="12"/>
                <w:szCs w:val="12"/>
                <w:color w:val="auto"/>
              </w:rPr>
              <w:t>Quoted prices</w:t>
            </w:r>
          </w:p>
        </w:tc>
        <w:tc>
          <w:tcPr>
            <w:tcW w:w="1440" w:type="dxa"/>
            <w:vAlign w:val="bottom"/>
            <w:gridSpan w:val="3"/>
          </w:tcPr>
          <w:p>
            <w:pPr>
              <w:jc w:val="center"/>
              <w:ind w:right="200"/>
              <w:spacing w:after="0"/>
              <w:rPr>
                <w:sz w:val="20"/>
                <w:szCs w:val="20"/>
                <w:color w:val="auto"/>
              </w:rPr>
            </w:pPr>
            <w:r>
              <w:rPr>
                <w:rFonts w:ascii="Arial" w:cs="Arial" w:eastAsia="Arial" w:hAnsi="Arial"/>
                <w:sz w:val="12"/>
                <w:szCs w:val="12"/>
                <w:color w:val="auto"/>
                <w:w w:val="99"/>
              </w:rPr>
              <w:t>Not applicable</w:t>
            </w:r>
          </w:p>
        </w:tc>
        <w:tc>
          <w:tcPr>
            <w:tcW w:w="1240" w:type="dxa"/>
            <w:vAlign w:val="bottom"/>
          </w:tcPr>
          <w:p>
            <w:pPr>
              <w:jc w:val="center"/>
              <w:spacing w:after="0"/>
              <w:rPr>
                <w:sz w:val="20"/>
                <w:szCs w:val="20"/>
                <w:color w:val="auto"/>
              </w:rPr>
            </w:pPr>
            <w:r>
              <w:rPr>
                <w:rFonts w:ascii="Arial" w:cs="Arial" w:eastAsia="Arial" w:hAnsi="Arial"/>
                <w:sz w:val="12"/>
                <w:szCs w:val="12"/>
                <w:color w:val="auto"/>
                <w:w w:val="99"/>
              </w:rPr>
              <w:t>Not applicable</w:t>
            </w:r>
          </w:p>
        </w:tc>
        <w:tc>
          <w:tcPr>
            <w:tcW w:w="0" w:type="dxa"/>
            <w:vAlign w:val="bottom"/>
          </w:tcPr>
          <w:p>
            <w:pPr>
              <w:spacing w:after="0"/>
              <w:rPr>
                <w:sz w:val="1"/>
                <w:szCs w:val="1"/>
                <w:color w:val="auto"/>
              </w:rPr>
            </w:pPr>
          </w:p>
        </w:tc>
      </w:tr>
      <w:tr>
        <w:trPr>
          <w:trHeight w:val="168"/>
        </w:trPr>
        <w:tc>
          <w:tcPr>
            <w:tcW w:w="1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129,453</w:t>
            </w:r>
          </w:p>
        </w:tc>
        <w:tc>
          <w:tcPr>
            <w:tcW w:w="200" w:type="dxa"/>
            <w:vAlign w:val="bottom"/>
          </w:tcPr>
          <w:p>
            <w:pPr>
              <w:spacing w:after="0"/>
              <w:rPr>
                <w:sz w:val="14"/>
                <w:szCs w:val="14"/>
                <w:color w:val="auto"/>
              </w:rPr>
            </w:pPr>
          </w:p>
        </w:tc>
        <w:tc>
          <w:tcPr>
            <w:tcW w:w="2640" w:type="dxa"/>
            <w:vAlign w:val="bottom"/>
            <w:gridSpan w:val="2"/>
          </w:tcPr>
          <w:p>
            <w:pPr>
              <w:ind w:left="20"/>
              <w:spacing w:after="0" w:line="168" w:lineRule="exact"/>
              <w:rPr>
                <w:sz w:val="20"/>
                <w:szCs w:val="20"/>
                <w:color w:val="auto"/>
              </w:rPr>
            </w:pPr>
            <w:r>
              <w:rPr>
                <w:rFonts w:ascii="Arial" w:cs="Arial" w:eastAsia="Arial" w:hAnsi="Arial"/>
                <w:sz w:val="12"/>
                <w:szCs w:val="12"/>
                <w:color w:val="auto"/>
              </w:rPr>
              <w:t xml:space="preserve">Recent transaction price </w:t>
            </w:r>
            <w:r>
              <w:rPr>
                <w:rFonts w:ascii="Arial" w:cs="Arial" w:eastAsia="Arial" w:hAnsi="Arial"/>
                <w:sz w:val="15"/>
                <w:szCs w:val="15"/>
                <w:color w:val="auto"/>
                <w:vertAlign w:val="superscript"/>
              </w:rPr>
              <w:t>(4)</w:t>
            </w:r>
          </w:p>
        </w:tc>
        <w:tc>
          <w:tcPr>
            <w:tcW w:w="2640" w:type="dxa"/>
            <w:vAlign w:val="bottom"/>
            <w:gridSpan w:val="2"/>
          </w:tcPr>
          <w:p>
            <w:pPr>
              <w:ind w:left="20"/>
              <w:spacing w:after="0"/>
              <w:rPr>
                <w:sz w:val="20"/>
                <w:szCs w:val="20"/>
                <w:color w:val="auto"/>
              </w:rPr>
            </w:pPr>
            <w:r>
              <w:rPr>
                <w:rFonts w:ascii="Arial" w:cs="Arial" w:eastAsia="Arial" w:hAnsi="Arial"/>
                <w:sz w:val="12"/>
                <w:szCs w:val="12"/>
                <w:color w:val="auto"/>
              </w:rPr>
              <w:t>Quoted prices</w:t>
            </w:r>
          </w:p>
        </w:tc>
        <w:tc>
          <w:tcPr>
            <w:tcW w:w="1440" w:type="dxa"/>
            <w:vAlign w:val="bottom"/>
            <w:gridSpan w:val="3"/>
          </w:tcPr>
          <w:p>
            <w:pPr>
              <w:jc w:val="center"/>
              <w:ind w:right="200"/>
              <w:spacing w:after="0"/>
              <w:rPr>
                <w:sz w:val="20"/>
                <w:szCs w:val="20"/>
                <w:color w:val="auto"/>
              </w:rPr>
            </w:pPr>
            <w:r>
              <w:rPr>
                <w:rFonts w:ascii="Arial" w:cs="Arial" w:eastAsia="Arial" w:hAnsi="Arial"/>
                <w:sz w:val="12"/>
                <w:szCs w:val="12"/>
                <w:color w:val="auto"/>
                <w:w w:val="99"/>
              </w:rPr>
              <w:t>Not applicable</w:t>
            </w:r>
          </w:p>
        </w:tc>
        <w:tc>
          <w:tcPr>
            <w:tcW w:w="1240" w:type="dxa"/>
            <w:vAlign w:val="bottom"/>
          </w:tcPr>
          <w:p>
            <w:pPr>
              <w:jc w:val="center"/>
              <w:spacing w:after="0"/>
              <w:rPr>
                <w:sz w:val="20"/>
                <w:szCs w:val="20"/>
                <w:color w:val="auto"/>
              </w:rPr>
            </w:pPr>
            <w:r>
              <w:rPr>
                <w:rFonts w:ascii="Arial" w:cs="Arial" w:eastAsia="Arial" w:hAnsi="Arial"/>
                <w:sz w:val="12"/>
                <w:szCs w:val="12"/>
                <w:color w:val="auto"/>
                <w:w w:val="99"/>
              </w:rPr>
              <w:t>Not applicable</w:t>
            </w:r>
          </w:p>
        </w:tc>
        <w:tc>
          <w:tcPr>
            <w:tcW w:w="0" w:type="dxa"/>
            <w:vAlign w:val="bottom"/>
          </w:tcPr>
          <w:p>
            <w:pPr>
              <w:spacing w:after="0"/>
              <w:rPr>
                <w:sz w:val="1"/>
                <w:szCs w:val="1"/>
                <w:color w:val="auto"/>
              </w:rPr>
            </w:pPr>
          </w:p>
        </w:tc>
      </w:tr>
      <w:tr>
        <w:trPr>
          <w:trHeight w:val="168"/>
        </w:trPr>
        <w:tc>
          <w:tcPr>
            <w:tcW w:w="1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11,409</w:t>
            </w:r>
          </w:p>
        </w:tc>
        <w:tc>
          <w:tcPr>
            <w:tcW w:w="200" w:type="dxa"/>
            <w:vAlign w:val="bottom"/>
          </w:tcPr>
          <w:p>
            <w:pPr>
              <w:spacing w:after="0"/>
              <w:rPr>
                <w:sz w:val="14"/>
                <w:szCs w:val="14"/>
                <w:color w:val="auto"/>
              </w:rPr>
            </w:pPr>
          </w:p>
        </w:tc>
        <w:tc>
          <w:tcPr>
            <w:tcW w:w="2640" w:type="dxa"/>
            <w:vAlign w:val="bottom"/>
            <w:gridSpan w:val="2"/>
          </w:tcPr>
          <w:p>
            <w:pPr>
              <w:ind w:left="20"/>
              <w:spacing w:after="0" w:line="168" w:lineRule="exact"/>
              <w:rPr>
                <w:sz w:val="20"/>
                <w:szCs w:val="20"/>
                <w:color w:val="auto"/>
              </w:rPr>
            </w:pPr>
            <w:r>
              <w:rPr>
                <w:rFonts w:ascii="Arial" w:cs="Arial" w:eastAsia="Arial" w:hAnsi="Arial"/>
                <w:sz w:val="12"/>
                <w:szCs w:val="12"/>
                <w:color w:val="auto"/>
              </w:rPr>
              <w:t xml:space="preserve">Expected Recovery </w:t>
            </w:r>
            <w:r>
              <w:rPr>
                <w:rFonts w:ascii="Arial" w:cs="Arial" w:eastAsia="Arial" w:hAnsi="Arial"/>
                <w:sz w:val="15"/>
                <w:szCs w:val="15"/>
                <w:color w:val="auto"/>
                <w:vertAlign w:val="superscript"/>
              </w:rPr>
              <w:t>(11)</w:t>
            </w:r>
          </w:p>
        </w:tc>
        <w:tc>
          <w:tcPr>
            <w:tcW w:w="2640" w:type="dxa"/>
            <w:vAlign w:val="bottom"/>
            <w:gridSpan w:val="2"/>
          </w:tcPr>
          <w:p>
            <w:pPr>
              <w:ind w:left="20"/>
              <w:spacing w:after="0"/>
              <w:rPr>
                <w:sz w:val="20"/>
                <w:szCs w:val="20"/>
                <w:color w:val="auto"/>
              </w:rPr>
            </w:pPr>
            <w:r>
              <w:rPr>
                <w:rFonts w:ascii="Arial" w:cs="Arial" w:eastAsia="Arial" w:hAnsi="Arial"/>
                <w:sz w:val="12"/>
                <w:szCs w:val="12"/>
                <w:color w:val="auto"/>
              </w:rPr>
              <w:t>Not applicable</w:t>
            </w:r>
          </w:p>
        </w:tc>
        <w:tc>
          <w:tcPr>
            <w:tcW w:w="1440" w:type="dxa"/>
            <w:vAlign w:val="bottom"/>
            <w:gridSpan w:val="3"/>
          </w:tcPr>
          <w:p>
            <w:pPr>
              <w:jc w:val="center"/>
              <w:ind w:right="200"/>
              <w:spacing w:after="0"/>
              <w:rPr>
                <w:sz w:val="20"/>
                <w:szCs w:val="20"/>
                <w:color w:val="auto"/>
              </w:rPr>
            </w:pPr>
            <w:r>
              <w:rPr>
                <w:rFonts w:ascii="Arial" w:cs="Arial" w:eastAsia="Arial" w:hAnsi="Arial"/>
                <w:sz w:val="12"/>
                <w:szCs w:val="12"/>
                <w:color w:val="auto"/>
                <w:w w:val="99"/>
              </w:rPr>
              <w:t>Not applicable</w:t>
            </w:r>
          </w:p>
        </w:tc>
        <w:tc>
          <w:tcPr>
            <w:tcW w:w="1240" w:type="dxa"/>
            <w:vAlign w:val="bottom"/>
          </w:tcPr>
          <w:p>
            <w:pPr>
              <w:jc w:val="center"/>
              <w:spacing w:after="0"/>
              <w:rPr>
                <w:sz w:val="20"/>
                <w:szCs w:val="20"/>
                <w:color w:val="auto"/>
              </w:rPr>
            </w:pPr>
            <w:r>
              <w:rPr>
                <w:rFonts w:ascii="Arial" w:cs="Arial" w:eastAsia="Arial" w:hAnsi="Arial"/>
                <w:sz w:val="12"/>
                <w:szCs w:val="12"/>
                <w:color w:val="auto"/>
                <w:w w:val="99"/>
              </w:rPr>
              <w:t>Not applicable</w:t>
            </w:r>
          </w:p>
        </w:tc>
        <w:tc>
          <w:tcPr>
            <w:tcW w:w="0" w:type="dxa"/>
            <w:vAlign w:val="bottom"/>
          </w:tcPr>
          <w:p>
            <w:pPr>
              <w:spacing w:after="0"/>
              <w:rPr>
                <w:sz w:val="1"/>
                <w:szCs w:val="1"/>
                <w:color w:val="auto"/>
              </w:rPr>
            </w:pPr>
          </w:p>
        </w:tc>
      </w:tr>
      <w:tr>
        <w:trPr>
          <w:trHeight w:val="168"/>
        </w:trPr>
        <w:tc>
          <w:tcPr>
            <w:tcW w:w="1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225,284</w:t>
            </w:r>
          </w:p>
        </w:tc>
        <w:tc>
          <w:tcPr>
            <w:tcW w:w="200" w:type="dxa"/>
            <w:vAlign w:val="bottom"/>
          </w:tcPr>
          <w:p>
            <w:pPr>
              <w:spacing w:after="0"/>
              <w:rPr>
                <w:sz w:val="14"/>
                <w:szCs w:val="14"/>
                <w:color w:val="auto"/>
              </w:rPr>
            </w:pPr>
          </w:p>
        </w:tc>
        <w:tc>
          <w:tcPr>
            <w:tcW w:w="2640" w:type="dxa"/>
            <w:vAlign w:val="bottom"/>
            <w:gridSpan w:val="2"/>
          </w:tcPr>
          <w:p>
            <w:pPr>
              <w:ind w:left="20"/>
              <w:spacing w:after="0" w:line="168" w:lineRule="exact"/>
              <w:rPr>
                <w:sz w:val="20"/>
                <w:szCs w:val="20"/>
                <w:color w:val="auto"/>
              </w:rPr>
            </w:pPr>
            <w:r>
              <w:rPr>
                <w:rFonts w:ascii="Arial" w:cs="Arial" w:eastAsia="Arial" w:hAnsi="Arial"/>
                <w:sz w:val="12"/>
                <w:szCs w:val="12"/>
                <w:color w:val="auto"/>
              </w:rPr>
              <w:t xml:space="preserve">Market approach (comparable companies) </w:t>
            </w:r>
            <w:r>
              <w:rPr>
                <w:rFonts w:ascii="Arial" w:cs="Arial" w:eastAsia="Arial" w:hAnsi="Arial"/>
                <w:sz w:val="15"/>
                <w:szCs w:val="15"/>
                <w:color w:val="auto"/>
                <w:vertAlign w:val="superscript"/>
              </w:rPr>
              <w:t>(7)</w:t>
            </w:r>
          </w:p>
        </w:tc>
        <w:tc>
          <w:tcPr>
            <w:tcW w:w="2640" w:type="dxa"/>
            <w:vAlign w:val="bottom"/>
            <w:gridSpan w:val="2"/>
          </w:tcPr>
          <w:p>
            <w:pPr>
              <w:ind w:left="20"/>
              <w:spacing w:after="0" w:line="168" w:lineRule="exact"/>
              <w:rPr>
                <w:sz w:val="20"/>
                <w:szCs w:val="20"/>
                <w:color w:val="auto"/>
              </w:rPr>
            </w:pPr>
            <w:r>
              <w:rPr>
                <w:rFonts w:ascii="Arial" w:cs="Arial" w:eastAsia="Arial" w:hAnsi="Arial"/>
                <w:sz w:val="12"/>
                <w:szCs w:val="12"/>
                <w:color w:val="auto"/>
              </w:rPr>
              <w:t xml:space="preserve">Multiple of underlying assets </w:t>
            </w:r>
            <w:r>
              <w:rPr>
                <w:rFonts w:ascii="Arial" w:cs="Arial" w:eastAsia="Arial" w:hAnsi="Arial"/>
                <w:sz w:val="15"/>
                <w:szCs w:val="15"/>
                <w:color w:val="auto"/>
                <w:vertAlign w:val="superscript"/>
              </w:rPr>
              <w:t>(9)</w:t>
            </w:r>
          </w:p>
        </w:tc>
        <w:tc>
          <w:tcPr>
            <w:tcW w:w="580" w:type="dxa"/>
            <w:vAlign w:val="bottom"/>
          </w:tcPr>
          <w:p>
            <w:pPr>
              <w:jc w:val="right"/>
              <w:spacing w:after="0"/>
              <w:rPr>
                <w:sz w:val="20"/>
                <w:szCs w:val="20"/>
                <w:color w:val="auto"/>
              </w:rPr>
            </w:pPr>
            <w:r>
              <w:rPr>
                <w:rFonts w:ascii="Arial" w:cs="Arial" w:eastAsia="Arial" w:hAnsi="Arial"/>
                <w:sz w:val="12"/>
                <w:szCs w:val="12"/>
                <w:color w:val="auto"/>
              </w:rPr>
              <w:t>1.0x</w:t>
            </w:r>
          </w:p>
        </w:tc>
        <w:tc>
          <w:tcPr>
            <w:tcW w:w="860" w:type="dxa"/>
            <w:vAlign w:val="bottom"/>
            <w:gridSpan w:val="2"/>
          </w:tcPr>
          <w:p>
            <w:pPr>
              <w:spacing w:after="0"/>
              <w:rPr>
                <w:sz w:val="20"/>
                <w:szCs w:val="20"/>
                <w:color w:val="auto"/>
              </w:rPr>
            </w:pPr>
            <w:r>
              <w:rPr>
                <w:rFonts w:ascii="Arial" w:cs="Arial" w:eastAsia="Arial" w:hAnsi="Arial"/>
                <w:sz w:val="12"/>
                <w:szCs w:val="12"/>
                <w:color w:val="auto"/>
              </w:rPr>
              <w:t>– 1.0x</w:t>
            </w:r>
          </w:p>
        </w:tc>
        <w:tc>
          <w:tcPr>
            <w:tcW w:w="1240" w:type="dxa"/>
            <w:vAlign w:val="bottom"/>
          </w:tcPr>
          <w:p>
            <w:pPr>
              <w:jc w:val="center"/>
              <w:spacing w:after="0"/>
              <w:rPr>
                <w:sz w:val="20"/>
                <w:szCs w:val="20"/>
                <w:color w:val="auto"/>
              </w:rPr>
            </w:pPr>
            <w:r>
              <w:rPr>
                <w:rFonts w:ascii="Arial" w:cs="Arial" w:eastAsia="Arial" w:hAnsi="Arial"/>
                <w:sz w:val="12"/>
                <w:szCs w:val="12"/>
                <w:color w:val="auto"/>
                <w:w w:val="96"/>
              </w:rPr>
              <w:t>1.0x</w:t>
            </w:r>
          </w:p>
        </w:tc>
        <w:tc>
          <w:tcPr>
            <w:tcW w:w="0" w:type="dxa"/>
            <w:vAlign w:val="bottom"/>
          </w:tcPr>
          <w:p>
            <w:pPr>
              <w:spacing w:after="0"/>
              <w:rPr>
                <w:sz w:val="1"/>
                <w:szCs w:val="1"/>
                <w:color w:val="auto"/>
              </w:rPr>
            </w:pPr>
          </w:p>
        </w:tc>
      </w:tr>
      <w:tr>
        <w:trPr>
          <w:trHeight w:val="168"/>
        </w:trPr>
        <w:tc>
          <w:tcPr>
            <w:tcW w:w="1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2,860</w:t>
            </w:r>
          </w:p>
        </w:tc>
        <w:tc>
          <w:tcPr>
            <w:tcW w:w="200" w:type="dxa"/>
            <w:vAlign w:val="bottom"/>
          </w:tcPr>
          <w:p>
            <w:pPr>
              <w:spacing w:after="0"/>
              <w:rPr>
                <w:sz w:val="14"/>
                <w:szCs w:val="14"/>
                <w:color w:val="auto"/>
              </w:rPr>
            </w:pPr>
          </w:p>
        </w:tc>
        <w:tc>
          <w:tcPr>
            <w:tcW w:w="2640" w:type="dxa"/>
            <w:vAlign w:val="bottom"/>
            <w:gridSpan w:val="2"/>
          </w:tcPr>
          <w:p>
            <w:pPr>
              <w:ind w:left="20"/>
              <w:spacing w:after="0" w:line="168" w:lineRule="exact"/>
              <w:rPr>
                <w:sz w:val="20"/>
                <w:szCs w:val="20"/>
                <w:color w:val="auto"/>
              </w:rPr>
            </w:pPr>
            <w:r>
              <w:rPr>
                <w:rFonts w:ascii="Arial" w:cs="Arial" w:eastAsia="Arial" w:hAnsi="Arial"/>
                <w:sz w:val="12"/>
                <w:szCs w:val="12"/>
                <w:color w:val="auto"/>
              </w:rPr>
              <w:t xml:space="preserve">Recent market information </w:t>
            </w:r>
            <w:r>
              <w:rPr>
                <w:rFonts w:ascii="Arial" w:cs="Arial" w:eastAsia="Arial" w:hAnsi="Arial"/>
                <w:sz w:val="15"/>
                <w:szCs w:val="15"/>
                <w:color w:val="auto"/>
                <w:vertAlign w:val="superscript"/>
              </w:rPr>
              <w:t>(5)</w:t>
            </w:r>
          </w:p>
        </w:tc>
        <w:tc>
          <w:tcPr>
            <w:tcW w:w="2640" w:type="dxa"/>
            <w:vAlign w:val="bottom"/>
            <w:gridSpan w:val="2"/>
          </w:tcPr>
          <w:p>
            <w:pPr>
              <w:ind w:left="20"/>
              <w:spacing w:after="0"/>
              <w:rPr>
                <w:sz w:val="20"/>
                <w:szCs w:val="20"/>
                <w:color w:val="auto"/>
              </w:rPr>
            </w:pPr>
            <w:r>
              <w:rPr>
                <w:rFonts w:ascii="Arial" w:cs="Arial" w:eastAsia="Arial" w:hAnsi="Arial"/>
                <w:sz w:val="12"/>
                <w:szCs w:val="12"/>
                <w:color w:val="auto"/>
              </w:rPr>
              <w:t>Quoted prices</w:t>
            </w:r>
          </w:p>
        </w:tc>
        <w:tc>
          <w:tcPr>
            <w:tcW w:w="1440" w:type="dxa"/>
            <w:vAlign w:val="bottom"/>
            <w:gridSpan w:val="3"/>
          </w:tcPr>
          <w:p>
            <w:pPr>
              <w:jc w:val="center"/>
              <w:ind w:right="200"/>
              <w:spacing w:after="0"/>
              <w:rPr>
                <w:sz w:val="20"/>
                <w:szCs w:val="20"/>
                <w:color w:val="auto"/>
              </w:rPr>
            </w:pPr>
            <w:r>
              <w:rPr>
                <w:rFonts w:ascii="Arial" w:cs="Arial" w:eastAsia="Arial" w:hAnsi="Arial"/>
                <w:sz w:val="12"/>
                <w:szCs w:val="12"/>
                <w:color w:val="auto"/>
                <w:w w:val="99"/>
              </w:rPr>
              <w:t>Not applicable</w:t>
            </w:r>
          </w:p>
        </w:tc>
        <w:tc>
          <w:tcPr>
            <w:tcW w:w="1240" w:type="dxa"/>
            <w:vAlign w:val="bottom"/>
          </w:tcPr>
          <w:p>
            <w:pPr>
              <w:jc w:val="center"/>
              <w:spacing w:after="0"/>
              <w:rPr>
                <w:sz w:val="20"/>
                <w:szCs w:val="20"/>
                <w:color w:val="auto"/>
              </w:rPr>
            </w:pPr>
            <w:r>
              <w:rPr>
                <w:rFonts w:ascii="Arial" w:cs="Arial" w:eastAsia="Arial" w:hAnsi="Arial"/>
                <w:sz w:val="12"/>
                <w:szCs w:val="12"/>
                <w:color w:val="auto"/>
                <w:w w:val="99"/>
              </w:rPr>
              <w:t>Not applicable</w:t>
            </w:r>
          </w:p>
        </w:tc>
        <w:tc>
          <w:tcPr>
            <w:tcW w:w="0" w:type="dxa"/>
            <w:vAlign w:val="bottom"/>
          </w:tcPr>
          <w:p>
            <w:pPr>
              <w:spacing w:after="0"/>
              <w:rPr>
                <w:sz w:val="1"/>
                <w:szCs w:val="1"/>
                <w:color w:val="auto"/>
              </w:rPr>
            </w:pPr>
          </w:p>
        </w:tc>
      </w:tr>
      <w:tr>
        <w:trPr>
          <w:trHeight w:val="168"/>
        </w:trPr>
        <w:tc>
          <w:tcPr>
            <w:tcW w:w="1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39,736</w:t>
            </w:r>
          </w:p>
        </w:tc>
        <w:tc>
          <w:tcPr>
            <w:tcW w:w="200" w:type="dxa"/>
            <w:vAlign w:val="bottom"/>
          </w:tcPr>
          <w:p>
            <w:pPr>
              <w:spacing w:after="0"/>
              <w:rPr>
                <w:sz w:val="14"/>
                <w:szCs w:val="14"/>
                <w:color w:val="auto"/>
              </w:rPr>
            </w:pPr>
          </w:p>
        </w:tc>
        <w:tc>
          <w:tcPr>
            <w:tcW w:w="2640" w:type="dxa"/>
            <w:vAlign w:val="bottom"/>
            <w:gridSpan w:val="2"/>
          </w:tcPr>
          <w:p>
            <w:pPr>
              <w:ind w:left="20"/>
              <w:spacing w:after="0" w:line="168" w:lineRule="exact"/>
              <w:rPr>
                <w:sz w:val="20"/>
                <w:szCs w:val="20"/>
                <w:color w:val="auto"/>
              </w:rPr>
            </w:pPr>
            <w:r>
              <w:rPr>
                <w:rFonts w:ascii="Arial" w:cs="Arial" w:eastAsia="Arial" w:hAnsi="Arial"/>
                <w:sz w:val="12"/>
                <w:szCs w:val="12"/>
                <w:color w:val="auto"/>
              </w:rPr>
              <w:t xml:space="preserve">Market approach (comparable companies) </w:t>
            </w:r>
            <w:r>
              <w:rPr>
                <w:rFonts w:ascii="Arial" w:cs="Arial" w:eastAsia="Arial" w:hAnsi="Arial"/>
                <w:sz w:val="15"/>
                <w:szCs w:val="15"/>
                <w:color w:val="auto"/>
                <w:vertAlign w:val="superscript"/>
              </w:rPr>
              <w:t>(7)</w:t>
            </w:r>
          </w:p>
        </w:tc>
        <w:tc>
          <w:tcPr>
            <w:tcW w:w="2640" w:type="dxa"/>
            <w:vAlign w:val="bottom"/>
            <w:gridSpan w:val="2"/>
          </w:tcPr>
          <w:p>
            <w:pPr>
              <w:ind w:left="20"/>
              <w:spacing w:after="0" w:line="168" w:lineRule="exact"/>
              <w:rPr>
                <w:sz w:val="20"/>
                <w:szCs w:val="20"/>
                <w:color w:val="auto"/>
              </w:rPr>
            </w:pPr>
            <w:r>
              <w:rPr>
                <w:rFonts w:ascii="Arial" w:cs="Arial" w:eastAsia="Arial" w:hAnsi="Arial"/>
                <w:sz w:val="12"/>
                <w:szCs w:val="12"/>
                <w:color w:val="auto"/>
              </w:rPr>
              <w:t xml:space="preserve">Earnings multiple </w:t>
            </w:r>
            <w:r>
              <w:rPr>
                <w:rFonts w:ascii="Arial" w:cs="Arial" w:eastAsia="Arial" w:hAnsi="Arial"/>
                <w:sz w:val="15"/>
                <w:szCs w:val="15"/>
                <w:color w:val="auto"/>
                <w:vertAlign w:val="superscript"/>
              </w:rPr>
              <w:t>(10)</w:t>
            </w:r>
          </w:p>
        </w:tc>
        <w:tc>
          <w:tcPr>
            <w:tcW w:w="580" w:type="dxa"/>
            <w:vAlign w:val="bottom"/>
          </w:tcPr>
          <w:p>
            <w:pPr>
              <w:jc w:val="right"/>
              <w:spacing w:after="0"/>
              <w:rPr>
                <w:sz w:val="20"/>
                <w:szCs w:val="20"/>
                <w:color w:val="auto"/>
              </w:rPr>
            </w:pPr>
            <w:r>
              <w:rPr>
                <w:rFonts w:ascii="Arial" w:cs="Arial" w:eastAsia="Arial" w:hAnsi="Arial"/>
                <w:sz w:val="12"/>
                <w:szCs w:val="12"/>
                <w:color w:val="auto"/>
              </w:rPr>
              <w:t>2.5x</w:t>
            </w:r>
          </w:p>
        </w:tc>
        <w:tc>
          <w:tcPr>
            <w:tcW w:w="860" w:type="dxa"/>
            <w:vAlign w:val="bottom"/>
            <w:gridSpan w:val="2"/>
          </w:tcPr>
          <w:p>
            <w:pPr>
              <w:spacing w:after="0"/>
              <w:rPr>
                <w:sz w:val="20"/>
                <w:szCs w:val="20"/>
                <w:color w:val="auto"/>
              </w:rPr>
            </w:pPr>
            <w:r>
              <w:rPr>
                <w:rFonts w:ascii="Arial" w:cs="Arial" w:eastAsia="Arial" w:hAnsi="Arial"/>
                <w:sz w:val="12"/>
                <w:szCs w:val="12"/>
                <w:color w:val="auto"/>
              </w:rPr>
              <w:t>– 9.8x</w:t>
            </w:r>
          </w:p>
        </w:tc>
        <w:tc>
          <w:tcPr>
            <w:tcW w:w="1240" w:type="dxa"/>
            <w:vAlign w:val="bottom"/>
          </w:tcPr>
          <w:p>
            <w:pPr>
              <w:jc w:val="center"/>
              <w:spacing w:after="0"/>
              <w:rPr>
                <w:sz w:val="20"/>
                <w:szCs w:val="20"/>
                <w:color w:val="auto"/>
              </w:rPr>
            </w:pPr>
            <w:r>
              <w:rPr>
                <w:rFonts w:ascii="Arial" w:cs="Arial" w:eastAsia="Arial" w:hAnsi="Arial"/>
                <w:sz w:val="12"/>
                <w:szCs w:val="12"/>
                <w:color w:val="auto"/>
                <w:w w:val="96"/>
              </w:rPr>
              <w:t>8.5x</w:t>
            </w:r>
          </w:p>
        </w:tc>
        <w:tc>
          <w:tcPr>
            <w:tcW w:w="0" w:type="dxa"/>
            <w:vAlign w:val="bottom"/>
          </w:tcPr>
          <w:p>
            <w:pPr>
              <w:spacing w:after="0"/>
              <w:rPr>
                <w:sz w:val="1"/>
                <w:szCs w:val="1"/>
                <w:color w:val="auto"/>
              </w:rPr>
            </w:pPr>
          </w:p>
        </w:tc>
      </w:tr>
      <w:tr>
        <w:trPr>
          <w:trHeight w:val="168"/>
        </w:trPr>
        <w:tc>
          <w:tcPr>
            <w:tcW w:w="1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28,367</w:t>
            </w:r>
          </w:p>
        </w:tc>
        <w:tc>
          <w:tcPr>
            <w:tcW w:w="200" w:type="dxa"/>
            <w:vAlign w:val="bottom"/>
          </w:tcPr>
          <w:p>
            <w:pPr>
              <w:spacing w:after="0"/>
              <w:rPr>
                <w:sz w:val="14"/>
                <w:szCs w:val="14"/>
                <w:color w:val="auto"/>
              </w:rPr>
            </w:pPr>
          </w:p>
        </w:tc>
        <w:tc>
          <w:tcPr>
            <w:tcW w:w="2640" w:type="dxa"/>
            <w:vAlign w:val="bottom"/>
            <w:gridSpan w:val="2"/>
          </w:tcPr>
          <w:p>
            <w:pPr>
              <w:ind w:left="20"/>
              <w:spacing w:after="0" w:line="168" w:lineRule="exact"/>
              <w:rPr>
                <w:sz w:val="20"/>
                <w:szCs w:val="20"/>
                <w:color w:val="auto"/>
              </w:rPr>
            </w:pPr>
            <w:r>
              <w:rPr>
                <w:rFonts w:ascii="Arial" w:cs="Arial" w:eastAsia="Arial" w:hAnsi="Arial"/>
                <w:sz w:val="12"/>
                <w:szCs w:val="12"/>
                <w:color w:val="auto"/>
              </w:rPr>
              <w:t xml:space="preserve">Market approach (comparable companies) </w:t>
            </w:r>
            <w:r>
              <w:rPr>
                <w:rFonts w:ascii="Arial" w:cs="Arial" w:eastAsia="Arial" w:hAnsi="Arial"/>
                <w:sz w:val="15"/>
                <w:szCs w:val="15"/>
                <w:color w:val="auto"/>
                <w:vertAlign w:val="superscript"/>
              </w:rPr>
              <w:t>(7)</w:t>
            </w:r>
          </w:p>
        </w:tc>
        <w:tc>
          <w:tcPr>
            <w:tcW w:w="2640" w:type="dxa"/>
            <w:vAlign w:val="bottom"/>
            <w:gridSpan w:val="2"/>
          </w:tcPr>
          <w:p>
            <w:pPr>
              <w:ind w:left="20"/>
              <w:spacing w:after="0" w:line="168" w:lineRule="exact"/>
              <w:rPr>
                <w:sz w:val="20"/>
                <w:szCs w:val="20"/>
                <w:color w:val="auto"/>
              </w:rPr>
            </w:pPr>
            <w:r>
              <w:rPr>
                <w:rFonts w:ascii="Arial" w:cs="Arial" w:eastAsia="Arial" w:hAnsi="Arial"/>
                <w:sz w:val="12"/>
                <w:szCs w:val="12"/>
                <w:color w:val="auto"/>
              </w:rPr>
              <w:t xml:space="preserve">Revenue multiple </w:t>
            </w:r>
            <w:r>
              <w:rPr>
                <w:rFonts w:ascii="Arial" w:cs="Arial" w:eastAsia="Arial" w:hAnsi="Arial"/>
                <w:sz w:val="15"/>
                <w:szCs w:val="15"/>
                <w:color w:val="auto"/>
                <w:vertAlign w:val="superscript"/>
              </w:rPr>
              <w:t>(8)</w:t>
            </w:r>
          </w:p>
        </w:tc>
        <w:tc>
          <w:tcPr>
            <w:tcW w:w="580" w:type="dxa"/>
            <w:vAlign w:val="bottom"/>
          </w:tcPr>
          <w:p>
            <w:pPr>
              <w:jc w:val="right"/>
              <w:spacing w:after="0"/>
              <w:rPr>
                <w:sz w:val="20"/>
                <w:szCs w:val="20"/>
                <w:color w:val="auto"/>
              </w:rPr>
            </w:pPr>
            <w:r>
              <w:rPr>
                <w:rFonts w:ascii="Arial" w:cs="Arial" w:eastAsia="Arial" w:hAnsi="Arial"/>
                <w:sz w:val="12"/>
                <w:szCs w:val="12"/>
                <w:color w:val="auto"/>
              </w:rPr>
              <w:t>0.9x</w:t>
            </w:r>
          </w:p>
        </w:tc>
        <w:tc>
          <w:tcPr>
            <w:tcW w:w="860" w:type="dxa"/>
            <w:vAlign w:val="bottom"/>
            <w:gridSpan w:val="2"/>
          </w:tcPr>
          <w:p>
            <w:pPr>
              <w:spacing w:after="0"/>
              <w:rPr>
                <w:sz w:val="20"/>
                <w:szCs w:val="20"/>
                <w:color w:val="auto"/>
              </w:rPr>
            </w:pPr>
            <w:r>
              <w:rPr>
                <w:rFonts w:ascii="Arial" w:cs="Arial" w:eastAsia="Arial" w:hAnsi="Arial"/>
                <w:sz w:val="12"/>
                <w:szCs w:val="12"/>
                <w:color w:val="auto"/>
              </w:rPr>
              <w:t>– 1.6x</w:t>
            </w:r>
          </w:p>
        </w:tc>
        <w:tc>
          <w:tcPr>
            <w:tcW w:w="1240" w:type="dxa"/>
            <w:vAlign w:val="bottom"/>
          </w:tcPr>
          <w:p>
            <w:pPr>
              <w:jc w:val="center"/>
              <w:spacing w:after="0"/>
              <w:rPr>
                <w:sz w:val="20"/>
                <w:szCs w:val="20"/>
                <w:color w:val="auto"/>
              </w:rPr>
            </w:pPr>
            <w:r>
              <w:rPr>
                <w:rFonts w:ascii="Arial" w:cs="Arial" w:eastAsia="Arial" w:hAnsi="Arial"/>
                <w:sz w:val="12"/>
                <w:szCs w:val="12"/>
                <w:color w:val="auto"/>
                <w:w w:val="96"/>
              </w:rPr>
              <w:t>1.2x</w:t>
            </w:r>
          </w:p>
        </w:tc>
        <w:tc>
          <w:tcPr>
            <w:tcW w:w="0" w:type="dxa"/>
            <w:vAlign w:val="bottom"/>
          </w:tcPr>
          <w:p>
            <w:pPr>
              <w:spacing w:after="0"/>
              <w:rPr>
                <w:sz w:val="1"/>
                <w:szCs w:val="1"/>
                <w:color w:val="auto"/>
              </w:rPr>
            </w:pPr>
          </w:p>
        </w:tc>
      </w:tr>
      <w:tr>
        <w:trPr>
          <w:trHeight w:val="159"/>
        </w:trPr>
        <w:tc>
          <w:tcPr>
            <w:tcW w:w="2040" w:type="dxa"/>
            <w:vAlign w:val="bottom"/>
            <w:gridSpan w:val="2"/>
          </w:tcPr>
          <w:p>
            <w:pPr>
              <w:ind w:left="20"/>
              <w:spacing w:after="0"/>
              <w:rPr>
                <w:sz w:val="20"/>
                <w:szCs w:val="20"/>
                <w:color w:val="auto"/>
              </w:rPr>
            </w:pPr>
            <w:r>
              <w:rPr>
                <w:rFonts w:ascii="Arial" w:cs="Arial" w:eastAsia="Arial" w:hAnsi="Arial"/>
                <w:sz w:val="12"/>
                <w:szCs w:val="12"/>
                <w:color w:val="auto"/>
              </w:rPr>
              <w:t>Equity investments:</w:t>
            </w: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1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189,154</w:t>
            </w:r>
          </w:p>
        </w:tc>
        <w:tc>
          <w:tcPr>
            <w:tcW w:w="200" w:type="dxa"/>
            <w:vAlign w:val="bottom"/>
          </w:tcPr>
          <w:p>
            <w:pPr>
              <w:spacing w:after="0"/>
              <w:rPr>
                <w:sz w:val="15"/>
                <w:szCs w:val="15"/>
                <w:color w:val="auto"/>
              </w:rPr>
            </w:pPr>
          </w:p>
        </w:tc>
        <w:tc>
          <w:tcPr>
            <w:tcW w:w="2640" w:type="dxa"/>
            <w:vAlign w:val="bottom"/>
            <w:gridSpan w:val="2"/>
          </w:tcPr>
          <w:p>
            <w:pPr>
              <w:ind w:left="20"/>
              <w:spacing w:after="0"/>
              <w:rPr>
                <w:sz w:val="20"/>
                <w:szCs w:val="20"/>
                <w:color w:val="auto"/>
              </w:rPr>
            </w:pPr>
            <w:r>
              <w:rPr>
                <w:rFonts w:ascii="Arial" w:cs="Arial" w:eastAsia="Arial" w:hAnsi="Arial"/>
                <w:sz w:val="12"/>
                <w:szCs w:val="12"/>
                <w:color w:val="auto"/>
              </w:rPr>
              <w:t xml:space="preserve">Recent transaction price </w:t>
            </w:r>
            <w:r>
              <w:rPr>
                <w:rFonts w:ascii="Arial" w:cs="Arial" w:eastAsia="Arial" w:hAnsi="Arial"/>
                <w:sz w:val="15"/>
                <w:szCs w:val="15"/>
                <w:color w:val="auto"/>
                <w:vertAlign w:val="superscript"/>
              </w:rPr>
              <w:t>(4)</w:t>
            </w:r>
          </w:p>
        </w:tc>
        <w:tc>
          <w:tcPr>
            <w:tcW w:w="2640" w:type="dxa"/>
            <w:vAlign w:val="bottom"/>
            <w:gridSpan w:val="2"/>
          </w:tcPr>
          <w:p>
            <w:pPr>
              <w:ind w:left="20"/>
              <w:spacing w:after="0"/>
              <w:rPr>
                <w:sz w:val="20"/>
                <w:szCs w:val="20"/>
                <w:color w:val="auto"/>
              </w:rPr>
            </w:pPr>
            <w:r>
              <w:rPr>
                <w:rFonts w:ascii="Arial" w:cs="Arial" w:eastAsia="Arial" w:hAnsi="Arial"/>
                <w:sz w:val="12"/>
                <w:szCs w:val="12"/>
                <w:color w:val="auto"/>
              </w:rPr>
              <w:t>Quoted prices</w:t>
            </w:r>
          </w:p>
        </w:tc>
        <w:tc>
          <w:tcPr>
            <w:tcW w:w="1440" w:type="dxa"/>
            <w:vAlign w:val="bottom"/>
            <w:gridSpan w:val="3"/>
          </w:tcPr>
          <w:p>
            <w:pPr>
              <w:jc w:val="center"/>
              <w:ind w:right="200"/>
              <w:spacing w:after="0"/>
              <w:rPr>
                <w:sz w:val="20"/>
                <w:szCs w:val="20"/>
                <w:color w:val="auto"/>
              </w:rPr>
            </w:pPr>
            <w:r>
              <w:rPr>
                <w:rFonts w:ascii="Arial" w:cs="Arial" w:eastAsia="Arial" w:hAnsi="Arial"/>
                <w:sz w:val="12"/>
                <w:szCs w:val="12"/>
                <w:color w:val="auto"/>
                <w:w w:val="99"/>
              </w:rPr>
              <w:t>Not applicable</w:t>
            </w:r>
          </w:p>
        </w:tc>
        <w:tc>
          <w:tcPr>
            <w:tcW w:w="1240" w:type="dxa"/>
            <w:vAlign w:val="bottom"/>
          </w:tcPr>
          <w:p>
            <w:pPr>
              <w:jc w:val="center"/>
              <w:spacing w:after="0"/>
              <w:rPr>
                <w:sz w:val="20"/>
                <w:szCs w:val="20"/>
                <w:color w:val="auto"/>
              </w:rPr>
            </w:pPr>
            <w:r>
              <w:rPr>
                <w:rFonts w:ascii="Arial" w:cs="Arial" w:eastAsia="Arial" w:hAnsi="Arial"/>
                <w:sz w:val="12"/>
                <w:szCs w:val="12"/>
                <w:color w:val="auto"/>
                <w:w w:val="99"/>
              </w:rPr>
              <w:t>Not applicable</w:t>
            </w:r>
          </w:p>
        </w:tc>
        <w:tc>
          <w:tcPr>
            <w:tcW w:w="0" w:type="dxa"/>
            <w:vAlign w:val="bottom"/>
          </w:tcPr>
          <w:p>
            <w:pPr>
              <w:spacing w:after="0"/>
              <w:rPr>
                <w:sz w:val="1"/>
                <w:szCs w:val="1"/>
                <w:color w:val="auto"/>
              </w:rPr>
            </w:pPr>
          </w:p>
        </w:tc>
      </w:tr>
      <w:tr>
        <w:trPr>
          <w:trHeight w:val="168"/>
        </w:trPr>
        <w:tc>
          <w:tcPr>
            <w:tcW w:w="1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862,816</w:t>
            </w:r>
          </w:p>
        </w:tc>
        <w:tc>
          <w:tcPr>
            <w:tcW w:w="200" w:type="dxa"/>
            <w:vAlign w:val="bottom"/>
          </w:tcPr>
          <w:p>
            <w:pPr>
              <w:spacing w:after="0"/>
              <w:rPr>
                <w:sz w:val="14"/>
                <w:szCs w:val="14"/>
                <w:color w:val="auto"/>
              </w:rPr>
            </w:pPr>
          </w:p>
        </w:tc>
        <w:tc>
          <w:tcPr>
            <w:tcW w:w="2640" w:type="dxa"/>
            <w:vAlign w:val="bottom"/>
            <w:gridSpan w:val="2"/>
          </w:tcPr>
          <w:p>
            <w:pPr>
              <w:ind w:left="20"/>
              <w:spacing w:after="0" w:line="168" w:lineRule="exact"/>
              <w:rPr>
                <w:sz w:val="20"/>
                <w:szCs w:val="20"/>
                <w:color w:val="auto"/>
              </w:rPr>
            </w:pPr>
            <w:r>
              <w:rPr>
                <w:rFonts w:ascii="Arial" w:cs="Arial" w:eastAsia="Arial" w:hAnsi="Arial"/>
                <w:sz w:val="12"/>
                <w:szCs w:val="12"/>
                <w:color w:val="auto"/>
              </w:rPr>
              <w:t xml:space="preserve">Market approach (comparable companies) </w:t>
            </w:r>
            <w:r>
              <w:rPr>
                <w:rFonts w:ascii="Arial" w:cs="Arial" w:eastAsia="Arial" w:hAnsi="Arial"/>
                <w:sz w:val="15"/>
                <w:szCs w:val="15"/>
                <w:color w:val="auto"/>
                <w:vertAlign w:val="superscript"/>
              </w:rPr>
              <w:t>(7)</w:t>
            </w:r>
          </w:p>
        </w:tc>
        <w:tc>
          <w:tcPr>
            <w:tcW w:w="2640" w:type="dxa"/>
            <w:vAlign w:val="bottom"/>
            <w:gridSpan w:val="2"/>
          </w:tcPr>
          <w:p>
            <w:pPr>
              <w:ind w:left="20"/>
              <w:spacing w:after="0" w:line="168" w:lineRule="exact"/>
              <w:rPr>
                <w:sz w:val="20"/>
                <w:szCs w:val="20"/>
                <w:color w:val="auto"/>
              </w:rPr>
            </w:pPr>
            <w:r>
              <w:rPr>
                <w:rFonts w:ascii="Arial" w:cs="Arial" w:eastAsia="Arial" w:hAnsi="Arial"/>
                <w:sz w:val="12"/>
                <w:szCs w:val="12"/>
                <w:color w:val="auto"/>
              </w:rPr>
              <w:t xml:space="preserve">Multiple of underlying assets </w:t>
            </w:r>
            <w:r>
              <w:rPr>
                <w:rFonts w:ascii="Arial" w:cs="Arial" w:eastAsia="Arial" w:hAnsi="Arial"/>
                <w:sz w:val="15"/>
                <w:szCs w:val="15"/>
                <w:color w:val="auto"/>
                <w:vertAlign w:val="superscript"/>
              </w:rPr>
              <w:t>(9)</w:t>
            </w:r>
          </w:p>
        </w:tc>
        <w:tc>
          <w:tcPr>
            <w:tcW w:w="580" w:type="dxa"/>
            <w:vAlign w:val="bottom"/>
          </w:tcPr>
          <w:p>
            <w:pPr>
              <w:jc w:val="right"/>
              <w:spacing w:after="0"/>
              <w:rPr>
                <w:sz w:val="20"/>
                <w:szCs w:val="20"/>
                <w:color w:val="auto"/>
              </w:rPr>
            </w:pPr>
            <w:r>
              <w:rPr>
                <w:rFonts w:ascii="Arial" w:cs="Arial" w:eastAsia="Arial" w:hAnsi="Arial"/>
                <w:sz w:val="12"/>
                <w:szCs w:val="12"/>
                <w:color w:val="auto"/>
              </w:rPr>
              <w:t>1.0x</w:t>
            </w:r>
          </w:p>
        </w:tc>
        <w:tc>
          <w:tcPr>
            <w:tcW w:w="860" w:type="dxa"/>
            <w:vAlign w:val="bottom"/>
            <w:gridSpan w:val="2"/>
          </w:tcPr>
          <w:p>
            <w:pPr>
              <w:spacing w:after="0"/>
              <w:rPr>
                <w:sz w:val="20"/>
                <w:szCs w:val="20"/>
                <w:color w:val="auto"/>
              </w:rPr>
            </w:pPr>
            <w:r>
              <w:rPr>
                <w:rFonts w:ascii="Arial" w:cs="Arial" w:eastAsia="Arial" w:hAnsi="Arial"/>
                <w:sz w:val="12"/>
                <w:szCs w:val="12"/>
                <w:color w:val="auto"/>
              </w:rPr>
              <w:t>– 1.3x</w:t>
            </w:r>
          </w:p>
        </w:tc>
        <w:tc>
          <w:tcPr>
            <w:tcW w:w="1240" w:type="dxa"/>
            <w:vAlign w:val="bottom"/>
          </w:tcPr>
          <w:p>
            <w:pPr>
              <w:jc w:val="center"/>
              <w:spacing w:after="0"/>
              <w:rPr>
                <w:sz w:val="20"/>
                <w:szCs w:val="20"/>
                <w:color w:val="auto"/>
              </w:rPr>
            </w:pPr>
            <w:r>
              <w:rPr>
                <w:rFonts w:ascii="Arial" w:cs="Arial" w:eastAsia="Arial" w:hAnsi="Arial"/>
                <w:sz w:val="12"/>
                <w:szCs w:val="12"/>
                <w:color w:val="auto"/>
                <w:w w:val="96"/>
              </w:rPr>
              <w:t>1.0x</w:t>
            </w:r>
          </w:p>
        </w:tc>
        <w:tc>
          <w:tcPr>
            <w:tcW w:w="0" w:type="dxa"/>
            <w:vAlign w:val="bottom"/>
          </w:tcPr>
          <w:p>
            <w:pPr>
              <w:spacing w:after="0"/>
              <w:rPr>
                <w:sz w:val="1"/>
                <w:szCs w:val="1"/>
                <w:color w:val="auto"/>
              </w:rPr>
            </w:pPr>
          </w:p>
        </w:tc>
      </w:tr>
      <w:tr>
        <w:trPr>
          <w:trHeight w:val="168"/>
        </w:trPr>
        <w:tc>
          <w:tcPr>
            <w:tcW w:w="1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819,606</w:t>
            </w:r>
          </w:p>
        </w:tc>
        <w:tc>
          <w:tcPr>
            <w:tcW w:w="200" w:type="dxa"/>
            <w:vAlign w:val="bottom"/>
          </w:tcPr>
          <w:p>
            <w:pPr>
              <w:spacing w:after="0"/>
              <w:rPr>
                <w:sz w:val="14"/>
                <w:szCs w:val="14"/>
                <w:color w:val="auto"/>
              </w:rPr>
            </w:pPr>
          </w:p>
        </w:tc>
        <w:tc>
          <w:tcPr>
            <w:tcW w:w="2640" w:type="dxa"/>
            <w:vAlign w:val="bottom"/>
            <w:gridSpan w:val="2"/>
          </w:tcPr>
          <w:p>
            <w:pPr>
              <w:ind w:left="20"/>
              <w:spacing w:after="0" w:line="168" w:lineRule="exact"/>
              <w:rPr>
                <w:sz w:val="20"/>
                <w:szCs w:val="20"/>
                <w:color w:val="auto"/>
              </w:rPr>
            </w:pPr>
            <w:r>
              <w:rPr>
                <w:rFonts w:ascii="Arial" w:cs="Arial" w:eastAsia="Arial" w:hAnsi="Arial"/>
                <w:sz w:val="12"/>
                <w:szCs w:val="12"/>
                <w:color w:val="auto"/>
              </w:rPr>
              <w:t xml:space="preserve">Market approach (comparable companies) </w:t>
            </w:r>
            <w:r>
              <w:rPr>
                <w:rFonts w:ascii="Arial" w:cs="Arial" w:eastAsia="Arial" w:hAnsi="Arial"/>
                <w:sz w:val="15"/>
                <w:szCs w:val="15"/>
                <w:color w:val="auto"/>
                <w:vertAlign w:val="superscript"/>
              </w:rPr>
              <w:t>(7)</w:t>
            </w:r>
          </w:p>
        </w:tc>
        <w:tc>
          <w:tcPr>
            <w:tcW w:w="2640" w:type="dxa"/>
            <w:vAlign w:val="bottom"/>
            <w:gridSpan w:val="2"/>
          </w:tcPr>
          <w:p>
            <w:pPr>
              <w:ind w:left="20"/>
              <w:spacing w:after="0" w:line="168" w:lineRule="exact"/>
              <w:rPr>
                <w:sz w:val="20"/>
                <w:szCs w:val="20"/>
                <w:color w:val="auto"/>
              </w:rPr>
            </w:pPr>
            <w:r>
              <w:rPr>
                <w:rFonts w:ascii="Arial" w:cs="Arial" w:eastAsia="Arial" w:hAnsi="Arial"/>
                <w:sz w:val="12"/>
                <w:szCs w:val="12"/>
                <w:color w:val="auto"/>
              </w:rPr>
              <w:t xml:space="preserve">Earnings multiple </w:t>
            </w:r>
            <w:r>
              <w:rPr>
                <w:rFonts w:ascii="Arial" w:cs="Arial" w:eastAsia="Arial" w:hAnsi="Arial"/>
                <w:sz w:val="15"/>
                <w:szCs w:val="15"/>
                <w:color w:val="auto"/>
                <w:vertAlign w:val="superscript"/>
              </w:rPr>
              <w:t>(10)</w:t>
            </w:r>
          </w:p>
        </w:tc>
        <w:tc>
          <w:tcPr>
            <w:tcW w:w="1440" w:type="dxa"/>
            <w:vAlign w:val="bottom"/>
            <w:gridSpan w:val="3"/>
          </w:tcPr>
          <w:p>
            <w:pPr>
              <w:jc w:val="center"/>
              <w:ind w:right="200"/>
              <w:spacing w:after="0"/>
              <w:rPr>
                <w:sz w:val="20"/>
                <w:szCs w:val="20"/>
                <w:color w:val="auto"/>
              </w:rPr>
            </w:pPr>
            <w:r>
              <w:rPr>
                <w:rFonts w:ascii="Arial" w:cs="Arial" w:eastAsia="Arial" w:hAnsi="Arial"/>
                <w:sz w:val="12"/>
                <w:szCs w:val="12"/>
                <w:color w:val="auto"/>
                <w:w w:val="97"/>
              </w:rPr>
              <w:t>3.7x – 15.1x</w:t>
            </w:r>
          </w:p>
        </w:tc>
        <w:tc>
          <w:tcPr>
            <w:tcW w:w="1240" w:type="dxa"/>
            <w:vAlign w:val="bottom"/>
          </w:tcPr>
          <w:p>
            <w:pPr>
              <w:jc w:val="center"/>
              <w:spacing w:after="0"/>
              <w:rPr>
                <w:sz w:val="20"/>
                <w:szCs w:val="20"/>
                <w:color w:val="auto"/>
              </w:rPr>
            </w:pPr>
            <w:r>
              <w:rPr>
                <w:rFonts w:ascii="Arial" w:cs="Arial" w:eastAsia="Arial" w:hAnsi="Arial"/>
                <w:sz w:val="12"/>
                <w:szCs w:val="12"/>
                <w:color w:val="auto"/>
                <w:w w:val="96"/>
              </w:rPr>
              <w:t>8.9x</w:t>
            </w:r>
          </w:p>
        </w:tc>
        <w:tc>
          <w:tcPr>
            <w:tcW w:w="0" w:type="dxa"/>
            <w:vAlign w:val="bottom"/>
          </w:tcPr>
          <w:p>
            <w:pPr>
              <w:spacing w:after="0"/>
              <w:rPr>
                <w:sz w:val="1"/>
                <w:szCs w:val="1"/>
                <w:color w:val="auto"/>
              </w:rPr>
            </w:pPr>
          </w:p>
        </w:tc>
      </w:tr>
      <w:tr>
        <w:trPr>
          <w:trHeight w:val="168"/>
        </w:trPr>
        <w:tc>
          <w:tcPr>
            <w:tcW w:w="1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99,431</w:t>
            </w:r>
          </w:p>
        </w:tc>
        <w:tc>
          <w:tcPr>
            <w:tcW w:w="200" w:type="dxa"/>
            <w:vAlign w:val="bottom"/>
          </w:tcPr>
          <w:p>
            <w:pPr>
              <w:spacing w:after="0"/>
              <w:rPr>
                <w:sz w:val="14"/>
                <w:szCs w:val="14"/>
                <w:color w:val="auto"/>
              </w:rPr>
            </w:pPr>
          </w:p>
        </w:tc>
        <w:tc>
          <w:tcPr>
            <w:tcW w:w="2640" w:type="dxa"/>
            <w:vAlign w:val="bottom"/>
            <w:gridSpan w:val="2"/>
          </w:tcPr>
          <w:p>
            <w:pPr>
              <w:ind w:left="20"/>
              <w:spacing w:after="0" w:line="168" w:lineRule="exact"/>
              <w:rPr>
                <w:sz w:val="20"/>
                <w:szCs w:val="20"/>
                <w:color w:val="auto"/>
              </w:rPr>
            </w:pPr>
            <w:r>
              <w:rPr>
                <w:rFonts w:ascii="Arial" w:cs="Arial" w:eastAsia="Arial" w:hAnsi="Arial"/>
                <w:sz w:val="12"/>
                <w:szCs w:val="12"/>
                <w:color w:val="auto"/>
              </w:rPr>
              <w:t xml:space="preserve">Market approach (comparable companies) </w:t>
            </w:r>
            <w:r>
              <w:rPr>
                <w:rFonts w:ascii="Arial" w:cs="Arial" w:eastAsia="Arial" w:hAnsi="Arial"/>
                <w:sz w:val="15"/>
                <w:szCs w:val="15"/>
                <w:color w:val="auto"/>
                <w:vertAlign w:val="superscript"/>
              </w:rPr>
              <w:t>(7)</w:t>
            </w:r>
          </w:p>
        </w:tc>
        <w:tc>
          <w:tcPr>
            <w:tcW w:w="2640" w:type="dxa"/>
            <w:vAlign w:val="bottom"/>
            <w:gridSpan w:val="2"/>
          </w:tcPr>
          <w:p>
            <w:pPr>
              <w:ind w:left="20"/>
              <w:spacing w:after="0" w:line="168" w:lineRule="exact"/>
              <w:rPr>
                <w:sz w:val="20"/>
                <w:szCs w:val="20"/>
                <w:color w:val="auto"/>
              </w:rPr>
            </w:pPr>
            <w:r>
              <w:rPr>
                <w:rFonts w:ascii="Arial" w:cs="Arial" w:eastAsia="Arial" w:hAnsi="Arial"/>
                <w:sz w:val="12"/>
                <w:szCs w:val="12"/>
                <w:color w:val="auto"/>
              </w:rPr>
              <w:t xml:space="preserve">Revenue multiple </w:t>
            </w:r>
            <w:r>
              <w:rPr>
                <w:rFonts w:ascii="Arial" w:cs="Arial" w:eastAsia="Arial" w:hAnsi="Arial"/>
                <w:sz w:val="15"/>
                <w:szCs w:val="15"/>
                <w:color w:val="auto"/>
                <w:vertAlign w:val="superscript"/>
              </w:rPr>
              <w:t>(8)</w:t>
            </w:r>
          </w:p>
        </w:tc>
        <w:tc>
          <w:tcPr>
            <w:tcW w:w="580" w:type="dxa"/>
            <w:vAlign w:val="bottom"/>
          </w:tcPr>
          <w:p>
            <w:pPr>
              <w:jc w:val="right"/>
              <w:spacing w:after="0"/>
              <w:rPr>
                <w:sz w:val="20"/>
                <w:szCs w:val="20"/>
                <w:color w:val="auto"/>
              </w:rPr>
            </w:pPr>
            <w:r>
              <w:rPr>
                <w:rFonts w:ascii="Arial" w:cs="Arial" w:eastAsia="Arial" w:hAnsi="Arial"/>
                <w:sz w:val="12"/>
                <w:szCs w:val="12"/>
                <w:color w:val="auto"/>
              </w:rPr>
              <w:t>2.1x</w:t>
            </w:r>
          </w:p>
        </w:tc>
        <w:tc>
          <w:tcPr>
            <w:tcW w:w="860" w:type="dxa"/>
            <w:vAlign w:val="bottom"/>
            <w:gridSpan w:val="2"/>
          </w:tcPr>
          <w:p>
            <w:pPr>
              <w:spacing w:after="0"/>
              <w:rPr>
                <w:sz w:val="20"/>
                <w:szCs w:val="20"/>
                <w:color w:val="auto"/>
              </w:rPr>
            </w:pPr>
            <w:r>
              <w:rPr>
                <w:rFonts w:ascii="Arial" w:cs="Arial" w:eastAsia="Arial" w:hAnsi="Arial"/>
                <w:sz w:val="12"/>
                <w:szCs w:val="12"/>
                <w:color w:val="auto"/>
              </w:rPr>
              <w:t>– 2.1x</w:t>
            </w:r>
          </w:p>
        </w:tc>
        <w:tc>
          <w:tcPr>
            <w:tcW w:w="1240" w:type="dxa"/>
            <w:vAlign w:val="bottom"/>
          </w:tcPr>
          <w:p>
            <w:pPr>
              <w:jc w:val="center"/>
              <w:spacing w:after="0"/>
              <w:rPr>
                <w:sz w:val="20"/>
                <w:szCs w:val="20"/>
                <w:color w:val="auto"/>
              </w:rPr>
            </w:pPr>
            <w:r>
              <w:rPr>
                <w:rFonts w:ascii="Arial" w:cs="Arial" w:eastAsia="Arial" w:hAnsi="Arial"/>
                <w:sz w:val="12"/>
                <w:szCs w:val="12"/>
                <w:color w:val="auto"/>
                <w:w w:val="96"/>
              </w:rPr>
              <w:t>2.1x</w:t>
            </w:r>
          </w:p>
        </w:tc>
        <w:tc>
          <w:tcPr>
            <w:tcW w:w="0" w:type="dxa"/>
            <w:vAlign w:val="bottom"/>
          </w:tcPr>
          <w:p>
            <w:pPr>
              <w:spacing w:after="0"/>
              <w:rPr>
                <w:sz w:val="1"/>
                <w:szCs w:val="1"/>
                <w:color w:val="auto"/>
              </w:rPr>
            </w:pPr>
          </w:p>
        </w:tc>
      </w:tr>
      <w:tr>
        <w:trPr>
          <w:trHeight w:val="168"/>
        </w:trPr>
        <w:tc>
          <w:tcPr>
            <w:tcW w:w="1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333,767</w:t>
            </w:r>
          </w:p>
        </w:tc>
        <w:tc>
          <w:tcPr>
            <w:tcW w:w="200" w:type="dxa"/>
            <w:vAlign w:val="bottom"/>
          </w:tcPr>
          <w:p>
            <w:pPr>
              <w:spacing w:after="0"/>
              <w:rPr>
                <w:sz w:val="14"/>
                <w:szCs w:val="14"/>
                <w:color w:val="auto"/>
              </w:rPr>
            </w:pPr>
          </w:p>
        </w:tc>
        <w:tc>
          <w:tcPr>
            <w:tcW w:w="2640" w:type="dxa"/>
            <w:vAlign w:val="bottom"/>
            <w:gridSpan w:val="2"/>
          </w:tcPr>
          <w:p>
            <w:pPr>
              <w:ind w:left="20"/>
              <w:spacing w:after="0" w:line="168" w:lineRule="exact"/>
              <w:rPr>
                <w:sz w:val="20"/>
                <w:szCs w:val="20"/>
                <w:color w:val="auto"/>
              </w:rPr>
            </w:pPr>
            <w:r>
              <w:rPr>
                <w:rFonts w:ascii="Arial" w:cs="Arial" w:eastAsia="Arial" w:hAnsi="Arial"/>
                <w:sz w:val="12"/>
                <w:szCs w:val="12"/>
                <w:color w:val="auto"/>
              </w:rPr>
              <w:t xml:space="preserve">Discounted cash flow </w:t>
            </w:r>
            <w:r>
              <w:rPr>
                <w:rFonts w:ascii="Arial" w:cs="Arial" w:eastAsia="Arial" w:hAnsi="Arial"/>
                <w:sz w:val="15"/>
                <w:szCs w:val="15"/>
                <w:color w:val="auto"/>
                <w:vertAlign w:val="superscript"/>
              </w:rPr>
              <w:t>(6)</w:t>
            </w:r>
          </w:p>
        </w:tc>
        <w:tc>
          <w:tcPr>
            <w:tcW w:w="2640" w:type="dxa"/>
            <w:vAlign w:val="bottom"/>
            <w:gridSpan w:val="2"/>
          </w:tcPr>
          <w:p>
            <w:pPr>
              <w:ind w:left="20"/>
              <w:spacing w:after="0"/>
              <w:rPr>
                <w:sz w:val="20"/>
                <w:szCs w:val="20"/>
                <w:color w:val="auto"/>
              </w:rPr>
            </w:pPr>
            <w:r>
              <w:rPr>
                <w:rFonts w:ascii="Arial" w:cs="Arial" w:eastAsia="Arial" w:hAnsi="Arial"/>
                <w:sz w:val="12"/>
                <w:szCs w:val="12"/>
                <w:color w:val="auto"/>
              </w:rPr>
              <w:t>Discount rate</w:t>
            </w:r>
          </w:p>
        </w:tc>
        <w:tc>
          <w:tcPr>
            <w:tcW w:w="1440" w:type="dxa"/>
            <w:vAlign w:val="bottom"/>
            <w:gridSpan w:val="3"/>
          </w:tcPr>
          <w:p>
            <w:pPr>
              <w:jc w:val="right"/>
              <w:ind w:right="520"/>
              <w:spacing w:after="0"/>
              <w:rPr>
                <w:sz w:val="20"/>
                <w:szCs w:val="20"/>
                <w:color w:val="auto"/>
              </w:rPr>
            </w:pPr>
            <w:r>
              <w:rPr>
                <w:rFonts w:ascii="Arial" w:cs="Arial" w:eastAsia="Arial" w:hAnsi="Arial"/>
                <w:sz w:val="12"/>
                <w:szCs w:val="12"/>
                <w:color w:val="auto"/>
              </w:rPr>
              <w:t>11% – 20%</w:t>
            </w:r>
          </w:p>
        </w:tc>
        <w:tc>
          <w:tcPr>
            <w:tcW w:w="1240" w:type="dxa"/>
            <w:vAlign w:val="bottom"/>
          </w:tcPr>
          <w:p>
            <w:pPr>
              <w:jc w:val="center"/>
              <w:spacing w:after="0"/>
              <w:rPr>
                <w:sz w:val="20"/>
                <w:szCs w:val="20"/>
                <w:color w:val="auto"/>
              </w:rPr>
            </w:pPr>
            <w:r>
              <w:rPr>
                <w:rFonts w:ascii="Arial" w:cs="Arial" w:eastAsia="Arial" w:hAnsi="Arial"/>
                <w:sz w:val="12"/>
                <w:szCs w:val="12"/>
                <w:color w:val="auto"/>
                <w:w w:val="99"/>
              </w:rPr>
              <w:t>14%</w:t>
            </w:r>
          </w:p>
        </w:tc>
        <w:tc>
          <w:tcPr>
            <w:tcW w:w="0" w:type="dxa"/>
            <w:vAlign w:val="bottom"/>
          </w:tcPr>
          <w:p>
            <w:pPr>
              <w:spacing w:after="0"/>
              <w:rPr>
                <w:sz w:val="1"/>
                <w:szCs w:val="1"/>
                <w:color w:val="auto"/>
              </w:rPr>
            </w:pPr>
          </w:p>
        </w:tc>
      </w:tr>
      <w:tr>
        <w:trPr>
          <w:trHeight w:val="168"/>
        </w:trPr>
        <w:tc>
          <w:tcPr>
            <w:tcW w:w="1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10,201</w:t>
            </w:r>
          </w:p>
        </w:tc>
        <w:tc>
          <w:tcPr>
            <w:tcW w:w="200" w:type="dxa"/>
            <w:vAlign w:val="bottom"/>
          </w:tcPr>
          <w:p>
            <w:pPr>
              <w:spacing w:after="0"/>
              <w:rPr>
                <w:sz w:val="14"/>
                <w:szCs w:val="14"/>
                <w:color w:val="auto"/>
              </w:rPr>
            </w:pPr>
          </w:p>
        </w:tc>
        <w:tc>
          <w:tcPr>
            <w:tcW w:w="2640" w:type="dxa"/>
            <w:vAlign w:val="bottom"/>
            <w:gridSpan w:val="2"/>
          </w:tcPr>
          <w:p>
            <w:pPr>
              <w:ind w:left="20"/>
              <w:spacing w:after="0" w:line="168" w:lineRule="exact"/>
              <w:rPr>
                <w:sz w:val="20"/>
                <w:szCs w:val="20"/>
                <w:color w:val="auto"/>
              </w:rPr>
            </w:pPr>
            <w:r>
              <w:rPr>
                <w:rFonts w:ascii="Arial" w:cs="Arial" w:eastAsia="Arial" w:hAnsi="Arial"/>
                <w:sz w:val="12"/>
                <w:szCs w:val="12"/>
                <w:color w:val="auto"/>
              </w:rPr>
              <w:t xml:space="preserve">Recent market information </w:t>
            </w:r>
            <w:r>
              <w:rPr>
                <w:rFonts w:ascii="Arial" w:cs="Arial" w:eastAsia="Arial" w:hAnsi="Arial"/>
                <w:sz w:val="15"/>
                <w:szCs w:val="15"/>
                <w:color w:val="auto"/>
                <w:vertAlign w:val="superscript"/>
              </w:rPr>
              <w:t>(5)</w:t>
            </w:r>
          </w:p>
        </w:tc>
        <w:tc>
          <w:tcPr>
            <w:tcW w:w="2640" w:type="dxa"/>
            <w:vAlign w:val="bottom"/>
            <w:gridSpan w:val="2"/>
          </w:tcPr>
          <w:p>
            <w:pPr>
              <w:ind w:left="20"/>
              <w:spacing w:after="0"/>
              <w:rPr>
                <w:sz w:val="20"/>
                <w:szCs w:val="20"/>
                <w:color w:val="auto"/>
              </w:rPr>
            </w:pPr>
            <w:r>
              <w:rPr>
                <w:rFonts w:ascii="Arial" w:cs="Arial" w:eastAsia="Arial" w:hAnsi="Arial"/>
                <w:sz w:val="12"/>
                <w:szCs w:val="12"/>
                <w:color w:val="auto"/>
              </w:rPr>
              <w:t>Quoted prices</w:t>
            </w:r>
          </w:p>
        </w:tc>
        <w:tc>
          <w:tcPr>
            <w:tcW w:w="1440" w:type="dxa"/>
            <w:vAlign w:val="bottom"/>
            <w:gridSpan w:val="3"/>
          </w:tcPr>
          <w:p>
            <w:pPr>
              <w:jc w:val="center"/>
              <w:ind w:right="200"/>
              <w:spacing w:after="0"/>
              <w:rPr>
                <w:sz w:val="20"/>
                <w:szCs w:val="20"/>
                <w:color w:val="auto"/>
              </w:rPr>
            </w:pPr>
            <w:r>
              <w:rPr>
                <w:rFonts w:ascii="Arial" w:cs="Arial" w:eastAsia="Arial" w:hAnsi="Arial"/>
                <w:sz w:val="12"/>
                <w:szCs w:val="12"/>
                <w:color w:val="auto"/>
                <w:w w:val="99"/>
              </w:rPr>
              <w:t>Not applicable</w:t>
            </w:r>
          </w:p>
        </w:tc>
        <w:tc>
          <w:tcPr>
            <w:tcW w:w="1240" w:type="dxa"/>
            <w:vAlign w:val="bottom"/>
          </w:tcPr>
          <w:p>
            <w:pPr>
              <w:jc w:val="center"/>
              <w:spacing w:after="0"/>
              <w:rPr>
                <w:sz w:val="20"/>
                <w:szCs w:val="20"/>
                <w:color w:val="auto"/>
              </w:rPr>
            </w:pPr>
            <w:r>
              <w:rPr>
                <w:rFonts w:ascii="Arial" w:cs="Arial" w:eastAsia="Arial" w:hAnsi="Arial"/>
                <w:sz w:val="12"/>
                <w:szCs w:val="12"/>
                <w:color w:val="auto"/>
                <w:w w:val="99"/>
              </w:rPr>
              <w:t>Not applicable</w:t>
            </w:r>
          </w:p>
        </w:tc>
        <w:tc>
          <w:tcPr>
            <w:tcW w:w="0" w:type="dxa"/>
            <w:vAlign w:val="bottom"/>
          </w:tcPr>
          <w:p>
            <w:pPr>
              <w:spacing w:after="0"/>
              <w:rPr>
                <w:sz w:val="1"/>
                <w:szCs w:val="1"/>
                <w:color w:val="auto"/>
              </w:rPr>
            </w:pPr>
          </w:p>
        </w:tc>
      </w:tr>
      <w:tr>
        <w:trPr>
          <w:trHeight w:val="168"/>
        </w:trPr>
        <w:tc>
          <w:tcPr>
            <w:tcW w:w="1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14,844</w:t>
            </w:r>
          </w:p>
        </w:tc>
        <w:tc>
          <w:tcPr>
            <w:tcW w:w="200" w:type="dxa"/>
            <w:vAlign w:val="bottom"/>
          </w:tcPr>
          <w:p>
            <w:pPr>
              <w:spacing w:after="0"/>
              <w:rPr>
                <w:sz w:val="14"/>
                <w:szCs w:val="14"/>
                <w:color w:val="auto"/>
              </w:rPr>
            </w:pPr>
          </w:p>
        </w:tc>
        <w:tc>
          <w:tcPr>
            <w:tcW w:w="2640" w:type="dxa"/>
            <w:vAlign w:val="bottom"/>
            <w:gridSpan w:val="2"/>
          </w:tcPr>
          <w:p>
            <w:pPr>
              <w:ind w:left="20"/>
              <w:spacing w:after="0" w:line="168" w:lineRule="exact"/>
              <w:rPr>
                <w:sz w:val="20"/>
                <w:szCs w:val="20"/>
                <w:color w:val="auto"/>
              </w:rPr>
            </w:pPr>
            <w:r>
              <w:rPr>
                <w:rFonts w:ascii="Arial" w:cs="Arial" w:eastAsia="Arial" w:hAnsi="Arial"/>
                <w:sz w:val="12"/>
                <w:szCs w:val="12"/>
                <w:color w:val="auto"/>
              </w:rPr>
              <w:t xml:space="preserve">Expected Recovery </w:t>
            </w:r>
            <w:r>
              <w:rPr>
                <w:rFonts w:ascii="Arial" w:cs="Arial" w:eastAsia="Arial" w:hAnsi="Arial"/>
                <w:sz w:val="15"/>
                <w:szCs w:val="15"/>
                <w:color w:val="auto"/>
                <w:vertAlign w:val="superscript"/>
              </w:rPr>
              <w:t>(11)</w:t>
            </w:r>
          </w:p>
        </w:tc>
        <w:tc>
          <w:tcPr>
            <w:tcW w:w="2640" w:type="dxa"/>
            <w:vAlign w:val="bottom"/>
            <w:gridSpan w:val="2"/>
          </w:tcPr>
          <w:p>
            <w:pPr>
              <w:ind w:left="20"/>
              <w:spacing w:after="0"/>
              <w:rPr>
                <w:sz w:val="20"/>
                <w:szCs w:val="20"/>
                <w:color w:val="auto"/>
              </w:rPr>
            </w:pPr>
            <w:r>
              <w:rPr>
                <w:rFonts w:ascii="Arial" w:cs="Arial" w:eastAsia="Arial" w:hAnsi="Arial"/>
                <w:sz w:val="12"/>
                <w:szCs w:val="12"/>
                <w:color w:val="auto"/>
              </w:rPr>
              <w:t>Not applicable</w:t>
            </w:r>
          </w:p>
        </w:tc>
        <w:tc>
          <w:tcPr>
            <w:tcW w:w="1440" w:type="dxa"/>
            <w:vAlign w:val="bottom"/>
            <w:gridSpan w:val="3"/>
          </w:tcPr>
          <w:p>
            <w:pPr>
              <w:jc w:val="center"/>
              <w:ind w:right="200"/>
              <w:spacing w:after="0"/>
              <w:rPr>
                <w:sz w:val="20"/>
                <w:szCs w:val="20"/>
                <w:color w:val="auto"/>
              </w:rPr>
            </w:pPr>
            <w:r>
              <w:rPr>
                <w:rFonts w:ascii="Arial" w:cs="Arial" w:eastAsia="Arial" w:hAnsi="Arial"/>
                <w:sz w:val="12"/>
                <w:szCs w:val="12"/>
                <w:color w:val="auto"/>
                <w:w w:val="99"/>
              </w:rPr>
              <w:t>Not applicable</w:t>
            </w:r>
          </w:p>
        </w:tc>
        <w:tc>
          <w:tcPr>
            <w:tcW w:w="1240" w:type="dxa"/>
            <w:vAlign w:val="bottom"/>
          </w:tcPr>
          <w:p>
            <w:pPr>
              <w:jc w:val="center"/>
              <w:spacing w:after="0"/>
              <w:rPr>
                <w:sz w:val="20"/>
                <w:szCs w:val="20"/>
                <w:color w:val="auto"/>
              </w:rPr>
            </w:pPr>
            <w:r>
              <w:rPr>
                <w:rFonts w:ascii="Arial" w:cs="Arial" w:eastAsia="Arial" w:hAnsi="Arial"/>
                <w:sz w:val="12"/>
                <w:szCs w:val="12"/>
                <w:color w:val="auto"/>
                <w:w w:val="99"/>
              </w:rPr>
              <w:t>Not applicable</w:t>
            </w:r>
          </w:p>
        </w:tc>
        <w:tc>
          <w:tcPr>
            <w:tcW w:w="0" w:type="dxa"/>
            <w:vAlign w:val="bottom"/>
          </w:tcPr>
          <w:p>
            <w:pPr>
              <w:spacing w:after="0"/>
              <w:rPr>
                <w:sz w:val="1"/>
                <w:szCs w:val="1"/>
                <w:color w:val="auto"/>
              </w:rPr>
            </w:pPr>
          </w:p>
        </w:tc>
      </w:tr>
      <w:tr>
        <w:trPr>
          <w:trHeight w:val="168"/>
        </w:trPr>
        <w:tc>
          <w:tcPr>
            <w:tcW w:w="1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6,644</w:t>
            </w:r>
          </w:p>
        </w:tc>
        <w:tc>
          <w:tcPr>
            <w:tcW w:w="200" w:type="dxa"/>
            <w:vAlign w:val="bottom"/>
          </w:tcPr>
          <w:p>
            <w:pPr>
              <w:spacing w:after="0"/>
              <w:rPr>
                <w:sz w:val="14"/>
                <w:szCs w:val="14"/>
                <w:color w:val="auto"/>
              </w:rPr>
            </w:pPr>
          </w:p>
        </w:tc>
        <w:tc>
          <w:tcPr>
            <w:tcW w:w="2640" w:type="dxa"/>
            <w:vAlign w:val="bottom"/>
            <w:gridSpan w:val="2"/>
          </w:tcPr>
          <w:p>
            <w:pPr>
              <w:ind w:left="20"/>
              <w:spacing w:after="0" w:line="168" w:lineRule="exact"/>
              <w:rPr>
                <w:sz w:val="20"/>
                <w:szCs w:val="20"/>
                <w:color w:val="auto"/>
              </w:rPr>
            </w:pPr>
            <w:r>
              <w:rPr>
                <w:rFonts w:ascii="Arial" w:cs="Arial" w:eastAsia="Arial" w:hAnsi="Arial"/>
                <w:sz w:val="12"/>
                <w:szCs w:val="12"/>
                <w:color w:val="auto"/>
              </w:rPr>
              <w:t xml:space="preserve">Black Scholes </w:t>
            </w:r>
            <w:r>
              <w:rPr>
                <w:rFonts w:ascii="Arial" w:cs="Arial" w:eastAsia="Arial" w:hAnsi="Arial"/>
                <w:sz w:val="15"/>
                <w:szCs w:val="15"/>
                <w:color w:val="auto"/>
                <w:vertAlign w:val="superscript"/>
              </w:rPr>
              <w:t>(12)</w:t>
            </w:r>
          </w:p>
        </w:tc>
        <w:tc>
          <w:tcPr>
            <w:tcW w:w="2640" w:type="dxa"/>
            <w:vAlign w:val="bottom"/>
            <w:gridSpan w:val="2"/>
          </w:tcPr>
          <w:p>
            <w:pPr>
              <w:ind w:left="20"/>
              <w:spacing w:after="0"/>
              <w:rPr>
                <w:sz w:val="20"/>
                <w:szCs w:val="20"/>
                <w:color w:val="auto"/>
              </w:rPr>
            </w:pPr>
            <w:r>
              <w:rPr>
                <w:rFonts w:ascii="Arial" w:cs="Arial" w:eastAsia="Arial" w:hAnsi="Arial"/>
                <w:sz w:val="12"/>
                <w:szCs w:val="12"/>
                <w:color w:val="auto"/>
              </w:rPr>
              <w:t>Not applicable</w:t>
            </w:r>
          </w:p>
        </w:tc>
        <w:tc>
          <w:tcPr>
            <w:tcW w:w="1440" w:type="dxa"/>
            <w:vAlign w:val="bottom"/>
            <w:gridSpan w:val="3"/>
          </w:tcPr>
          <w:p>
            <w:pPr>
              <w:jc w:val="center"/>
              <w:ind w:right="200"/>
              <w:spacing w:after="0"/>
              <w:rPr>
                <w:sz w:val="20"/>
                <w:szCs w:val="20"/>
                <w:color w:val="auto"/>
              </w:rPr>
            </w:pPr>
            <w:r>
              <w:rPr>
                <w:rFonts w:ascii="Arial" w:cs="Arial" w:eastAsia="Arial" w:hAnsi="Arial"/>
                <w:sz w:val="12"/>
                <w:szCs w:val="12"/>
                <w:color w:val="auto"/>
                <w:w w:val="99"/>
              </w:rPr>
              <w:t>Not applicable</w:t>
            </w:r>
          </w:p>
        </w:tc>
        <w:tc>
          <w:tcPr>
            <w:tcW w:w="1240" w:type="dxa"/>
            <w:vAlign w:val="bottom"/>
          </w:tcPr>
          <w:p>
            <w:pPr>
              <w:jc w:val="center"/>
              <w:spacing w:after="0"/>
              <w:rPr>
                <w:sz w:val="20"/>
                <w:szCs w:val="20"/>
                <w:color w:val="auto"/>
              </w:rPr>
            </w:pPr>
            <w:r>
              <w:rPr>
                <w:rFonts w:ascii="Arial" w:cs="Arial" w:eastAsia="Arial" w:hAnsi="Arial"/>
                <w:sz w:val="12"/>
                <w:szCs w:val="12"/>
                <w:color w:val="auto"/>
                <w:w w:val="99"/>
              </w:rPr>
              <w:t>Not applicable</w:t>
            </w:r>
          </w:p>
        </w:tc>
        <w:tc>
          <w:tcPr>
            <w:tcW w:w="0" w:type="dxa"/>
            <w:vAlign w:val="bottom"/>
          </w:tcPr>
          <w:p>
            <w:pPr>
              <w:spacing w:after="0"/>
              <w:rPr>
                <w:sz w:val="1"/>
                <w:szCs w:val="1"/>
                <w:color w:val="auto"/>
              </w:rPr>
            </w:pPr>
          </w:p>
        </w:tc>
      </w:tr>
      <w:tr>
        <w:trPr>
          <w:trHeight w:val="159"/>
        </w:trPr>
        <w:tc>
          <w:tcPr>
            <w:tcW w:w="2040" w:type="dxa"/>
            <w:vAlign w:val="bottom"/>
            <w:gridSpan w:val="2"/>
          </w:tcPr>
          <w:p>
            <w:pPr>
              <w:ind w:left="20"/>
              <w:spacing w:after="0"/>
              <w:rPr>
                <w:sz w:val="20"/>
                <w:szCs w:val="20"/>
                <w:color w:val="auto"/>
              </w:rPr>
            </w:pPr>
            <w:r>
              <w:rPr>
                <w:rFonts w:ascii="Arial" w:cs="Arial" w:eastAsia="Arial" w:hAnsi="Arial"/>
                <w:sz w:val="12"/>
                <w:szCs w:val="12"/>
                <w:color w:val="auto"/>
              </w:rPr>
              <w:t>Real estate-oriented:</w:t>
            </w: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1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292,809</w:t>
            </w:r>
          </w:p>
        </w:tc>
        <w:tc>
          <w:tcPr>
            <w:tcW w:w="200" w:type="dxa"/>
            <w:vAlign w:val="bottom"/>
          </w:tcPr>
          <w:p>
            <w:pPr>
              <w:spacing w:after="0"/>
              <w:rPr>
                <w:sz w:val="15"/>
                <w:szCs w:val="15"/>
                <w:color w:val="auto"/>
              </w:rPr>
            </w:pPr>
          </w:p>
        </w:tc>
        <w:tc>
          <w:tcPr>
            <w:tcW w:w="2640" w:type="dxa"/>
            <w:vAlign w:val="bottom"/>
            <w:gridSpan w:val="2"/>
          </w:tcPr>
          <w:p>
            <w:pPr>
              <w:ind w:left="20"/>
              <w:spacing w:after="0"/>
              <w:rPr>
                <w:sz w:val="20"/>
                <w:szCs w:val="20"/>
                <w:color w:val="auto"/>
              </w:rPr>
            </w:pPr>
            <w:r>
              <w:rPr>
                <w:rFonts w:ascii="Arial" w:cs="Arial" w:eastAsia="Arial" w:hAnsi="Arial"/>
                <w:sz w:val="12"/>
                <w:szCs w:val="12"/>
                <w:color w:val="auto"/>
              </w:rPr>
              <w:t xml:space="preserve">Discounted cash flow </w:t>
            </w:r>
            <w:r>
              <w:rPr>
                <w:rFonts w:ascii="Arial" w:cs="Arial" w:eastAsia="Arial" w:hAnsi="Arial"/>
                <w:sz w:val="15"/>
                <w:szCs w:val="15"/>
                <w:color w:val="auto"/>
                <w:vertAlign w:val="superscript"/>
              </w:rPr>
              <w:t>(6)</w:t>
            </w:r>
          </w:p>
        </w:tc>
        <w:tc>
          <w:tcPr>
            <w:tcW w:w="2640" w:type="dxa"/>
            <w:vAlign w:val="bottom"/>
            <w:gridSpan w:val="2"/>
          </w:tcPr>
          <w:p>
            <w:pPr>
              <w:ind w:left="20"/>
              <w:spacing w:after="0"/>
              <w:rPr>
                <w:sz w:val="20"/>
                <w:szCs w:val="20"/>
                <w:color w:val="auto"/>
              </w:rPr>
            </w:pPr>
            <w:r>
              <w:rPr>
                <w:rFonts w:ascii="Arial" w:cs="Arial" w:eastAsia="Arial" w:hAnsi="Arial"/>
                <w:sz w:val="12"/>
                <w:szCs w:val="12"/>
                <w:color w:val="auto"/>
              </w:rPr>
              <w:t>Discount rate</w:t>
            </w:r>
          </w:p>
        </w:tc>
        <w:tc>
          <w:tcPr>
            <w:tcW w:w="580" w:type="dxa"/>
            <w:vAlign w:val="bottom"/>
          </w:tcPr>
          <w:p>
            <w:pPr>
              <w:jc w:val="right"/>
              <w:spacing w:after="0"/>
              <w:rPr>
                <w:sz w:val="20"/>
                <w:szCs w:val="20"/>
                <w:color w:val="auto"/>
              </w:rPr>
            </w:pPr>
            <w:r>
              <w:rPr>
                <w:rFonts w:ascii="Arial" w:cs="Arial" w:eastAsia="Arial" w:hAnsi="Arial"/>
                <w:sz w:val="12"/>
                <w:szCs w:val="12"/>
                <w:color w:val="auto"/>
              </w:rPr>
              <w:t>12%</w:t>
            </w:r>
          </w:p>
        </w:tc>
        <w:tc>
          <w:tcPr>
            <w:tcW w:w="860" w:type="dxa"/>
            <w:vAlign w:val="bottom"/>
            <w:gridSpan w:val="2"/>
          </w:tcPr>
          <w:p>
            <w:pPr>
              <w:spacing w:after="0"/>
              <w:rPr>
                <w:sz w:val="20"/>
                <w:szCs w:val="20"/>
                <w:color w:val="auto"/>
              </w:rPr>
            </w:pPr>
            <w:r>
              <w:rPr>
                <w:rFonts w:ascii="Arial" w:cs="Arial" w:eastAsia="Arial" w:hAnsi="Arial"/>
                <w:sz w:val="12"/>
                <w:szCs w:val="12"/>
                <w:color w:val="auto"/>
              </w:rPr>
              <w:t>– 33%</w:t>
            </w:r>
          </w:p>
        </w:tc>
        <w:tc>
          <w:tcPr>
            <w:tcW w:w="1240" w:type="dxa"/>
            <w:vAlign w:val="bottom"/>
          </w:tcPr>
          <w:p>
            <w:pPr>
              <w:jc w:val="center"/>
              <w:spacing w:after="0"/>
              <w:rPr>
                <w:sz w:val="20"/>
                <w:szCs w:val="20"/>
                <w:color w:val="auto"/>
              </w:rPr>
            </w:pPr>
            <w:r>
              <w:rPr>
                <w:rFonts w:ascii="Arial" w:cs="Arial" w:eastAsia="Arial" w:hAnsi="Arial"/>
                <w:sz w:val="12"/>
                <w:szCs w:val="12"/>
                <w:color w:val="auto"/>
                <w:w w:val="99"/>
              </w:rPr>
              <w:t>18%</w:t>
            </w:r>
          </w:p>
        </w:tc>
        <w:tc>
          <w:tcPr>
            <w:tcW w:w="0" w:type="dxa"/>
            <w:vAlign w:val="bottom"/>
          </w:tcPr>
          <w:p>
            <w:pPr>
              <w:spacing w:after="0"/>
              <w:rPr>
                <w:sz w:val="1"/>
                <w:szCs w:val="1"/>
                <w:color w:val="auto"/>
              </w:rPr>
            </w:pPr>
          </w:p>
        </w:tc>
      </w:tr>
      <w:tr>
        <w:trPr>
          <w:trHeight w:val="172"/>
        </w:trPr>
        <w:tc>
          <w:tcPr>
            <w:tcW w:w="1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59,731</w:t>
            </w:r>
          </w:p>
        </w:tc>
        <w:tc>
          <w:tcPr>
            <w:tcW w:w="200" w:type="dxa"/>
            <w:vAlign w:val="bottom"/>
          </w:tcPr>
          <w:p>
            <w:pPr>
              <w:spacing w:after="0"/>
              <w:rPr>
                <w:sz w:val="14"/>
                <w:szCs w:val="14"/>
                <w:color w:val="auto"/>
              </w:rPr>
            </w:pPr>
          </w:p>
        </w:tc>
        <w:tc>
          <w:tcPr>
            <w:tcW w:w="2640" w:type="dxa"/>
            <w:vAlign w:val="bottom"/>
            <w:gridSpan w:val="2"/>
          </w:tcPr>
          <w:p>
            <w:pPr>
              <w:ind w:left="20"/>
              <w:spacing w:after="0"/>
              <w:rPr>
                <w:sz w:val="20"/>
                <w:szCs w:val="20"/>
                <w:color w:val="auto"/>
              </w:rPr>
            </w:pPr>
            <w:r>
              <w:rPr>
                <w:rFonts w:ascii="Arial" w:cs="Arial" w:eastAsia="Arial" w:hAnsi="Arial"/>
                <w:sz w:val="12"/>
                <w:szCs w:val="12"/>
                <w:color w:val="auto"/>
              </w:rPr>
              <w:t xml:space="preserve">Market approach (comparable companies) </w:t>
            </w:r>
            <w:r>
              <w:rPr>
                <w:rFonts w:ascii="Arial" w:cs="Arial" w:eastAsia="Arial" w:hAnsi="Arial"/>
                <w:sz w:val="15"/>
                <w:szCs w:val="15"/>
                <w:color w:val="auto"/>
                <w:vertAlign w:val="superscript"/>
              </w:rPr>
              <w:t>(7)</w:t>
            </w:r>
          </w:p>
        </w:tc>
        <w:tc>
          <w:tcPr>
            <w:tcW w:w="2640" w:type="dxa"/>
            <w:vAlign w:val="bottom"/>
            <w:gridSpan w:val="2"/>
          </w:tcPr>
          <w:p>
            <w:pPr>
              <w:ind w:left="20"/>
              <w:spacing w:after="0"/>
              <w:rPr>
                <w:sz w:val="20"/>
                <w:szCs w:val="20"/>
                <w:color w:val="auto"/>
              </w:rPr>
            </w:pPr>
            <w:r>
              <w:rPr>
                <w:rFonts w:ascii="Arial" w:cs="Arial" w:eastAsia="Arial" w:hAnsi="Arial"/>
                <w:sz w:val="12"/>
                <w:szCs w:val="12"/>
                <w:color w:val="auto"/>
              </w:rPr>
              <w:t xml:space="preserve">Multiple of underlying assets </w:t>
            </w:r>
            <w:r>
              <w:rPr>
                <w:rFonts w:ascii="Arial" w:cs="Arial" w:eastAsia="Arial" w:hAnsi="Arial"/>
                <w:sz w:val="15"/>
                <w:szCs w:val="15"/>
                <w:color w:val="auto"/>
                <w:vertAlign w:val="superscript"/>
              </w:rPr>
              <w:t>(9)</w:t>
            </w:r>
          </w:p>
        </w:tc>
        <w:tc>
          <w:tcPr>
            <w:tcW w:w="580" w:type="dxa"/>
            <w:vAlign w:val="bottom"/>
          </w:tcPr>
          <w:p>
            <w:pPr>
              <w:jc w:val="right"/>
              <w:spacing w:after="0"/>
              <w:rPr>
                <w:sz w:val="20"/>
                <w:szCs w:val="20"/>
                <w:color w:val="auto"/>
              </w:rPr>
            </w:pPr>
            <w:r>
              <w:rPr>
                <w:rFonts w:ascii="Arial" w:cs="Arial" w:eastAsia="Arial" w:hAnsi="Arial"/>
                <w:sz w:val="12"/>
                <w:szCs w:val="12"/>
                <w:color w:val="auto"/>
              </w:rPr>
              <w:t>1.0x</w:t>
            </w:r>
          </w:p>
        </w:tc>
        <w:tc>
          <w:tcPr>
            <w:tcW w:w="860" w:type="dxa"/>
            <w:vAlign w:val="bottom"/>
            <w:gridSpan w:val="2"/>
          </w:tcPr>
          <w:p>
            <w:pPr>
              <w:spacing w:after="0"/>
              <w:rPr>
                <w:sz w:val="20"/>
                <w:szCs w:val="20"/>
                <w:color w:val="auto"/>
              </w:rPr>
            </w:pPr>
            <w:r>
              <w:rPr>
                <w:rFonts w:ascii="Arial" w:cs="Arial" w:eastAsia="Arial" w:hAnsi="Arial"/>
                <w:sz w:val="12"/>
                <w:szCs w:val="12"/>
                <w:color w:val="auto"/>
              </w:rPr>
              <w:t>– 1.3x</w:t>
            </w:r>
          </w:p>
        </w:tc>
        <w:tc>
          <w:tcPr>
            <w:tcW w:w="1240" w:type="dxa"/>
            <w:vAlign w:val="bottom"/>
          </w:tcPr>
          <w:p>
            <w:pPr>
              <w:jc w:val="center"/>
              <w:spacing w:after="0"/>
              <w:rPr>
                <w:sz w:val="20"/>
                <w:szCs w:val="20"/>
                <w:color w:val="auto"/>
              </w:rPr>
            </w:pPr>
            <w:r>
              <w:rPr>
                <w:rFonts w:ascii="Arial" w:cs="Arial" w:eastAsia="Arial" w:hAnsi="Arial"/>
                <w:sz w:val="12"/>
                <w:szCs w:val="12"/>
                <w:color w:val="auto"/>
                <w:w w:val="96"/>
              </w:rPr>
              <w:t>1.0x</w:t>
            </w:r>
          </w:p>
        </w:tc>
        <w:tc>
          <w:tcPr>
            <w:tcW w:w="0" w:type="dxa"/>
            <w:vAlign w:val="bottom"/>
          </w:tcPr>
          <w:p>
            <w:pPr>
              <w:spacing w:after="0"/>
              <w:rPr>
                <w:sz w:val="1"/>
                <w:szCs w:val="1"/>
                <w:color w:val="auto"/>
              </w:rPr>
            </w:pPr>
          </w:p>
        </w:tc>
      </w:tr>
      <w:tr>
        <w:trPr>
          <w:trHeight w:val="96"/>
        </w:trPr>
        <w:tc>
          <w:tcPr>
            <w:tcW w:w="2040" w:type="dxa"/>
            <w:vAlign w:val="bottom"/>
            <w:gridSpan w:val="2"/>
          </w:tcPr>
          <w:p>
            <w:pPr>
              <w:ind w:left="20"/>
              <w:spacing w:after="0" w:line="96" w:lineRule="exact"/>
              <w:rPr>
                <w:sz w:val="20"/>
                <w:szCs w:val="20"/>
                <w:color w:val="auto"/>
              </w:rPr>
            </w:pPr>
            <w:r>
              <w:rPr>
                <w:rFonts w:ascii="Arial" w:cs="Arial" w:eastAsia="Arial" w:hAnsi="Arial"/>
                <w:sz w:val="11"/>
                <w:szCs w:val="11"/>
                <w:color w:val="auto"/>
              </w:rPr>
              <w:t>Total Level III</w:t>
            </w:r>
          </w:p>
        </w:tc>
        <w:tc>
          <w:tcPr>
            <w:tcW w:w="160" w:type="dxa"/>
            <w:vAlign w:val="bottom"/>
            <w:vMerge w:val="restart"/>
          </w:tcPr>
          <w:p>
            <w:pPr>
              <w:jc w:val="right"/>
              <w:ind w:right="20"/>
              <w:spacing w:after="0"/>
              <w:rPr>
                <w:sz w:val="20"/>
                <w:szCs w:val="20"/>
                <w:color w:val="auto"/>
              </w:rPr>
            </w:pPr>
            <w:r>
              <w:rPr>
                <w:rFonts w:ascii="Arial" w:cs="Arial" w:eastAsia="Arial" w:hAnsi="Arial"/>
                <w:sz w:val="12"/>
                <w:szCs w:val="12"/>
                <w:color w:val="auto"/>
                <w:w w:val="89"/>
              </w:rPr>
              <w:t>$</w:t>
            </w:r>
          </w:p>
        </w:tc>
        <w:tc>
          <w:tcPr>
            <w:tcW w:w="880" w:type="dxa"/>
            <w:vAlign w:val="bottom"/>
            <w:vMerge w:val="restart"/>
          </w:tcPr>
          <w:p>
            <w:pPr>
              <w:jc w:val="right"/>
              <w:spacing w:after="0"/>
              <w:rPr>
                <w:sz w:val="20"/>
                <w:szCs w:val="20"/>
                <w:color w:val="auto"/>
              </w:rPr>
            </w:pPr>
            <w:r>
              <w:rPr>
                <w:rFonts w:ascii="Arial" w:cs="Arial" w:eastAsia="Arial" w:hAnsi="Arial"/>
                <w:sz w:val="12"/>
                <w:szCs w:val="12"/>
                <w:color w:val="auto"/>
              </w:rPr>
              <w:t>4,395,740</w:t>
            </w:r>
          </w:p>
        </w:tc>
        <w:tc>
          <w:tcPr>
            <w:tcW w:w="200" w:type="dxa"/>
            <w:vAlign w:val="bottom"/>
          </w:tcPr>
          <w:p>
            <w:pPr>
              <w:spacing w:after="0"/>
              <w:rPr>
                <w:sz w:val="8"/>
                <w:szCs w:val="8"/>
                <w:color w:val="auto"/>
              </w:rPr>
            </w:pPr>
          </w:p>
        </w:tc>
        <w:tc>
          <w:tcPr>
            <w:tcW w:w="2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0"/>
        </w:trPr>
        <w:tc>
          <w:tcPr>
            <w:tcW w:w="2040" w:type="dxa"/>
            <w:vAlign w:val="bottom"/>
            <w:gridSpan w:val="2"/>
          </w:tcPr>
          <w:p>
            <w:pPr>
              <w:ind w:left="120"/>
              <w:spacing w:after="0"/>
              <w:rPr>
                <w:sz w:val="20"/>
                <w:szCs w:val="20"/>
                <w:color w:val="auto"/>
              </w:rPr>
            </w:pPr>
            <w:r>
              <w:rPr>
                <w:rFonts w:ascii="Arial" w:cs="Arial" w:eastAsia="Arial" w:hAnsi="Arial"/>
                <w:sz w:val="12"/>
                <w:szCs w:val="12"/>
                <w:color w:val="auto"/>
              </w:rPr>
              <w:t>investments</w:t>
            </w:r>
          </w:p>
        </w:tc>
        <w:tc>
          <w:tcPr>
            <w:tcW w:w="160" w:type="dxa"/>
            <w:vAlign w:val="bottom"/>
            <w:tcBorders>
              <w:bottom w:val="single" w:sz="8" w:color="auto"/>
            </w:tcBorders>
            <w:vMerge w:val="continue"/>
          </w:tcPr>
          <w:p>
            <w:pPr>
              <w:spacing w:after="0"/>
              <w:rPr>
                <w:sz w:val="13"/>
                <w:szCs w:val="13"/>
                <w:color w:val="auto"/>
              </w:rPr>
            </w:pPr>
          </w:p>
        </w:tc>
        <w:tc>
          <w:tcPr>
            <w:tcW w:w="880" w:type="dxa"/>
            <w:vAlign w:val="bottom"/>
            <w:tcBorders>
              <w:bottom w:val="single" w:sz="8" w:color="auto"/>
            </w:tcBorders>
            <w:vMerge w:val="continue"/>
          </w:tcPr>
          <w:p>
            <w:pPr>
              <w:spacing w:after="0"/>
              <w:rPr>
                <w:sz w:val="13"/>
                <w:szCs w:val="13"/>
                <w:color w:val="auto"/>
              </w:rPr>
            </w:pPr>
          </w:p>
        </w:tc>
        <w:tc>
          <w:tcPr>
            <w:tcW w:w="200" w:type="dxa"/>
            <w:vAlign w:val="bottom"/>
          </w:tcPr>
          <w:p>
            <w:pPr>
              <w:spacing w:after="0"/>
              <w:rPr>
                <w:sz w:val="13"/>
                <w:szCs w:val="13"/>
                <w:color w:val="auto"/>
              </w:rPr>
            </w:pPr>
          </w:p>
        </w:tc>
        <w:tc>
          <w:tcPr>
            <w:tcW w:w="2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5" w:lineRule="exact"/>
        <w:rPr>
          <w:sz w:val="20"/>
          <w:szCs w:val="20"/>
          <w:color w:val="auto"/>
        </w:rPr>
      </w:pPr>
    </w:p>
    <w:p>
      <w:pPr>
        <w:ind w:right="520" w:firstLine="172"/>
        <w:spacing w:after="0" w:line="290" w:lineRule="auto"/>
        <w:rPr>
          <w:sz w:val="20"/>
          <w:szCs w:val="20"/>
          <w:color w:val="auto"/>
        </w:rPr>
      </w:pPr>
      <w:r>
        <w:rPr>
          <w:rFonts w:ascii="Arial" w:cs="Arial" w:eastAsia="Arial" w:hAnsi="Arial"/>
          <w:sz w:val="17"/>
          <w:szCs w:val="17"/>
          <w:color w:val="auto"/>
        </w:rPr>
        <w:t>The following table sets forth a summary of the valuation techniques and quantitative information utilized in determining the fair value of the consolidated funds’ Level III investments as of December 31, 2024:</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3" w:name="page94"/>
    <w:bookmarkEnd w:id="93"/>
    <w:p>
      <w:pPr>
        <w:jc w:val="center"/>
        <w:spacing w:after="0"/>
        <w:rPr>
          <w:sz w:val="20"/>
          <w:szCs w:val="20"/>
          <w:color w:val="auto"/>
        </w:rPr>
      </w:pPr>
      <w:r>
        <w:rPr>
          <w:rFonts w:ascii="Arial" w:cs="Arial" w:eastAsia="Arial" w:hAnsi="Arial"/>
          <w:sz w:val="17"/>
          <w:szCs w:val="17"/>
          <w:b w:val="1"/>
          <w:bCs w:val="1"/>
          <w:color w:val="auto"/>
        </w:rPr>
        <w:t>Brookfield Oaktree Holdings, LLC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 (Continued)</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December 31, 2025</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 in thousands, except where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040" w:type="dxa"/>
            <w:vAlign w:val="bottom"/>
            <w:gridSpan w:val="2"/>
            <w:vMerge w:val="restart"/>
          </w:tcPr>
          <w:p>
            <w:pPr>
              <w:ind w:left="480"/>
              <w:spacing w:after="0"/>
              <w:rPr>
                <w:sz w:val="20"/>
                <w:szCs w:val="20"/>
                <w:color w:val="auto"/>
              </w:rPr>
            </w:pPr>
            <w:r>
              <w:rPr>
                <w:rFonts w:ascii="Arial" w:cs="Arial" w:eastAsia="Arial" w:hAnsi="Arial"/>
                <w:sz w:val="11"/>
                <w:szCs w:val="11"/>
                <w:b w:val="1"/>
                <w:bCs w:val="1"/>
                <w:color w:val="auto"/>
              </w:rPr>
              <w:t>Investment Type</w:t>
            </w:r>
          </w:p>
        </w:tc>
        <w:tc>
          <w:tcPr>
            <w:tcW w:w="160" w:type="dxa"/>
            <w:vAlign w:val="bottom"/>
          </w:tcPr>
          <w:p>
            <w:pPr>
              <w:spacing w:after="0"/>
              <w:rPr>
                <w:sz w:val="10"/>
                <w:szCs w:val="10"/>
                <w:color w:val="auto"/>
              </w:rPr>
            </w:pPr>
          </w:p>
        </w:tc>
        <w:tc>
          <w:tcPr>
            <w:tcW w:w="880" w:type="dxa"/>
            <w:vAlign w:val="bottom"/>
            <w:vMerge w:val="restart"/>
          </w:tcPr>
          <w:p>
            <w:pPr>
              <w:jc w:val="right"/>
              <w:ind w:right="200"/>
              <w:spacing w:after="0"/>
              <w:rPr>
                <w:sz w:val="20"/>
                <w:szCs w:val="20"/>
                <w:color w:val="auto"/>
              </w:rPr>
            </w:pPr>
            <w:r>
              <w:rPr>
                <w:rFonts w:ascii="Arial" w:cs="Arial" w:eastAsia="Arial" w:hAnsi="Arial"/>
                <w:sz w:val="11"/>
                <w:szCs w:val="11"/>
                <w:b w:val="1"/>
                <w:bCs w:val="1"/>
                <w:color w:val="auto"/>
              </w:rPr>
              <w:t>Fair Value</w:t>
            </w:r>
          </w:p>
        </w:tc>
        <w:tc>
          <w:tcPr>
            <w:tcW w:w="2840" w:type="dxa"/>
            <w:vAlign w:val="bottom"/>
            <w:vMerge w:val="restart"/>
          </w:tcPr>
          <w:p>
            <w:pPr>
              <w:ind w:left="880"/>
              <w:spacing w:after="0"/>
              <w:rPr>
                <w:sz w:val="20"/>
                <w:szCs w:val="20"/>
                <w:color w:val="auto"/>
              </w:rPr>
            </w:pPr>
            <w:r>
              <w:rPr>
                <w:rFonts w:ascii="Arial" w:cs="Arial" w:eastAsia="Arial" w:hAnsi="Arial"/>
                <w:sz w:val="11"/>
                <w:szCs w:val="11"/>
                <w:b w:val="1"/>
                <w:bCs w:val="1"/>
                <w:color w:val="auto"/>
              </w:rPr>
              <w:t>Valuation Technique</w:t>
            </w:r>
          </w:p>
        </w:tc>
        <w:tc>
          <w:tcPr>
            <w:tcW w:w="2640" w:type="dxa"/>
            <w:vAlign w:val="bottom"/>
            <w:gridSpan w:val="2"/>
          </w:tcPr>
          <w:p>
            <w:pPr>
              <w:ind w:left="540"/>
              <w:spacing w:after="0"/>
              <w:rPr>
                <w:sz w:val="20"/>
                <w:szCs w:val="20"/>
                <w:color w:val="auto"/>
              </w:rPr>
            </w:pPr>
            <w:r>
              <w:rPr>
                <w:rFonts w:ascii="Arial" w:cs="Arial" w:eastAsia="Arial" w:hAnsi="Arial"/>
                <w:sz w:val="11"/>
                <w:szCs w:val="11"/>
                <w:b w:val="1"/>
                <w:bCs w:val="1"/>
                <w:color w:val="auto"/>
              </w:rPr>
              <w:t>Significant Unobservable</w:t>
            </w:r>
          </w:p>
        </w:tc>
        <w:tc>
          <w:tcPr>
            <w:tcW w:w="1240" w:type="dxa"/>
            <w:vAlign w:val="bottom"/>
            <w:gridSpan w:val="2"/>
            <w:vMerge w:val="restart"/>
          </w:tcPr>
          <w:p>
            <w:pPr>
              <w:jc w:val="center"/>
              <w:spacing w:after="0"/>
              <w:rPr>
                <w:sz w:val="20"/>
                <w:szCs w:val="20"/>
                <w:color w:val="auto"/>
              </w:rPr>
            </w:pPr>
            <w:r>
              <w:rPr>
                <w:rFonts w:ascii="Arial" w:cs="Arial" w:eastAsia="Arial" w:hAnsi="Arial"/>
                <w:sz w:val="11"/>
                <w:szCs w:val="11"/>
                <w:b w:val="1"/>
                <w:bCs w:val="1"/>
                <w:color w:val="auto"/>
              </w:rPr>
              <w:t>Range</w:t>
            </w:r>
          </w:p>
        </w:tc>
        <w:tc>
          <w:tcPr>
            <w:tcW w:w="200" w:type="dxa"/>
            <w:vAlign w:val="bottom"/>
            <w:vMerge w:val="restart"/>
          </w:tcPr>
          <w:p>
            <w:pPr>
              <w:spacing w:after="0"/>
              <w:rPr>
                <w:sz w:val="10"/>
                <w:szCs w:val="10"/>
                <w:color w:val="auto"/>
              </w:rPr>
            </w:pPr>
          </w:p>
        </w:tc>
        <w:tc>
          <w:tcPr>
            <w:tcW w:w="1240" w:type="dxa"/>
            <w:vAlign w:val="bottom"/>
            <w:vMerge w:val="restart"/>
          </w:tcPr>
          <w:p>
            <w:pPr>
              <w:jc w:val="center"/>
              <w:spacing w:after="0"/>
              <w:rPr>
                <w:sz w:val="20"/>
                <w:szCs w:val="20"/>
                <w:color w:val="auto"/>
              </w:rPr>
            </w:pPr>
            <w:r>
              <w:rPr>
                <w:rFonts w:ascii="Arial" w:cs="Arial" w:eastAsia="Arial" w:hAnsi="Arial"/>
                <w:sz w:val="11"/>
                <w:szCs w:val="11"/>
                <w:b w:val="1"/>
                <w:bCs w:val="1"/>
                <w:color w:val="auto"/>
                <w:w w:val="97"/>
              </w:rPr>
              <w:t xml:space="preserve">Weighted Average </w:t>
            </w:r>
            <w:r>
              <w:rPr>
                <w:rFonts w:ascii="Arial" w:cs="Arial" w:eastAsia="Arial" w:hAnsi="Arial"/>
                <w:sz w:val="14"/>
                <w:szCs w:val="14"/>
                <w:b w:val="1"/>
                <w:bCs w:val="1"/>
                <w:color w:val="auto"/>
                <w:w w:val="97"/>
                <w:vertAlign w:val="superscript"/>
              </w:rPr>
              <w:t>(3)</w:t>
            </w:r>
          </w:p>
        </w:tc>
        <w:tc>
          <w:tcPr>
            <w:tcW w:w="0" w:type="dxa"/>
            <w:vAlign w:val="bottom"/>
          </w:tcPr>
          <w:p>
            <w:pPr>
              <w:spacing w:after="0"/>
              <w:rPr>
                <w:sz w:val="1"/>
                <w:szCs w:val="1"/>
                <w:color w:val="auto"/>
              </w:rPr>
            </w:pPr>
          </w:p>
        </w:tc>
      </w:tr>
      <w:tr>
        <w:trPr>
          <w:trHeight w:val="155"/>
        </w:trPr>
        <w:tc>
          <w:tcPr>
            <w:tcW w:w="2040" w:type="dxa"/>
            <w:vAlign w:val="bottom"/>
            <w:gridSpan w:val="2"/>
            <w:vMerge w:val="continue"/>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vMerge w:val="continue"/>
          </w:tcPr>
          <w:p>
            <w:pPr>
              <w:spacing w:after="0"/>
              <w:rPr>
                <w:sz w:val="13"/>
                <w:szCs w:val="13"/>
                <w:color w:val="auto"/>
              </w:rPr>
            </w:pPr>
          </w:p>
        </w:tc>
        <w:tc>
          <w:tcPr>
            <w:tcW w:w="2840" w:type="dxa"/>
            <w:vAlign w:val="bottom"/>
            <w:vMerge w:val="continue"/>
          </w:tcPr>
          <w:p>
            <w:pPr>
              <w:spacing w:after="0"/>
              <w:rPr>
                <w:sz w:val="13"/>
                <w:szCs w:val="13"/>
                <w:color w:val="auto"/>
              </w:rPr>
            </w:pPr>
          </w:p>
        </w:tc>
        <w:tc>
          <w:tcPr>
            <w:tcW w:w="2440" w:type="dxa"/>
            <w:vAlign w:val="bottom"/>
            <w:tcBorders>
              <w:bottom w:val="single" w:sz="8" w:color="auto"/>
            </w:tcBorders>
          </w:tcPr>
          <w:p>
            <w:pPr>
              <w:ind w:left="960"/>
              <w:spacing w:after="0" w:line="155" w:lineRule="exact"/>
              <w:rPr>
                <w:sz w:val="20"/>
                <w:szCs w:val="20"/>
                <w:color w:val="auto"/>
              </w:rPr>
            </w:pPr>
            <w:r>
              <w:rPr>
                <w:rFonts w:ascii="Arial" w:cs="Arial" w:eastAsia="Arial" w:hAnsi="Arial"/>
                <w:sz w:val="11"/>
                <w:szCs w:val="11"/>
                <w:b w:val="1"/>
                <w:bCs w:val="1"/>
                <w:color w:val="auto"/>
              </w:rPr>
              <w:t xml:space="preserve">Inputs </w:t>
            </w:r>
            <w:r>
              <w:rPr>
                <w:rFonts w:ascii="Arial" w:cs="Arial" w:eastAsia="Arial" w:hAnsi="Arial"/>
                <w:sz w:val="14"/>
                <w:szCs w:val="14"/>
                <w:b w:val="1"/>
                <w:bCs w:val="1"/>
                <w:color w:val="auto"/>
                <w:vertAlign w:val="superscript"/>
              </w:rPr>
              <w:t>(1)(2)</w:t>
            </w:r>
          </w:p>
        </w:tc>
        <w:tc>
          <w:tcPr>
            <w:tcW w:w="200" w:type="dxa"/>
            <w:vAlign w:val="bottom"/>
          </w:tcPr>
          <w:p>
            <w:pPr>
              <w:spacing w:after="0"/>
              <w:rPr>
                <w:sz w:val="13"/>
                <w:szCs w:val="13"/>
                <w:color w:val="auto"/>
              </w:rPr>
            </w:pPr>
          </w:p>
        </w:tc>
        <w:tc>
          <w:tcPr>
            <w:tcW w:w="1240" w:type="dxa"/>
            <w:vAlign w:val="bottom"/>
            <w:tcBorders>
              <w:bottom w:val="single" w:sz="8" w:color="auto"/>
            </w:tcBorders>
            <w:gridSpan w:val="2"/>
            <w:vMerge w:val="continue"/>
          </w:tcPr>
          <w:p>
            <w:pPr>
              <w:spacing w:after="0"/>
              <w:rPr>
                <w:sz w:val="13"/>
                <w:szCs w:val="13"/>
                <w:color w:val="auto"/>
              </w:rPr>
            </w:pPr>
          </w:p>
        </w:tc>
        <w:tc>
          <w:tcPr>
            <w:tcW w:w="200" w:type="dxa"/>
            <w:vAlign w:val="bottom"/>
            <w:vMerge w:val="continue"/>
          </w:tcPr>
          <w:p>
            <w:pPr>
              <w:spacing w:after="0"/>
              <w:rPr>
                <w:sz w:val="13"/>
                <w:szCs w:val="13"/>
                <w:color w:val="auto"/>
              </w:rPr>
            </w:pPr>
          </w:p>
        </w:tc>
        <w:tc>
          <w:tcPr>
            <w:tcW w:w="124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39"/>
        </w:trPr>
        <w:tc>
          <w:tcPr>
            <w:tcW w:w="2040" w:type="dxa"/>
            <w:vAlign w:val="bottom"/>
            <w:gridSpan w:val="2"/>
          </w:tcPr>
          <w:p>
            <w:pPr>
              <w:ind w:left="20"/>
              <w:spacing w:after="0"/>
              <w:rPr>
                <w:sz w:val="20"/>
                <w:szCs w:val="20"/>
                <w:color w:val="auto"/>
              </w:rPr>
            </w:pPr>
            <w:r>
              <w:rPr>
                <w:rFonts w:ascii="Arial" w:cs="Arial" w:eastAsia="Arial" w:hAnsi="Arial"/>
                <w:sz w:val="12"/>
                <w:szCs w:val="12"/>
                <w:color w:val="auto"/>
              </w:rPr>
              <w:t>Credit-oriented investments:</w:t>
            </w:r>
          </w:p>
        </w:tc>
        <w:tc>
          <w:tcPr>
            <w:tcW w:w="160" w:type="dxa"/>
            <w:vAlign w:val="bottom"/>
            <w:vMerge w:val="restart"/>
          </w:tcPr>
          <w:p>
            <w:pPr>
              <w:jc w:val="right"/>
              <w:ind w:right="20"/>
              <w:spacing w:after="0"/>
              <w:rPr>
                <w:sz w:val="20"/>
                <w:szCs w:val="20"/>
                <w:color w:val="auto"/>
              </w:rPr>
            </w:pPr>
            <w:r>
              <w:rPr>
                <w:rFonts w:ascii="Arial" w:cs="Arial" w:eastAsia="Arial" w:hAnsi="Arial"/>
                <w:sz w:val="12"/>
                <w:szCs w:val="12"/>
                <w:color w:val="auto"/>
                <w:w w:val="89"/>
              </w:rPr>
              <w:t>$</w:t>
            </w:r>
          </w:p>
        </w:tc>
        <w:tc>
          <w:tcPr>
            <w:tcW w:w="880" w:type="dxa"/>
            <w:vAlign w:val="bottom"/>
            <w:vMerge w:val="restart"/>
          </w:tcPr>
          <w:p>
            <w:pPr>
              <w:jc w:val="right"/>
              <w:spacing w:after="0"/>
              <w:rPr>
                <w:sz w:val="20"/>
                <w:szCs w:val="20"/>
                <w:color w:val="auto"/>
              </w:rPr>
            </w:pPr>
            <w:r>
              <w:rPr>
                <w:rFonts w:ascii="Arial" w:cs="Arial" w:eastAsia="Arial" w:hAnsi="Arial"/>
                <w:sz w:val="12"/>
                <w:szCs w:val="12"/>
                <w:color w:val="auto"/>
              </w:rPr>
              <w:t>1,216,750</w:t>
            </w:r>
          </w:p>
        </w:tc>
        <w:tc>
          <w:tcPr>
            <w:tcW w:w="2840" w:type="dxa"/>
            <w:vAlign w:val="bottom"/>
            <w:vMerge w:val="restart"/>
          </w:tcPr>
          <w:p>
            <w:pPr>
              <w:ind w:left="220"/>
              <w:spacing w:after="0"/>
              <w:rPr>
                <w:sz w:val="20"/>
                <w:szCs w:val="20"/>
                <w:color w:val="auto"/>
              </w:rPr>
            </w:pPr>
            <w:r>
              <w:rPr>
                <w:rFonts w:ascii="Arial" w:cs="Arial" w:eastAsia="Arial" w:hAnsi="Arial"/>
                <w:sz w:val="12"/>
                <w:szCs w:val="12"/>
                <w:color w:val="auto"/>
              </w:rPr>
              <w:t xml:space="preserve">Discounted cash flow </w:t>
            </w:r>
            <w:r>
              <w:rPr>
                <w:rFonts w:ascii="Arial" w:cs="Arial" w:eastAsia="Arial" w:hAnsi="Arial"/>
                <w:sz w:val="15"/>
                <w:szCs w:val="15"/>
                <w:color w:val="auto"/>
                <w:vertAlign w:val="superscript"/>
              </w:rPr>
              <w:t>(6)</w:t>
            </w:r>
          </w:p>
        </w:tc>
        <w:tc>
          <w:tcPr>
            <w:tcW w:w="2640" w:type="dxa"/>
            <w:vAlign w:val="bottom"/>
            <w:gridSpan w:val="2"/>
            <w:vMerge w:val="restart"/>
          </w:tcPr>
          <w:p>
            <w:pPr>
              <w:ind w:left="20"/>
              <w:spacing w:after="0"/>
              <w:rPr>
                <w:sz w:val="20"/>
                <w:szCs w:val="20"/>
                <w:color w:val="auto"/>
              </w:rPr>
            </w:pPr>
            <w:r>
              <w:rPr>
                <w:rFonts w:ascii="Arial" w:cs="Arial" w:eastAsia="Arial" w:hAnsi="Arial"/>
                <w:sz w:val="12"/>
                <w:szCs w:val="12"/>
                <w:color w:val="auto"/>
              </w:rPr>
              <w:t>Discount rate</w:t>
            </w:r>
          </w:p>
        </w:tc>
        <w:tc>
          <w:tcPr>
            <w:tcW w:w="1440" w:type="dxa"/>
            <w:vAlign w:val="bottom"/>
            <w:gridSpan w:val="3"/>
            <w:vMerge w:val="restart"/>
          </w:tcPr>
          <w:p>
            <w:pPr>
              <w:jc w:val="center"/>
              <w:ind w:right="200"/>
              <w:spacing w:after="0"/>
              <w:rPr>
                <w:sz w:val="20"/>
                <w:szCs w:val="20"/>
                <w:color w:val="auto"/>
              </w:rPr>
            </w:pPr>
            <w:r>
              <w:rPr>
                <w:rFonts w:ascii="Arial" w:cs="Arial" w:eastAsia="Arial" w:hAnsi="Arial"/>
                <w:sz w:val="12"/>
                <w:szCs w:val="12"/>
                <w:color w:val="auto"/>
              </w:rPr>
              <w:t>5% – 27%</w:t>
            </w:r>
          </w:p>
        </w:tc>
        <w:tc>
          <w:tcPr>
            <w:tcW w:w="1240" w:type="dxa"/>
            <w:vAlign w:val="bottom"/>
            <w:vMerge w:val="restart"/>
          </w:tcPr>
          <w:p>
            <w:pPr>
              <w:jc w:val="center"/>
              <w:spacing w:after="0"/>
              <w:rPr>
                <w:sz w:val="20"/>
                <w:szCs w:val="20"/>
                <w:color w:val="auto"/>
              </w:rPr>
            </w:pPr>
            <w:r>
              <w:rPr>
                <w:rFonts w:ascii="Arial" w:cs="Arial" w:eastAsia="Arial" w:hAnsi="Arial"/>
                <w:sz w:val="12"/>
                <w:szCs w:val="12"/>
                <w:color w:val="auto"/>
                <w:w w:val="99"/>
              </w:rPr>
              <w:t>15%</w:t>
            </w:r>
          </w:p>
        </w:tc>
        <w:tc>
          <w:tcPr>
            <w:tcW w:w="0" w:type="dxa"/>
            <w:vAlign w:val="bottom"/>
          </w:tcPr>
          <w:p>
            <w:pPr>
              <w:spacing w:after="0"/>
              <w:rPr>
                <w:sz w:val="1"/>
                <w:szCs w:val="1"/>
                <w:color w:val="auto"/>
              </w:rPr>
            </w:pPr>
          </w:p>
        </w:tc>
      </w:tr>
      <w:tr>
        <w:trPr>
          <w:trHeight w:val="164"/>
        </w:trPr>
        <w:tc>
          <w:tcPr>
            <w:tcW w:w="6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6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2840" w:type="dxa"/>
            <w:vAlign w:val="bottom"/>
            <w:vMerge w:val="continue"/>
          </w:tcPr>
          <w:p>
            <w:pPr>
              <w:spacing w:after="0"/>
              <w:rPr>
                <w:sz w:val="14"/>
                <w:szCs w:val="14"/>
                <w:color w:val="auto"/>
              </w:rPr>
            </w:pPr>
          </w:p>
        </w:tc>
        <w:tc>
          <w:tcPr>
            <w:tcW w:w="2640" w:type="dxa"/>
            <w:vAlign w:val="bottom"/>
            <w:gridSpan w:val="2"/>
            <w:vMerge w:val="continue"/>
          </w:tcPr>
          <w:p>
            <w:pPr>
              <w:spacing w:after="0"/>
              <w:rPr>
                <w:sz w:val="14"/>
                <w:szCs w:val="14"/>
                <w:color w:val="auto"/>
              </w:rPr>
            </w:pPr>
          </w:p>
        </w:tc>
        <w:tc>
          <w:tcPr>
            <w:tcW w:w="1440" w:type="dxa"/>
            <w:vAlign w:val="bottom"/>
            <w:gridSpan w:val="3"/>
            <w:vMerge w:val="continue"/>
          </w:tcPr>
          <w:p>
            <w:pPr>
              <w:spacing w:after="0"/>
              <w:rPr>
                <w:sz w:val="14"/>
                <w:szCs w:val="14"/>
                <w:color w:val="auto"/>
              </w:rPr>
            </w:pPr>
          </w:p>
        </w:tc>
        <w:tc>
          <w:tcPr>
            <w:tcW w:w="12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6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378,875</w:t>
            </w:r>
          </w:p>
        </w:tc>
        <w:tc>
          <w:tcPr>
            <w:tcW w:w="2840" w:type="dxa"/>
            <w:vAlign w:val="bottom"/>
          </w:tcPr>
          <w:p>
            <w:pPr>
              <w:ind w:left="220"/>
              <w:spacing w:after="0" w:line="168" w:lineRule="exact"/>
              <w:rPr>
                <w:sz w:val="20"/>
                <w:szCs w:val="20"/>
                <w:color w:val="auto"/>
              </w:rPr>
            </w:pPr>
            <w:r>
              <w:rPr>
                <w:rFonts w:ascii="Arial" w:cs="Arial" w:eastAsia="Arial" w:hAnsi="Arial"/>
                <w:sz w:val="12"/>
                <w:szCs w:val="12"/>
                <w:color w:val="auto"/>
              </w:rPr>
              <w:t xml:space="preserve">Recent market information </w:t>
            </w:r>
            <w:r>
              <w:rPr>
                <w:rFonts w:ascii="Arial" w:cs="Arial" w:eastAsia="Arial" w:hAnsi="Arial"/>
                <w:sz w:val="15"/>
                <w:szCs w:val="15"/>
                <w:color w:val="auto"/>
                <w:vertAlign w:val="superscript"/>
              </w:rPr>
              <w:t>(5)</w:t>
            </w:r>
          </w:p>
        </w:tc>
        <w:tc>
          <w:tcPr>
            <w:tcW w:w="2640" w:type="dxa"/>
            <w:vAlign w:val="bottom"/>
            <w:gridSpan w:val="2"/>
          </w:tcPr>
          <w:p>
            <w:pPr>
              <w:ind w:left="20"/>
              <w:spacing w:after="0"/>
              <w:rPr>
                <w:sz w:val="20"/>
                <w:szCs w:val="20"/>
                <w:color w:val="auto"/>
              </w:rPr>
            </w:pPr>
            <w:r>
              <w:rPr>
                <w:rFonts w:ascii="Arial" w:cs="Arial" w:eastAsia="Arial" w:hAnsi="Arial"/>
                <w:sz w:val="12"/>
                <w:szCs w:val="12"/>
                <w:color w:val="auto"/>
              </w:rPr>
              <w:t>Quoted prices</w:t>
            </w:r>
          </w:p>
        </w:tc>
        <w:tc>
          <w:tcPr>
            <w:tcW w:w="1440" w:type="dxa"/>
            <w:vAlign w:val="bottom"/>
            <w:gridSpan w:val="3"/>
          </w:tcPr>
          <w:p>
            <w:pPr>
              <w:jc w:val="center"/>
              <w:ind w:right="200"/>
              <w:spacing w:after="0"/>
              <w:rPr>
                <w:sz w:val="20"/>
                <w:szCs w:val="20"/>
                <w:color w:val="auto"/>
              </w:rPr>
            </w:pPr>
            <w:r>
              <w:rPr>
                <w:rFonts w:ascii="Arial" w:cs="Arial" w:eastAsia="Arial" w:hAnsi="Arial"/>
                <w:sz w:val="12"/>
                <w:szCs w:val="12"/>
                <w:color w:val="auto"/>
                <w:w w:val="99"/>
              </w:rPr>
              <w:t>Not applicable</w:t>
            </w:r>
          </w:p>
        </w:tc>
        <w:tc>
          <w:tcPr>
            <w:tcW w:w="1240" w:type="dxa"/>
            <w:vAlign w:val="bottom"/>
          </w:tcPr>
          <w:p>
            <w:pPr>
              <w:jc w:val="center"/>
              <w:spacing w:after="0"/>
              <w:rPr>
                <w:sz w:val="20"/>
                <w:szCs w:val="20"/>
                <w:color w:val="auto"/>
              </w:rPr>
            </w:pPr>
            <w:r>
              <w:rPr>
                <w:rFonts w:ascii="Arial" w:cs="Arial" w:eastAsia="Arial" w:hAnsi="Arial"/>
                <w:sz w:val="12"/>
                <w:szCs w:val="12"/>
                <w:color w:val="auto"/>
                <w:w w:val="99"/>
              </w:rPr>
              <w:t>Not applicable</w:t>
            </w:r>
          </w:p>
        </w:tc>
        <w:tc>
          <w:tcPr>
            <w:tcW w:w="0" w:type="dxa"/>
            <w:vAlign w:val="bottom"/>
          </w:tcPr>
          <w:p>
            <w:pPr>
              <w:spacing w:after="0"/>
              <w:rPr>
                <w:sz w:val="1"/>
                <w:szCs w:val="1"/>
                <w:color w:val="auto"/>
              </w:rPr>
            </w:pPr>
          </w:p>
        </w:tc>
      </w:tr>
      <w:tr>
        <w:trPr>
          <w:trHeight w:val="168"/>
        </w:trPr>
        <w:tc>
          <w:tcPr>
            <w:tcW w:w="6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206,107</w:t>
            </w:r>
          </w:p>
        </w:tc>
        <w:tc>
          <w:tcPr>
            <w:tcW w:w="2840" w:type="dxa"/>
            <w:vAlign w:val="bottom"/>
          </w:tcPr>
          <w:p>
            <w:pPr>
              <w:ind w:left="220"/>
              <w:spacing w:after="0" w:line="168" w:lineRule="exact"/>
              <w:rPr>
                <w:sz w:val="20"/>
                <w:szCs w:val="20"/>
                <w:color w:val="auto"/>
              </w:rPr>
            </w:pPr>
            <w:r>
              <w:rPr>
                <w:rFonts w:ascii="Arial" w:cs="Arial" w:eastAsia="Arial" w:hAnsi="Arial"/>
                <w:sz w:val="12"/>
                <w:szCs w:val="12"/>
                <w:color w:val="auto"/>
              </w:rPr>
              <w:t xml:space="preserve">Recent transaction price </w:t>
            </w:r>
            <w:r>
              <w:rPr>
                <w:rFonts w:ascii="Arial" w:cs="Arial" w:eastAsia="Arial" w:hAnsi="Arial"/>
                <w:sz w:val="15"/>
                <w:szCs w:val="15"/>
                <w:color w:val="auto"/>
                <w:vertAlign w:val="superscript"/>
              </w:rPr>
              <w:t>(4)</w:t>
            </w:r>
          </w:p>
        </w:tc>
        <w:tc>
          <w:tcPr>
            <w:tcW w:w="2640" w:type="dxa"/>
            <w:vAlign w:val="bottom"/>
            <w:gridSpan w:val="2"/>
          </w:tcPr>
          <w:p>
            <w:pPr>
              <w:ind w:left="20"/>
              <w:spacing w:after="0"/>
              <w:rPr>
                <w:sz w:val="20"/>
                <w:szCs w:val="20"/>
                <w:color w:val="auto"/>
              </w:rPr>
            </w:pPr>
            <w:r>
              <w:rPr>
                <w:rFonts w:ascii="Arial" w:cs="Arial" w:eastAsia="Arial" w:hAnsi="Arial"/>
                <w:sz w:val="12"/>
                <w:szCs w:val="12"/>
                <w:color w:val="auto"/>
              </w:rPr>
              <w:t>Quoted prices</w:t>
            </w:r>
          </w:p>
        </w:tc>
        <w:tc>
          <w:tcPr>
            <w:tcW w:w="1440" w:type="dxa"/>
            <w:vAlign w:val="bottom"/>
            <w:gridSpan w:val="3"/>
          </w:tcPr>
          <w:p>
            <w:pPr>
              <w:jc w:val="center"/>
              <w:ind w:right="200"/>
              <w:spacing w:after="0"/>
              <w:rPr>
                <w:sz w:val="20"/>
                <w:szCs w:val="20"/>
                <w:color w:val="auto"/>
              </w:rPr>
            </w:pPr>
            <w:r>
              <w:rPr>
                <w:rFonts w:ascii="Arial" w:cs="Arial" w:eastAsia="Arial" w:hAnsi="Arial"/>
                <w:sz w:val="12"/>
                <w:szCs w:val="12"/>
                <w:color w:val="auto"/>
                <w:w w:val="99"/>
              </w:rPr>
              <w:t>Not applicable</w:t>
            </w:r>
          </w:p>
        </w:tc>
        <w:tc>
          <w:tcPr>
            <w:tcW w:w="1240" w:type="dxa"/>
            <w:vAlign w:val="bottom"/>
          </w:tcPr>
          <w:p>
            <w:pPr>
              <w:jc w:val="center"/>
              <w:spacing w:after="0"/>
              <w:rPr>
                <w:sz w:val="20"/>
                <w:szCs w:val="20"/>
                <w:color w:val="auto"/>
              </w:rPr>
            </w:pPr>
            <w:r>
              <w:rPr>
                <w:rFonts w:ascii="Arial" w:cs="Arial" w:eastAsia="Arial" w:hAnsi="Arial"/>
                <w:sz w:val="12"/>
                <w:szCs w:val="12"/>
                <w:color w:val="auto"/>
                <w:w w:val="99"/>
              </w:rPr>
              <w:t>Not applicable</w:t>
            </w:r>
          </w:p>
        </w:tc>
        <w:tc>
          <w:tcPr>
            <w:tcW w:w="0" w:type="dxa"/>
            <w:vAlign w:val="bottom"/>
          </w:tcPr>
          <w:p>
            <w:pPr>
              <w:spacing w:after="0"/>
              <w:rPr>
                <w:sz w:val="1"/>
                <w:szCs w:val="1"/>
                <w:color w:val="auto"/>
              </w:rPr>
            </w:pPr>
          </w:p>
        </w:tc>
      </w:tr>
      <w:tr>
        <w:trPr>
          <w:trHeight w:val="168"/>
        </w:trPr>
        <w:tc>
          <w:tcPr>
            <w:tcW w:w="6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10,854</w:t>
            </w:r>
          </w:p>
        </w:tc>
        <w:tc>
          <w:tcPr>
            <w:tcW w:w="2840" w:type="dxa"/>
            <w:vAlign w:val="bottom"/>
          </w:tcPr>
          <w:p>
            <w:pPr>
              <w:ind w:left="220"/>
              <w:spacing w:after="0" w:line="168" w:lineRule="exact"/>
              <w:rPr>
                <w:sz w:val="20"/>
                <w:szCs w:val="20"/>
                <w:color w:val="auto"/>
              </w:rPr>
            </w:pPr>
            <w:r>
              <w:rPr>
                <w:rFonts w:ascii="Arial" w:cs="Arial" w:eastAsia="Arial" w:hAnsi="Arial"/>
                <w:sz w:val="12"/>
                <w:szCs w:val="12"/>
                <w:color w:val="auto"/>
              </w:rPr>
              <w:t xml:space="preserve">Market approach (comparable companies) </w:t>
            </w:r>
            <w:r>
              <w:rPr>
                <w:rFonts w:ascii="Arial" w:cs="Arial" w:eastAsia="Arial" w:hAnsi="Arial"/>
                <w:sz w:val="15"/>
                <w:szCs w:val="15"/>
                <w:color w:val="auto"/>
                <w:vertAlign w:val="superscript"/>
              </w:rPr>
              <w:t>(7)</w:t>
            </w:r>
          </w:p>
        </w:tc>
        <w:tc>
          <w:tcPr>
            <w:tcW w:w="2640" w:type="dxa"/>
            <w:vAlign w:val="bottom"/>
            <w:gridSpan w:val="2"/>
          </w:tcPr>
          <w:p>
            <w:pPr>
              <w:ind w:left="20"/>
              <w:spacing w:after="0" w:line="168" w:lineRule="exact"/>
              <w:rPr>
                <w:sz w:val="20"/>
                <w:szCs w:val="20"/>
                <w:color w:val="auto"/>
              </w:rPr>
            </w:pPr>
            <w:r>
              <w:rPr>
                <w:rFonts w:ascii="Arial" w:cs="Arial" w:eastAsia="Arial" w:hAnsi="Arial"/>
                <w:sz w:val="12"/>
                <w:szCs w:val="12"/>
                <w:color w:val="auto"/>
              </w:rPr>
              <w:t xml:space="preserve">Revenue multiple </w:t>
            </w:r>
            <w:r>
              <w:rPr>
                <w:rFonts w:ascii="Arial" w:cs="Arial" w:eastAsia="Arial" w:hAnsi="Arial"/>
                <w:sz w:val="15"/>
                <w:szCs w:val="15"/>
                <w:color w:val="auto"/>
                <w:vertAlign w:val="superscript"/>
              </w:rPr>
              <w:t>(8)</w:t>
            </w:r>
          </w:p>
        </w:tc>
        <w:tc>
          <w:tcPr>
            <w:tcW w:w="580" w:type="dxa"/>
            <w:vAlign w:val="bottom"/>
          </w:tcPr>
          <w:p>
            <w:pPr>
              <w:jc w:val="right"/>
              <w:spacing w:after="0"/>
              <w:rPr>
                <w:sz w:val="20"/>
                <w:szCs w:val="20"/>
                <w:color w:val="auto"/>
              </w:rPr>
            </w:pPr>
            <w:r>
              <w:rPr>
                <w:rFonts w:ascii="Arial" w:cs="Arial" w:eastAsia="Arial" w:hAnsi="Arial"/>
                <w:sz w:val="12"/>
                <w:szCs w:val="12"/>
                <w:color w:val="auto"/>
              </w:rPr>
              <w:t>2.1x</w:t>
            </w:r>
          </w:p>
        </w:tc>
        <w:tc>
          <w:tcPr>
            <w:tcW w:w="860" w:type="dxa"/>
            <w:vAlign w:val="bottom"/>
            <w:gridSpan w:val="2"/>
          </w:tcPr>
          <w:p>
            <w:pPr>
              <w:spacing w:after="0"/>
              <w:rPr>
                <w:sz w:val="20"/>
                <w:szCs w:val="20"/>
                <w:color w:val="auto"/>
              </w:rPr>
            </w:pPr>
            <w:r>
              <w:rPr>
                <w:rFonts w:ascii="Arial" w:cs="Arial" w:eastAsia="Arial" w:hAnsi="Arial"/>
                <w:sz w:val="12"/>
                <w:szCs w:val="12"/>
                <w:color w:val="auto"/>
              </w:rPr>
              <w:t>– 2.1x</w:t>
            </w:r>
          </w:p>
        </w:tc>
        <w:tc>
          <w:tcPr>
            <w:tcW w:w="1240" w:type="dxa"/>
            <w:vAlign w:val="bottom"/>
          </w:tcPr>
          <w:p>
            <w:pPr>
              <w:jc w:val="center"/>
              <w:spacing w:after="0"/>
              <w:rPr>
                <w:sz w:val="20"/>
                <w:szCs w:val="20"/>
                <w:color w:val="auto"/>
              </w:rPr>
            </w:pPr>
            <w:r>
              <w:rPr>
                <w:rFonts w:ascii="Arial" w:cs="Arial" w:eastAsia="Arial" w:hAnsi="Arial"/>
                <w:sz w:val="12"/>
                <w:szCs w:val="12"/>
                <w:color w:val="auto"/>
                <w:w w:val="96"/>
              </w:rPr>
              <w:t>2.1x</w:t>
            </w:r>
          </w:p>
        </w:tc>
        <w:tc>
          <w:tcPr>
            <w:tcW w:w="0" w:type="dxa"/>
            <w:vAlign w:val="bottom"/>
          </w:tcPr>
          <w:p>
            <w:pPr>
              <w:spacing w:after="0"/>
              <w:rPr>
                <w:sz w:val="1"/>
                <w:szCs w:val="1"/>
                <w:color w:val="auto"/>
              </w:rPr>
            </w:pPr>
          </w:p>
        </w:tc>
      </w:tr>
      <w:tr>
        <w:trPr>
          <w:trHeight w:val="168"/>
        </w:trPr>
        <w:tc>
          <w:tcPr>
            <w:tcW w:w="6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229,042</w:t>
            </w:r>
          </w:p>
        </w:tc>
        <w:tc>
          <w:tcPr>
            <w:tcW w:w="2840" w:type="dxa"/>
            <w:vAlign w:val="bottom"/>
          </w:tcPr>
          <w:p>
            <w:pPr>
              <w:ind w:left="220"/>
              <w:spacing w:after="0" w:line="168" w:lineRule="exact"/>
              <w:rPr>
                <w:sz w:val="20"/>
                <w:szCs w:val="20"/>
                <w:color w:val="auto"/>
              </w:rPr>
            </w:pPr>
            <w:r>
              <w:rPr>
                <w:rFonts w:ascii="Arial" w:cs="Arial" w:eastAsia="Arial" w:hAnsi="Arial"/>
                <w:sz w:val="12"/>
                <w:szCs w:val="12"/>
                <w:color w:val="auto"/>
              </w:rPr>
              <w:t xml:space="preserve">Market approach (comparable companies) </w:t>
            </w:r>
            <w:r>
              <w:rPr>
                <w:rFonts w:ascii="Arial" w:cs="Arial" w:eastAsia="Arial" w:hAnsi="Arial"/>
                <w:sz w:val="15"/>
                <w:szCs w:val="15"/>
                <w:color w:val="auto"/>
                <w:vertAlign w:val="superscript"/>
              </w:rPr>
              <w:t>(7)</w:t>
            </w:r>
          </w:p>
        </w:tc>
        <w:tc>
          <w:tcPr>
            <w:tcW w:w="2640" w:type="dxa"/>
            <w:vAlign w:val="bottom"/>
            <w:gridSpan w:val="2"/>
          </w:tcPr>
          <w:p>
            <w:pPr>
              <w:ind w:left="20"/>
              <w:spacing w:after="0" w:line="168" w:lineRule="exact"/>
              <w:rPr>
                <w:sz w:val="20"/>
                <w:szCs w:val="20"/>
                <w:color w:val="auto"/>
              </w:rPr>
            </w:pPr>
            <w:r>
              <w:rPr>
                <w:rFonts w:ascii="Arial" w:cs="Arial" w:eastAsia="Arial" w:hAnsi="Arial"/>
                <w:sz w:val="12"/>
                <w:szCs w:val="12"/>
                <w:color w:val="auto"/>
              </w:rPr>
              <w:t xml:space="preserve">Multiple of underlying assets </w:t>
            </w:r>
            <w:r>
              <w:rPr>
                <w:rFonts w:ascii="Arial" w:cs="Arial" w:eastAsia="Arial" w:hAnsi="Arial"/>
                <w:sz w:val="15"/>
                <w:szCs w:val="15"/>
                <w:color w:val="auto"/>
                <w:vertAlign w:val="superscript"/>
              </w:rPr>
              <w:t>(9)</w:t>
            </w:r>
          </w:p>
        </w:tc>
        <w:tc>
          <w:tcPr>
            <w:tcW w:w="580" w:type="dxa"/>
            <w:vAlign w:val="bottom"/>
          </w:tcPr>
          <w:p>
            <w:pPr>
              <w:jc w:val="right"/>
              <w:spacing w:after="0"/>
              <w:rPr>
                <w:sz w:val="20"/>
                <w:szCs w:val="20"/>
                <w:color w:val="auto"/>
              </w:rPr>
            </w:pPr>
            <w:r>
              <w:rPr>
                <w:rFonts w:ascii="Arial" w:cs="Arial" w:eastAsia="Arial" w:hAnsi="Arial"/>
                <w:sz w:val="12"/>
                <w:szCs w:val="12"/>
                <w:color w:val="auto"/>
              </w:rPr>
              <w:t>0.5x</w:t>
            </w:r>
          </w:p>
        </w:tc>
        <w:tc>
          <w:tcPr>
            <w:tcW w:w="860" w:type="dxa"/>
            <w:vAlign w:val="bottom"/>
            <w:gridSpan w:val="2"/>
          </w:tcPr>
          <w:p>
            <w:pPr>
              <w:spacing w:after="0"/>
              <w:rPr>
                <w:sz w:val="20"/>
                <w:szCs w:val="20"/>
                <w:color w:val="auto"/>
              </w:rPr>
            </w:pPr>
            <w:r>
              <w:rPr>
                <w:rFonts w:ascii="Arial" w:cs="Arial" w:eastAsia="Arial" w:hAnsi="Arial"/>
                <w:sz w:val="12"/>
                <w:szCs w:val="12"/>
                <w:color w:val="auto"/>
              </w:rPr>
              <w:t>– 1.0x</w:t>
            </w:r>
          </w:p>
        </w:tc>
        <w:tc>
          <w:tcPr>
            <w:tcW w:w="1240" w:type="dxa"/>
            <w:vAlign w:val="bottom"/>
          </w:tcPr>
          <w:p>
            <w:pPr>
              <w:jc w:val="center"/>
              <w:spacing w:after="0"/>
              <w:rPr>
                <w:sz w:val="20"/>
                <w:szCs w:val="20"/>
                <w:color w:val="auto"/>
              </w:rPr>
            </w:pPr>
            <w:r>
              <w:rPr>
                <w:rFonts w:ascii="Arial" w:cs="Arial" w:eastAsia="Arial" w:hAnsi="Arial"/>
                <w:sz w:val="12"/>
                <w:szCs w:val="12"/>
                <w:color w:val="auto"/>
                <w:w w:val="96"/>
              </w:rPr>
              <w:t>0.9x</w:t>
            </w:r>
          </w:p>
        </w:tc>
        <w:tc>
          <w:tcPr>
            <w:tcW w:w="0" w:type="dxa"/>
            <w:vAlign w:val="bottom"/>
          </w:tcPr>
          <w:p>
            <w:pPr>
              <w:spacing w:after="0"/>
              <w:rPr>
                <w:sz w:val="1"/>
                <w:szCs w:val="1"/>
                <w:color w:val="auto"/>
              </w:rPr>
            </w:pPr>
          </w:p>
        </w:tc>
      </w:tr>
      <w:tr>
        <w:trPr>
          <w:trHeight w:val="168"/>
        </w:trPr>
        <w:tc>
          <w:tcPr>
            <w:tcW w:w="6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11</w:t>
            </w:r>
          </w:p>
        </w:tc>
        <w:tc>
          <w:tcPr>
            <w:tcW w:w="2840" w:type="dxa"/>
            <w:vAlign w:val="bottom"/>
          </w:tcPr>
          <w:p>
            <w:pPr>
              <w:ind w:left="220"/>
              <w:spacing w:after="0" w:line="168" w:lineRule="exact"/>
              <w:rPr>
                <w:sz w:val="20"/>
                <w:szCs w:val="20"/>
                <w:color w:val="auto"/>
              </w:rPr>
            </w:pPr>
            <w:r>
              <w:rPr>
                <w:rFonts w:ascii="Arial" w:cs="Arial" w:eastAsia="Arial" w:hAnsi="Arial"/>
                <w:sz w:val="12"/>
                <w:szCs w:val="12"/>
                <w:color w:val="auto"/>
              </w:rPr>
              <w:t xml:space="preserve">Expected Recovery </w:t>
            </w:r>
            <w:r>
              <w:rPr>
                <w:rFonts w:ascii="Arial" w:cs="Arial" w:eastAsia="Arial" w:hAnsi="Arial"/>
                <w:sz w:val="15"/>
                <w:szCs w:val="15"/>
                <w:color w:val="auto"/>
                <w:vertAlign w:val="superscript"/>
              </w:rPr>
              <w:t>(11)</w:t>
            </w:r>
          </w:p>
        </w:tc>
        <w:tc>
          <w:tcPr>
            <w:tcW w:w="2640" w:type="dxa"/>
            <w:vAlign w:val="bottom"/>
            <w:gridSpan w:val="2"/>
          </w:tcPr>
          <w:p>
            <w:pPr>
              <w:ind w:left="20"/>
              <w:spacing w:after="0"/>
              <w:rPr>
                <w:sz w:val="20"/>
                <w:szCs w:val="20"/>
                <w:color w:val="auto"/>
              </w:rPr>
            </w:pPr>
            <w:r>
              <w:rPr>
                <w:rFonts w:ascii="Arial" w:cs="Arial" w:eastAsia="Arial" w:hAnsi="Arial"/>
                <w:sz w:val="12"/>
                <w:szCs w:val="12"/>
                <w:color w:val="auto"/>
              </w:rPr>
              <w:t>Not applicable</w:t>
            </w:r>
          </w:p>
        </w:tc>
        <w:tc>
          <w:tcPr>
            <w:tcW w:w="1440" w:type="dxa"/>
            <w:vAlign w:val="bottom"/>
            <w:gridSpan w:val="3"/>
          </w:tcPr>
          <w:p>
            <w:pPr>
              <w:jc w:val="center"/>
              <w:ind w:right="200"/>
              <w:spacing w:after="0"/>
              <w:rPr>
                <w:sz w:val="20"/>
                <w:szCs w:val="20"/>
                <w:color w:val="auto"/>
              </w:rPr>
            </w:pPr>
            <w:r>
              <w:rPr>
                <w:rFonts w:ascii="Arial" w:cs="Arial" w:eastAsia="Arial" w:hAnsi="Arial"/>
                <w:sz w:val="12"/>
                <w:szCs w:val="12"/>
                <w:color w:val="auto"/>
                <w:w w:val="99"/>
              </w:rPr>
              <w:t>Not applicable</w:t>
            </w:r>
          </w:p>
        </w:tc>
        <w:tc>
          <w:tcPr>
            <w:tcW w:w="1240" w:type="dxa"/>
            <w:vAlign w:val="bottom"/>
          </w:tcPr>
          <w:p>
            <w:pPr>
              <w:jc w:val="center"/>
              <w:spacing w:after="0"/>
              <w:rPr>
                <w:sz w:val="20"/>
                <w:szCs w:val="20"/>
                <w:color w:val="auto"/>
              </w:rPr>
            </w:pPr>
            <w:r>
              <w:rPr>
                <w:rFonts w:ascii="Arial" w:cs="Arial" w:eastAsia="Arial" w:hAnsi="Arial"/>
                <w:sz w:val="12"/>
                <w:szCs w:val="12"/>
                <w:color w:val="auto"/>
                <w:w w:val="99"/>
              </w:rPr>
              <w:t>Not applicable</w:t>
            </w:r>
          </w:p>
        </w:tc>
        <w:tc>
          <w:tcPr>
            <w:tcW w:w="0" w:type="dxa"/>
            <w:vAlign w:val="bottom"/>
          </w:tcPr>
          <w:p>
            <w:pPr>
              <w:spacing w:after="0"/>
              <w:rPr>
                <w:sz w:val="1"/>
                <w:szCs w:val="1"/>
                <w:color w:val="auto"/>
              </w:rPr>
            </w:pPr>
          </w:p>
        </w:tc>
      </w:tr>
      <w:tr>
        <w:trPr>
          <w:trHeight w:val="175"/>
        </w:trPr>
        <w:tc>
          <w:tcPr>
            <w:tcW w:w="6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21,999</w:t>
            </w:r>
          </w:p>
        </w:tc>
        <w:tc>
          <w:tcPr>
            <w:tcW w:w="2840" w:type="dxa"/>
            <w:vAlign w:val="bottom"/>
          </w:tcPr>
          <w:p>
            <w:pPr>
              <w:ind w:left="220"/>
              <w:spacing w:after="0"/>
              <w:rPr>
                <w:sz w:val="20"/>
                <w:szCs w:val="20"/>
                <w:color w:val="auto"/>
              </w:rPr>
            </w:pPr>
            <w:r>
              <w:rPr>
                <w:rFonts w:ascii="Arial" w:cs="Arial" w:eastAsia="Arial" w:hAnsi="Arial"/>
                <w:sz w:val="12"/>
                <w:szCs w:val="12"/>
                <w:color w:val="auto"/>
              </w:rPr>
              <w:t xml:space="preserve">Market approach (comparable companies) </w:t>
            </w:r>
            <w:r>
              <w:rPr>
                <w:rFonts w:ascii="Arial" w:cs="Arial" w:eastAsia="Arial" w:hAnsi="Arial"/>
                <w:sz w:val="15"/>
                <w:szCs w:val="15"/>
                <w:color w:val="auto"/>
                <w:vertAlign w:val="superscript"/>
              </w:rPr>
              <w:t>(7)</w:t>
            </w:r>
          </w:p>
        </w:tc>
        <w:tc>
          <w:tcPr>
            <w:tcW w:w="2640" w:type="dxa"/>
            <w:vAlign w:val="bottom"/>
            <w:gridSpan w:val="2"/>
          </w:tcPr>
          <w:p>
            <w:pPr>
              <w:ind w:left="20"/>
              <w:spacing w:after="0"/>
              <w:rPr>
                <w:sz w:val="20"/>
                <w:szCs w:val="20"/>
                <w:color w:val="auto"/>
              </w:rPr>
            </w:pPr>
            <w:r>
              <w:rPr>
                <w:rFonts w:ascii="Arial" w:cs="Arial" w:eastAsia="Arial" w:hAnsi="Arial"/>
                <w:sz w:val="12"/>
                <w:szCs w:val="12"/>
                <w:color w:val="auto"/>
              </w:rPr>
              <w:t xml:space="preserve">Earnings multiple </w:t>
            </w:r>
            <w:r>
              <w:rPr>
                <w:rFonts w:ascii="Arial" w:cs="Arial" w:eastAsia="Arial" w:hAnsi="Arial"/>
                <w:sz w:val="15"/>
                <w:szCs w:val="15"/>
                <w:color w:val="auto"/>
                <w:vertAlign w:val="superscript"/>
              </w:rPr>
              <w:t>(10)</w:t>
            </w:r>
          </w:p>
        </w:tc>
        <w:tc>
          <w:tcPr>
            <w:tcW w:w="1440" w:type="dxa"/>
            <w:vAlign w:val="bottom"/>
            <w:gridSpan w:val="3"/>
          </w:tcPr>
          <w:p>
            <w:pPr>
              <w:jc w:val="center"/>
              <w:ind w:right="200"/>
              <w:spacing w:after="0"/>
              <w:rPr>
                <w:sz w:val="20"/>
                <w:szCs w:val="20"/>
                <w:color w:val="auto"/>
              </w:rPr>
            </w:pPr>
            <w:r>
              <w:rPr>
                <w:rFonts w:ascii="Arial" w:cs="Arial" w:eastAsia="Arial" w:hAnsi="Arial"/>
                <w:sz w:val="12"/>
                <w:szCs w:val="12"/>
                <w:color w:val="auto"/>
              </w:rPr>
              <w:t>6.5x –7.0x</w:t>
            </w:r>
          </w:p>
        </w:tc>
        <w:tc>
          <w:tcPr>
            <w:tcW w:w="1240" w:type="dxa"/>
            <w:vAlign w:val="bottom"/>
          </w:tcPr>
          <w:p>
            <w:pPr>
              <w:jc w:val="center"/>
              <w:spacing w:after="0"/>
              <w:rPr>
                <w:sz w:val="20"/>
                <w:szCs w:val="20"/>
                <w:color w:val="auto"/>
              </w:rPr>
            </w:pPr>
            <w:r>
              <w:rPr>
                <w:rFonts w:ascii="Arial" w:cs="Arial" w:eastAsia="Arial" w:hAnsi="Arial"/>
                <w:sz w:val="12"/>
                <w:szCs w:val="12"/>
                <w:color w:val="auto"/>
                <w:w w:val="96"/>
              </w:rPr>
              <w:t>7.0x</w:t>
            </w:r>
          </w:p>
        </w:tc>
        <w:tc>
          <w:tcPr>
            <w:tcW w:w="0" w:type="dxa"/>
            <w:vAlign w:val="bottom"/>
          </w:tcPr>
          <w:p>
            <w:pPr>
              <w:spacing w:after="0"/>
              <w:rPr>
                <w:sz w:val="1"/>
                <w:szCs w:val="1"/>
                <w:color w:val="auto"/>
              </w:rPr>
            </w:pPr>
          </w:p>
        </w:tc>
      </w:tr>
      <w:tr>
        <w:trPr>
          <w:trHeight w:val="159"/>
        </w:trPr>
        <w:tc>
          <w:tcPr>
            <w:tcW w:w="2040" w:type="dxa"/>
            <w:vAlign w:val="bottom"/>
            <w:gridSpan w:val="2"/>
          </w:tcPr>
          <w:p>
            <w:pPr>
              <w:ind w:left="20"/>
              <w:spacing w:after="0"/>
              <w:rPr>
                <w:sz w:val="20"/>
                <w:szCs w:val="20"/>
                <w:color w:val="auto"/>
              </w:rPr>
            </w:pPr>
            <w:r>
              <w:rPr>
                <w:rFonts w:ascii="Arial" w:cs="Arial" w:eastAsia="Arial" w:hAnsi="Arial"/>
                <w:sz w:val="12"/>
                <w:szCs w:val="12"/>
                <w:color w:val="auto"/>
              </w:rPr>
              <w:t>Equity investments:</w:t>
            </w: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840" w:type="dxa"/>
            <w:vAlign w:val="bottom"/>
          </w:tcPr>
          <w:p>
            <w:pPr>
              <w:spacing w:after="0"/>
              <w:rPr>
                <w:sz w:val="13"/>
                <w:szCs w:val="13"/>
                <w:color w:val="auto"/>
              </w:rPr>
            </w:pPr>
          </w:p>
        </w:tc>
        <w:tc>
          <w:tcPr>
            <w:tcW w:w="2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6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202,057</w:t>
            </w:r>
          </w:p>
        </w:tc>
        <w:tc>
          <w:tcPr>
            <w:tcW w:w="2840" w:type="dxa"/>
            <w:vAlign w:val="bottom"/>
          </w:tcPr>
          <w:p>
            <w:pPr>
              <w:ind w:left="220"/>
              <w:spacing w:after="0" w:line="169" w:lineRule="exact"/>
              <w:rPr>
                <w:sz w:val="20"/>
                <w:szCs w:val="20"/>
                <w:color w:val="auto"/>
              </w:rPr>
            </w:pPr>
            <w:r>
              <w:rPr>
                <w:rFonts w:ascii="Arial" w:cs="Arial" w:eastAsia="Arial" w:hAnsi="Arial"/>
                <w:sz w:val="12"/>
                <w:szCs w:val="12"/>
                <w:color w:val="auto"/>
              </w:rPr>
              <w:t xml:space="preserve">Recent transaction price </w:t>
            </w:r>
            <w:r>
              <w:rPr>
                <w:rFonts w:ascii="Arial" w:cs="Arial" w:eastAsia="Arial" w:hAnsi="Arial"/>
                <w:sz w:val="15"/>
                <w:szCs w:val="15"/>
                <w:color w:val="auto"/>
                <w:vertAlign w:val="superscript"/>
              </w:rPr>
              <w:t>(4)</w:t>
            </w:r>
          </w:p>
        </w:tc>
        <w:tc>
          <w:tcPr>
            <w:tcW w:w="2640" w:type="dxa"/>
            <w:vAlign w:val="bottom"/>
            <w:gridSpan w:val="2"/>
          </w:tcPr>
          <w:p>
            <w:pPr>
              <w:ind w:left="20"/>
              <w:spacing w:after="0"/>
              <w:rPr>
                <w:sz w:val="20"/>
                <w:szCs w:val="20"/>
                <w:color w:val="auto"/>
              </w:rPr>
            </w:pPr>
            <w:r>
              <w:rPr>
                <w:rFonts w:ascii="Arial" w:cs="Arial" w:eastAsia="Arial" w:hAnsi="Arial"/>
                <w:sz w:val="12"/>
                <w:szCs w:val="12"/>
                <w:color w:val="auto"/>
              </w:rPr>
              <w:t>Quoted prices</w:t>
            </w:r>
          </w:p>
        </w:tc>
        <w:tc>
          <w:tcPr>
            <w:tcW w:w="1440" w:type="dxa"/>
            <w:vAlign w:val="bottom"/>
            <w:gridSpan w:val="3"/>
          </w:tcPr>
          <w:p>
            <w:pPr>
              <w:jc w:val="center"/>
              <w:ind w:right="200"/>
              <w:spacing w:after="0"/>
              <w:rPr>
                <w:sz w:val="20"/>
                <w:szCs w:val="20"/>
                <w:color w:val="auto"/>
              </w:rPr>
            </w:pPr>
            <w:r>
              <w:rPr>
                <w:rFonts w:ascii="Arial" w:cs="Arial" w:eastAsia="Arial" w:hAnsi="Arial"/>
                <w:sz w:val="12"/>
                <w:szCs w:val="12"/>
                <w:color w:val="auto"/>
                <w:w w:val="99"/>
              </w:rPr>
              <w:t>Not applicable</w:t>
            </w:r>
          </w:p>
        </w:tc>
        <w:tc>
          <w:tcPr>
            <w:tcW w:w="1240" w:type="dxa"/>
            <w:vAlign w:val="bottom"/>
          </w:tcPr>
          <w:p>
            <w:pPr>
              <w:jc w:val="center"/>
              <w:spacing w:after="0"/>
              <w:rPr>
                <w:sz w:val="20"/>
                <w:szCs w:val="20"/>
                <w:color w:val="auto"/>
              </w:rPr>
            </w:pPr>
            <w:r>
              <w:rPr>
                <w:rFonts w:ascii="Arial" w:cs="Arial" w:eastAsia="Arial" w:hAnsi="Arial"/>
                <w:sz w:val="12"/>
                <w:szCs w:val="12"/>
                <w:color w:val="auto"/>
                <w:w w:val="99"/>
              </w:rPr>
              <w:t>Not applicable</w:t>
            </w:r>
          </w:p>
        </w:tc>
        <w:tc>
          <w:tcPr>
            <w:tcW w:w="0" w:type="dxa"/>
            <w:vAlign w:val="bottom"/>
          </w:tcPr>
          <w:p>
            <w:pPr>
              <w:spacing w:after="0"/>
              <w:rPr>
                <w:sz w:val="1"/>
                <w:szCs w:val="1"/>
                <w:color w:val="auto"/>
              </w:rPr>
            </w:pPr>
          </w:p>
        </w:tc>
      </w:tr>
      <w:tr>
        <w:trPr>
          <w:trHeight w:val="168"/>
        </w:trPr>
        <w:tc>
          <w:tcPr>
            <w:tcW w:w="6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850,420</w:t>
            </w:r>
          </w:p>
        </w:tc>
        <w:tc>
          <w:tcPr>
            <w:tcW w:w="2840" w:type="dxa"/>
            <w:vAlign w:val="bottom"/>
          </w:tcPr>
          <w:p>
            <w:pPr>
              <w:ind w:left="220"/>
              <w:spacing w:after="0" w:line="168" w:lineRule="exact"/>
              <w:rPr>
                <w:sz w:val="20"/>
                <w:szCs w:val="20"/>
                <w:color w:val="auto"/>
              </w:rPr>
            </w:pPr>
            <w:r>
              <w:rPr>
                <w:rFonts w:ascii="Arial" w:cs="Arial" w:eastAsia="Arial" w:hAnsi="Arial"/>
                <w:sz w:val="12"/>
                <w:szCs w:val="12"/>
                <w:color w:val="auto"/>
              </w:rPr>
              <w:t xml:space="preserve">Market approach (comparable companies) </w:t>
            </w:r>
            <w:r>
              <w:rPr>
                <w:rFonts w:ascii="Arial" w:cs="Arial" w:eastAsia="Arial" w:hAnsi="Arial"/>
                <w:sz w:val="15"/>
                <w:szCs w:val="15"/>
                <w:color w:val="auto"/>
                <w:vertAlign w:val="superscript"/>
              </w:rPr>
              <w:t>(7)</w:t>
            </w:r>
          </w:p>
        </w:tc>
        <w:tc>
          <w:tcPr>
            <w:tcW w:w="2640" w:type="dxa"/>
            <w:vAlign w:val="bottom"/>
            <w:gridSpan w:val="2"/>
          </w:tcPr>
          <w:p>
            <w:pPr>
              <w:ind w:left="20"/>
              <w:spacing w:after="0" w:line="168" w:lineRule="exact"/>
              <w:rPr>
                <w:sz w:val="20"/>
                <w:szCs w:val="20"/>
                <w:color w:val="auto"/>
              </w:rPr>
            </w:pPr>
            <w:r>
              <w:rPr>
                <w:rFonts w:ascii="Arial" w:cs="Arial" w:eastAsia="Arial" w:hAnsi="Arial"/>
                <w:sz w:val="12"/>
                <w:szCs w:val="12"/>
                <w:color w:val="auto"/>
              </w:rPr>
              <w:t xml:space="preserve">Multiple of underlying assets </w:t>
            </w:r>
            <w:r>
              <w:rPr>
                <w:rFonts w:ascii="Arial" w:cs="Arial" w:eastAsia="Arial" w:hAnsi="Arial"/>
                <w:sz w:val="15"/>
                <w:szCs w:val="15"/>
                <w:color w:val="auto"/>
                <w:vertAlign w:val="superscript"/>
              </w:rPr>
              <w:t>(9)</w:t>
            </w:r>
          </w:p>
        </w:tc>
        <w:tc>
          <w:tcPr>
            <w:tcW w:w="580" w:type="dxa"/>
            <w:vAlign w:val="bottom"/>
          </w:tcPr>
          <w:p>
            <w:pPr>
              <w:jc w:val="right"/>
              <w:spacing w:after="0"/>
              <w:rPr>
                <w:sz w:val="20"/>
                <w:szCs w:val="20"/>
                <w:color w:val="auto"/>
              </w:rPr>
            </w:pPr>
            <w:r>
              <w:rPr>
                <w:rFonts w:ascii="Arial" w:cs="Arial" w:eastAsia="Arial" w:hAnsi="Arial"/>
                <w:sz w:val="12"/>
                <w:szCs w:val="12"/>
                <w:color w:val="auto"/>
              </w:rPr>
              <w:t>1.0x</w:t>
            </w:r>
          </w:p>
        </w:tc>
        <w:tc>
          <w:tcPr>
            <w:tcW w:w="860" w:type="dxa"/>
            <w:vAlign w:val="bottom"/>
            <w:gridSpan w:val="2"/>
          </w:tcPr>
          <w:p>
            <w:pPr>
              <w:spacing w:after="0"/>
              <w:rPr>
                <w:sz w:val="20"/>
                <w:szCs w:val="20"/>
                <w:color w:val="auto"/>
              </w:rPr>
            </w:pPr>
            <w:r>
              <w:rPr>
                <w:rFonts w:ascii="Arial" w:cs="Arial" w:eastAsia="Arial" w:hAnsi="Arial"/>
                <w:sz w:val="12"/>
                <w:szCs w:val="12"/>
                <w:color w:val="auto"/>
              </w:rPr>
              <w:t>– 1.0x</w:t>
            </w:r>
          </w:p>
        </w:tc>
        <w:tc>
          <w:tcPr>
            <w:tcW w:w="1240" w:type="dxa"/>
            <w:vAlign w:val="bottom"/>
          </w:tcPr>
          <w:p>
            <w:pPr>
              <w:jc w:val="center"/>
              <w:spacing w:after="0"/>
              <w:rPr>
                <w:sz w:val="20"/>
                <w:szCs w:val="20"/>
                <w:color w:val="auto"/>
              </w:rPr>
            </w:pPr>
            <w:r>
              <w:rPr>
                <w:rFonts w:ascii="Arial" w:cs="Arial" w:eastAsia="Arial" w:hAnsi="Arial"/>
                <w:sz w:val="12"/>
                <w:szCs w:val="12"/>
                <w:color w:val="auto"/>
                <w:w w:val="96"/>
              </w:rPr>
              <w:t>1.0x</w:t>
            </w:r>
          </w:p>
        </w:tc>
        <w:tc>
          <w:tcPr>
            <w:tcW w:w="0" w:type="dxa"/>
            <w:vAlign w:val="bottom"/>
          </w:tcPr>
          <w:p>
            <w:pPr>
              <w:spacing w:after="0"/>
              <w:rPr>
                <w:sz w:val="1"/>
                <w:szCs w:val="1"/>
                <w:color w:val="auto"/>
              </w:rPr>
            </w:pPr>
          </w:p>
        </w:tc>
      </w:tr>
      <w:tr>
        <w:trPr>
          <w:trHeight w:val="168"/>
        </w:trPr>
        <w:tc>
          <w:tcPr>
            <w:tcW w:w="6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458,953</w:t>
            </w:r>
          </w:p>
        </w:tc>
        <w:tc>
          <w:tcPr>
            <w:tcW w:w="2840" w:type="dxa"/>
            <w:vAlign w:val="bottom"/>
          </w:tcPr>
          <w:p>
            <w:pPr>
              <w:ind w:left="220"/>
              <w:spacing w:after="0" w:line="168" w:lineRule="exact"/>
              <w:rPr>
                <w:sz w:val="20"/>
                <w:szCs w:val="20"/>
                <w:color w:val="auto"/>
              </w:rPr>
            </w:pPr>
            <w:r>
              <w:rPr>
                <w:rFonts w:ascii="Arial" w:cs="Arial" w:eastAsia="Arial" w:hAnsi="Arial"/>
                <w:sz w:val="12"/>
                <w:szCs w:val="12"/>
                <w:color w:val="auto"/>
              </w:rPr>
              <w:t xml:space="preserve">Market approach (comparable companies) </w:t>
            </w:r>
            <w:r>
              <w:rPr>
                <w:rFonts w:ascii="Arial" w:cs="Arial" w:eastAsia="Arial" w:hAnsi="Arial"/>
                <w:sz w:val="15"/>
                <w:szCs w:val="15"/>
                <w:color w:val="auto"/>
                <w:vertAlign w:val="superscript"/>
              </w:rPr>
              <w:t>(7)</w:t>
            </w:r>
          </w:p>
        </w:tc>
        <w:tc>
          <w:tcPr>
            <w:tcW w:w="2640" w:type="dxa"/>
            <w:vAlign w:val="bottom"/>
            <w:gridSpan w:val="2"/>
          </w:tcPr>
          <w:p>
            <w:pPr>
              <w:ind w:left="20"/>
              <w:spacing w:after="0" w:line="168" w:lineRule="exact"/>
              <w:rPr>
                <w:sz w:val="20"/>
                <w:szCs w:val="20"/>
                <w:color w:val="auto"/>
              </w:rPr>
            </w:pPr>
            <w:r>
              <w:rPr>
                <w:rFonts w:ascii="Arial" w:cs="Arial" w:eastAsia="Arial" w:hAnsi="Arial"/>
                <w:sz w:val="12"/>
                <w:szCs w:val="12"/>
                <w:color w:val="auto"/>
              </w:rPr>
              <w:t xml:space="preserve">Earnings multiple </w:t>
            </w:r>
            <w:r>
              <w:rPr>
                <w:rFonts w:ascii="Arial" w:cs="Arial" w:eastAsia="Arial" w:hAnsi="Arial"/>
                <w:sz w:val="15"/>
                <w:szCs w:val="15"/>
                <w:color w:val="auto"/>
                <w:vertAlign w:val="superscript"/>
              </w:rPr>
              <w:t>(10)</w:t>
            </w:r>
          </w:p>
        </w:tc>
        <w:tc>
          <w:tcPr>
            <w:tcW w:w="1440" w:type="dxa"/>
            <w:vAlign w:val="bottom"/>
            <w:gridSpan w:val="3"/>
          </w:tcPr>
          <w:p>
            <w:pPr>
              <w:jc w:val="center"/>
              <w:ind w:right="200"/>
              <w:spacing w:after="0"/>
              <w:rPr>
                <w:sz w:val="20"/>
                <w:szCs w:val="20"/>
                <w:color w:val="auto"/>
              </w:rPr>
            </w:pPr>
            <w:r>
              <w:rPr>
                <w:rFonts w:ascii="Arial" w:cs="Arial" w:eastAsia="Arial" w:hAnsi="Arial"/>
                <w:sz w:val="12"/>
                <w:szCs w:val="12"/>
                <w:color w:val="auto"/>
                <w:w w:val="97"/>
              </w:rPr>
              <w:t>5.0x – 14.0x</w:t>
            </w:r>
          </w:p>
        </w:tc>
        <w:tc>
          <w:tcPr>
            <w:tcW w:w="1240" w:type="dxa"/>
            <w:vAlign w:val="bottom"/>
          </w:tcPr>
          <w:p>
            <w:pPr>
              <w:jc w:val="center"/>
              <w:spacing w:after="0"/>
              <w:rPr>
                <w:sz w:val="20"/>
                <w:szCs w:val="20"/>
                <w:color w:val="auto"/>
              </w:rPr>
            </w:pPr>
            <w:r>
              <w:rPr>
                <w:rFonts w:ascii="Arial" w:cs="Arial" w:eastAsia="Arial" w:hAnsi="Arial"/>
                <w:sz w:val="12"/>
                <w:szCs w:val="12"/>
                <w:color w:val="auto"/>
                <w:w w:val="96"/>
              </w:rPr>
              <w:t>9.6x</w:t>
            </w:r>
          </w:p>
        </w:tc>
        <w:tc>
          <w:tcPr>
            <w:tcW w:w="0" w:type="dxa"/>
            <w:vAlign w:val="bottom"/>
          </w:tcPr>
          <w:p>
            <w:pPr>
              <w:spacing w:after="0"/>
              <w:rPr>
                <w:sz w:val="1"/>
                <w:szCs w:val="1"/>
                <w:color w:val="auto"/>
              </w:rPr>
            </w:pPr>
          </w:p>
        </w:tc>
      </w:tr>
      <w:tr>
        <w:trPr>
          <w:trHeight w:val="175"/>
        </w:trPr>
        <w:tc>
          <w:tcPr>
            <w:tcW w:w="6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213,813</w:t>
            </w:r>
          </w:p>
        </w:tc>
        <w:tc>
          <w:tcPr>
            <w:tcW w:w="2840" w:type="dxa"/>
            <w:vAlign w:val="bottom"/>
          </w:tcPr>
          <w:p>
            <w:pPr>
              <w:ind w:left="220"/>
              <w:spacing w:after="0"/>
              <w:rPr>
                <w:sz w:val="20"/>
                <w:szCs w:val="20"/>
                <w:color w:val="auto"/>
              </w:rPr>
            </w:pPr>
            <w:r>
              <w:rPr>
                <w:rFonts w:ascii="Arial" w:cs="Arial" w:eastAsia="Arial" w:hAnsi="Arial"/>
                <w:sz w:val="12"/>
                <w:szCs w:val="12"/>
                <w:color w:val="auto"/>
              </w:rPr>
              <w:t xml:space="preserve">Discounted cash flow </w:t>
            </w:r>
            <w:r>
              <w:rPr>
                <w:rFonts w:ascii="Arial" w:cs="Arial" w:eastAsia="Arial" w:hAnsi="Arial"/>
                <w:sz w:val="15"/>
                <w:szCs w:val="15"/>
                <w:color w:val="auto"/>
                <w:vertAlign w:val="superscript"/>
              </w:rPr>
              <w:t>(6)</w:t>
            </w:r>
          </w:p>
        </w:tc>
        <w:tc>
          <w:tcPr>
            <w:tcW w:w="2640" w:type="dxa"/>
            <w:vAlign w:val="bottom"/>
            <w:gridSpan w:val="2"/>
          </w:tcPr>
          <w:p>
            <w:pPr>
              <w:ind w:left="20"/>
              <w:spacing w:after="0"/>
              <w:rPr>
                <w:sz w:val="20"/>
                <w:szCs w:val="20"/>
                <w:color w:val="auto"/>
              </w:rPr>
            </w:pPr>
            <w:r>
              <w:rPr>
                <w:rFonts w:ascii="Arial" w:cs="Arial" w:eastAsia="Arial" w:hAnsi="Arial"/>
                <w:sz w:val="12"/>
                <w:szCs w:val="12"/>
                <w:color w:val="auto"/>
              </w:rPr>
              <w:t>Discount rate</w:t>
            </w:r>
          </w:p>
        </w:tc>
        <w:tc>
          <w:tcPr>
            <w:tcW w:w="1440" w:type="dxa"/>
            <w:vAlign w:val="bottom"/>
            <w:gridSpan w:val="3"/>
          </w:tcPr>
          <w:p>
            <w:pPr>
              <w:jc w:val="center"/>
              <w:ind w:right="200"/>
              <w:spacing w:after="0"/>
              <w:rPr>
                <w:sz w:val="20"/>
                <w:szCs w:val="20"/>
                <w:color w:val="auto"/>
              </w:rPr>
            </w:pPr>
            <w:r>
              <w:rPr>
                <w:rFonts w:ascii="Arial" w:cs="Arial" w:eastAsia="Arial" w:hAnsi="Arial"/>
                <w:sz w:val="12"/>
                <w:szCs w:val="12"/>
                <w:color w:val="auto"/>
              </w:rPr>
              <w:t>4% – 18%</w:t>
            </w:r>
          </w:p>
        </w:tc>
        <w:tc>
          <w:tcPr>
            <w:tcW w:w="1240" w:type="dxa"/>
            <w:vAlign w:val="bottom"/>
          </w:tcPr>
          <w:p>
            <w:pPr>
              <w:jc w:val="center"/>
              <w:spacing w:after="0"/>
              <w:rPr>
                <w:sz w:val="20"/>
                <w:szCs w:val="20"/>
                <w:color w:val="auto"/>
              </w:rPr>
            </w:pPr>
            <w:r>
              <w:rPr>
                <w:rFonts w:ascii="Arial" w:cs="Arial" w:eastAsia="Arial" w:hAnsi="Arial"/>
                <w:sz w:val="12"/>
                <w:szCs w:val="12"/>
                <w:color w:val="auto"/>
                <w:w w:val="99"/>
              </w:rPr>
              <w:t>14%</w:t>
            </w:r>
          </w:p>
        </w:tc>
        <w:tc>
          <w:tcPr>
            <w:tcW w:w="0" w:type="dxa"/>
            <w:vAlign w:val="bottom"/>
          </w:tcPr>
          <w:p>
            <w:pPr>
              <w:spacing w:after="0"/>
              <w:rPr>
                <w:sz w:val="1"/>
                <w:szCs w:val="1"/>
                <w:color w:val="auto"/>
              </w:rPr>
            </w:pPr>
          </w:p>
        </w:tc>
      </w:tr>
      <w:tr>
        <w:trPr>
          <w:trHeight w:val="160"/>
        </w:trPr>
        <w:tc>
          <w:tcPr>
            <w:tcW w:w="6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vMerge w:val="restart"/>
          </w:tcPr>
          <w:p>
            <w:pPr>
              <w:jc w:val="right"/>
              <w:spacing w:after="0"/>
              <w:rPr>
                <w:sz w:val="20"/>
                <w:szCs w:val="20"/>
                <w:color w:val="auto"/>
              </w:rPr>
            </w:pPr>
            <w:r>
              <w:rPr>
                <w:rFonts w:ascii="Arial" w:cs="Arial" w:eastAsia="Arial" w:hAnsi="Arial"/>
                <w:sz w:val="12"/>
                <w:szCs w:val="12"/>
                <w:color w:val="auto"/>
              </w:rPr>
              <w:t>25,295</w:t>
            </w:r>
          </w:p>
        </w:tc>
        <w:tc>
          <w:tcPr>
            <w:tcW w:w="2840" w:type="dxa"/>
            <w:vAlign w:val="bottom"/>
          </w:tcPr>
          <w:p>
            <w:pPr>
              <w:ind w:left="220"/>
              <w:spacing w:after="0"/>
              <w:rPr>
                <w:sz w:val="20"/>
                <w:szCs w:val="20"/>
                <w:color w:val="auto"/>
              </w:rPr>
            </w:pPr>
            <w:r>
              <w:rPr>
                <w:rFonts w:ascii="Arial" w:cs="Arial" w:eastAsia="Arial" w:hAnsi="Arial"/>
                <w:sz w:val="12"/>
                <w:szCs w:val="12"/>
                <w:color w:val="auto"/>
              </w:rPr>
              <w:t xml:space="preserve">Discounted cash flow </w:t>
            </w:r>
            <w:r>
              <w:rPr>
                <w:rFonts w:ascii="Arial" w:cs="Arial" w:eastAsia="Arial" w:hAnsi="Arial"/>
                <w:sz w:val="6"/>
                <w:szCs w:val="6"/>
                <w:color w:val="auto"/>
              </w:rPr>
              <w:t>(6)</w:t>
            </w:r>
            <w:r>
              <w:rPr>
                <w:rFonts w:ascii="Arial" w:cs="Arial" w:eastAsia="Arial" w:hAnsi="Arial"/>
                <w:sz w:val="12"/>
                <w:szCs w:val="12"/>
                <w:color w:val="auto"/>
              </w:rPr>
              <w:t xml:space="preserve"> / market approach</w:t>
            </w:r>
          </w:p>
        </w:tc>
        <w:tc>
          <w:tcPr>
            <w:tcW w:w="2640" w:type="dxa"/>
            <w:vAlign w:val="bottom"/>
            <w:gridSpan w:val="2"/>
          </w:tcPr>
          <w:p>
            <w:pPr>
              <w:ind w:left="20"/>
              <w:spacing w:after="0"/>
              <w:rPr>
                <w:sz w:val="20"/>
                <w:szCs w:val="20"/>
                <w:color w:val="auto"/>
              </w:rPr>
            </w:pPr>
            <w:r>
              <w:rPr>
                <w:rFonts w:ascii="Arial" w:cs="Arial" w:eastAsia="Arial" w:hAnsi="Arial"/>
                <w:sz w:val="12"/>
                <w:szCs w:val="12"/>
                <w:color w:val="auto"/>
              </w:rPr>
              <w:t>Discount rate</w:t>
            </w:r>
          </w:p>
        </w:tc>
        <w:tc>
          <w:tcPr>
            <w:tcW w:w="580" w:type="dxa"/>
            <w:vAlign w:val="bottom"/>
          </w:tcPr>
          <w:p>
            <w:pPr>
              <w:jc w:val="right"/>
              <w:spacing w:after="0"/>
              <w:rPr>
                <w:sz w:val="20"/>
                <w:szCs w:val="20"/>
                <w:color w:val="auto"/>
              </w:rPr>
            </w:pPr>
            <w:r>
              <w:rPr>
                <w:rFonts w:ascii="Arial" w:cs="Arial" w:eastAsia="Arial" w:hAnsi="Arial"/>
                <w:sz w:val="12"/>
                <w:szCs w:val="12"/>
                <w:color w:val="auto"/>
              </w:rPr>
              <w:t>11%</w:t>
            </w:r>
          </w:p>
        </w:tc>
        <w:tc>
          <w:tcPr>
            <w:tcW w:w="860" w:type="dxa"/>
            <w:vAlign w:val="bottom"/>
            <w:gridSpan w:val="2"/>
          </w:tcPr>
          <w:p>
            <w:pPr>
              <w:spacing w:after="0"/>
              <w:rPr>
                <w:sz w:val="20"/>
                <w:szCs w:val="20"/>
                <w:color w:val="auto"/>
              </w:rPr>
            </w:pPr>
            <w:r>
              <w:rPr>
                <w:rFonts w:ascii="Arial" w:cs="Arial" w:eastAsia="Arial" w:hAnsi="Arial"/>
                <w:sz w:val="12"/>
                <w:szCs w:val="12"/>
                <w:color w:val="auto"/>
              </w:rPr>
              <w:t>– 11%</w:t>
            </w:r>
          </w:p>
        </w:tc>
        <w:tc>
          <w:tcPr>
            <w:tcW w:w="1240" w:type="dxa"/>
            <w:vAlign w:val="bottom"/>
          </w:tcPr>
          <w:p>
            <w:pPr>
              <w:jc w:val="center"/>
              <w:spacing w:after="0"/>
              <w:rPr>
                <w:sz w:val="20"/>
                <w:szCs w:val="20"/>
                <w:color w:val="auto"/>
              </w:rPr>
            </w:pPr>
            <w:r>
              <w:rPr>
                <w:rFonts w:ascii="Arial" w:cs="Arial" w:eastAsia="Arial" w:hAnsi="Arial"/>
                <w:sz w:val="12"/>
                <w:szCs w:val="12"/>
                <w:color w:val="auto"/>
                <w:w w:val="91"/>
              </w:rPr>
              <w:t>11%</w:t>
            </w:r>
          </w:p>
        </w:tc>
        <w:tc>
          <w:tcPr>
            <w:tcW w:w="0" w:type="dxa"/>
            <w:vAlign w:val="bottom"/>
          </w:tcPr>
          <w:p>
            <w:pPr>
              <w:spacing w:after="0"/>
              <w:rPr>
                <w:sz w:val="1"/>
                <w:szCs w:val="1"/>
                <w:color w:val="auto"/>
              </w:rPr>
            </w:pPr>
          </w:p>
        </w:tc>
      </w:tr>
      <w:tr>
        <w:trPr>
          <w:trHeight w:val="220"/>
        </w:trPr>
        <w:tc>
          <w:tcPr>
            <w:tcW w:w="6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vMerge w:val="continue"/>
          </w:tcPr>
          <w:p>
            <w:pPr>
              <w:spacing w:after="0"/>
              <w:rPr>
                <w:sz w:val="19"/>
                <w:szCs w:val="19"/>
                <w:color w:val="auto"/>
              </w:rPr>
            </w:pPr>
          </w:p>
        </w:tc>
        <w:tc>
          <w:tcPr>
            <w:tcW w:w="2840" w:type="dxa"/>
            <w:vAlign w:val="bottom"/>
          </w:tcPr>
          <w:p>
            <w:pPr>
              <w:ind w:left="220"/>
              <w:spacing w:after="0"/>
              <w:rPr>
                <w:sz w:val="20"/>
                <w:szCs w:val="20"/>
                <w:color w:val="auto"/>
              </w:rPr>
            </w:pPr>
            <w:r>
              <w:rPr>
                <w:rFonts w:ascii="Arial" w:cs="Arial" w:eastAsia="Arial" w:hAnsi="Arial"/>
                <w:sz w:val="12"/>
                <w:szCs w:val="12"/>
                <w:color w:val="auto"/>
              </w:rPr>
              <w:t xml:space="preserve">(comparable companies) </w:t>
            </w:r>
            <w:r>
              <w:rPr>
                <w:rFonts w:ascii="Arial" w:cs="Arial" w:eastAsia="Arial" w:hAnsi="Arial"/>
                <w:sz w:val="6"/>
                <w:szCs w:val="6"/>
                <w:color w:val="auto"/>
              </w:rPr>
              <w:t>(7)</w:t>
            </w:r>
          </w:p>
        </w:tc>
        <w:tc>
          <w:tcPr>
            <w:tcW w:w="2640" w:type="dxa"/>
            <w:vAlign w:val="bottom"/>
            <w:gridSpan w:val="2"/>
          </w:tcPr>
          <w:p>
            <w:pPr>
              <w:ind w:left="20"/>
              <w:spacing w:after="0"/>
              <w:rPr>
                <w:sz w:val="20"/>
                <w:szCs w:val="20"/>
                <w:color w:val="auto"/>
              </w:rPr>
            </w:pPr>
            <w:r>
              <w:rPr>
                <w:rFonts w:ascii="Arial" w:cs="Arial" w:eastAsia="Arial" w:hAnsi="Arial"/>
                <w:sz w:val="12"/>
                <w:szCs w:val="12"/>
                <w:color w:val="auto"/>
              </w:rPr>
              <w:t xml:space="preserve">Earnings multiple </w:t>
            </w:r>
            <w:r>
              <w:rPr>
                <w:rFonts w:ascii="Arial" w:cs="Arial" w:eastAsia="Arial" w:hAnsi="Arial"/>
                <w:sz w:val="15"/>
                <w:szCs w:val="15"/>
                <w:color w:val="auto"/>
                <w:vertAlign w:val="superscript"/>
              </w:rPr>
              <w:t>(10)</w:t>
            </w:r>
          </w:p>
        </w:tc>
        <w:tc>
          <w:tcPr>
            <w:tcW w:w="580" w:type="dxa"/>
            <w:vAlign w:val="bottom"/>
          </w:tcPr>
          <w:p>
            <w:pPr>
              <w:jc w:val="right"/>
              <w:spacing w:after="0"/>
              <w:rPr>
                <w:sz w:val="20"/>
                <w:szCs w:val="20"/>
                <w:color w:val="auto"/>
              </w:rPr>
            </w:pPr>
            <w:r>
              <w:rPr>
                <w:rFonts w:ascii="Arial" w:cs="Arial" w:eastAsia="Arial" w:hAnsi="Arial"/>
                <w:sz w:val="12"/>
                <w:szCs w:val="12"/>
                <w:color w:val="auto"/>
              </w:rPr>
              <w:t>10.0x</w:t>
            </w:r>
          </w:p>
        </w:tc>
        <w:tc>
          <w:tcPr>
            <w:tcW w:w="860" w:type="dxa"/>
            <w:vAlign w:val="bottom"/>
            <w:gridSpan w:val="2"/>
          </w:tcPr>
          <w:p>
            <w:pPr>
              <w:spacing w:after="0"/>
              <w:rPr>
                <w:sz w:val="20"/>
                <w:szCs w:val="20"/>
                <w:color w:val="auto"/>
              </w:rPr>
            </w:pPr>
            <w:r>
              <w:rPr>
                <w:rFonts w:ascii="Arial" w:cs="Arial" w:eastAsia="Arial" w:hAnsi="Arial"/>
                <w:sz w:val="12"/>
                <w:szCs w:val="12"/>
                <w:color w:val="auto"/>
              </w:rPr>
              <w:t>– 12.0x</w:t>
            </w:r>
          </w:p>
        </w:tc>
        <w:tc>
          <w:tcPr>
            <w:tcW w:w="1240" w:type="dxa"/>
            <w:vAlign w:val="bottom"/>
          </w:tcPr>
          <w:p>
            <w:pPr>
              <w:jc w:val="center"/>
              <w:spacing w:after="0"/>
              <w:rPr>
                <w:sz w:val="20"/>
                <w:szCs w:val="20"/>
                <w:color w:val="auto"/>
              </w:rPr>
            </w:pPr>
            <w:r>
              <w:rPr>
                <w:rFonts w:ascii="Arial" w:cs="Arial" w:eastAsia="Arial" w:hAnsi="Arial"/>
                <w:sz w:val="12"/>
                <w:szCs w:val="12"/>
                <w:color w:val="auto"/>
                <w:w w:val="95"/>
              </w:rPr>
              <w:t>11.0x</w:t>
            </w:r>
          </w:p>
        </w:tc>
        <w:tc>
          <w:tcPr>
            <w:tcW w:w="0" w:type="dxa"/>
            <w:vAlign w:val="bottom"/>
          </w:tcPr>
          <w:p>
            <w:pPr>
              <w:spacing w:after="0"/>
              <w:rPr>
                <w:sz w:val="1"/>
                <w:szCs w:val="1"/>
                <w:color w:val="auto"/>
              </w:rPr>
            </w:pPr>
          </w:p>
        </w:tc>
      </w:tr>
      <w:tr>
        <w:trPr>
          <w:trHeight w:val="168"/>
        </w:trPr>
        <w:tc>
          <w:tcPr>
            <w:tcW w:w="6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26,445</w:t>
            </w:r>
          </w:p>
        </w:tc>
        <w:tc>
          <w:tcPr>
            <w:tcW w:w="2840" w:type="dxa"/>
            <w:vAlign w:val="bottom"/>
          </w:tcPr>
          <w:p>
            <w:pPr>
              <w:ind w:left="220"/>
              <w:spacing w:after="0" w:line="168" w:lineRule="exact"/>
              <w:rPr>
                <w:sz w:val="20"/>
                <w:szCs w:val="20"/>
                <w:color w:val="auto"/>
              </w:rPr>
            </w:pPr>
            <w:r>
              <w:rPr>
                <w:rFonts w:ascii="Arial" w:cs="Arial" w:eastAsia="Arial" w:hAnsi="Arial"/>
                <w:sz w:val="12"/>
                <w:szCs w:val="12"/>
                <w:color w:val="auto"/>
              </w:rPr>
              <w:t xml:space="preserve">Market approach (comparable companies) </w:t>
            </w:r>
            <w:r>
              <w:rPr>
                <w:rFonts w:ascii="Arial" w:cs="Arial" w:eastAsia="Arial" w:hAnsi="Arial"/>
                <w:sz w:val="15"/>
                <w:szCs w:val="15"/>
                <w:color w:val="auto"/>
                <w:vertAlign w:val="superscript"/>
              </w:rPr>
              <w:t>(7)</w:t>
            </w:r>
          </w:p>
        </w:tc>
        <w:tc>
          <w:tcPr>
            <w:tcW w:w="2640" w:type="dxa"/>
            <w:vAlign w:val="bottom"/>
            <w:gridSpan w:val="2"/>
          </w:tcPr>
          <w:p>
            <w:pPr>
              <w:ind w:left="20"/>
              <w:spacing w:after="0" w:line="168" w:lineRule="exact"/>
              <w:rPr>
                <w:sz w:val="20"/>
                <w:szCs w:val="20"/>
                <w:color w:val="auto"/>
              </w:rPr>
            </w:pPr>
            <w:r>
              <w:rPr>
                <w:rFonts w:ascii="Arial" w:cs="Arial" w:eastAsia="Arial" w:hAnsi="Arial"/>
                <w:sz w:val="12"/>
                <w:szCs w:val="12"/>
                <w:color w:val="auto"/>
              </w:rPr>
              <w:t xml:space="preserve">Revenue multiple </w:t>
            </w:r>
            <w:r>
              <w:rPr>
                <w:rFonts w:ascii="Arial" w:cs="Arial" w:eastAsia="Arial" w:hAnsi="Arial"/>
                <w:sz w:val="15"/>
                <w:szCs w:val="15"/>
                <w:color w:val="auto"/>
                <w:vertAlign w:val="superscript"/>
              </w:rPr>
              <w:t>(8)</w:t>
            </w:r>
          </w:p>
        </w:tc>
        <w:tc>
          <w:tcPr>
            <w:tcW w:w="580" w:type="dxa"/>
            <w:vAlign w:val="bottom"/>
          </w:tcPr>
          <w:p>
            <w:pPr>
              <w:jc w:val="right"/>
              <w:spacing w:after="0"/>
              <w:rPr>
                <w:sz w:val="20"/>
                <w:szCs w:val="20"/>
                <w:color w:val="auto"/>
              </w:rPr>
            </w:pPr>
            <w:r>
              <w:rPr>
                <w:rFonts w:ascii="Arial" w:cs="Arial" w:eastAsia="Arial" w:hAnsi="Arial"/>
                <w:sz w:val="12"/>
                <w:szCs w:val="12"/>
                <w:color w:val="auto"/>
              </w:rPr>
              <w:t>1.0x</w:t>
            </w:r>
          </w:p>
        </w:tc>
        <w:tc>
          <w:tcPr>
            <w:tcW w:w="860" w:type="dxa"/>
            <w:vAlign w:val="bottom"/>
            <w:gridSpan w:val="2"/>
          </w:tcPr>
          <w:p>
            <w:pPr>
              <w:spacing w:after="0"/>
              <w:rPr>
                <w:sz w:val="20"/>
                <w:szCs w:val="20"/>
                <w:color w:val="auto"/>
              </w:rPr>
            </w:pPr>
            <w:r>
              <w:rPr>
                <w:rFonts w:ascii="Arial" w:cs="Arial" w:eastAsia="Arial" w:hAnsi="Arial"/>
                <w:sz w:val="12"/>
                <w:szCs w:val="12"/>
                <w:color w:val="auto"/>
              </w:rPr>
              <w:t>– 2.1x</w:t>
            </w:r>
          </w:p>
        </w:tc>
        <w:tc>
          <w:tcPr>
            <w:tcW w:w="1240" w:type="dxa"/>
            <w:vAlign w:val="bottom"/>
          </w:tcPr>
          <w:p>
            <w:pPr>
              <w:jc w:val="center"/>
              <w:spacing w:after="0"/>
              <w:rPr>
                <w:sz w:val="20"/>
                <w:szCs w:val="20"/>
                <w:color w:val="auto"/>
              </w:rPr>
            </w:pPr>
            <w:r>
              <w:rPr>
                <w:rFonts w:ascii="Arial" w:cs="Arial" w:eastAsia="Arial" w:hAnsi="Arial"/>
                <w:sz w:val="12"/>
                <w:szCs w:val="12"/>
                <w:color w:val="auto"/>
                <w:w w:val="96"/>
              </w:rPr>
              <w:t>1.2x</w:t>
            </w:r>
          </w:p>
        </w:tc>
        <w:tc>
          <w:tcPr>
            <w:tcW w:w="0" w:type="dxa"/>
            <w:vAlign w:val="bottom"/>
          </w:tcPr>
          <w:p>
            <w:pPr>
              <w:spacing w:after="0"/>
              <w:rPr>
                <w:sz w:val="1"/>
                <w:szCs w:val="1"/>
                <w:color w:val="auto"/>
              </w:rPr>
            </w:pPr>
          </w:p>
        </w:tc>
      </w:tr>
      <w:tr>
        <w:trPr>
          <w:trHeight w:val="168"/>
        </w:trPr>
        <w:tc>
          <w:tcPr>
            <w:tcW w:w="6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5,979</w:t>
            </w:r>
          </w:p>
        </w:tc>
        <w:tc>
          <w:tcPr>
            <w:tcW w:w="2840" w:type="dxa"/>
            <w:vAlign w:val="bottom"/>
          </w:tcPr>
          <w:p>
            <w:pPr>
              <w:ind w:left="220"/>
              <w:spacing w:after="0" w:line="168" w:lineRule="exact"/>
              <w:rPr>
                <w:sz w:val="20"/>
                <w:szCs w:val="20"/>
                <w:color w:val="auto"/>
              </w:rPr>
            </w:pPr>
            <w:r>
              <w:rPr>
                <w:rFonts w:ascii="Arial" w:cs="Arial" w:eastAsia="Arial" w:hAnsi="Arial"/>
                <w:sz w:val="12"/>
                <w:szCs w:val="12"/>
                <w:color w:val="auto"/>
              </w:rPr>
              <w:t xml:space="preserve">Recent market information </w:t>
            </w:r>
            <w:r>
              <w:rPr>
                <w:rFonts w:ascii="Arial" w:cs="Arial" w:eastAsia="Arial" w:hAnsi="Arial"/>
                <w:sz w:val="15"/>
                <w:szCs w:val="15"/>
                <w:color w:val="auto"/>
                <w:vertAlign w:val="superscript"/>
              </w:rPr>
              <w:t>(5)</w:t>
            </w:r>
          </w:p>
        </w:tc>
        <w:tc>
          <w:tcPr>
            <w:tcW w:w="2640" w:type="dxa"/>
            <w:vAlign w:val="bottom"/>
            <w:gridSpan w:val="2"/>
          </w:tcPr>
          <w:p>
            <w:pPr>
              <w:ind w:left="20"/>
              <w:spacing w:after="0"/>
              <w:rPr>
                <w:sz w:val="20"/>
                <w:szCs w:val="20"/>
                <w:color w:val="auto"/>
              </w:rPr>
            </w:pPr>
            <w:r>
              <w:rPr>
                <w:rFonts w:ascii="Arial" w:cs="Arial" w:eastAsia="Arial" w:hAnsi="Arial"/>
                <w:sz w:val="12"/>
                <w:szCs w:val="12"/>
                <w:color w:val="auto"/>
              </w:rPr>
              <w:t>Quoted prices</w:t>
            </w:r>
          </w:p>
        </w:tc>
        <w:tc>
          <w:tcPr>
            <w:tcW w:w="1440" w:type="dxa"/>
            <w:vAlign w:val="bottom"/>
            <w:gridSpan w:val="3"/>
          </w:tcPr>
          <w:p>
            <w:pPr>
              <w:jc w:val="center"/>
              <w:ind w:right="200"/>
              <w:spacing w:after="0"/>
              <w:rPr>
                <w:sz w:val="20"/>
                <w:szCs w:val="20"/>
                <w:color w:val="auto"/>
              </w:rPr>
            </w:pPr>
            <w:r>
              <w:rPr>
                <w:rFonts w:ascii="Arial" w:cs="Arial" w:eastAsia="Arial" w:hAnsi="Arial"/>
                <w:sz w:val="12"/>
                <w:szCs w:val="12"/>
                <w:color w:val="auto"/>
                <w:w w:val="99"/>
              </w:rPr>
              <w:t>Not applicable</w:t>
            </w:r>
          </w:p>
        </w:tc>
        <w:tc>
          <w:tcPr>
            <w:tcW w:w="1240" w:type="dxa"/>
            <w:vAlign w:val="bottom"/>
          </w:tcPr>
          <w:p>
            <w:pPr>
              <w:jc w:val="center"/>
              <w:spacing w:after="0"/>
              <w:rPr>
                <w:sz w:val="20"/>
                <w:szCs w:val="20"/>
                <w:color w:val="auto"/>
              </w:rPr>
            </w:pPr>
            <w:r>
              <w:rPr>
                <w:rFonts w:ascii="Arial" w:cs="Arial" w:eastAsia="Arial" w:hAnsi="Arial"/>
                <w:sz w:val="12"/>
                <w:szCs w:val="12"/>
                <w:color w:val="auto"/>
                <w:w w:val="99"/>
              </w:rPr>
              <w:t>Not applicable</w:t>
            </w:r>
          </w:p>
        </w:tc>
        <w:tc>
          <w:tcPr>
            <w:tcW w:w="0" w:type="dxa"/>
            <w:vAlign w:val="bottom"/>
          </w:tcPr>
          <w:p>
            <w:pPr>
              <w:spacing w:after="0"/>
              <w:rPr>
                <w:sz w:val="1"/>
                <w:szCs w:val="1"/>
                <w:color w:val="auto"/>
              </w:rPr>
            </w:pPr>
          </w:p>
        </w:tc>
      </w:tr>
      <w:tr>
        <w:trPr>
          <w:trHeight w:val="168"/>
        </w:trPr>
        <w:tc>
          <w:tcPr>
            <w:tcW w:w="6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8,903</w:t>
            </w:r>
          </w:p>
        </w:tc>
        <w:tc>
          <w:tcPr>
            <w:tcW w:w="2840" w:type="dxa"/>
            <w:vAlign w:val="bottom"/>
          </w:tcPr>
          <w:p>
            <w:pPr>
              <w:ind w:left="220"/>
              <w:spacing w:after="0" w:line="168" w:lineRule="exact"/>
              <w:rPr>
                <w:sz w:val="20"/>
                <w:szCs w:val="20"/>
                <w:color w:val="auto"/>
              </w:rPr>
            </w:pPr>
            <w:r>
              <w:rPr>
                <w:rFonts w:ascii="Arial" w:cs="Arial" w:eastAsia="Arial" w:hAnsi="Arial"/>
                <w:sz w:val="12"/>
                <w:szCs w:val="12"/>
                <w:color w:val="auto"/>
              </w:rPr>
              <w:t xml:space="preserve">Expected Recovery </w:t>
            </w:r>
            <w:r>
              <w:rPr>
                <w:rFonts w:ascii="Arial" w:cs="Arial" w:eastAsia="Arial" w:hAnsi="Arial"/>
                <w:sz w:val="15"/>
                <w:szCs w:val="15"/>
                <w:color w:val="auto"/>
                <w:vertAlign w:val="superscript"/>
              </w:rPr>
              <w:t>(11)</w:t>
            </w:r>
          </w:p>
        </w:tc>
        <w:tc>
          <w:tcPr>
            <w:tcW w:w="2640" w:type="dxa"/>
            <w:vAlign w:val="bottom"/>
            <w:gridSpan w:val="2"/>
          </w:tcPr>
          <w:p>
            <w:pPr>
              <w:ind w:left="20"/>
              <w:spacing w:after="0"/>
              <w:rPr>
                <w:sz w:val="20"/>
                <w:szCs w:val="20"/>
                <w:color w:val="auto"/>
              </w:rPr>
            </w:pPr>
            <w:r>
              <w:rPr>
                <w:rFonts w:ascii="Arial" w:cs="Arial" w:eastAsia="Arial" w:hAnsi="Arial"/>
                <w:sz w:val="12"/>
                <w:szCs w:val="12"/>
                <w:color w:val="auto"/>
              </w:rPr>
              <w:t>Not applicable</w:t>
            </w:r>
          </w:p>
        </w:tc>
        <w:tc>
          <w:tcPr>
            <w:tcW w:w="1440" w:type="dxa"/>
            <w:vAlign w:val="bottom"/>
            <w:gridSpan w:val="3"/>
          </w:tcPr>
          <w:p>
            <w:pPr>
              <w:jc w:val="center"/>
              <w:ind w:right="200"/>
              <w:spacing w:after="0"/>
              <w:rPr>
                <w:sz w:val="20"/>
                <w:szCs w:val="20"/>
                <w:color w:val="auto"/>
              </w:rPr>
            </w:pPr>
            <w:r>
              <w:rPr>
                <w:rFonts w:ascii="Arial" w:cs="Arial" w:eastAsia="Arial" w:hAnsi="Arial"/>
                <w:sz w:val="12"/>
                <w:szCs w:val="12"/>
                <w:color w:val="auto"/>
                <w:w w:val="99"/>
              </w:rPr>
              <w:t>Not applicable</w:t>
            </w:r>
          </w:p>
        </w:tc>
        <w:tc>
          <w:tcPr>
            <w:tcW w:w="1240" w:type="dxa"/>
            <w:vAlign w:val="bottom"/>
          </w:tcPr>
          <w:p>
            <w:pPr>
              <w:jc w:val="center"/>
              <w:spacing w:after="0"/>
              <w:rPr>
                <w:sz w:val="20"/>
                <w:szCs w:val="20"/>
                <w:color w:val="auto"/>
              </w:rPr>
            </w:pPr>
            <w:r>
              <w:rPr>
                <w:rFonts w:ascii="Arial" w:cs="Arial" w:eastAsia="Arial" w:hAnsi="Arial"/>
                <w:sz w:val="12"/>
                <w:szCs w:val="12"/>
                <w:color w:val="auto"/>
                <w:w w:val="99"/>
              </w:rPr>
              <w:t>Not applicable</w:t>
            </w:r>
          </w:p>
        </w:tc>
        <w:tc>
          <w:tcPr>
            <w:tcW w:w="0" w:type="dxa"/>
            <w:vAlign w:val="bottom"/>
          </w:tcPr>
          <w:p>
            <w:pPr>
              <w:spacing w:after="0"/>
              <w:rPr>
                <w:sz w:val="1"/>
                <w:szCs w:val="1"/>
                <w:color w:val="auto"/>
              </w:rPr>
            </w:pPr>
          </w:p>
        </w:tc>
      </w:tr>
      <w:tr>
        <w:trPr>
          <w:trHeight w:val="175"/>
        </w:trPr>
        <w:tc>
          <w:tcPr>
            <w:tcW w:w="6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1,299</w:t>
            </w:r>
          </w:p>
        </w:tc>
        <w:tc>
          <w:tcPr>
            <w:tcW w:w="2840" w:type="dxa"/>
            <w:vAlign w:val="bottom"/>
          </w:tcPr>
          <w:p>
            <w:pPr>
              <w:ind w:left="220"/>
              <w:spacing w:after="0"/>
              <w:rPr>
                <w:sz w:val="20"/>
                <w:szCs w:val="20"/>
                <w:color w:val="auto"/>
              </w:rPr>
            </w:pPr>
            <w:r>
              <w:rPr>
                <w:rFonts w:ascii="Arial" w:cs="Arial" w:eastAsia="Arial" w:hAnsi="Arial"/>
                <w:sz w:val="12"/>
                <w:szCs w:val="12"/>
                <w:color w:val="auto"/>
              </w:rPr>
              <w:t xml:space="preserve">Black Scholes </w:t>
            </w:r>
            <w:r>
              <w:rPr>
                <w:rFonts w:ascii="Arial" w:cs="Arial" w:eastAsia="Arial" w:hAnsi="Arial"/>
                <w:sz w:val="15"/>
                <w:szCs w:val="15"/>
                <w:color w:val="auto"/>
                <w:vertAlign w:val="superscript"/>
              </w:rPr>
              <w:t>(12)</w:t>
            </w:r>
          </w:p>
        </w:tc>
        <w:tc>
          <w:tcPr>
            <w:tcW w:w="2640" w:type="dxa"/>
            <w:vAlign w:val="bottom"/>
            <w:gridSpan w:val="2"/>
          </w:tcPr>
          <w:p>
            <w:pPr>
              <w:ind w:left="20"/>
              <w:spacing w:after="0"/>
              <w:rPr>
                <w:sz w:val="20"/>
                <w:szCs w:val="20"/>
                <w:color w:val="auto"/>
              </w:rPr>
            </w:pPr>
            <w:r>
              <w:rPr>
                <w:rFonts w:ascii="Arial" w:cs="Arial" w:eastAsia="Arial" w:hAnsi="Arial"/>
                <w:sz w:val="12"/>
                <w:szCs w:val="12"/>
                <w:color w:val="auto"/>
              </w:rPr>
              <w:t>Not applicable</w:t>
            </w:r>
          </w:p>
        </w:tc>
        <w:tc>
          <w:tcPr>
            <w:tcW w:w="1440" w:type="dxa"/>
            <w:vAlign w:val="bottom"/>
            <w:gridSpan w:val="3"/>
          </w:tcPr>
          <w:p>
            <w:pPr>
              <w:jc w:val="center"/>
              <w:ind w:right="200"/>
              <w:spacing w:after="0"/>
              <w:rPr>
                <w:sz w:val="20"/>
                <w:szCs w:val="20"/>
                <w:color w:val="auto"/>
              </w:rPr>
            </w:pPr>
            <w:r>
              <w:rPr>
                <w:rFonts w:ascii="Arial" w:cs="Arial" w:eastAsia="Arial" w:hAnsi="Arial"/>
                <w:sz w:val="12"/>
                <w:szCs w:val="12"/>
                <w:color w:val="auto"/>
                <w:w w:val="99"/>
              </w:rPr>
              <w:t>Not applicable</w:t>
            </w:r>
          </w:p>
        </w:tc>
        <w:tc>
          <w:tcPr>
            <w:tcW w:w="1240" w:type="dxa"/>
            <w:vAlign w:val="bottom"/>
          </w:tcPr>
          <w:p>
            <w:pPr>
              <w:jc w:val="center"/>
              <w:spacing w:after="0"/>
              <w:rPr>
                <w:sz w:val="20"/>
                <w:szCs w:val="20"/>
                <w:color w:val="auto"/>
              </w:rPr>
            </w:pPr>
            <w:r>
              <w:rPr>
                <w:rFonts w:ascii="Arial" w:cs="Arial" w:eastAsia="Arial" w:hAnsi="Arial"/>
                <w:sz w:val="12"/>
                <w:szCs w:val="12"/>
                <w:color w:val="auto"/>
                <w:w w:val="99"/>
              </w:rPr>
              <w:t>Not applicable</w:t>
            </w:r>
          </w:p>
        </w:tc>
        <w:tc>
          <w:tcPr>
            <w:tcW w:w="0" w:type="dxa"/>
            <w:vAlign w:val="bottom"/>
          </w:tcPr>
          <w:p>
            <w:pPr>
              <w:spacing w:after="0"/>
              <w:rPr>
                <w:sz w:val="1"/>
                <w:szCs w:val="1"/>
                <w:color w:val="auto"/>
              </w:rPr>
            </w:pPr>
          </w:p>
        </w:tc>
      </w:tr>
      <w:tr>
        <w:trPr>
          <w:trHeight w:val="159"/>
        </w:trPr>
        <w:tc>
          <w:tcPr>
            <w:tcW w:w="2040" w:type="dxa"/>
            <w:vAlign w:val="bottom"/>
            <w:gridSpan w:val="2"/>
          </w:tcPr>
          <w:p>
            <w:pPr>
              <w:ind w:left="20"/>
              <w:spacing w:after="0"/>
              <w:rPr>
                <w:sz w:val="20"/>
                <w:szCs w:val="20"/>
                <w:color w:val="auto"/>
              </w:rPr>
            </w:pPr>
            <w:r>
              <w:rPr>
                <w:rFonts w:ascii="Arial" w:cs="Arial" w:eastAsia="Arial" w:hAnsi="Arial"/>
                <w:sz w:val="12"/>
                <w:szCs w:val="12"/>
                <w:color w:val="auto"/>
              </w:rPr>
              <w:t>Real estate-oriented:</w:t>
            </w: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840" w:type="dxa"/>
            <w:vAlign w:val="bottom"/>
          </w:tcPr>
          <w:p>
            <w:pPr>
              <w:spacing w:after="0"/>
              <w:rPr>
                <w:sz w:val="13"/>
                <w:szCs w:val="13"/>
                <w:color w:val="auto"/>
              </w:rPr>
            </w:pPr>
          </w:p>
        </w:tc>
        <w:tc>
          <w:tcPr>
            <w:tcW w:w="2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6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206,181</w:t>
            </w:r>
          </w:p>
        </w:tc>
        <w:tc>
          <w:tcPr>
            <w:tcW w:w="2840" w:type="dxa"/>
            <w:vAlign w:val="bottom"/>
          </w:tcPr>
          <w:p>
            <w:pPr>
              <w:ind w:left="220"/>
              <w:spacing w:after="0"/>
              <w:rPr>
                <w:sz w:val="20"/>
                <w:szCs w:val="20"/>
                <w:color w:val="auto"/>
              </w:rPr>
            </w:pPr>
            <w:r>
              <w:rPr>
                <w:rFonts w:ascii="Arial" w:cs="Arial" w:eastAsia="Arial" w:hAnsi="Arial"/>
                <w:sz w:val="12"/>
                <w:szCs w:val="12"/>
                <w:color w:val="auto"/>
              </w:rPr>
              <w:t xml:space="preserve">Discounted cash flow </w:t>
            </w:r>
            <w:r>
              <w:rPr>
                <w:rFonts w:ascii="Arial" w:cs="Arial" w:eastAsia="Arial" w:hAnsi="Arial"/>
                <w:sz w:val="15"/>
                <w:szCs w:val="15"/>
                <w:color w:val="auto"/>
                <w:vertAlign w:val="superscript"/>
              </w:rPr>
              <w:t>(6)</w:t>
            </w:r>
          </w:p>
        </w:tc>
        <w:tc>
          <w:tcPr>
            <w:tcW w:w="2640" w:type="dxa"/>
            <w:vAlign w:val="bottom"/>
            <w:gridSpan w:val="2"/>
          </w:tcPr>
          <w:p>
            <w:pPr>
              <w:ind w:left="20"/>
              <w:spacing w:after="0"/>
              <w:rPr>
                <w:sz w:val="20"/>
                <w:szCs w:val="20"/>
                <w:color w:val="auto"/>
              </w:rPr>
            </w:pPr>
            <w:r>
              <w:rPr>
                <w:rFonts w:ascii="Arial" w:cs="Arial" w:eastAsia="Arial" w:hAnsi="Arial"/>
                <w:sz w:val="12"/>
                <w:szCs w:val="12"/>
                <w:color w:val="auto"/>
              </w:rPr>
              <w:t>Discount rate</w:t>
            </w:r>
          </w:p>
        </w:tc>
        <w:tc>
          <w:tcPr>
            <w:tcW w:w="1440" w:type="dxa"/>
            <w:vAlign w:val="bottom"/>
            <w:gridSpan w:val="3"/>
          </w:tcPr>
          <w:p>
            <w:pPr>
              <w:jc w:val="center"/>
              <w:ind w:right="200"/>
              <w:spacing w:after="0"/>
              <w:rPr>
                <w:sz w:val="20"/>
                <w:szCs w:val="20"/>
                <w:color w:val="auto"/>
              </w:rPr>
            </w:pPr>
            <w:r>
              <w:rPr>
                <w:rFonts w:ascii="Arial" w:cs="Arial" w:eastAsia="Arial" w:hAnsi="Arial"/>
                <w:sz w:val="12"/>
                <w:szCs w:val="12"/>
                <w:color w:val="auto"/>
              </w:rPr>
              <w:t>4% – 26%</w:t>
            </w:r>
          </w:p>
        </w:tc>
        <w:tc>
          <w:tcPr>
            <w:tcW w:w="1240" w:type="dxa"/>
            <w:vAlign w:val="bottom"/>
          </w:tcPr>
          <w:p>
            <w:pPr>
              <w:jc w:val="center"/>
              <w:spacing w:after="0"/>
              <w:rPr>
                <w:sz w:val="20"/>
                <w:szCs w:val="20"/>
                <w:color w:val="auto"/>
              </w:rPr>
            </w:pPr>
            <w:r>
              <w:rPr>
                <w:rFonts w:ascii="Arial" w:cs="Arial" w:eastAsia="Arial" w:hAnsi="Arial"/>
                <w:sz w:val="12"/>
                <w:szCs w:val="12"/>
                <w:color w:val="auto"/>
                <w:w w:val="99"/>
              </w:rPr>
              <w:t>15%</w:t>
            </w:r>
          </w:p>
        </w:tc>
        <w:tc>
          <w:tcPr>
            <w:tcW w:w="0" w:type="dxa"/>
            <w:vAlign w:val="bottom"/>
          </w:tcPr>
          <w:p>
            <w:pPr>
              <w:spacing w:after="0"/>
              <w:rPr>
                <w:sz w:val="1"/>
                <w:szCs w:val="1"/>
                <w:color w:val="auto"/>
              </w:rPr>
            </w:pPr>
          </w:p>
        </w:tc>
      </w:tr>
      <w:tr>
        <w:trPr>
          <w:trHeight w:val="96"/>
        </w:trPr>
        <w:tc>
          <w:tcPr>
            <w:tcW w:w="2040" w:type="dxa"/>
            <w:vAlign w:val="bottom"/>
            <w:gridSpan w:val="2"/>
          </w:tcPr>
          <w:p>
            <w:pPr>
              <w:ind w:left="20"/>
              <w:spacing w:after="0" w:line="96" w:lineRule="exact"/>
              <w:rPr>
                <w:sz w:val="20"/>
                <w:szCs w:val="20"/>
                <w:color w:val="auto"/>
              </w:rPr>
            </w:pPr>
            <w:r>
              <w:rPr>
                <w:rFonts w:ascii="Arial" w:cs="Arial" w:eastAsia="Arial" w:hAnsi="Arial"/>
                <w:sz w:val="11"/>
                <w:szCs w:val="11"/>
                <w:color w:val="auto"/>
              </w:rPr>
              <w:t>Total Level III</w:t>
            </w:r>
          </w:p>
        </w:tc>
        <w:tc>
          <w:tcPr>
            <w:tcW w:w="160" w:type="dxa"/>
            <w:vAlign w:val="bottom"/>
            <w:vMerge w:val="restart"/>
          </w:tcPr>
          <w:p>
            <w:pPr>
              <w:jc w:val="right"/>
              <w:ind w:right="20"/>
              <w:spacing w:after="0"/>
              <w:rPr>
                <w:sz w:val="20"/>
                <w:szCs w:val="20"/>
                <w:color w:val="auto"/>
              </w:rPr>
            </w:pPr>
            <w:r>
              <w:rPr>
                <w:rFonts w:ascii="Arial" w:cs="Arial" w:eastAsia="Arial" w:hAnsi="Arial"/>
                <w:sz w:val="12"/>
                <w:szCs w:val="12"/>
                <w:color w:val="auto"/>
                <w:w w:val="89"/>
              </w:rPr>
              <w:t>$</w:t>
            </w:r>
          </w:p>
        </w:tc>
        <w:tc>
          <w:tcPr>
            <w:tcW w:w="880" w:type="dxa"/>
            <w:vAlign w:val="bottom"/>
            <w:vMerge w:val="restart"/>
          </w:tcPr>
          <w:p>
            <w:pPr>
              <w:jc w:val="right"/>
              <w:spacing w:after="0"/>
              <w:rPr>
                <w:sz w:val="20"/>
                <w:szCs w:val="20"/>
                <w:color w:val="auto"/>
              </w:rPr>
            </w:pPr>
            <w:r>
              <w:rPr>
                <w:rFonts w:ascii="Arial" w:cs="Arial" w:eastAsia="Arial" w:hAnsi="Arial"/>
                <w:sz w:val="12"/>
                <w:szCs w:val="12"/>
                <w:color w:val="auto"/>
              </w:rPr>
              <w:t>4,062,983</w:t>
            </w:r>
          </w:p>
        </w:tc>
        <w:tc>
          <w:tcPr>
            <w:tcW w:w="2840" w:type="dxa"/>
            <w:vAlign w:val="bottom"/>
          </w:tcPr>
          <w:p>
            <w:pPr>
              <w:spacing w:after="0"/>
              <w:rPr>
                <w:sz w:val="8"/>
                <w:szCs w:val="8"/>
                <w:color w:val="auto"/>
              </w:rPr>
            </w:pPr>
          </w:p>
        </w:tc>
        <w:tc>
          <w:tcPr>
            <w:tcW w:w="2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0"/>
        </w:trPr>
        <w:tc>
          <w:tcPr>
            <w:tcW w:w="2040" w:type="dxa"/>
            <w:vAlign w:val="bottom"/>
            <w:gridSpan w:val="2"/>
          </w:tcPr>
          <w:p>
            <w:pPr>
              <w:ind w:left="120"/>
              <w:spacing w:after="0"/>
              <w:rPr>
                <w:sz w:val="20"/>
                <w:szCs w:val="20"/>
                <w:color w:val="auto"/>
              </w:rPr>
            </w:pPr>
            <w:r>
              <w:rPr>
                <w:rFonts w:ascii="Arial" w:cs="Arial" w:eastAsia="Arial" w:hAnsi="Arial"/>
                <w:sz w:val="12"/>
                <w:szCs w:val="12"/>
                <w:color w:val="auto"/>
              </w:rPr>
              <w:t>investments</w:t>
            </w:r>
          </w:p>
        </w:tc>
        <w:tc>
          <w:tcPr>
            <w:tcW w:w="160" w:type="dxa"/>
            <w:vAlign w:val="bottom"/>
            <w:tcBorders>
              <w:bottom w:val="single" w:sz="8" w:color="auto"/>
            </w:tcBorders>
            <w:vMerge w:val="continue"/>
          </w:tcPr>
          <w:p>
            <w:pPr>
              <w:spacing w:after="0"/>
              <w:rPr>
                <w:sz w:val="13"/>
                <w:szCs w:val="13"/>
                <w:color w:val="auto"/>
              </w:rPr>
            </w:pPr>
          </w:p>
        </w:tc>
        <w:tc>
          <w:tcPr>
            <w:tcW w:w="880" w:type="dxa"/>
            <w:vAlign w:val="bottom"/>
            <w:tcBorders>
              <w:bottom w:val="single" w:sz="8" w:color="auto"/>
            </w:tcBorders>
            <w:vMerge w:val="continue"/>
          </w:tcPr>
          <w:p>
            <w:pPr>
              <w:spacing w:after="0"/>
              <w:rPr>
                <w:sz w:val="13"/>
                <w:szCs w:val="13"/>
                <w:color w:val="auto"/>
              </w:rPr>
            </w:pPr>
          </w:p>
        </w:tc>
        <w:tc>
          <w:tcPr>
            <w:tcW w:w="2840" w:type="dxa"/>
            <w:vAlign w:val="bottom"/>
          </w:tcPr>
          <w:p>
            <w:pPr>
              <w:spacing w:after="0"/>
              <w:rPr>
                <w:sz w:val="13"/>
                <w:szCs w:val="13"/>
                <w:color w:val="auto"/>
              </w:rPr>
            </w:pPr>
          </w:p>
        </w:tc>
        <w:tc>
          <w:tcPr>
            <w:tcW w:w="2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600" w:type="dxa"/>
            <w:vAlign w:val="bottom"/>
            <w:tcBorders>
              <w:bottom w:val="single" w:sz="8" w:color="auto"/>
            </w:tcBorders>
          </w:tcPr>
          <w:p>
            <w:pPr>
              <w:spacing w:after="0"/>
              <w:rPr>
                <w:sz w:val="12"/>
                <w:szCs w:val="12"/>
                <w:color w:val="auto"/>
              </w:rPr>
            </w:pPr>
          </w:p>
        </w:tc>
        <w:tc>
          <w:tcPr>
            <w:tcW w:w="1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42" w:lineRule="exact"/>
        <w:rPr>
          <w:sz w:val="20"/>
          <w:szCs w:val="20"/>
          <w:color w:val="auto"/>
        </w:rPr>
      </w:pPr>
    </w:p>
    <w:p>
      <w:pPr>
        <w:ind w:left="420" w:right="80" w:hanging="378"/>
        <w:spacing w:after="0" w:line="254" w:lineRule="auto"/>
        <w:tabs>
          <w:tab w:leader="none" w:pos="368" w:val="left"/>
        </w:tabs>
        <w:numPr>
          <w:ilvl w:val="0"/>
          <w:numId w:val="37"/>
        </w:numPr>
        <w:rPr>
          <w:rFonts w:ascii="Arial" w:cs="Arial" w:eastAsia="Arial" w:hAnsi="Arial"/>
          <w:sz w:val="13"/>
          <w:szCs w:val="13"/>
          <w:color w:val="auto"/>
        </w:rPr>
      </w:pPr>
      <w:r>
        <w:rPr>
          <w:rFonts w:ascii="Arial" w:cs="Arial" w:eastAsia="Arial" w:hAnsi="Arial"/>
          <w:sz w:val="13"/>
          <w:szCs w:val="13"/>
          <w:color w:val="auto"/>
        </w:rPr>
        <w:t>The discount rate is the significant unobservable input used in the fair-value measurement of performing credit-oriented investments in which the consolidated funds do not have a controlling interest in the underlying issuer, as well as certain equity investments and real estate loan portfolios. An increase (decrease) in the discount rate would result in a lower (higher) fair-value measurement.</w:t>
      </w:r>
    </w:p>
    <w:p>
      <w:pPr>
        <w:spacing w:after="0" w:line="1" w:lineRule="exact"/>
        <w:rPr>
          <w:rFonts w:ascii="Arial" w:cs="Arial" w:eastAsia="Arial" w:hAnsi="Arial"/>
          <w:sz w:val="13"/>
          <w:szCs w:val="13"/>
          <w:color w:val="auto"/>
        </w:rPr>
      </w:pPr>
    </w:p>
    <w:p>
      <w:pPr>
        <w:ind w:left="420" w:right="140" w:hanging="378"/>
        <w:spacing w:after="0" w:line="248" w:lineRule="auto"/>
        <w:tabs>
          <w:tab w:leader="none" w:pos="334" w:val="left"/>
        </w:tabs>
        <w:numPr>
          <w:ilvl w:val="0"/>
          <w:numId w:val="37"/>
        </w:numPr>
        <w:rPr>
          <w:rFonts w:ascii="Arial" w:cs="Arial" w:eastAsia="Arial" w:hAnsi="Arial"/>
          <w:sz w:val="13"/>
          <w:szCs w:val="13"/>
          <w:color w:val="auto"/>
        </w:rPr>
      </w:pPr>
      <w:r>
        <w:rPr>
          <w:rFonts w:ascii="Arial" w:cs="Arial" w:eastAsia="Arial" w:hAnsi="Arial"/>
          <w:sz w:val="13"/>
          <w:szCs w:val="13"/>
          <w:color w:val="auto"/>
        </w:rPr>
        <w:t>Multiple of either earnings or underlying assets is the significant unobservable input used in the market approach for the fair-value measurement of distressed credit-oriented investments, credit-oriented investments in which the consolidated funds have a controlling interest in the underlying issuer, equity investments and certain real estate-oriented investments. An increase (decrease) in the multiple would result in a higher (lower) fair-value measurement.</w:t>
      </w:r>
    </w:p>
    <w:p>
      <w:pPr>
        <w:ind w:left="340" w:hanging="298"/>
        <w:spacing w:after="0"/>
        <w:tabs>
          <w:tab w:leader="none" w:pos="340" w:val="left"/>
        </w:tabs>
        <w:numPr>
          <w:ilvl w:val="0"/>
          <w:numId w:val="37"/>
        </w:numPr>
        <w:rPr>
          <w:rFonts w:ascii="Arial" w:cs="Arial" w:eastAsia="Arial" w:hAnsi="Arial"/>
          <w:sz w:val="13"/>
          <w:szCs w:val="13"/>
          <w:color w:val="auto"/>
        </w:rPr>
      </w:pPr>
      <w:r>
        <w:rPr>
          <w:rFonts w:ascii="Arial" w:cs="Arial" w:eastAsia="Arial" w:hAnsi="Arial"/>
          <w:sz w:val="13"/>
          <w:szCs w:val="13"/>
          <w:color w:val="auto"/>
        </w:rPr>
        <w:t>The weighted average is based on the fair value of the investments included in the range.</w:t>
      </w:r>
    </w:p>
    <w:p>
      <w:pPr>
        <w:spacing w:after="0" w:line="5" w:lineRule="exact"/>
        <w:rPr>
          <w:rFonts w:ascii="Arial" w:cs="Arial" w:eastAsia="Arial" w:hAnsi="Arial"/>
          <w:sz w:val="13"/>
          <w:szCs w:val="13"/>
          <w:color w:val="auto"/>
        </w:rPr>
      </w:pPr>
    </w:p>
    <w:p>
      <w:pPr>
        <w:ind w:left="420" w:right="60" w:hanging="378"/>
        <w:spacing w:after="0" w:line="248" w:lineRule="auto"/>
        <w:tabs>
          <w:tab w:leader="none" w:pos="334" w:val="left"/>
        </w:tabs>
        <w:numPr>
          <w:ilvl w:val="0"/>
          <w:numId w:val="37"/>
        </w:numPr>
        <w:rPr>
          <w:rFonts w:ascii="Arial" w:cs="Arial" w:eastAsia="Arial" w:hAnsi="Arial"/>
          <w:sz w:val="13"/>
          <w:szCs w:val="13"/>
          <w:color w:val="auto"/>
        </w:rPr>
      </w:pPr>
      <w:r>
        <w:rPr>
          <w:rFonts w:ascii="Arial" w:cs="Arial" w:eastAsia="Arial" w:hAnsi="Arial"/>
          <w:sz w:val="13"/>
          <w:szCs w:val="13"/>
          <w:color w:val="auto"/>
        </w:rPr>
        <w:t>Certain investments are valued based on recent transactions, generally defined as investments purchased or sold within six months of the valuation date. The fair value may also be based on a pending transaction expected to close after the valuation date.</w:t>
      </w:r>
    </w:p>
    <w:p>
      <w:pPr>
        <w:jc w:val="right"/>
        <w:ind w:left="420" w:right="180" w:hanging="378"/>
        <w:spacing w:after="0" w:line="269" w:lineRule="auto"/>
        <w:tabs>
          <w:tab w:leader="none" w:pos="334" w:val="left"/>
        </w:tabs>
        <w:numPr>
          <w:ilvl w:val="0"/>
          <w:numId w:val="37"/>
        </w:numPr>
        <w:rPr>
          <w:rFonts w:ascii="Arial" w:cs="Arial" w:eastAsia="Arial" w:hAnsi="Arial"/>
          <w:sz w:val="12"/>
          <w:szCs w:val="12"/>
          <w:color w:val="auto"/>
        </w:rPr>
      </w:pPr>
      <w:r>
        <w:rPr>
          <w:rFonts w:ascii="Arial" w:cs="Arial" w:eastAsia="Arial" w:hAnsi="Arial"/>
          <w:sz w:val="12"/>
          <w:szCs w:val="12"/>
          <w:color w:val="auto"/>
        </w:rPr>
        <w:t>Certain investments are valued using vendor prices or broker quotes for the subject or similar securities. Generally, investments valued in this manner are classified as Level III because the quoted prices may be indicative in nature for securities that are in an inactive market, may be for similar securities, or may require adjustment for investment-specific factors or restrictions.</w:t>
      </w:r>
    </w:p>
    <w:p>
      <w:pPr>
        <w:ind w:left="420" w:right="100" w:hanging="378"/>
        <w:spacing w:after="0" w:line="248" w:lineRule="auto"/>
        <w:tabs>
          <w:tab w:leader="none" w:pos="327" w:val="left"/>
        </w:tabs>
        <w:numPr>
          <w:ilvl w:val="0"/>
          <w:numId w:val="37"/>
        </w:numPr>
        <w:rPr>
          <w:rFonts w:ascii="Arial" w:cs="Arial" w:eastAsia="Arial" w:hAnsi="Arial"/>
          <w:sz w:val="13"/>
          <w:szCs w:val="13"/>
          <w:color w:val="auto"/>
        </w:rPr>
      </w:pPr>
      <w:r>
        <w:rPr>
          <w:rFonts w:ascii="Arial" w:cs="Arial" w:eastAsia="Arial" w:hAnsi="Arial"/>
          <w:sz w:val="13"/>
          <w:szCs w:val="13"/>
          <w:color w:val="auto"/>
        </w:rPr>
        <w:t>A discounted cash-flow method is generally used to value performing credit-oriented investments in which the consolidated funds do not have a controlling interest in the underlying issuer, as well as certain equity investments, real estate-oriented investments and real estate loan portfolios.</w:t>
      </w:r>
    </w:p>
    <w:p>
      <w:pPr>
        <w:ind w:left="340" w:hanging="298"/>
        <w:spacing w:after="0"/>
        <w:tabs>
          <w:tab w:leader="none" w:pos="340" w:val="left"/>
        </w:tabs>
        <w:numPr>
          <w:ilvl w:val="0"/>
          <w:numId w:val="37"/>
        </w:numPr>
        <w:rPr>
          <w:rFonts w:ascii="Arial" w:cs="Arial" w:eastAsia="Arial" w:hAnsi="Arial"/>
          <w:sz w:val="13"/>
          <w:szCs w:val="13"/>
          <w:color w:val="auto"/>
        </w:rPr>
      </w:pPr>
      <w:r>
        <w:rPr>
          <w:rFonts w:ascii="Arial" w:cs="Arial" w:eastAsia="Arial" w:hAnsi="Arial"/>
          <w:sz w:val="13"/>
          <w:szCs w:val="13"/>
          <w:color w:val="auto"/>
        </w:rPr>
        <w:t>A market approach is generally used to value distressed investments and investments in which the consolidated funds have a controlling interest in the underlying.</w:t>
      </w:r>
    </w:p>
    <w:p>
      <w:pPr>
        <w:spacing w:after="0" w:line="5" w:lineRule="exact"/>
        <w:rPr>
          <w:rFonts w:ascii="Arial" w:cs="Arial" w:eastAsia="Arial" w:hAnsi="Arial"/>
          <w:sz w:val="13"/>
          <w:szCs w:val="13"/>
          <w:color w:val="auto"/>
        </w:rPr>
      </w:pPr>
    </w:p>
    <w:p>
      <w:pPr>
        <w:ind w:left="420" w:right="180" w:hanging="378"/>
        <w:spacing w:after="0" w:line="248" w:lineRule="auto"/>
        <w:tabs>
          <w:tab w:leader="none" w:pos="334" w:val="left"/>
        </w:tabs>
        <w:numPr>
          <w:ilvl w:val="0"/>
          <w:numId w:val="37"/>
        </w:numPr>
        <w:rPr>
          <w:rFonts w:ascii="Arial" w:cs="Arial" w:eastAsia="Arial" w:hAnsi="Arial"/>
          <w:sz w:val="13"/>
          <w:szCs w:val="13"/>
          <w:color w:val="auto"/>
        </w:rPr>
      </w:pPr>
      <w:r>
        <w:rPr>
          <w:rFonts w:ascii="Arial" w:cs="Arial" w:eastAsia="Arial" w:hAnsi="Arial"/>
          <w:sz w:val="13"/>
          <w:szCs w:val="13"/>
          <w:color w:val="auto"/>
        </w:rPr>
        <w:t>Revenue multiples are based on comparable public companies and transactions with comparable companies. The Company typically applies the multiple to trailing twelve-months’ revenue. However, in certain cases other revenue measures, such as pro forma revenue, may be utilized if deemed to be more relevant.</w:t>
      </w:r>
    </w:p>
    <w:p>
      <w:pPr>
        <w:ind w:left="420" w:hanging="378"/>
        <w:spacing w:after="0" w:line="254" w:lineRule="auto"/>
        <w:tabs>
          <w:tab w:leader="none" w:pos="327" w:val="left"/>
        </w:tabs>
        <w:numPr>
          <w:ilvl w:val="0"/>
          <w:numId w:val="37"/>
        </w:numPr>
        <w:rPr>
          <w:rFonts w:ascii="Arial" w:cs="Arial" w:eastAsia="Arial" w:hAnsi="Arial"/>
          <w:sz w:val="13"/>
          <w:szCs w:val="13"/>
          <w:color w:val="auto"/>
        </w:rPr>
      </w:pPr>
      <w:r>
        <w:rPr>
          <w:rFonts w:ascii="Arial" w:cs="Arial" w:eastAsia="Arial" w:hAnsi="Arial"/>
          <w:sz w:val="13"/>
          <w:szCs w:val="13"/>
          <w:color w:val="auto"/>
        </w:rPr>
        <w:t>A market approach using the value of underlying assets utilizes a multiple, based on comparable companies, of underlying assets or the net book value of the portfolio company. The Company typically obtains the value of underlying assets from the underlying portfolio company’s financial statements or from pricing vendors. The Company may value the underlying assets by using prices and other relevant information from market transactions involving comparable assets.</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4" w:name="page95"/>
    <w:bookmarkEnd w:id="94"/>
    <w:p>
      <w:pPr>
        <w:jc w:val="center"/>
        <w:ind w:right="-19"/>
        <w:spacing w:after="0"/>
        <w:rPr>
          <w:sz w:val="20"/>
          <w:szCs w:val="20"/>
          <w:color w:val="auto"/>
        </w:rPr>
      </w:pPr>
      <w:r>
        <w:rPr>
          <w:rFonts w:ascii="Arial" w:cs="Arial" w:eastAsia="Arial" w:hAnsi="Arial"/>
          <w:sz w:val="17"/>
          <w:szCs w:val="17"/>
          <w:b w:val="1"/>
          <w:bCs w:val="1"/>
          <w:color w:val="auto"/>
        </w:rPr>
        <w:t>Brookfield Oaktree Holdings, LLC</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Consolidated Financial Statements — (Continued)</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December 31, 2025</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 in thousands, except where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420" w:right="100" w:hanging="378"/>
        <w:spacing w:after="0" w:line="254" w:lineRule="auto"/>
        <w:tabs>
          <w:tab w:leader="none" w:pos="406" w:val="left"/>
        </w:tabs>
        <w:numPr>
          <w:ilvl w:val="0"/>
          <w:numId w:val="38"/>
        </w:numPr>
        <w:rPr>
          <w:rFonts w:ascii="Arial" w:cs="Arial" w:eastAsia="Arial" w:hAnsi="Arial"/>
          <w:sz w:val="13"/>
          <w:szCs w:val="13"/>
          <w:color w:val="auto"/>
        </w:rPr>
      </w:pPr>
      <w:r>
        <w:rPr>
          <w:rFonts w:ascii="Arial" w:cs="Arial" w:eastAsia="Arial" w:hAnsi="Arial"/>
          <w:sz w:val="13"/>
          <w:szCs w:val="13"/>
          <w:color w:val="auto"/>
        </w:rPr>
        <w:t>Earnings multiples are based on comparable public companies and transactions with comparable companies. The Company typically utilizes multiples of EBITDA; however, in certain cases the Company may use other earnings multiples believed to be most relevant to the investment. The Company typically applies the multiple to trailing twelve-months’ EBITDA. However, in certain cases other earnings measures, such as pro forma EBITDA, may be utilized if deemed to be more relevant.</w:t>
      </w:r>
    </w:p>
    <w:p>
      <w:pPr>
        <w:spacing w:after="0" w:line="1" w:lineRule="exact"/>
        <w:rPr>
          <w:rFonts w:ascii="Arial" w:cs="Arial" w:eastAsia="Arial" w:hAnsi="Arial"/>
          <w:sz w:val="13"/>
          <w:szCs w:val="13"/>
          <w:color w:val="auto"/>
        </w:rPr>
      </w:pPr>
    </w:p>
    <w:p>
      <w:pPr>
        <w:ind w:left="300" w:hanging="258"/>
        <w:spacing w:after="0"/>
        <w:tabs>
          <w:tab w:leader="none" w:pos="300" w:val="left"/>
        </w:tabs>
        <w:numPr>
          <w:ilvl w:val="0"/>
          <w:numId w:val="38"/>
        </w:numPr>
        <w:rPr>
          <w:rFonts w:ascii="Arial" w:cs="Arial" w:eastAsia="Arial" w:hAnsi="Arial"/>
          <w:sz w:val="13"/>
          <w:szCs w:val="13"/>
          <w:color w:val="auto"/>
        </w:rPr>
      </w:pPr>
      <w:r>
        <w:rPr>
          <w:rFonts w:ascii="Arial" w:cs="Arial" w:eastAsia="Arial" w:hAnsi="Arial"/>
          <w:sz w:val="13"/>
          <w:szCs w:val="13"/>
          <w:color w:val="auto"/>
        </w:rPr>
        <w:t>Certain investments are valued based on expected recovery, generally representing the estimated value that can be recovered in the event of liquidation or winding down.</w:t>
      </w:r>
    </w:p>
    <w:p>
      <w:pPr>
        <w:spacing w:after="0" w:line="5" w:lineRule="exact"/>
        <w:rPr>
          <w:rFonts w:ascii="Arial" w:cs="Arial" w:eastAsia="Arial" w:hAnsi="Arial"/>
          <w:sz w:val="13"/>
          <w:szCs w:val="13"/>
          <w:color w:val="auto"/>
        </w:rPr>
      </w:pPr>
    </w:p>
    <w:p>
      <w:pPr>
        <w:ind w:left="420" w:hanging="378"/>
        <w:spacing w:after="0" w:line="252" w:lineRule="auto"/>
        <w:tabs>
          <w:tab w:leader="none" w:pos="298" w:val="left"/>
        </w:tabs>
        <w:numPr>
          <w:ilvl w:val="0"/>
          <w:numId w:val="38"/>
        </w:numPr>
        <w:rPr>
          <w:rFonts w:ascii="Arial" w:cs="Arial" w:eastAsia="Arial" w:hAnsi="Arial"/>
          <w:sz w:val="13"/>
          <w:szCs w:val="13"/>
          <w:color w:val="auto"/>
        </w:rPr>
      </w:pPr>
      <w:r>
        <w:rPr>
          <w:rFonts w:ascii="Arial" w:cs="Arial" w:eastAsia="Arial" w:hAnsi="Arial"/>
          <w:sz w:val="13"/>
          <w:szCs w:val="13"/>
          <w:color w:val="auto"/>
        </w:rPr>
        <w:t>The fair value of options/warrants is estimated using the Black-Scholes-Merton valuation model. The company uses the following methods to determine the underlying assumptions: expected volatilities are based on the historical and implied volatilities of comparable companies or the subject company if the subject company is publicly traded; expected term is based on the shorter of the expected hold period for the option or the contractual term; and the risk-free rate is based on the yields on U.S. Treasury bills or bonds issued with similar terms to the expected term of the option.</w:t>
      </w:r>
    </w:p>
    <w:p>
      <w:pPr>
        <w:spacing w:after="0" w:line="129" w:lineRule="exact"/>
        <w:rPr>
          <w:sz w:val="20"/>
          <w:szCs w:val="20"/>
          <w:color w:val="auto"/>
        </w:rPr>
      </w:pPr>
    </w:p>
    <w:p>
      <w:pPr>
        <w:ind w:right="40" w:firstLine="181"/>
        <w:spacing w:after="0" w:line="265" w:lineRule="auto"/>
        <w:rPr>
          <w:sz w:val="20"/>
          <w:szCs w:val="20"/>
          <w:color w:val="auto"/>
        </w:rPr>
      </w:pPr>
      <w:r>
        <w:rPr>
          <w:rFonts w:ascii="Arial" w:cs="Arial" w:eastAsia="Arial" w:hAnsi="Arial"/>
          <w:sz w:val="17"/>
          <w:szCs w:val="17"/>
          <w:color w:val="auto"/>
        </w:rPr>
        <w:t>A significant amount of judgment may be required when using unobservable inputs, including assessing the accuracy of source data and the results of pricing models. The Company assesses the accuracy and reliability of the sources it uses to develop unobservable inputs. These sources may include third-party vendors that the Company believes are reliable and commonly utilized by other marketplace participants. As described in note 2, other factors beyond the unobservable inputs described above may have a significant impact on investment valuations.</w:t>
      </w:r>
    </w:p>
    <w:p>
      <w:pPr>
        <w:spacing w:after="0" w:line="116" w:lineRule="exact"/>
        <w:rPr>
          <w:sz w:val="20"/>
          <w:szCs w:val="20"/>
          <w:color w:val="auto"/>
        </w:rPr>
      </w:pPr>
    </w:p>
    <w:p>
      <w:pPr>
        <w:ind w:right="80" w:firstLine="619"/>
        <w:spacing w:after="0" w:line="259" w:lineRule="auto"/>
        <w:rPr>
          <w:sz w:val="20"/>
          <w:szCs w:val="20"/>
          <w:color w:val="auto"/>
        </w:rPr>
      </w:pPr>
      <w:r>
        <w:rPr>
          <w:rFonts w:ascii="Arial" w:cs="Arial" w:eastAsia="Arial" w:hAnsi="Arial"/>
          <w:sz w:val="17"/>
          <w:szCs w:val="17"/>
          <w:color w:val="auto"/>
        </w:rPr>
        <w:t>During the year ended December 31, 2025, the valuation techniques for five credit-oriented investments were changed from market approach (comparable companies) to discounted cash flow, five credit-oriented investments were changed from discounted cash flow to market approach (comparable companies), three credit-oriented investments were changed from recent market information to discounted cash flow, two credit-oriented investments were changed from market approach (value of underlying assets) to expected recovery, one credit-oriented investment was changed from discounted cash flow to market approach (value of underlying assets), one credit-oriented investment was changed from changed from expected recovery to discounted cash flow and two equity investments were changed from discounted cash flow to market approach (comparable companies). During the year ended December 31, 2024, there95 were no changes in the valuation techniques for Level III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42545</wp:posOffset>
            </wp:positionV>
            <wp:extent cx="7164070" cy="4191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95" w:name="page96"/>
    <w:bookmarkEnd w:id="95"/>
    <w:p>
      <w:pPr>
        <w:jc w:val="center"/>
        <w:spacing w:after="0"/>
        <w:rPr>
          <w:sz w:val="20"/>
          <w:szCs w:val="20"/>
          <w:color w:val="auto"/>
        </w:rPr>
      </w:pPr>
      <w:r>
        <w:rPr>
          <w:rFonts w:ascii="Arial" w:cs="Arial" w:eastAsia="Arial" w:hAnsi="Arial"/>
          <w:sz w:val="17"/>
          <w:szCs w:val="17"/>
          <w:b w:val="1"/>
          <w:bCs w:val="1"/>
          <w:color w:val="auto"/>
        </w:rPr>
        <w:t>Brookfield Oaktree Holdings, LLC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 (Continued)</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December 31, 2025</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 in thousands, except where noted)</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7. DERIVATIVES AND HEDGING</w:t>
      </w:r>
    </w:p>
    <w:p>
      <w:pPr>
        <w:spacing w:after="0" w:line="168" w:lineRule="exact"/>
        <w:rPr>
          <w:sz w:val="20"/>
          <w:szCs w:val="20"/>
          <w:color w:val="auto"/>
        </w:rPr>
      </w:pPr>
    </w:p>
    <w:p>
      <w:pPr>
        <w:ind w:right="80" w:firstLine="619"/>
        <w:spacing w:after="0" w:line="276" w:lineRule="auto"/>
        <w:rPr>
          <w:sz w:val="20"/>
          <w:szCs w:val="20"/>
          <w:color w:val="auto"/>
        </w:rPr>
      </w:pPr>
      <w:r>
        <w:rPr>
          <w:rFonts w:ascii="Arial" w:cs="Arial" w:eastAsia="Arial" w:hAnsi="Arial"/>
          <w:sz w:val="17"/>
          <w:szCs w:val="17"/>
          <w:color w:val="auto"/>
        </w:rPr>
        <w:t>Realized and unrealized gains and losses arising from freestanding derivatives were recorded in the consolidated statements of operations as follows:</w:t>
      </w:r>
    </w:p>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169"/>
        </w:trPr>
        <w:tc>
          <w:tcPr>
            <w:tcW w:w="2180" w:type="dxa"/>
            <w:vAlign w:val="bottom"/>
          </w:tcPr>
          <w:p>
            <w:pPr>
              <w:spacing w:after="0"/>
              <w:rPr>
                <w:sz w:val="14"/>
                <w:szCs w:val="14"/>
                <w:color w:val="auto"/>
              </w:rPr>
            </w:pPr>
          </w:p>
        </w:tc>
        <w:tc>
          <w:tcPr>
            <w:tcW w:w="50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4"/>
          </w:tcPr>
          <w:p>
            <w:pPr>
              <w:jc w:val="center"/>
              <w:spacing w:after="0"/>
              <w:rPr>
                <w:sz w:val="20"/>
                <w:szCs w:val="20"/>
                <w:color w:val="auto"/>
              </w:rPr>
            </w:pPr>
            <w:r>
              <w:rPr>
                <w:rFonts w:ascii="Arial" w:cs="Arial" w:eastAsia="Arial" w:hAnsi="Arial"/>
                <w:sz w:val="12"/>
                <w:szCs w:val="12"/>
                <w:b w:val="1"/>
                <w:bCs w:val="1"/>
                <w:color w:val="auto"/>
              </w:rPr>
              <w:t>Year Ended December 31,</w:t>
            </w: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180" w:type="dxa"/>
            <w:vAlign w:val="bottom"/>
          </w:tcPr>
          <w:p>
            <w:pPr>
              <w:spacing w:after="0"/>
              <w:rPr>
                <w:sz w:val="14"/>
                <w:szCs w:val="14"/>
                <w:color w:val="auto"/>
              </w:rPr>
            </w:pPr>
          </w:p>
        </w:tc>
        <w:tc>
          <w:tcPr>
            <w:tcW w:w="50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87"/>
              <w:spacing w:after="0"/>
              <w:rPr>
                <w:sz w:val="20"/>
                <w:szCs w:val="20"/>
                <w:color w:val="auto"/>
              </w:rPr>
            </w:pPr>
            <w:r>
              <w:rPr>
                <w:rFonts w:ascii="Arial" w:cs="Arial" w:eastAsia="Arial" w:hAnsi="Arial"/>
                <w:sz w:val="12"/>
                <w:szCs w:val="12"/>
                <w:b w:val="1"/>
                <w:bCs w:val="1"/>
                <w:color w:val="auto"/>
              </w:rPr>
              <w:t>2025</w:t>
            </w:r>
          </w:p>
        </w:tc>
        <w:tc>
          <w:tcPr>
            <w:tcW w:w="2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87"/>
              <w:spacing w:after="0"/>
              <w:rPr>
                <w:sz w:val="20"/>
                <w:szCs w:val="20"/>
                <w:color w:val="auto"/>
              </w:rPr>
            </w:pPr>
            <w:r>
              <w:rPr>
                <w:rFonts w:ascii="Arial" w:cs="Arial" w:eastAsia="Arial" w:hAnsi="Arial"/>
                <w:sz w:val="12"/>
                <w:szCs w:val="12"/>
                <w:b w:val="1"/>
                <w:bCs w:val="1"/>
                <w:color w:val="auto"/>
              </w:rPr>
              <w:t>2024</w:t>
            </w:r>
          </w:p>
        </w:tc>
        <w:tc>
          <w:tcPr>
            <w:tcW w:w="2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87"/>
              <w:spacing w:after="0"/>
              <w:rPr>
                <w:sz w:val="20"/>
                <w:szCs w:val="20"/>
                <w:color w:val="auto"/>
              </w:rPr>
            </w:pPr>
            <w:r>
              <w:rPr>
                <w:rFonts w:ascii="Arial" w:cs="Arial" w:eastAsia="Arial" w:hAnsi="Arial"/>
                <w:sz w:val="12"/>
                <w:szCs w:val="12"/>
                <w:b w:val="1"/>
                <w:bCs w:val="1"/>
                <w:color w:val="auto"/>
              </w:rPr>
              <w:t>2023</w:t>
            </w:r>
          </w:p>
        </w:tc>
        <w:tc>
          <w:tcPr>
            <w:tcW w:w="0" w:type="dxa"/>
            <w:vAlign w:val="bottom"/>
          </w:tcPr>
          <w:p>
            <w:pPr>
              <w:spacing w:after="0"/>
              <w:rPr>
                <w:sz w:val="1"/>
                <w:szCs w:val="1"/>
                <w:color w:val="auto"/>
              </w:rPr>
            </w:pPr>
          </w:p>
        </w:tc>
      </w:tr>
      <w:tr>
        <w:trPr>
          <w:trHeight w:val="381"/>
        </w:trPr>
        <w:tc>
          <w:tcPr>
            <w:tcW w:w="7180" w:type="dxa"/>
            <w:vAlign w:val="bottom"/>
            <w:gridSpan w:val="2"/>
          </w:tcPr>
          <w:p>
            <w:pPr>
              <w:spacing w:after="0"/>
              <w:rPr>
                <w:sz w:val="20"/>
                <w:szCs w:val="20"/>
                <w:color w:val="auto"/>
              </w:rPr>
            </w:pPr>
            <w:r>
              <w:rPr>
                <w:rFonts w:ascii="Arial" w:cs="Arial" w:eastAsia="Arial" w:hAnsi="Arial"/>
                <w:sz w:val="15"/>
                <w:szCs w:val="15"/>
                <w:color w:val="auto"/>
              </w:rPr>
              <w:t>Investment income (loss)</w:t>
            </w:r>
          </w:p>
        </w:tc>
        <w:tc>
          <w:tcPr>
            <w:tcW w:w="280" w:type="dxa"/>
            <w:vAlign w:val="bottom"/>
            <w:vMerge w:val="restart"/>
          </w:tcPr>
          <w:p>
            <w:pPr>
              <w:jc w:val="right"/>
              <w:ind w:right="103"/>
              <w:spacing w:after="0"/>
              <w:rPr>
                <w:sz w:val="20"/>
                <w:szCs w:val="20"/>
                <w:color w:val="auto"/>
              </w:rPr>
            </w:pPr>
            <w:r>
              <w:rPr>
                <w:rFonts w:ascii="Arial" w:cs="Arial" w:eastAsia="Arial" w:hAnsi="Arial"/>
                <w:sz w:val="15"/>
                <w:szCs w:val="15"/>
                <w:color w:val="auto"/>
                <w:w w:val="95"/>
              </w:rPr>
              <w:t>$</w:t>
            </w:r>
          </w:p>
        </w:tc>
        <w:tc>
          <w:tcPr>
            <w:tcW w:w="920" w:type="dxa"/>
            <w:vAlign w:val="bottom"/>
            <w:vMerge w:val="restart"/>
          </w:tcPr>
          <w:p>
            <w:pPr>
              <w:ind w:left="700"/>
              <w:spacing w:after="0"/>
              <w:rPr>
                <w:sz w:val="20"/>
                <w:szCs w:val="20"/>
                <w:color w:val="auto"/>
              </w:rPr>
            </w:pPr>
            <w:r>
              <w:rPr>
                <w:rFonts w:ascii="Arial" w:cs="Arial" w:eastAsia="Arial" w:hAnsi="Arial"/>
                <w:sz w:val="15"/>
                <w:szCs w:val="15"/>
                <w:color w:val="auto"/>
              </w:rPr>
              <w:t>—</w:t>
            </w:r>
          </w:p>
        </w:tc>
        <w:tc>
          <w:tcPr>
            <w:tcW w:w="500" w:type="dxa"/>
            <w:vAlign w:val="bottom"/>
            <w:gridSpan w:val="2"/>
            <w:vMerge w:val="restart"/>
          </w:tcPr>
          <w:p>
            <w:pPr>
              <w:jc w:val="right"/>
              <w:ind w:right="103"/>
              <w:spacing w:after="0"/>
              <w:rPr>
                <w:sz w:val="20"/>
                <w:szCs w:val="20"/>
                <w:color w:val="auto"/>
              </w:rPr>
            </w:pPr>
            <w:r>
              <w:rPr>
                <w:rFonts w:ascii="Arial" w:cs="Arial" w:eastAsia="Arial" w:hAnsi="Arial"/>
                <w:sz w:val="15"/>
                <w:szCs w:val="15"/>
                <w:color w:val="auto"/>
              </w:rPr>
              <w:t>$</w:t>
            </w:r>
          </w:p>
        </w:tc>
        <w:tc>
          <w:tcPr>
            <w:tcW w:w="1140" w:type="dxa"/>
            <w:vAlign w:val="bottom"/>
            <w:gridSpan w:val="2"/>
            <w:vMerge w:val="restart"/>
          </w:tcPr>
          <w:p>
            <w:pPr>
              <w:ind w:left="700"/>
              <w:spacing w:after="0"/>
              <w:rPr>
                <w:sz w:val="20"/>
                <w:szCs w:val="20"/>
                <w:color w:val="auto"/>
              </w:rPr>
            </w:pPr>
            <w:r>
              <w:rPr>
                <w:rFonts w:ascii="Arial" w:cs="Arial" w:eastAsia="Arial" w:hAnsi="Arial"/>
                <w:sz w:val="15"/>
                <w:szCs w:val="15"/>
                <w:color w:val="auto"/>
              </w:rPr>
              <w:t>—</w:t>
            </w:r>
          </w:p>
        </w:tc>
        <w:tc>
          <w:tcPr>
            <w:tcW w:w="280" w:type="dxa"/>
            <w:vAlign w:val="bottom"/>
            <w:vMerge w:val="restart"/>
          </w:tcPr>
          <w:p>
            <w:pPr>
              <w:jc w:val="right"/>
              <w:ind w:right="103"/>
              <w:spacing w:after="0"/>
              <w:rPr>
                <w:sz w:val="20"/>
                <w:szCs w:val="20"/>
                <w:color w:val="auto"/>
              </w:rPr>
            </w:pPr>
            <w:r>
              <w:rPr>
                <w:rFonts w:ascii="Arial" w:cs="Arial" w:eastAsia="Arial" w:hAnsi="Arial"/>
                <w:sz w:val="15"/>
                <w:szCs w:val="15"/>
                <w:color w:val="auto"/>
                <w:w w:val="95"/>
              </w:rPr>
              <w:t>$</w:t>
            </w:r>
          </w:p>
        </w:tc>
        <w:tc>
          <w:tcPr>
            <w:tcW w:w="920" w:type="dxa"/>
            <w:vAlign w:val="bottom"/>
            <w:vMerge w:val="restart"/>
          </w:tcPr>
          <w:p>
            <w:pPr>
              <w:jc w:val="right"/>
              <w:spacing w:after="0"/>
              <w:rPr>
                <w:sz w:val="20"/>
                <w:szCs w:val="20"/>
                <w:color w:val="auto"/>
              </w:rPr>
            </w:pPr>
            <w:r>
              <w:rPr>
                <w:rFonts w:ascii="Arial" w:cs="Arial" w:eastAsia="Arial" w:hAnsi="Arial"/>
                <w:sz w:val="15"/>
                <w:szCs w:val="15"/>
                <w:color w:val="auto"/>
              </w:rPr>
              <w:t>(3,501)</w:t>
            </w:r>
          </w:p>
        </w:tc>
        <w:tc>
          <w:tcPr>
            <w:tcW w:w="0" w:type="dxa"/>
            <w:vAlign w:val="bottom"/>
          </w:tcPr>
          <w:p>
            <w:pPr>
              <w:spacing w:after="0"/>
              <w:rPr>
                <w:sz w:val="1"/>
                <w:szCs w:val="1"/>
                <w:color w:val="auto"/>
              </w:rPr>
            </w:pPr>
          </w:p>
        </w:tc>
      </w:tr>
      <w:tr>
        <w:trPr>
          <w:trHeight w:val="77"/>
        </w:trPr>
        <w:tc>
          <w:tcPr>
            <w:tcW w:w="2180" w:type="dxa"/>
            <w:vAlign w:val="bottom"/>
          </w:tcPr>
          <w:p>
            <w:pPr>
              <w:spacing w:after="0"/>
              <w:rPr>
                <w:sz w:val="6"/>
                <w:szCs w:val="6"/>
                <w:color w:val="auto"/>
              </w:rPr>
            </w:pPr>
          </w:p>
        </w:tc>
        <w:tc>
          <w:tcPr>
            <w:tcW w:w="5000" w:type="dxa"/>
            <w:vAlign w:val="bottom"/>
          </w:tcPr>
          <w:p>
            <w:pPr>
              <w:spacing w:after="0"/>
              <w:rPr>
                <w:sz w:val="6"/>
                <w:szCs w:val="6"/>
                <w:color w:val="auto"/>
              </w:rPr>
            </w:pPr>
          </w:p>
        </w:tc>
        <w:tc>
          <w:tcPr>
            <w:tcW w:w="280" w:type="dxa"/>
            <w:vAlign w:val="bottom"/>
            <w:vMerge w:val="continue"/>
          </w:tcPr>
          <w:p>
            <w:pPr>
              <w:spacing w:after="0"/>
              <w:rPr>
                <w:sz w:val="6"/>
                <w:szCs w:val="6"/>
                <w:color w:val="auto"/>
              </w:rPr>
            </w:pPr>
          </w:p>
        </w:tc>
        <w:tc>
          <w:tcPr>
            <w:tcW w:w="920" w:type="dxa"/>
            <w:vAlign w:val="bottom"/>
            <w:vMerge w:val="continue"/>
          </w:tcPr>
          <w:p>
            <w:pPr>
              <w:spacing w:after="0"/>
              <w:rPr>
                <w:sz w:val="6"/>
                <w:szCs w:val="6"/>
                <w:color w:val="auto"/>
              </w:rPr>
            </w:pPr>
          </w:p>
        </w:tc>
        <w:tc>
          <w:tcPr>
            <w:tcW w:w="500" w:type="dxa"/>
            <w:vAlign w:val="bottom"/>
            <w:gridSpan w:val="2"/>
            <w:vMerge w:val="continue"/>
          </w:tcPr>
          <w:p>
            <w:pPr>
              <w:spacing w:after="0"/>
              <w:rPr>
                <w:sz w:val="6"/>
                <w:szCs w:val="6"/>
                <w:color w:val="auto"/>
              </w:rPr>
            </w:pPr>
          </w:p>
        </w:tc>
        <w:tc>
          <w:tcPr>
            <w:tcW w:w="1140" w:type="dxa"/>
            <w:vAlign w:val="bottom"/>
            <w:gridSpan w:val="2"/>
            <w:vMerge w:val="continue"/>
          </w:tcPr>
          <w:p>
            <w:pPr>
              <w:spacing w:after="0"/>
              <w:rPr>
                <w:sz w:val="6"/>
                <w:szCs w:val="6"/>
                <w:color w:val="auto"/>
              </w:rPr>
            </w:pPr>
          </w:p>
        </w:tc>
        <w:tc>
          <w:tcPr>
            <w:tcW w:w="280" w:type="dxa"/>
            <w:vAlign w:val="bottom"/>
            <w:vMerge w:val="continue"/>
          </w:tcPr>
          <w:p>
            <w:pPr>
              <w:spacing w:after="0"/>
              <w:rPr>
                <w:sz w:val="6"/>
                <w:szCs w:val="6"/>
                <w:color w:val="auto"/>
              </w:rPr>
            </w:pPr>
          </w:p>
        </w:tc>
        <w:tc>
          <w:tcPr>
            <w:tcW w:w="9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324"/>
        </w:trPr>
        <w:tc>
          <w:tcPr>
            <w:tcW w:w="7180" w:type="dxa"/>
            <w:vAlign w:val="bottom"/>
            <w:gridSpan w:val="2"/>
          </w:tcPr>
          <w:p>
            <w:pPr>
              <w:spacing w:after="0"/>
              <w:rPr>
                <w:sz w:val="20"/>
                <w:szCs w:val="20"/>
                <w:color w:val="auto"/>
              </w:rPr>
            </w:pPr>
            <w:r>
              <w:rPr>
                <w:rFonts w:ascii="Arial" w:cs="Arial" w:eastAsia="Arial" w:hAnsi="Arial"/>
                <w:sz w:val="15"/>
                <w:szCs w:val="15"/>
                <w:color w:val="auto"/>
              </w:rPr>
              <w:t xml:space="preserve">General and administrative expense </w:t>
            </w:r>
            <w:r>
              <w:rPr>
                <w:rFonts w:ascii="Arial" w:cs="Arial" w:eastAsia="Arial" w:hAnsi="Arial"/>
                <w:sz w:val="20"/>
                <w:szCs w:val="20"/>
                <w:color w:val="auto"/>
                <w:vertAlign w:val="superscript"/>
              </w:rPr>
              <w:t>(1)</w:t>
            </w:r>
          </w:p>
        </w:tc>
        <w:tc>
          <w:tcPr>
            <w:tcW w:w="280" w:type="dxa"/>
            <w:vAlign w:val="bottom"/>
          </w:tcPr>
          <w:p>
            <w:pPr>
              <w:spacing w:after="0"/>
              <w:rPr>
                <w:sz w:val="24"/>
                <w:szCs w:val="24"/>
                <w:color w:val="auto"/>
              </w:rPr>
            </w:pPr>
          </w:p>
        </w:tc>
        <w:tc>
          <w:tcPr>
            <w:tcW w:w="920" w:type="dxa"/>
            <w:vAlign w:val="bottom"/>
            <w:vMerge w:val="restart"/>
          </w:tcPr>
          <w:p>
            <w:pPr>
              <w:ind w:left="700"/>
              <w:spacing w:after="0"/>
              <w:rPr>
                <w:sz w:val="20"/>
                <w:szCs w:val="20"/>
                <w:color w:val="auto"/>
              </w:rPr>
            </w:pPr>
            <w:r>
              <w:rPr>
                <w:rFonts w:ascii="Arial" w:cs="Arial" w:eastAsia="Arial" w:hAnsi="Arial"/>
                <w:sz w:val="15"/>
                <w:szCs w:val="15"/>
                <w:color w:val="auto"/>
              </w:rPr>
              <w:t>—</w:t>
            </w:r>
          </w:p>
        </w:tc>
        <w:tc>
          <w:tcPr>
            <w:tcW w:w="220" w:type="dxa"/>
            <w:vAlign w:val="bottom"/>
            <w:vMerge w:val="restart"/>
          </w:tcPr>
          <w:p>
            <w:pPr>
              <w:spacing w:after="0"/>
              <w:rPr>
                <w:sz w:val="24"/>
                <w:szCs w:val="24"/>
                <w:color w:val="auto"/>
              </w:rPr>
            </w:pPr>
          </w:p>
        </w:tc>
        <w:tc>
          <w:tcPr>
            <w:tcW w:w="280" w:type="dxa"/>
            <w:vAlign w:val="bottom"/>
            <w:vMerge w:val="restart"/>
          </w:tcPr>
          <w:p>
            <w:pPr>
              <w:jc w:val="right"/>
              <w:ind w:right="103"/>
              <w:spacing w:after="0"/>
              <w:rPr>
                <w:sz w:val="20"/>
                <w:szCs w:val="20"/>
                <w:color w:val="auto"/>
              </w:rPr>
            </w:pPr>
            <w:r>
              <w:rPr>
                <w:rFonts w:ascii="Arial" w:cs="Arial" w:eastAsia="Arial" w:hAnsi="Arial"/>
                <w:sz w:val="15"/>
                <w:szCs w:val="15"/>
                <w:color w:val="auto"/>
                <w:w w:val="95"/>
              </w:rPr>
              <w:t>$</w:t>
            </w:r>
          </w:p>
        </w:tc>
        <w:tc>
          <w:tcPr>
            <w:tcW w:w="920" w:type="dxa"/>
            <w:vAlign w:val="bottom"/>
            <w:vMerge w:val="restart"/>
          </w:tcPr>
          <w:p>
            <w:pPr>
              <w:ind w:left="700"/>
              <w:spacing w:after="0"/>
              <w:rPr>
                <w:sz w:val="20"/>
                <w:szCs w:val="20"/>
                <w:color w:val="auto"/>
              </w:rPr>
            </w:pPr>
            <w:r>
              <w:rPr>
                <w:rFonts w:ascii="Arial" w:cs="Arial" w:eastAsia="Arial" w:hAnsi="Arial"/>
                <w:sz w:val="15"/>
                <w:szCs w:val="15"/>
                <w:color w:val="auto"/>
              </w:rPr>
              <w:t>—</w:t>
            </w:r>
          </w:p>
        </w:tc>
        <w:tc>
          <w:tcPr>
            <w:tcW w:w="220" w:type="dxa"/>
            <w:vAlign w:val="bottom"/>
            <w:vMerge w:val="restart"/>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vMerge w:val="restart"/>
          </w:tcPr>
          <w:p>
            <w:pPr>
              <w:jc w:val="right"/>
              <w:spacing w:after="0"/>
              <w:rPr>
                <w:sz w:val="20"/>
                <w:szCs w:val="20"/>
                <w:color w:val="auto"/>
              </w:rPr>
            </w:pPr>
            <w:r>
              <w:rPr>
                <w:rFonts w:ascii="Arial" w:cs="Arial" w:eastAsia="Arial" w:hAnsi="Arial"/>
                <w:sz w:val="15"/>
                <w:szCs w:val="15"/>
                <w:color w:val="auto"/>
              </w:rPr>
              <w:t>3,153</w:t>
            </w:r>
          </w:p>
        </w:tc>
        <w:tc>
          <w:tcPr>
            <w:tcW w:w="0" w:type="dxa"/>
            <w:vAlign w:val="bottom"/>
          </w:tcPr>
          <w:p>
            <w:pPr>
              <w:spacing w:after="0"/>
              <w:rPr>
                <w:sz w:val="1"/>
                <w:szCs w:val="1"/>
                <w:color w:val="auto"/>
              </w:rPr>
            </w:pPr>
          </w:p>
        </w:tc>
      </w:tr>
      <w:tr>
        <w:trPr>
          <w:trHeight w:val="50"/>
        </w:trPr>
        <w:tc>
          <w:tcPr>
            <w:tcW w:w="2180" w:type="dxa"/>
            <w:vAlign w:val="bottom"/>
          </w:tcPr>
          <w:p>
            <w:pPr>
              <w:spacing w:after="0"/>
              <w:rPr>
                <w:sz w:val="4"/>
                <w:szCs w:val="4"/>
                <w:color w:val="auto"/>
              </w:rPr>
            </w:pPr>
          </w:p>
        </w:tc>
        <w:tc>
          <w:tcPr>
            <w:tcW w:w="5000" w:type="dxa"/>
            <w:vAlign w:val="bottom"/>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vMerge w:val="continue"/>
          </w:tcPr>
          <w:p>
            <w:pPr>
              <w:spacing w:after="0"/>
              <w:rPr>
                <w:sz w:val="4"/>
                <w:szCs w:val="4"/>
                <w:color w:val="auto"/>
              </w:rPr>
            </w:pPr>
          </w:p>
        </w:tc>
        <w:tc>
          <w:tcPr>
            <w:tcW w:w="220" w:type="dxa"/>
            <w:vAlign w:val="bottom"/>
            <w:vMerge w:val="continue"/>
          </w:tcPr>
          <w:p>
            <w:pPr>
              <w:spacing w:after="0"/>
              <w:rPr>
                <w:sz w:val="4"/>
                <w:szCs w:val="4"/>
                <w:color w:val="auto"/>
              </w:rPr>
            </w:pPr>
          </w:p>
        </w:tc>
        <w:tc>
          <w:tcPr>
            <w:tcW w:w="280" w:type="dxa"/>
            <w:vAlign w:val="bottom"/>
            <w:tcBorders>
              <w:bottom w:val="single" w:sz="8" w:color="auto"/>
            </w:tcBorders>
            <w:vMerge w:val="continue"/>
          </w:tcPr>
          <w:p>
            <w:pPr>
              <w:spacing w:after="0"/>
              <w:rPr>
                <w:sz w:val="4"/>
                <w:szCs w:val="4"/>
                <w:color w:val="auto"/>
              </w:rPr>
            </w:pPr>
          </w:p>
        </w:tc>
        <w:tc>
          <w:tcPr>
            <w:tcW w:w="920" w:type="dxa"/>
            <w:vAlign w:val="bottom"/>
            <w:tcBorders>
              <w:bottom w:val="single" w:sz="8" w:color="auto"/>
            </w:tcBorders>
            <w:vMerge w:val="continue"/>
          </w:tcPr>
          <w:p>
            <w:pPr>
              <w:spacing w:after="0"/>
              <w:rPr>
                <w:sz w:val="4"/>
                <w:szCs w:val="4"/>
                <w:color w:val="auto"/>
              </w:rPr>
            </w:pPr>
          </w:p>
        </w:tc>
        <w:tc>
          <w:tcPr>
            <w:tcW w:w="220" w:type="dxa"/>
            <w:vAlign w:val="bottom"/>
            <w:vMerge w:val="continue"/>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77"/>
        </w:trPr>
        <w:tc>
          <w:tcPr>
            <w:tcW w:w="7180" w:type="dxa"/>
            <w:vAlign w:val="bottom"/>
            <w:gridSpan w:val="2"/>
          </w:tcPr>
          <w:p>
            <w:pPr>
              <w:ind w:left="300"/>
              <w:spacing w:after="0"/>
              <w:rPr>
                <w:sz w:val="20"/>
                <w:szCs w:val="20"/>
                <w:color w:val="auto"/>
              </w:rPr>
            </w:pPr>
            <w:r>
              <w:rPr>
                <w:rFonts w:ascii="Arial" w:cs="Arial" w:eastAsia="Arial" w:hAnsi="Arial"/>
                <w:sz w:val="15"/>
                <w:szCs w:val="15"/>
                <w:color w:val="auto"/>
              </w:rPr>
              <w:t>Total gain (loss)</w:t>
            </w:r>
          </w:p>
        </w:tc>
        <w:tc>
          <w:tcPr>
            <w:tcW w:w="280" w:type="dxa"/>
            <w:vAlign w:val="bottom"/>
            <w:vMerge w:val="restart"/>
          </w:tcPr>
          <w:p>
            <w:pPr>
              <w:jc w:val="right"/>
              <w:ind w:right="103"/>
              <w:spacing w:after="0"/>
              <w:rPr>
                <w:sz w:val="20"/>
                <w:szCs w:val="20"/>
                <w:color w:val="auto"/>
              </w:rPr>
            </w:pPr>
            <w:r>
              <w:rPr>
                <w:rFonts w:ascii="Arial" w:cs="Arial" w:eastAsia="Arial" w:hAnsi="Arial"/>
                <w:sz w:val="15"/>
                <w:szCs w:val="15"/>
                <w:color w:val="auto"/>
                <w:w w:val="95"/>
              </w:rPr>
              <w:t>$</w:t>
            </w:r>
          </w:p>
        </w:tc>
        <w:tc>
          <w:tcPr>
            <w:tcW w:w="920" w:type="dxa"/>
            <w:vAlign w:val="bottom"/>
            <w:vMerge w:val="restart"/>
          </w:tcPr>
          <w:p>
            <w:pPr>
              <w:ind w:left="700"/>
              <w:spacing w:after="0"/>
              <w:rPr>
                <w:sz w:val="20"/>
                <w:szCs w:val="20"/>
                <w:color w:val="auto"/>
              </w:rPr>
            </w:pPr>
            <w:r>
              <w:rPr>
                <w:rFonts w:ascii="Arial" w:cs="Arial" w:eastAsia="Arial" w:hAnsi="Arial"/>
                <w:sz w:val="15"/>
                <w:szCs w:val="15"/>
                <w:color w:val="auto"/>
              </w:rPr>
              <w:t>—</w:t>
            </w:r>
          </w:p>
        </w:tc>
        <w:tc>
          <w:tcPr>
            <w:tcW w:w="500" w:type="dxa"/>
            <w:vAlign w:val="bottom"/>
            <w:gridSpan w:val="2"/>
            <w:vMerge w:val="restart"/>
          </w:tcPr>
          <w:p>
            <w:pPr>
              <w:jc w:val="right"/>
              <w:ind w:right="103"/>
              <w:spacing w:after="0"/>
              <w:rPr>
                <w:sz w:val="20"/>
                <w:szCs w:val="20"/>
                <w:color w:val="auto"/>
              </w:rPr>
            </w:pPr>
            <w:r>
              <w:rPr>
                <w:rFonts w:ascii="Arial" w:cs="Arial" w:eastAsia="Arial" w:hAnsi="Arial"/>
                <w:sz w:val="15"/>
                <w:szCs w:val="15"/>
                <w:color w:val="auto"/>
              </w:rPr>
              <w:t>$</w:t>
            </w:r>
          </w:p>
        </w:tc>
        <w:tc>
          <w:tcPr>
            <w:tcW w:w="1140" w:type="dxa"/>
            <w:vAlign w:val="bottom"/>
            <w:gridSpan w:val="2"/>
            <w:vMerge w:val="restart"/>
          </w:tcPr>
          <w:p>
            <w:pPr>
              <w:ind w:left="700"/>
              <w:spacing w:after="0"/>
              <w:rPr>
                <w:sz w:val="20"/>
                <w:szCs w:val="20"/>
                <w:color w:val="auto"/>
              </w:rPr>
            </w:pPr>
            <w:r>
              <w:rPr>
                <w:rFonts w:ascii="Arial" w:cs="Arial" w:eastAsia="Arial" w:hAnsi="Arial"/>
                <w:sz w:val="15"/>
                <w:szCs w:val="15"/>
                <w:color w:val="auto"/>
              </w:rPr>
              <w:t>—</w:t>
            </w:r>
          </w:p>
        </w:tc>
        <w:tc>
          <w:tcPr>
            <w:tcW w:w="280" w:type="dxa"/>
            <w:vAlign w:val="bottom"/>
            <w:vMerge w:val="restart"/>
          </w:tcPr>
          <w:p>
            <w:pPr>
              <w:jc w:val="right"/>
              <w:ind w:right="103"/>
              <w:spacing w:after="0"/>
              <w:rPr>
                <w:sz w:val="20"/>
                <w:szCs w:val="20"/>
                <w:color w:val="auto"/>
              </w:rPr>
            </w:pPr>
            <w:r>
              <w:rPr>
                <w:rFonts w:ascii="Arial" w:cs="Arial" w:eastAsia="Arial" w:hAnsi="Arial"/>
                <w:sz w:val="15"/>
                <w:szCs w:val="15"/>
                <w:color w:val="auto"/>
                <w:w w:val="95"/>
              </w:rPr>
              <w:t>$</w:t>
            </w:r>
          </w:p>
        </w:tc>
        <w:tc>
          <w:tcPr>
            <w:tcW w:w="920" w:type="dxa"/>
            <w:vAlign w:val="bottom"/>
            <w:vMerge w:val="restart"/>
          </w:tcPr>
          <w:p>
            <w:pPr>
              <w:jc w:val="right"/>
              <w:spacing w:after="0"/>
              <w:rPr>
                <w:sz w:val="20"/>
                <w:szCs w:val="20"/>
                <w:color w:val="auto"/>
              </w:rPr>
            </w:pPr>
            <w:r>
              <w:rPr>
                <w:rFonts w:ascii="Arial" w:cs="Arial" w:eastAsia="Arial" w:hAnsi="Arial"/>
                <w:sz w:val="15"/>
                <w:szCs w:val="15"/>
                <w:color w:val="auto"/>
              </w:rPr>
              <w:t>(348)</w:t>
            </w:r>
          </w:p>
        </w:tc>
        <w:tc>
          <w:tcPr>
            <w:tcW w:w="0" w:type="dxa"/>
            <w:vAlign w:val="bottom"/>
          </w:tcPr>
          <w:p>
            <w:pPr>
              <w:spacing w:after="0"/>
              <w:rPr>
                <w:sz w:val="1"/>
                <w:szCs w:val="1"/>
                <w:color w:val="auto"/>
              </w:rPr>
            </w:pPr>
          </w:p>
        </w:tc>
      </w:tr>
      <w:tr>
        <w:trPr>
          <w:trHeight w:val="52"/>
        </w:trPr>
        <w:tc>
          <w:tcPr>
            <w:tcW w:w="2180" w:type="dxa"/>
            <w:vAlign w:val="bottom"/>
          </w:tcPr>
          <w:p>
            <w:pPr>
              <w:spacing w:after="0"/>
              <w:rPr>
                <w:sz w:val="4"/>
                <w:szCs w:val="4"/>
                <w:color w:val="auto"/>
              </w:rPr>
            </w:pPr>
          </w:p>
        </w:tc>
        <w:tc>
          <w:tcPr>
            <w:tcW w:w="5000" w:type="dxa"/>
            <w:vAlign w:val="bottom"/>
          </w:tcPr>
          <w:p>
            <w:pPr>
              <w:spacing w:after="0"/>
              <w:rPr>
                <w:sz w:val="4"/>
                <w:szCs w:val="4"/>
                <w:color w:val="auto"/>
              </w:rPr>
            </w:pPr>
          </w:p>
        </w:tc>
        <w:tc>
          <w:tcPr>
            <w:tcW w:w="280" w:type="dxa"/>
            <w:vAlign w:val="bottom"/>
            <w:vMerge w:val="continue"/>
          </w:tcPr>
          <w:p>
            <w:pPr>
              <w:spacing w:after="0"/>
              <w:rPr>
                <w:sz w:val="4"/>
                <w:szCs w:val="4"/>
                <w:color w:val="auto"/>
              </w:rPr>
            </w:pPr>
          </w:p>
        </w:tc>
        <w:tc>
          <w:tcPr>
            <w:tcW w:w="920" w:type="dxa"/>
            <w:vAlign w:val="bottom"/>
            <w:vMerge w:val="continue"/>
          </w:tcPr>
          <w:p>
            <w:pPr>
              <w:spacing w:after="0"/>
              <w:rPr>
                <w:sz w:val="4"/>
                <w:szCs w:val="4"/>
                <w:color w:val="auto"/>
              </w:rPr>
            </w:pPr>
          </w:p>
        </w:tc>
        <w:tc>
          <w:tcPr>
            <w:tcW w:w="500" w:type="dxa"/>
            <w:vAlign w:val="bottom"/>
            <w:gridSpan w:val="2"/>
            <w:vMerge w:val="continue"/>
          </w:tcPr>
          <w:p>
            <w:pPr>
              <w:spacing w:after="0"/>
              <w:rPr>
                <w:sz w:val="4"/>
                <w:szCs w:val="4"/>
                <w:color w:val="auto"/>
              </w:rPr>
            </w:pPr>
          </w:p>
        </w:tc>
        <w:tc>
          <w:tcPr>
            <w:tcW w:w="1140" w:type="dxa"/>
            <w:vAlign w:val="bottom"/>
            <w:gridSpan w:val="2"/>
            <w:vMerge w:val="continue"/>
          </w:tcPr>
          <w:p>
            <w:pPr>
              <w:spacing w:after="0"/>
              <w:rPr>
                <w:sz w:val="4"/>
                <w:szCs w:val="4"/>
                <w:color w:val="auto"/>
              </w:rPr>
            </w:pPr>
          </w:p>
        </w:tc>
        <w:tc>
          <w:tcPr>
            <w:tcW w:w="280" w:type="dxa"/>
            <w:vAlign w:val="bottom"/>
            <w:vMerge w:val="continue"/>
          </w:tcPr>
          <w:p>
            <w:pPr>
              <w:spacing w:after="0"/>
              <w:rPr>
                <w:sz w:val="4"/>
                <w:szCs w:val="4"/>
                <w:color w:val="auto"/>
              </w:rPr>
            </w:pPr>
          </w:p>
        </w:tc>
        <w:tc>
          <w:tcPr>
            <w:tcW w:w="9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218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180" w:type="dxa"/>
            <w:vAlign w:val="bottom"/>
            <w:tcBorders>
              <w:bottom w:val="single" w:sz="8" w:color="auto"/>
            </w:tcBorders>
          </w:tcPr>
          <w:p>
            <w:pPr>
              <w:spacing w:after="0"/>
              <w:rPr>
                <w:sz w:val="13"/>
                <w:szCs w:val="13"/>
                <w:color w:val="auto"/>
              </w:rPr>
            </w:pPr>
          </w:p>
        </w:tc>
        <w:tc>
          <w:tcPr>
            <w:tcW w:w="50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65" w:lineRule="exact"/>
        <w:rPr>
          <w:sz w:val="20"/>
          <w:szCs w:val="20"/>
          <w:color w:val="auto"/>
        </w:rPr>
      </w:pPr>
    </w:p>
    <w:p>
      <w:pPr>
        <w:ind w:left="380" w:right="180" w:hanging="377"/>
        <w:spacing w:after="0" w:line="282" w:lineRule="auto"/>
        <w:tabs>
          <w:tab w:leader="none" w:pos="352" w:val="left"/>
        </w:tabs>
        <w:numPr>
          <w:ilvl w:val="0"/>
          <w:numId w:val="39"/>
        </w:numPr>
        <w:rPr>
          <w:rFonts w:ascii="Arial" w:cs="Arial" w:eastAsia="Arial" w:hAnsi="Arial"/>
          <w:sz w:val="15"/>
          <w:szCs w:val="15"/>
          <w:color w:val="auto"/>
        </w:rPr>
      </w:pPr>
      <w:r>
        <w:rPr>
          <w:rFonts w:ascii="Arial" w:cs="Arial" w:eastAsia="Arial" w:hAnsi="Arial"/>
          <w:sz w:val="15"/>
          <w:szCs w:val="15"/>
          <w:color w:val="auto"/>
        </w:rPr>
        <w:t>To the extent that the Company’s freestanding derivatives are utilized to hedge its foreign-currency exposure to investment income earned from consolidated funds, the related hedged items are eliminated in consolidation, with the derivative impact (a positive number reflects a reduction in expenses) reflected in consolidated general and administrative expense.</w:t>
      </w:r>
    </w:p>
    <w:p>
      <w:pPr>
        <w:spacing w:after="0" w:line="148" w:lineRule="exact"/>
        <w:rPr>
          <w:sz w:val="20"/>
          <w:szCs w:val="20"/>
          <w:color w:val="auto"/>
        </w:rPr>
      </w:pPr>
    </w:p>
    <w:p>
      <w:pPr>
        <w:ind w:right="600" w:firstLine="619"/>
        <w:spacing w:after="0" w:line="290" w:lineRule="auto"/>
        <w:rPr>
          <w:sz w:val="20"/>
          <w:szCs w:val="20"/>
          <w:color w:val="auto"/>
        </w:rPr>
      </w:pPr>
      <w:r>
        <w:rPr>
          <w:rFonts w:ascii="Arial" w:cs="Arial" w:eastAsia="Arial" w:hAnsi="Arial"/>
          <w:sz w:val="17"/>
          <w:szCs w:val="17"/>
          <w:color w:val="auto"/>
        </w:rPr>
        <w:t>Subsequent to the 2024 Restructuring, with the deconsolidation of Oaktree Capital I, the Company no longer holds any freestanding derivatives.</w:t>
      </w:r>
    </w:p>
    <w:p>
      <w:pPr>
        <w:spacing w:after="0" w:line="24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Derivatives Held By Consolidated Funds</w:t>
      </w:r>
    </w:p>
    <w:p>
      <w:pPr>
        <w:spacing w:after="0" w:line="168" w:lineRule="exact"/>
        <w:rPr>
          <w:sz w:val="20"/>
          <w:szCs w:val="20"/>
          <w:color w:val="auto"/>
        </w:rPr>
      </w:pPr>
    </w:p>
    <w:p>
      <w:pPr>
        <w:ind w:right="80" w:firstLine="619"/>
        <w:spacing w:after="0" w:line="262" w:lineRule="auto"/>
        <w:rPr>
          <w:sz w:val="20"/>
          <w:szCs w:val="20"/>
          <w:color w:val="auto"/>
        </w:rPr>
      </w:pPr>
      <w:r>
        <w:rPr>
          <w:rFonts w:ascii="Arial" w:cs="Arial" w:eastAsia="Arial" w:hAnsi="Arial"/>
          <w:sz w:val="17"/>
          <w:szCs w:val="17"/>
          <w:color w:val="auto"/>
        </w:rPr>
        <w:t>Certain consolidated funds utilize derivatives in their ongoing investment operations. These derivatives primarily consist of foreign-currency forward contracts and options utilized to manage currency risk, interest-rate swaps to hedge interest-rate risk, options and futures used to hedge certain exposures for specific securities, and total-return swaps utilized mainly to obtain exposure to leveraged loans or to participate in foreign markets not readily accessible. The primary risk exposure for options and futures is price, while the primary risk exposure for total-return swaps is credit. None of the derivative instruments are accounted for as a hedging instrument utilizing hedge accounting.</w:t>
      </w:r>
    </w:p>
    <w:p>
      <w:pPr>
        <w:spacing w:after="0" w:line="119"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fair value of derivatives held by the consolidated funds consisted of the following:</w:t>
      </w:r>
    </w:p>
    <w:p>
      <w:pPr>
        <w:spacing w:after="0" w:line="139" w:lineRule="exact"/>
        <w:rPr>
          <w:sz w:val="20"/>
          <w:szCs w:val="20"/>
          <w:color w:val="auto"/>
        </w:rPr>
      </w:pPr>
    </w:p>
    <w:tbl>
      <w:tblPr>
        <w:tblLayout w:type="fixed"/>
        <w:tblInd w:w="20" w:type="dxa"/>
        <w:tblCellMar>
          <w:top w:w="0" w:type="dxa"/>
          <w:left w:w="0" w:type="dxa"/>
          <w:bottom w:w="0" w:type="dxa"/>
          <w:right w:w="0" w:type="dxa"/>
        </w:tblCellMar>
      </w:tblPr>
      <w:tr>
        <w:trPr>
          <w:trHeight w:val="169"/>
        </w:trPr>
        <w:tc>
          <w:tcPr>
            <w:tcW w:w="162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3"/>
          </w:tcPr>
          <w:p>
            <w:pPr>
              <w:jc w:val="right"/>
              <w:ind w:right="23"/>
              <w:spacing w:after="0"/>
              <w:rPr>
                <w:sz w:val="20"/>
                <w:szCs w:val="20"/>
                <w:color w:val="auto"/>
              </w:rPr>
            </w:pPr>
            <w:r>
              <w:rPr>
                <w:rFonts w:ascii="Arial" w:cs="Arial" w:eastAsia="Arial" w:hAnsi="Arial"/>
                <w:sz w:val="12"/>
                <w:szCs w:val="12"/>
                <w:b w:val="1"/>
                <w:bCs w:val="1"/>
                <w:color w:val="auto"/>
              </w:rPr>
              <w:t>Assets</w:t>
            </w:r>
          </w:p>
        </w:tc>
        <w:tc>
          <w:tcPr>
            <w:tcW w:w="10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3"/>
          </w:tcPr>
          <w:p>
            <w:pPr>
              <w:jc w:val="right"/>
              <w:ind w:right="3"/>
              <w:spacing w:after="0"/>
              <w:rPr>
                <w:sz w:val="20"/>
                <w:szCs w:val="20"/>
                <w:color w:val="auto"/>
              </w:rPr>
            </w:pPr>
            <w:r>
              <w:rPr>
                <w:rFonts w:ascii="Arial" w:cs="Arial" w:eastAsia="Arial" w:hAnsi="Arial"/>
                <w:sz w:val="12"/>
                <w:szCs w:val="12"/>
                <w:b w:val="1"/>
                <w:bCs w:val="1"/>
                <w:color w:val="auto"/>
              </w:rPr>
              <w:t>Liabilities</w:t>
            </w:r>
          </w:p>
        </w:tc>
        <w:tc>
          <w:tcPr>
            <w:tcW w:w="9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62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gridSpan w:val="2"/>
          </w:tcPr>
          <w:p>
            <w:pPr>
              <w:ind w:left="120"/>
              <w:spacing w:after="0"/>
              <w:rPr>
                <w:sz w:val="20"/>
                <w:szCs w:val="20"/>
                <w:color w:val="auto"/>
              </w:rPr>
            </w:pPr>
            <w:r>
              <w:rPr>
                <w:rFonts w:ascii="Arial" w:cs="Arial" w:eastAsia="Arial" w:hAnsi="Arial"/>
                <w:sz w:val="12"/>
                <w:szCs w:val="12"/>
                <w:b w:val="1"/>
                <w:bCs w:val="1"/>
                <w:color w:val="auto"/>
              </w:rPr>
              <w:t>Notional</w:t>
            </w:r>
          </w:p>
        </w:tc>
        <w:tc>
          <w:tcPr>
            <w:tcW w:w="200" w:type="dxa"/>
            <w:vAlign w:val="bottom"/>
          </w:tcPr>
          <w:p>
            <w:pPr>
              <w:spacing w:after="0"/>
              <w:rPr>
                <w:sz w:val="14"/>
                <w:szCs w:val="14"/>
                <w:color w:val="auto"/>
              </w:rPr>
            </w:pPr>
          </w:p>
        </w:tc>
        <w:tc>
          <w:tcPr>
            <w:tcW w:w="1000" w:type="dxa"/>
            <w:vAlign w:val="bottom"/>
          </w:tcPr>
          <w:p>
            <w:pPr>
              <w:jc w:val="right"/>
              <w:ind w:right="245"/>
              <w:spacing w:after="0"/>
              <w:rPr>
                <w:sz w:val="20"/>
                <w:szCs w:val="20"/>
                <w:color w:val="auto"/>
              </w:rPr>
            </w:pPr>
            <w:r>
              <w:rPr>
                <w:rFonts w:ascii="Arial" w:cs="Arial" w:eastAsia="Arial" w:hAnsi="Arial"/>
                <w:sz w:val="12"/>
                <w:szCs w:val="12"/>
                <w:b w:val="1"/>
                <w:bCs w:val="1"/>
                <w:color w:val="auto"/>
              </w:rPr>
              <w:t>Fair Value</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gridSpan w:val="2"/>
          </w:tcPr>
          <w:p>
            <w:pPr>
              <w:ind w:left="140"/>
              <w:spacing w:after="0"/>
              <w:rPr>
                <w:sz w:val="20"/>
                <w:szCs w:val="20"/>
                <w:color w:val="auto"/>
              </w:rPr>
            </w:pPr>
            <w:r>
              <w:rPr>
                <w:rFonts w:ascii="Arial" w:cs="Arial" w:eastAsia="Arial" w:hAnsi="Arial"/>
                <w:sz w:val="12"/>
                <w:szCs w:val="12"/>
                <w:b w:val="1"/>
                <w:bCs w:val="1"/>
                <w:color w:val="auto"/>
              </w:rPr>
              <w:t>Notional</w:t>
            </w:r>
          </w:p>
        </w:tc>
        <w:tc>
          <w:tcPr>
            <w:tcW w:w="240" w:type="dxa"/>
            <w:vAlign w:val="bottom"/>
          </w:tcPr>
          <w:p>
            <w:pPr>
              <w:spacing w:after="0"/>
              <w:rPr>
                <w:sz w:val="14"/>
                <w:szCs w:val="14"/>
                <w:color w:val="auto"/>
              </w:rPr>
            </w:pPr>
          </w:p>
        </w:tc>
        <w:tc>
          <w:tcPr>
            <w:tcW w:w="960" w:type="dxa"/>
            <w:vAlign w:val="bottom"/>
          </w:tcPr>
          <w:p>
            <w:pPr>
              <w:jc w:val="right"/>
              <w:ind w:right="245"/>
              <w:spacing w:after="0"/>
              <w:rPr>
                <w:sz w:val="20"/>
                <w:szCs w:val="20"/>
                <w:color w:val="auto"/>
              </w:rPr>
            </w:pPr>
            <w:r>
              <w:rPr>
                <w:rFonts w:ascii="Arial" w:cs="Arial" w:eastAsia="Arial" w:hAnsi="Arial"/>
                <w:sz w:val="12"/>
                <w:szCs w:val="12"/>
                <w:b w:val="1"/>
                <w:bCs w:val="1"/>
                <w:color w:val="auto"/>
              </w:rPr>
              <w:t>Fair Value</w:t>
            </w:r>
          </w:p>
        </w:tc>
        <w:tc>
          <w:tcPr>
            <w:tcW w:w="0" w:type="dxa"/>
            <w:vAlign w:val="bottom"/>
          </w:tcPr>
          <w:p>
            <w:pPr>
              <w:spacing w:after="0"/>
              <w:rPr>
                <w:sz w:val="1"/>
                <w:szCs w:val="1"/>
                <w:color w:val="auto"/>
              </w:rPr>
            </w:pPr>
          </w:p>
        </w:tc>
      </w:tr>
      <w:tr>
        <w:trPr>
          <w:trHeight w:val="137"/>
        </w:trPr>
        <w:tc>
          <w:tcPr>
            <w:tcW w:w="1620" w:type="dxa"/>
            <w:vAlign w:val="bottom"/>
            <w:tcBorders>
              <w:bottom w:val="single" w:sz="8" w:color="auto"/>
            </w:tcBorders>
          </w:tcPr>
          <w:p>
            <w:pPr>
              <w:spacing w:after="0" w:line="137" w:lineRule="exact"/>
              <w:rPr>
                <w:sz w:val="20"/>
                <w:szCs w:val="20"/>
                <w:color w:val="auto"/>
              </w:rPr>
            </w:pPr>
            <w:r>
              <w:rPr>
                <w:rFonts w:ascii="Arial" w:cs="Arial" w:eastAsia="Arial" w:hAnsi="Arial"/>
                <w:sz w:val="14"/>
                <w:szCs w:val="14"/>
                <w:b w:val="1"/>
                <w:bCs w:val="1"/>
                <w:color w:val="auto"/>
                <w:w w:val="96"/>
              </w:rPr>
              <w:t>As of December 31, 2025</w:t>
            </w:r>
          </w:p>
        </w:tc>
        <w:tc>
          <w:tcPr>
            <w:tcW w:w="414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23"/>
        </w:trPr>
        <w:tc>
          <w:tcPr>
            <w:tcW w:w="5760" w:type="dxa"/>
            <w:vAlign w:val="bottom"/>
            <w:gridSpan w:val="2"/>
          </w:tcPr>
          <w:p>
            <w:pPr>
              <w:spacing w:after="0"/>
              <w:rPr>
                <w:sz w:val="20"/>
                <w:szCs w:val="20"/>
                <w:color w:val="auto"/>
              </w:rPr>
            </w:pPr>
            <w:r>
              <w:rPr>
                <w:rFonts w:ascii="Arial" w:cs="Arial" w:eastAsia="Arial" w:hAnsi="Arial"/>
                <w:sz w:val="15"/>
                <w:szCs w:val="15"/>
                <w:color w:val="auto"/>
              </w:rPr>
              <w:t>Foreign-currency forward contracts</w:t>
            </w:r>
          </w:p>
        </w:tc>
        <w:tc>
          <w:tcPr>
            <w:tcW w:w="240" w:type="dxa"/>
            <w:vAlign w:val="bottom"/>
          </w:tcPr>
          <w:p>
            <w:pPr>
              <w:jc w:val="right"/>
              <w:ind w:right="63"/>
              <w:spacing w:after="0"/>
              <w:rPr>
                <w:sz w:val="20"/>
                <w:szCs w:val="20"/>
                <w:color w:val="auto"/>
              </w:rPr>
            </w:pPr>
            <w:r>
              <w:rPr>
                <w:rFonts w:ascii="Arial" w:cs="Arial" w:eastAsia="Arial" w:hAnsi="Arial"/>
                <w:sz w:val="15"/>
                <w:szCs w:val="15"/>
                <w:color w:val="auto"/>
                <w:w w:val="95"/>
              </w:rPr>
              <w:t>$</w:t>
            </w:r>
          </w:p>
        </w:tc>
        <w:tc>
          <w:tcPr>
            <w:tcW w:w="980" w:type="dxa"/>
            <w:vAlign w:val="bottom"/>
          </w:tcPr>
          <w:p>
            <w:pPr>
              <w:jc w:val="right"/>
              <w:ind w:right="6"/>
              <w:spacing w:after="0"/>
              <w:rPr>
                <w:sz w:val="20"/>
                <w:szCs w:val="20"/>
                <w:color w:val="auto"/>
              </w:rPr>
            </w:pPr>
            <w:r>
              <w:rPr>
                <w:rFonts w:ascii="Arial" w:cs="Arial" w:eastAsia="Arial" w:hAnsi="Arial"/>
                <w:sz w:val="15"/>
                <w:szCs w:val="15"/>
                <w:color w:val="auto"/>
              </w:rPr>
              <w:t>1,066,772</w:t>
            </w:r>
          </w:p>
        </w:tc>
        <w:tc>
          <w:tcPr>
            <w:tcW w:w="200" w:type="dxa"/>
            <w:vAlign w:val="bottom"/>
          </w:tcPr>
          <w:p>
            <w:pPr>
              <w:spacing w:after="0"/>
              <w:rPr>
                <w:sz w:val="19"/>
                <w:szCs w:val="19"/>
                <w:color w:val="auto"/>
              </w:rPr>
            </w:pPr>
          </w:p>
        </w:tc>
        <w:tc>
          <w:tcPr>
            <w:tcW w:w="200" w:type="dxa"/>
            <w:vAlign w:val="bottom"/>
          </w:tcPr>
          <w:p>
            <w:pPr>
              <w:jc w:val="right"/>
              <w:ind w:right="23"/>
              <w:spacing w:after="0"/>
              <w:rPr>
                <w:sz w:val="20"/>
                <w:szCs w:val="20"/>
                <w:color w:val="auto"/>
              </w:rPr>
            </w:pPr>
            <w:r>
              <w:rPr>
                <w:rFonts w:ascii="Arial" w:cs="Arial" w:eastAsia="Arial" w:hAnsi="Arial"/>
                <w:sz w:val="15"/>
                <w:szCs w:val="15"/>
                <w:color w:val="auto"/>
                <w:w w:val="95"/>
              </w:rPr>
              <w:t>$</w:t>
            </w:r>
          </w:p>
        </w:tc>
        <w:tc>
          <w:tcPr>
            <w:tcW w:w="1000" w:type="dxa"/>
            <w:vAlign w:val="bottom"/>
          </w:tcPr>
          <w:p>
            <w:pPr>
              <w:jc w:val="right"/>
              <w:spacing w:after="0"/>
              <w:rPr>
                <w:sz w:val="20"/>
                <w:szCs w:val="20"/>
                <w:color w:val="auto"/>
              </w:rPr>
            </w:pPr>
            <w:r>
              <w:rPr>
                <w:rFonts w:ascii="Arial" w:cs="Arial" w:eastAsia="Arial" w:hAnsi="Arial"/>
                <w:sz w:val="15"/>
                <w:szCs w:val="15"/>
                <w:color w:val="auto"/>
              </w:rPr>
              <w:t>7,800</w:t>
            </w:r>
          </w:p>
        </w:tc>
        <w:tc>
          <w:tcPr>
            <w:tcW w:w="220" w:type="dxa"/>
            <w:vAlign w:val="bottom"/>
          </w:tcPr>
          <w:p>
            <w:pPr>
              <w:spacing w:after="0"/>
              <w:rPr>
                <w:sz w:val="19"/>
                <w:szCs w:val="19"/>
                <w:color w:val="auto"/>
              </w:rPr>
            </w:pPr>
          </w:p>
        </w:tc>
        <w:tc>
          <w:tcPr>
            <w:tcW w:w="220" w:type="dxa"/>
            <w:vAlign w:val="bottom"/>
          </w:tcPr>
          <w:p>
            <w:pPr>
              <w:jc w:val="right"/>
              <w:ind w:right="43"/>
              <w:spacing w:after="0"/>
              <w:rPr>
                <w:sz w:val="20"/>
                <w:szCs w:val="20"/>
                <w:color w:val="auto"/>
              </w:rPr>
            </w:pPr>
            <w:r>
              <w:rPr>
                <w:rFonts w:ascii="Arial" w:cs="Arial" w:eastAsia="Arial" w:hAnsi="Arial"/>
                <w:sz w:val="15"/>
                <w:szCs w:val="15"/>
                <w:color w:val="auto"/>
                <w:w w:val="95"/>
              </w:rPr>
              <w:t>$</w:t>
            </w:r>
          </w:p>
        </w:tc>
        <w:tc>
          <w:tcPr>
            <w:tcW w:w="980" w:type="dxa"/>
            <w:vAlign w:val="bottom"/>
          </w:tcPr>
          <w:p>
            <w:pPr>
              <w:jc w:val="right"/>
              <w:spacing w:after="0"/>
              <w:rPr>
                <w:sz w:val="20"/>
                <w:szCs w:val="20"/>
                <w:color w:val="auto"/>
              </w:rPr>
            </w:pPr>
            <w:r>
              <w:rPr>
                <w:rFonts w:ascii="Arial" w:cs="Arial" w:eastAsia="Arial" w:hAnsi="Arial"/>
                <w:sz w:val="15"/>
                <w:szCs w:val="15"/>
                <w:color w:val="auto"/>
              </w:rPr>
              <w:t>(216,189)</w:t>
            </w:r>
          </w:p>
        </w:tc>
        <w:tc>
          <w:tcPr>
            <w:tcW w:w="220" w:type="dxa"/>
            <w:vAlign w:val="bottom"/>
          </w:tcPr>
          <w:p>
            <w:pPr>
              <w:spacing w:after="0"/>
              <w:rPr>
                <w:sz w:val="19"/>
                <w:szCs w:val="19"/>
                <w:color w:val="auto"/>
              </w:rPr>
            </w:pPr>
          </w:p>
        </w:tc>
        <w:tc>
          <w:tcPr>
            <w:tcW w:w="240" w:type="dxa"/>
            <w:vAlign w:val="bottom"/>
          </w:tcPr>
          <w:p>
            <w:pPr>
              <w:jc w:val="right"/>
              <w:ind w:right="63"/>
              <w:spacing w:after="0"/>
              <w:rPr>
                <w:sz w:val="20"/>
                <w:szCs w:val="20"/>
                <w:color w:val="auto"/>
              </w:rPr>
            </w:pPr>
            <w:r>
              <w:rPr>
                <w:rFonts w:ascii="Arial" w:cs="Arial" w:eastAsia="Arial" w:hAnsi="Arial"/>
                <w:sz w:val="15"/>
                <w:szCs w:val="15"/>
                <w:color w:val="auto"/>
                <w:w w:val="95"/>
              </w:rPr>
              <w:t>$</w:t>
            </w:r>
          </w:p>
        </w:tc>
        <w:tc>
          <w:tcPr>
            <w:tcW w:w="960" w:type="dxa"/>
            <w:vAlign w:val="bottom"/>
          </w:tcPr>
          <w:p>
            <w:pPr>
              <w:jc w:val="right"/>
              <w:spacing w:after="0"/>
              <w:rPr>
                <w:sz w:val="20"/>
                <w:szCs w:val="20"/>
                <w:color w:val="auto"/>
              </w:rPr>
            </w:pPr>
            <w:r>
              <w:rPr>
                <w:rFonts w:ascii="Arial" w:cs="Arial" w:eastAsia="Arial" w:hAnsi="Arial"/>
                <w:sz w:val="15"/>
                <w:szCs w:val="15"/>
                <w:color w:val="auto"/>
              </w:rPr>
              <w:t>(47,032)</w:t>
            </w:r>
          </w:p>
        </w:tc>
        <w:tc>
          <w:tcPr>
            <w:tcW w:w="0" w:type="dxa"/>
            <w:vAlign w:val="bottom"/>
          </w:tcPr>
          <w:p>
            <w:pPr>
              <w:spacing w:after="0"/>
              <w:rPr>
                <w:sz w:val="1"/>
                <w:szCs w:val="1"/>
                <w:color w:val="auto"/>
              </w:rPr>
            </w:pPr>
          </w:p>
        </w:tc>
      </w:tr>
      <w:tr>
        <w:trPr>
          <w:trHeight w:val="206"/>
        </w:trPr>
        <w:tc>
          <w:tcPr>
            <w:tcW w:w="5760" w:type="dxa"/>
            <w:vAlign w:val="bottom"/>
            <w:gridSpan w:val="2"/>
          </w:tcPr>
          <w:p>
            <w:pPr>
              <w:spacing w:after="0"/>
              <w:rPr>
                <w:sz w:val="20"/>
                <w:szCs w:val="20"/>
                <w:color w:val="auto"/>
              </w:rPr>
            </w:pPr>
            <w:r>
              <w:rPr>
                <w:rFonts w:ascii="Arial" w:cs="Arial" w:eastAsia="Arial" w:hAnsi="Arial"/>
                <w:sz w:val="15"/>
                <w:szCs w:val="15"/>
                <w:color w:val="auto"/>
              </w:rPr>
              <w:t>Total-return and interest-rate and credit default swaps</w:t>
            </w:r>
          </w:p>
        </w:tc>
        <w:tc>
          <w:tcPr>
            <w:tcW w:w="240" w:type="dxa"/>
            <w:vAlign w:val="bottom"/>
          </w:tcPr>
          <w:p>
            <w:pPr>
              <w:spacing w:after="0"/>
              <w:rPr>
                <w:sz w:val="17"/>
                <w:szCs w:val="17"/>
                <w:color w:val="auto"/>
              </w:rPr>
            </w:pPr>
          </w:p>
        </w:tc>
        <w:tc>
          <w:tcPr>
            <w:tcW w:w="980" w:type="dxa"/>
            <w:vAlign w:val="bottom"/>
          </w:tcPr>
          <w:p>
            <w:pPr>
              <w:jc w:val="right"/>
              <w:ind w:right="6"/>
              <w:spacing w:after="0"/>
              <w:rPr>
                <w:sz w:val="20"/>
                <w:szCs w:val="20"/>
                <w:color w:val="auto"/>
              </w:rPr>
            </w:pPr>
            <w:r>
              <w:rPr>
                <w:rFonts w:ascii="Arial" w:cs="Arial" w:eastAsia="Arial" w:hAnsi="Arial"/>
                <w:sz w:val="15"/>
                <w:szCs w:val="15"/>
                <w:color w:val="auto"/>
              </w:rPr>
              <w:t>219,693</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1,270</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(5,584)</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7"/>
        </w:trPr>
        <w:tc>
          <w:tcPr>
            <w:tcW w:w="5760" w:type="dxa"/>
            <w:vAlign w:val="bottom"/>
            <w:gridSpan w:val="2"/>
          </w:tcPr>
          <w:p>
            <w:pPr>
              <w:spacing w:after="0"/>
              <w:rPr>
                <w:sz w:val="20"/>
                <w:szCs w:val="20"/>
                <w:color w:val="auto"/>
              </w:rPr>
            </w:pPr>
            <w:r>
              <w:rPr>
                <w:rFonts w:ascii="Arial" w:cs="Arial" w:eastAsia="Arial" w:hAnsi="Arial"/>
                <w:sz w:val="15"/>
                <w:szCs w:val="15"/>
                <w:color w:val="auto"/>
              </w:rPr>
              <w:t>Options and futures</w:t>
            </w:r>
          </w:p>
        </w:tc>
        <w:tc>
          <w:tcPr>
            <w:tcW w:w="240" w:type="dxa"/>
            <w:vAlign w:val="bottom"/>
          </w:tcPr>
          <w:p>
            <w:pPr>
              <w:spacing w:after="0"/>
              <w:rPr>
                <w:sz w:val="18"/>
                <w:szCs w:val="18"/>
                <w:color w:val="auto"/>
              </w:rPr>
            </w:pPr>
          </w:p>
        </w:tc>
        <w:tc>
          <w:tcPr>
            <w:tcW w:w="980" w:type="dxa"/>
            <w:vAlign w:val="bottom"/>
          </w:tcPr>
          <w:p>
            <w:pPr>
              <w:jc w:val="right"/>
              <w:ind w:right="6"/>
              <w:spacing w:after="0"/>
              <w:rPr>
                <w:sz w:val="20"/>
                <w:szCs w:val="20"/>
                <w:color w:val="auto"/>
              </w:rPr>
            </w:pPr>
            <w:r>
              <w:rPr>
                <w:rFonts w:ascii="Arial" w:cs="Arial" w:eastAsia="Arial" w:hAnsi="Arial"/>
                <w:sz w:val="15"/>
                <w:szCs w:val="15"/>
                <w:color w:val="auto"/>
              </w:rPr>
              <w:t>62,266</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(16,587)</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(1,861)</w:t>
            </w:r>
          </w:p>
        </w:tc>
        <w:tc>
          <w:tcPr>
            <w:tcW w:w="0" w:type="dxa"/>
            <w:vAlign w:val="bottom"/>
          </w:tcPr>
          <w:p>
            <w:pPr>
              <w:spacing w:after="0"/>
              <w:rPr>
                <w:sz w:val="1"/>
                <w:szCs w:val="1"/>
                <w:color w:val="auto"/>
              </w:rPr>
            </w:pPr>
          </w:p>
        </w:tc>
      </w:tr>
      <w:tr>
        <w:trPr>
          <w:trHeight w:val="200"/>
        </w:trPr>
        <w:tc>
          <w:tcPr>
            <w:tcW w:w="5760" w:type="dxa"/>
            <w:vAlign w:val="bottom"/>
            <w:gridSpan w:val="2"/>
          </w:tcPr>
          <w:p>
            <w:pPr>
              <w:ind w:left="300"/>
              <w:spacing w:after="0"/>
              <w:rPr>
                <w:sz w:val="20"/>
                <w:szCs w:val="20"/>
                <w:color w:val="auto"/>
              </w:rPr>
            </w:pPr>
            <w:r>
              <w:rPr>
                <w:rFonts w:ascii="Arial" w:cs="Arial" w:eastAsia="Arial" w:hAnsi="Arial"/>
                <w:sz w:val="15"/>
                <w:szCs w:val="15"/>
                <w:color w:val="auto"/>
              </w:rPr>
              <w:t>Total</w:t>
            </w:r>
          </w:p>
        </w:tc>
        <w:tc>
          <w:tcPr>
            <w:tcW w:w="240" w:type="dxa"/>
            <w:vAlign w:val="bottom"/>
            <w:tcBorders>
              <w:top w:val="single" w:sz="8" w:color="auto"/>
              <w:bottom w:val="single" w:sz="8" w:color="auto"/>
            </w:tcBorders>
          </w:tcPr>
          <w:p>
            <w:pPr>
              <w:jc w:val="right"/>
              <w:ind w:right="63"/>
              <w:spacing w:after="0"/>
              <w:rPr>
                <w:sz w:val="20"/>
                <w:szCs w:val="20"/>
                <w:color w:val="auto"/>
              </w:rPr>
            </w:pPr>
            <w:r>
              <w:rPr>
                <w:rFonts w:ascii="Arial" w:cs="Arial" w:eastAsia="Arial" w:hAnsi="Arial"/>
                <w:sz w:val="15"/>
                <w:szCs w:val="15"/>
                <w:color w:val="auto"/>
                <w:w w:val="95"/>
              </w:rPr>
              <w:t>$</w:t>
            </w:r>
          </w:p>
        </w:tc>
        <w:tc>
          <w:tcPr>
            <w:tcW w:w="98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5"/>
                <w:szCs w:val="15"/>
                <w:color w:val="auto"/>
              </w:rPr>
              <w:t>1,348,731</w:t>
            </w:r>
          </w:p>
        </w:tc>
        <w:tc>
          <w:tcPr>
            <w:tcW w:w="20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5"/>
                <w:szCs w:val="15"/>
                <w:color w:val="auto"/>
                <w:w w:val="95"/>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9,070</w:t>
            </w:r>
          </w:p>
        </w:tc>
        <w:tc>
          <w:tcPr>
            <w:tcW w:w="22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5"/>
                <w:szCs w:val="15"/>
                <w:color w:val="auto"/>
                <w:w w:val="95"/>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(238,360)</w:t>
            </w:r>
          </w:p>
        </w:tc>
        <w:tc>
          <w:tcPr>
            <w:tcW w:w="22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63"/>
              <w:spacing w:after="0"/>
              <w:rPr>
                <w:sz w:val="20"/>
                <w:szCs w:val="20"/>
                <w:color w:val="auto"/>
              </w:rPr>
            </w:pPr>
            <w:r>
              <w:rPr>
                <w:rFonts w:ascii="Arial" w:cs="Arial" w:eastAsia="Arial" w:hAnsi="Arial"/>
                <w:sz w:val="15"/>
                <w:szCs w:val="15"/>
                <w:color w:val="auto"/>
                <w:w w:val="95"/>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(48,893)</w:t>
            </w:r>
          </w:p>
        </w:tc>
        <w:tc>
          <w:tcPr>
            <w:tcW w:w="0" w:type="dxa"/>
            <w:vAlign w:val="bottom"/>
          </w:tcPr>
          <w:p>
            <w:pPr>
              <w:spacing w:after="0"/>
              <w:rPr>
                <w:sz w:val="1"/>
                <w:szCs w:val="1"/>
                <w:color w:val="auto"/>
              </w:rPr>
            </w:pPr>
          </w:p>
        </w:tc>
      </w:tr>
      <w:tr>
        <w:trPr>
          <w:trHeight w:val="20"/>
        </w:trPr>
        <w:tc>
          <w:tcPr>
            <w:tcW w:w="1620" w:type="dxa"/>
            <w:vAlign w:val="bottom"/>
            <w:vMerge w:val="restart"/>
          </w:tcPr>
          <w:p>
            <w:pPr>
              <w:spacing w:after="0"/>
              <w:rPr>
                <w:sz w:val="20"/>
                <w:szCs w:val="20"/>
                <w:color w:val="auto"/>
              </w:rPr>
            </w:pPr>
            <w:r>
              <w:rPr>
                <w:rFonts w:ascii="Arial" w:cs="Arial" w:eastAsia="Arial" w:hAnsi="Arial"/>
                <w:sz w:val="14"/>
                <w:szCs w:val="14"/>
                <w:b w:val="1"/>
                <w:bCs w:val="1"/>
                <w:color w:val="auto"/>
                <w:w w:val="96"/>
              </w:rPr>
              <w:t>As of December 31, 2024</w:t>
            </w:r>
          </w:p>
        </w:tc>
        <w:tc>
          <w:tcPr>
            <w:tcW w:w="4140" w:type="dxa"/>
            <w:vAlign w:val="bottom"/>
            <w:vMerge w:val="restart"/>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3"/>
        </w:trPr>
        <w:tc>
          <w:tcPr>
            <w:tcW w:w="1620" w:type="dxa"/>
            <w:vAlign w:val="bottom"/>
            <w:tcBorders>
              <w:bottom w:val="single" w:sz="8" w:color="auto"/>
            </w:tcBorders>
            <w:vMerge w:val="continue"/>
          </w:tcPr>
          <w:p>
            <w:pPr>
              <w:spacing w:after="0"/>
              <w:rPr>
                <w:sz w:val="24"/>
                <w:szCs w:val="24"/>
                <w:color w:val="auto"/>
              </w:rPr>
            </w:pPr>
          </w:p>
        </w:tc>
        <w:tc>
          <w:tcPr>
            <w:tcW w:w="414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5760" w:type="dxa"/>
            <w:vAlign w:val="bottom"/>
            <w:gridSpan w:val="2"/>
          </w:tcPr>
          <w:p>
            <w:pPr>
              <w:spacing w:after="0"/>
              <w:rPr>
                <w:sz w:val="20"/>
                <w:szCs w:val="20"/>
                <w:color w:val="auto"/>
              </w:rPr>
            </w:pPr>
            <w:r>
              <w:rPr>
                <w:rFonts w:ascii="Arial" w:cs="Arial" w:eastAsia="Arial" w:hAnsi="Arial"/>
                <w:sz w:val="15"/>
                <w:szCs w:val="15"/>
                <w:color w:val="auto"/>
              </w:rPr>
              <w:t>Foreign-currency forward contracts</w:t>
            </w:r>
          </w:p>
        </w:tc>
        <w:tc>
          <w:tcPr>
            <w:tcW w:w="240" w:type="dxa"/>
            <w:vAlign w:val="bottom"/>
          </w:tcPr>
          <w:p>
            <w:pPr>
              <w:jc w:val="right"/>
              <w:ind w:right="63"/>
              <w:spacing w:after="0"/>
              <w:rPr>
                <w:sz w:val="20"/>
                <w:szCs w:val="20"/>
                <w:color w:val="auto"/>
              </w:rPr>
            </w:pPr>
            <w:r>
              <w:rPr>
                <w:rFonts w:ascii="Arial" w:cs="Arial" w:eastAsia="Arial" w:hAnsi="Arial"/>
                <w:sz w:val="15"/>
                <w:szCs w:val="15"/>
                <w:color w:val="auto"/>
                <w:w w:val="95"/>
              </w:rPr>
              <w:t>$</w:t>
            </w:r>
          </w:p>
        </w:tc>
        <w:tc>
          <w:tcPr>
            <w:tcW w:w="980" w:type="dxa"/>
            <w:vAlign w:val="bottom"/>
          </w:tcPr>
          <w:p>
            <w:pPr>
              <w:jc w:val="right"/>
              <w:ind w:right="6"/>
              <w:spacing w:after="0"/>
              <w:rPr>
                <w:sz w:val="20"/>
                <w:szCs w:val="20"/>
                <w:color w:val="auto"/>
              </w:rPr>
            </w:pPr>
            <w:r>
              <w:rPr>
                <w:rFonts w:ascii="Arial" w:cs="Arial" w:eastAsia="Arial" w:hAnsi="Arial"/>
                <w:sz w:val="15"/>
                <w:szCs w:val="15"/>
                <w:color w:val="auto"/>
              </w:rPr>
              <w:t>797,475</w:t>
            </w:r>
          </w:p>
        </w:tc>
        <w:tc>
          <w:tcPr>
            <w:tcW w:w="200" w:type="dxa"/>
            <w:vAlign w:val="bottom"/>
          </w:tcPr>
          <w:p>
            <w:pPr>
              <w:spacing w:after="0"/>
              <w:rPr>
                <w:sz w:val="19"/>
                <w:szCs w:val="19"/>
                <w:color w:val="auto"/>
              </w:rPr>
            </w:pPr>
          </w:p>
        </w:tc>
        <w:tc>
          <w:tcPr>
            <w:tcW w:w="200" w:type="dxa"/>
            <w:vAlign w:val="bottom"/>
          </w:tcPr>
          <w:p>
            <w:pPr>
              <w:jc w:val="right"/>
              <w:ind w:right="23"/>
              <w:spacing w:after="0"/>
              <w:rPr>
                <w:sz w:val="20"/>
                <w:szCs w:val="20"/>
                <w:color w:val="auto"/>
              </w:rPr>
            </w:pPr>
            <w:r>
              <w:rPr>
                <w:rFonts w:ascii="Arial" w:cs="Arial" w:eastAsia="Arial" w:hAnsi="Arial"/>
                <w:sz w:val="15"/>
                <w:szCs w:val="15"/>
                <w:color w:val="auto"/>
                <w:w w:val="95"/>
              </w:rPr>
              <w:t>$</w:t>
            </w:r>
          </w:p>
        </w:tc>
        <w:tc>
          <w:tcPr>
            <w:tcW w:w="1000" w:type="dxa"/>
            <w:vAlign w:val="bottom"/>
          </w:tcPr>
          <w:p>
            <w:pPr>
              <w:jc w:val="right"/>
              <w:spacing w:after="0"/>
              <w:rPr>
                <w:sz w:val="20"/>
                <w:szCs w:val="20"/>
                <w:color w:val="auto"/>
              </w:rPr>
            </w:pPr>
            <w:r>
              <w:rPr>
                <w:rFonts w:ascii="Arial" w:cs="Arial" w:eastAsia="Arial" w:hAnsi="Arial"/>
                <w:sz w:val="15"/>
                <w:szCs w:val="15"/>
                <w:color w:val="auto"/>
              </w:rPr>
              <w:t>17,578</w:t>
            </w:r>
          </w:p>
        </w:tc>
        <w:tc>
          <w:tcPr>
            <w:tcW w:w="220" w:type="dxa"/>
            <w:vAlign w:val="bottom"/>
          </w:tcPr>
          <w:p>
            <w:pPr>
              <w:spacing w:after="0"/>
              <w:rPr>
                <w:sz w:val="19"/>
                <w:szCs w:val="19"/>
                <w:color w:val="auto"/>
              </w:rPr>
            </w:pPr>
          </w:p>
        </w:tc>
        <w:tc>
          <w:tcPr>
            <w:tcW w:w="220" w:type="dxa"/>
            <w:vAlign w:val="bottom"/>
          </w:tcPr>
          <w:p>
            <w:pPr>
              <w:jc w:val="right"/>
              <w:ind w:right="43"/>
              <w:spacing w:after="0"/>
              <w:rPr>
                <w:sz w:val="20"/>
                <w:szCs w:val="20"/>
                <w:color w:val="auto"/>
              </w:rPr>
            </w:pPr>
            <w:r>
              <w:rPr>
                <w:rFonts w:ascii="Arial" w:cs="Arial" w:eastAsia="Arial" w:hAnsi="Arial"/>
                <w:sz w:val="15"/>
                <w:szCs w:val="15"/>
                <w:color w:val="auto"/>
                <w:w w:val="95"/>
              </w:rPr>
              <w:t>$</w:t>
            </w:r>
          </w:p>
        </w:tc>
        <w:tc>
          <w:tcPr>
            <w:tcW w:w="980" w:type="dxa"/>
            <w:vAlign w:val="bottom"/>
          </w:tcPr>
          <w:p>
            <w:pPr>
              <w:jc w:val="right"/>
              <w:spacing w:after="0"/>
              <w:rPr>
                <w:sz w:val="20"/>
                <w:szCs w:val="20"/>
                <w:color w:val="auto"/>
              </w:rPr>
            </w:pPr>
            <w:r>
              <w:rPr>
                <w:rFonts w:ascii="Arial" w:cs="Arial" w:eastAsia="Arial" w:hAnsi="Arial"/>
                <w:sz w:val="15"/>
                <w:szCs w:val="15"/>
                <w:color w:val="auto"/>
              </w:rPr>
              <w:t>(81,625)</w:t>
            </w:r>
          </w:p>
        </w:tc>
        <w:tc>
          <w:tcPr>
            <w:tcW w:w="220" w:type="dxa"/>
            <w:vAlign w:val="bottom"/>
          </w:tcPr>
          <w:p>
            <w:pPr>
              <w:spacing w:after="0"/>
              <w:rPr>
                <w:sz w:val="19"/>
                <w:szCs w:val="19"/>
                <w:color w:val="auto"/>
              </w:rPr>
            </w:pPr>
          </w:p>
        </w:tc>
        <w:tc>
          <w:tcPr>
            <w:tcW w:w="240" w:type="dxa"/>
            <w:vAlign w:val="bottom"/>
          </w:tcPr>
          <w:p>
            <w:pPr>
              <w:jc w:val="right"/>
              <w:ind w:right="63"/>
              <w:spacing w:after="0"/>
              <w:rPr>
                <w:sz w:val="20"/>
                <w:szCs w:val="20"/>
                <w:color w:val="auto"/>
              </w:rPr>
            </w:pPr>
            <w:r>
              <w:rPr>
                <w:rFonts w:ascii="Arial" w:cs="Arial" w:eastAsia="Arial" w:hAnsi="Arial"/>
                <w:sz w:val="15"/>
                <w:szCs w:val="15"/>
                <w:color w:val="auto"/>
                <w:w w:val="95"/>
              </w:rPr>
              <w:t>$</w:t>
            </w:r>
          </w:p>
        </w:tc>
        <w:tc>
          <w:tcPr>
            <w:tcW w:w="960" w:type="dxa"/>
            <w:vAlign w:val="bottom"/>
          </w:tcPr>
          <w:p>
            <w:pPr>
              <w:jc w:val="right"/>
              <w:spacing w:after="0"/>
              <w:rPr>
                <w:sz w:val="20"/>
                <w:szCs w:val="20"/>
                <w:color w:val="auto"/>
              </w:rPr>
            </w:pPr>
            <w:r>
              <w:rPr>
                <w:rFonts w:ascii="Arial" w:cs="Arial" w:eastAsia="Arial" w:hAnsi="Arial"/>
                <w:sz w:val="15"/>
                <w:szCs w:val="15"/>
                <w:color w:val="auto"/>
              </w:rPr>
              <w:t>(8,513)</w:t>
            </w:r>
          </w:p>
        </w:tc>
        <w:tc>
          <w:tcPr>
            <w:tcW w:w="0" w:type="dxa"/>
            <w:vAlign w:val="bottom"/>
          </w:tcPr>
          <w:p>
            <w:pPr>
              <w:spacing w:after="0"/>
              <w:rPr>
                <w:sz w:val="1"/>
                <w:szCs w:val="1"/>
                <w:color w:val="auto"/>
              </w:rPr>
            </w:pPr>
          </w:p>
        </w:tc>
      </w:tr>
      <w:tr>
        <w:trPr>
          <w:trHeight w:val="206"/>
        </w:trPr>
        <w:tc>
          <w:tcPr>
            <w:tcW w:w="5760" w:type="dxa"/>
            <w:vAlign w:val="bottom"/>
            <w:gridSpan w:val="2"/>
          </w:tcPr>
          <w:p>
            <w:pPr>
              <w:spacing w:after="0"/>
              <w:rPr>
                <w:sz w:val="20"/>
                <w:szCs w:val="20"/>
                <w:color w:val="auto"/>
              </w:rPr>
            </w:pPr>
            <w:r>
              <w:rPr>
                <w:rFonts w:ascii="Arial" w:cs="Arial" w:eastAsia="Arial" w:hAnsi="Arial"/>
                <w:sz w:val="15"/>
                <w:szCs w:val="15"/>
                <w:color w:val="auto"/>
              </w:rPr>
              <w:t>Total-return and interest-rate and credit default swaps</w:t>
            </w:r>
          </w:p>
        </w:tc>
        <w:tc>
          <w:tcPr>
            <w:tcW w:w="240" w:type="dxa"/>
            <w:vAlign w:val="bottom"/>
          </w:tcPr>
          <w:p>
            <w:pPr>
              <w:spacing w:after="0"/>
              <w:rPr>
                <w:sz w:val="17"/>
                <w:szCs w:val="17"/>
                <w:color w:val="auto"/>
              </w:rPr>
            </w:pPr>
          </w:p>
        </w:tc>
        <w:tc>
          <w:tcPr>
            <w:tcW w:w="980" w:type="dxa"/>
            <w:vAlign w:val="bottom"/>
          </w:tcPr>
          <w:p>
            <w:pPr>
              <w:jc w:val="right"/>
              <w:ind w:right="6"/>
              <w:spacing w:after="0"/>
              <w:rPr>
                <w:sz w:val="20"/>
                <w:szCs w:val="20"/>
                <w:color w:val="auto"/>
              </w:rPr>
            </w:pPr>
            <w:r>
              <w:rPr>
                <w:rFonts w:ascii="Arial" w:cs="Arial" w:eastAsia="Arial" w:hAnsi="Arial"/>
                <w:sz w:val="15"/>
                <w:szCs w:val="15"/>
                <w:color w:val="auto"/>
              </w:rPr>
              <w:t>15,207</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15,771</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(203,533)</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(19)</w:t>
            </w:r>
          </w:p>
        </w:tc>
        <w:tc>
          <w:tcPr>
            <w:tcW w:w="0" w:type="dxa"/>
            <w:vAlign w:val="bottom"/>
          </w:tcPr>
          <w:p>
            <w:pPr>
              <w:spacing w:after="0"/>
              <w:rPr>
                <w:sz w:val="1"/>
                <w:szCs w:val="1"/>
                <w:color w:val="auto"/>
              </w:rPr>
            </w:pPr>
          </w:p>
        </w:tc>
      </w:tr>
      <w:tr>
        <w:trPr>
          <w:trHeight w:val="207"/>
        </w:trPr>
        <w:tc>
          <w:tcPr>
            <w:tcW w:w="5760" w:type="dxa"/>
            <w:vAlign w:val="bottom"/>
            <w:gridSpan w:val="2"/>
          </w:tcPr>
          <w:p>
            <w:pPr>
              <w:spacing w:after="0"/>
              <w:rPr>
                <w:sz w:val="20"/>
                <w:szCs w:val="20"/>
                <w:color w:val="auto"/>
              </w:rPr>
            </w:pPr>
            <w:r>
              <w:rPr>
                <w:rFonts w:ascii="Arial" w:cs="Arial" w:eastAsia="Arial" w:hAnsi="Arial"/>
                <w:sz w:val="15"/>
                <w:szCs w:val="15"/>
                <w:color w:val="auto"/>
              </w:rPr>
              <w:t>Options and futures</w:t>
            </w:r>
          </w:p>
        </w:tc>
        <w:tc>
          <w:tcPr>
            <w:tcW w:w="24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(13,435)</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(4,853)</w:t>
            </w:r>
          </w:p>
        </w:tc>
        <w:tc>
          <w:tcPr>
            <w:tcW w:w="0" w:type="dxa"/>
            <w:vAlign w:val="bottom"/>
          </w:tcPr>
          <w:p>
            <w:pPr>
              <w:spacing w:after="0"/>
              <w:rPr>
                <w:sz w:val="1"/>
                <w:szCs w:val="1"/>
                <w:color w:val="auto"/>
              </w:rPr>
            </w:pPr>
          </w:p>
        </w:tc>
      </w:tr>
      <w:tr>
        <w:trPr>
          <w:trHeight w:val="200"/>
        </w:trPr>
        <w:tc>
          <w:tcPr>
            <w:tcW w:w="5760" w:type="dxa"/>
            <w:vAlign w:val="bottom"/>
            <w:gridSpan w:val="2"/>
          </w:tcPr>
          <w:p>
            <w:pPr>
              <w:ind w:left="300"/>
              <w:spacing w:after="0"/>
              <w:rPr>
                <w:sz w:val="20"/>
                <w:szCs w:val="20"/>
                <w:color w:val="auto"/>
              </w:rPr>
            </w:pPr>
            <w:r>
              <w:rPr>
                <w:rFonts w:ascii="Arial" w:cs="Arial" w:eastAsia="Arial" w:hAnsi="Arial"/>
                <w:sz w:val="15"/>
                <w:szCs w:val="15"/>
                <w:color w:val="auto"/>
              </w:rPr>
              <w:t>Total</w:t>
            </w:r>
          </w:p>
        </w:tc>
        <w:tc>
          <w:tcPr>
            <w:tcW w:w="240" w:type="dxa"/>
            <w:vAlign w:val="bottom"/>
            <w:tcBorders>
              <w:top w:val="single" w:sz="8" w:color="auto"/>
              <w:bottom w:val="single" w:sz="8" w:color="auto"/>
            </w:tcBorders>
          </w:tcPr>
          <w:p>
            <w:pPr>
              <w:jc w:val="right"/>
              <w:ind w:right="63"/>
              <w:spacing w:after="0"/>
              <w:rPr>
                <w:sz w:val="20"/>
                <w:szCs w:val="20"/>
                <w:color w:val="auto"/>
              </w:rPr>
            </w:pPr>
            <w:r>
              <w:rPr>
                <w:rFonts w:ascii="Arial" w:cs="Arial" w:eastAsia="Arial" w:hAnsi="Arial"/>
                <w:sz w:val="15"/>
                <w:szCs w:val="15"/>
                <w:color w:val="auto"/>
                <w:w w:val="95"/>
              </w:rPr>
              <w:t>$</w:t>
            </w:r>
          </w:p>
        </w:tc>
        <w:tc>
          <w:tcPr>
            <w:tcW w:w="98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5"/>
                <w:szCs w:val="15"/>
                <w:color w:val="auto"/>
              </w:rPr>
              <w:t>812,682</w:t>
            </w:r>
          </w:p>
        </w:tc>
        <w:tc>
          <w:tcPr>
            <w:tcW w:w="20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5"/>
                <w:szCs w:val="15"/>
                <w:color w:val="auto"/>
                <w:w w:val="95"/>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33,349</w:t>
            </w:r>
          </w:p>
        </w:tc>
        <w:tc>
          <w:tcPr>
            <w:tcW w:w="22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5"/>
                <w:szCs w:val="15"/>
                <w:color w:val="auto"/>
                <w:w w:val="95"/>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(298,593)</w:t>
            </w:r>
          </w:p>
        </w:tc>
        <w:tc>
          <w:tcPr>
            <w:tcW w:w="22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63"/>
              <w:spacing w:after="0"/>
              <w:rPr>
                <w:sz w:val="20"/>
                <w:szCs w:val="20"/>
                <w:color w:val="auto"/>
              </w:rPr>
            </w:pPr>
            <w:r>
              <w:rPr>
                <w:rFonts w:ascii="Arial" w:cs="Arial" w:eastAsia="Arial" w:hAnsi="Arial"/>
                <w:sz w:val="15"/>
                <w:szCs w:val="15"/>
                <w:color w:val="auto"/>
                <w:w w:val="95"/>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(13,385)</w:t>
            </w:r>
          </w:p>
        </w:tc>
        <w:tc>
          <w:tcPr>
            <w:tcW w:w="0" w:type="dxa"/>
            <w:vAlign w:val="bottom"/>
          </w:tcPr>
          <w:p>
            <w:pPr>
              <w:spacing w:after="0"/>
              <w:rPr>
                <w:sz w:val="1"/>
                <w:szCs w:val="1"/>
                <w:color w:val="auto"/>
              </w:rPr>
            </w:pPr>
          </w:p>
        </w:tc>
      </w:tr>
      <w:tr>
        <w:trPr>
          <w:trHeight w:val="20"/>
        </w:trPr>
        <w:tc>
          <w:tcPr>
            <w:tcW w:w="162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6" w:name="page97"/>
    <w:bookmarkEnd w:id="96"/>
    <w:p>
      <w:pPr>
        <w:jc w:val="center"/>
        <w:spacing w:after="0"/>
        <w:rPr>
          <w:sz w:val="20"/>
          <w:szCs w:val="20"/>
          <w:color w:val="auto"/>
        </w:rPr>
      </w:pPr>
      <w:r>
        <w:rPr>
          <w:rFonts w:ascii="Arial" w:cs="Arial" w:eastAsia="Arial" w:hAnsi="Arial"/>
          <w:sz w:val="17"/>
          <w:szCs w:val="17"/>
          <w:b w:val="1"/>
          <w:bCs w:val="1"/>
          <w:color w:val="auto"/>
        </w:rPr>
        <w:t>Brookfield Oaktree Holdings, LLC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 (Continued)</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December 31, 2025</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 in thousands, except where noted)</w:t>
      </w:r>
    </w:p>
    <w:p>
      <w:pPr>
        <w:spacing w:after="0" w:line="200" w:lineRule="exact"/>
        <w:rPr>
          <w:sz w:val="20"/>
          <w:szCs w:val="20"/>
          <w:color w:val="auto"/>
        </w:rPr>
      </w:pPr>
    </w:p>
    <w:p>
      <w:pPr>
        <w:spacing w:after="0" w:line="298"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impact of derivatives held by the consolidated funds in the consolidated statements of operations was as follows:</w:t>
      </w:r>
    </w:p>
    <w:p>
      <w:pPr>
        <w:spacing w:after="0" w:line="139" w:lineRule="exact"/>
        <w:rPr>
          <w:sz w:val="20"/>
          <w:szCs w:val="20"/>
          <w:color w:val="auto"/>
        </w:rPr>
      </w:pPr>
    </w:p>
    <w:tbl>
      <w:tblPr>
        <w:tblLayout w:type="fixed"/>
        <w:tblInd w:w="20" w:type="dxa"/>
        <w:tblCellMar>
          <w:top w:w="0" w:type="dxa"/>
          <w:left w:w="0" w:type="dxa"/>
          <w:bottom w:w="0" w:type="dxa"/>
          <w:right w:w="0" w:type="dxa"/>
        </w:tblCellMar>
      </w:tblPr>
      <w:tr>
        <w:trPr>
          <w:trHeight w:val="169"/>
        </w:trPr>
        <w:tc>
          <w:tcPr>
            <w:tcW w:w="29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700" w:type="dxa"/>
            <w:vAlign w:val="bottom"/>
            <w:tcBorders>
              <w:bottom w:val="single" w:sz="8" w:color="auto"/>
            </w:tcBorders>
            <w:gridSpan w:val="6"/>
          </w:tcPr>
          <w:p>
            <w:pPr>
              <w:ind w:left="500"/>
              <w:spacing w:after="0"/>
              <w:rPr>
                <w:sz w:val="20"/>
                <w:szCs w:val="20"/>
                <w:color w:val="auto"/>
              </w:rPr>
            </w:pPr>
            <w:r>
              <w:rPr>
                <w:rFonts w:ascii="Arial" w:cs="Arial" w:eastAsia="Arial" w:hAnsi="Arial"/>
                <w:sz w:val="12"/>
                <w:szCs w:val="12"/>
                <w:b w:val="1"/>
                <w:bCs w:val="1"/>
                <w:color w:val="auto"/>
              </w:rPr>
              <w:t>Year Ended December 31,</w:t>
            </w:r>
          </w:p>
        </w:tc>
        <w:tc>
          <w:tcPr>
            <w:tcW w:w="1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9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2"/>
                <w:szCs w:val="12"/>
                <w:b w:val="1"/>
                <w:bCs w:val="1"/>
                <w:color w:val="auto"/>
                <w:w w:val="97"/>
              </w:rPr>
              <w:t>2025</w:t>
            </w:r>
          </w:p>
        </w:tc>
        <w:tc>
          <w:tcPr>
            <w:tcW w:w="11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2"/>
                <w:szCs w:val="12"/>
                <w:b w:val="1"/>
                <w:bCs w:val="1"/>
                <w:color w:val="auto"/>
                <w:w w:val="97"/>
              </w:rPr>
              <w:t>2024</w:t>
            </w:r>
          </w:p>
        </w:tc>
        <w:tc>
          <w:tcPr>
            <w:tcW w:w="11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2"/>
                <w:szCs w:val="12"/>
                <w:b w:val="1"/>
                <w:bCs w:val="1"/>
                <w:color w:val="auto"/>
                <w:w w:val="97"/>
              </w:rPr>
              <w:t>2023</w:t>
            </w:r>
          </w:p>
        </w:tc>
        <w:tc>
          <w:tcPr>
            <w:tcW w:w="11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0"/>
        </w:trPr>
        <w:tc>
          <w:tcPr>
            <w:tcW w:w="2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40" w:type="dxa"/>
            <w:vAlign w:val="bottom"/>
          </w:tcPr>
          <w:p>
            <w:pPr>
              <w:jc w:val="center"/>
              <w:ind w:right="36"/>
              <w:spacing w:after="0" w:line="110" w:lineRule="exact"/>
              <w:rPr>
                <w:sz w:val="20"/>
                <w:szCs w:val="20"/>
                <w:color w:val="auto"/>
              </w:rPr>
            </w:pPr>
            <w:r>
              <w:rPr>
                <w:rFonts w:ascii="Arial" w:cs="Arial" w:eastAsia="Arial" w:hAnsi="Arial"/>
                <w:sz w:val="12"/>
                <w:szCs w:val="12"/>
                <w:b w:val="1"/>
                <w:bCs w:val="1"/>
                <w:color w:val="auto"/>
                <w:w w:val="99"/>
              </w:rPr>
              <w:t>Net Change in</w:t>
            </w: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40" w:type="dxa"/>
            <w:vAlign w:val="bottom"/>
          </w:tcPr>
          <w:p>
            <w:pPr>
              <w:jc w:val="center"/>
              <w:ind w:right="36"/>
              <w:spacing w:after="0" w:line="110" w:lineRule="exact"/>
              <w:rPr>
                <w:sz w:val="20"/>
                <w:szCs w:val="20"/>
                <w:color w:val="auto"/>
              </w:rPr>
            </w:pPr>
            <w:r>
              <w:rPr>
                <w:rFonts w:ascii="Arial" w:cs="Arial" w:eastAsia="Arial" w:hAnsi="Arial"/>
                <w:sz w:val="12"/>
                <w:szCs w:val="12"/>
                <w:b w:val="1"/>
                <w:bCs w:val="1"/>
                <w:color w:val="auto"/>
                <w:w w:val="99"/>
              </w:rPr>
              <w:t>Net Change in</w:t>
            </w: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20" w:type="dxa"/>
            <w:vAlign w:val="bottom"/>
          </w:tcPr>
          <w:p>
            <w:pPr>
              <w:jc w:val="center"/>
              <w:ind w:right="36"/>
              <w:spacing w:after="0" w:line="110" w:lineRule="exact"/>
              <w:rPr>
                <w:sz w:val="20"/>
                <w:szCs w:val="20"/>
                <w:color w:val="auto"/>
              </w:rPr>
            </w:pPr>
            <w:r>
              <w:rPr>
                <w:rFonts w:ascii="Arial" w:cs="Arial" w:eastAsia="Arial" w:hAnsi="Arial"/>
                <w:sz w:val="12"/>
                <w:szCs w:val="12"/>
                <w:b w:val="1"/>
                <w:bCs w:val="1"/>
                <w:color w:val="auto"/>
              </w:rPr>
              <w:t>Net Change in</w:t>
            </w:r>
          </w:p>
        </w:tc>
        <w:tc>
          <w:tcPr>
            <w:tcW w:w="0" w:type="dxa"/>
            <w:vAlign w:val="bottom"/>
          </w:tcPr>
          <w:p>
            <w:pPr>
              <w:spacing w:after="0"/>
              <w:rPr>
                <w:sz w:val="1"/>
                <w:szCs w:val="1"/>
                <w:color w:val="auto"/>
              </w:rPr>
            </w:pPr>
          </w:p>
        </w:tc>
      </w:tr>
      <w:tr>
        <w:trPr>
          <w:trHeight w:val="116"/>
        </w:trPr>
        <w:tc>
          <w:tcPr>
            <w:tcW w:w="2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00" w:type="dxa"/>
            <w:vAlign w:val="bottom"/>
            <w:gridSpan w:val="2"/>
          </w:tcPr>
          <w:p>
            <w:pPr>
              <w:jc w:val="center"/>
              <w:ind w:right="260"/>
              <w:spacing w:after="0" w:line="116" w:lineRule="exact"/>
              <w:rPr>
                <w:sz w:val="20"/>
                <w:szCs w:val="20"/>
                <w:color w:val="auto"/>
              </w:rPr>
            </w:pPr>
            <w:r>
              <w:rPr>
                <w:rFonts w:ascii="Arial" w:cs="Arial" w:eastAsia="Arial" w:hAnsi="Arial"/>
                <w:sz w:val="12"/>
                <w:szCs w:val="12"/>
                <w:b w:val="1"/>
                <w:bCs w:val="1"/>
                <w:color w:val="auto"/>
                <w:w w:val="98"/>
              </w:rPr>
              <w:t>Unrealized</w:t>
            </w:r>
          </w:p>
        </w:tc>
        <w:tc>
          <w:tcPr>
            <w:tcW w:w="100" w:type="dxa"/>
            <w:vAlign w:val="bottom"/>
          </w:tcPr>
          <w:p>
            <w:pPr>
              <w:spacing w:after="0"/>
              <w:rPr>
                <w:sz w:val="10"/>
                <w:szCs w:val="10"/>
                <w:color w:val="auto"/>
              </w:rPr>
            </w:pPr>
          </w:p>
        </w:tc>
        <w:tc>
          <w:tcPr>
            <w:tcW w:w="1080" w:type="dxa"/>
            <w:vAlign w:val="bottom"/>
            <w:vMerge w:val="restart"/>
          </w:tcPr>
          <w:p>
            <w:pPr>
              <w:jc w:val="center"/>
              <w:spacing w:after="0"/>
              <w:rPr>
                <w:sz w:val="20"/>
                <w:szCs w:val="20"/>
                <w:color w:val="auto"/>
              </w:rPr>
            </w:pPr>
            <w:r>
              <w:rPr>
                <w:rFonts w:ascii="Arial" w:cs="Arial" w:eastAsia="Arial" w:hAnsi="Arial"/>
                <w:sz w:val="12"/>
                <w:szCs w:val="12"/>
                <w:b w:val="1"/>
                <w:bCs w:val="1"/>
                <w:color w:val="auto"/>
              </w:rPr>
              <w:t>Net Realized Gain</w:t>
            </w: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00" w:type="dxa"/>
            <w:vAlign w:val="bottom"/>
            <w:gridSpan w:val="2"/>
          </w:tcPr>
          <w:p>
            <w:pPr>
              <w:jc w:val="center"/>
              <w:ind w:right="260"/>
              <w:spacing w:after="0" w:line="116" w:lineRule="exact"/>
              <w:rPr>
                <w:sz w:val="20"/>
                <w:szCs w:val="20"/>
                <w:color w:val="auto"/>
              </w:rPr>
            </w:pPr>
            <w:r>
              <w:rPr>
                <w:rFonts w:ascii="Arial" w:cs="Arial" w:eastAsia="Arial" w:hAnsi="Arial"/>
                <w:sz w:val="12"/>
                <w:szCs w:val="12"/>
                <w:b w:val="1"/>
                <w:bCs w:val="1"/>
                <w:color w:val="auto"/>
                <w:w w:val="98"/>
              </w:rPr>
              <w:t>Unrealized</w:t>
            </w:r>
          </w:p>
        </w:tc>
        <w:tc>
          <w:tcPr>
            <w:tcW w:w="100" w:type="dxa"/>
            <w:vAlign w:val="bottom"/>
          </w:tcPr>
          <w:p>
            <w:pPr>
              <w:spacing w:after="0"/>
              <w:rPr>
                <w:sz w:val="10"/>
                <w:szCs w:val="10"/>
                <w:color w:val="auto"/>
              </w:rPr>
            </w:pPr>
          </w:p>
        </w:tc>
        <w:tc>
          <w:tcPr>
            <w:tcW w:w="108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98"/>
              </w:rPr>
              <w:t>Net Realized Gain</w:t>
            </w: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20" w:type="dxa"/>
            <w:vAlign w:val="bottom"/>
          </w:tcPr>
          <w:p>
            <w:pPr>
              <w:jc w:val="center"/>
              <w:ind w:right="36"/>
              <w:spacing w:after="0" w:line="116" w:lineRule="exact"/>
              <w:rPr>
                <w:sz w:val="20"/>
                <w:szCs w:val="20"/>
                <w:color w:val="auto"/>
              </w:rPr>
            </w:pPr>
            <w:r>
              <w:rPr>
                <w:rFonts w:ascii="Arial" w:cs="Arial" w:eastAsia="Arial" w:hAnsi="Arial"/>
                <w:sz w:val="12"/>
                <w:szCs w:val="12"/>
                <w:b w:val="1"/>
                <w:bCs w:val="1"/>
                <w:color w:val="auto"/>
              </w:rPr>
              <w:t>Unrealized</w:t>
            </w:r>
          </w:p>
        </w:tc>
        <w:tc>
          <w:tcPr>
            <w:tcW w:w="0" w:type="dxa"/>
            <w:vAlign w:val="bottom"/>
          </w:tcPr>
          <w:p>
            <w:pPr>
              <w:spacing w:after="0"/>
              <w:rPr>
                <w:sz w:val="1"/>
                <w:szCs w:val="1"/>
                <w:color w:val="auto"/>
              </w:rPr>
            </w:pPr>
          </w:p>
        </w:tc>
      </w:tr>
      <w:tr>
        <w:trPr>
          <w:trHeight w:val="129"/>
        </w:trPr>
        <w:tc>
          <w:tcPr>
            <w:tcW w:w="2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vMerge w:val="restart"/>
          </w:tcPr>
          <w:p>
            <w:pPr>
              <w:jc w:val="right"/>
              <w:spacing w:after="0"/>
              <w:rPr>
                <w:sz w:val="20"/>
                <w:szCs w:val="20"/>
                <w:color w:val="auto"/>
              </w:rPr>
            </w:pPr>
            <w:r>
              <w:rPr>
                <w:rFonts w:ascii="Arial" w:cs="Arial" w:eastAsia="Arial" w:hAnsi="Arial"/>
                <w:sz w:val="12"/>
                <w:szCs w:val="12"/>
                <w:b w:val="1"/>
                <w:bCs w:val="1"/>
                <w:color w:val="auto"/>
                <w:w w:val="98"/>
              </w:rPr>
              <w:t>Net Realized Gain</w:t>
            </w: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00" w:type="dxa"/>
            <w:vAlign w:val="bottom"/>
            <w:gridSpan w:val="2"/>
          </w:tcPr>
          <w:p>
            <w:pPr>
              <w:jc w:val="center"/>
              <w:ind w:right="260"/>
              <w:spacing w:after="0" w:line="129" w:lineRule="exact"/>
              <w:rPr>
                <w:sz w:val="20"/>
                <w:szCs w:val="20"/>
                <w:color w:val="auto"/>
              </w:rPr>
            </w:pPr>
            <w:r>
              <w:rPr>
                <w:rFonts w:ascii="Arial" w:cs="Arial" w:eastAsia="Arial" w:hAnsi="Arial"/>
                <w:sz w:val="12"/>
                <w:szCs w:val="12"/>
                <w:b w:val="1"/>
                <w:bCs w:val="1"/>
                <w:color w:val="auto"/>
                <w:w w:val="98"/>
              </w:rPr>
              <w:t>Appreciation</w:t>
            </w:r>
          </w:p>
        </w:tc>
        <w:tc>
          <w:tcPr>
            <w:tcW w:w="100" w:type="dxa"/>
            <w:vAlign w:val="bottom"/>
          </w:tcPr>
          <w:p>
            <w:pPr>
              <w:spacing w:after="0"/>
              <w:rPr>
                <w:sz w:val="11"/>
                <w:szCs w:val="11"/>
                <w:color w:val="auto"/>
              </w:rPr>
            </w:pPr>
          </w:p>
        </w:tc>
        <w:tc>
          <w:tcPr>
            <w:tcW w:w="108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00" w:type="dxa"/>
            <w:vAlign w:val="bottom"/>
            <w:gridSpan w:val="2"/>
          </w:tcPr>
          <w:p>
            <w:pPr>
              <w:jc w:val="center"/>
              <w:ind w:right="280"/>
              <w:spacing w:after="0" w:line="129" w:lineRule="exact"/>
              <w:rPr>
                <w:sz w:val="20"/>
                <w:szCs w:val="20"/>
                <w:color w:val="auto"/>
              </w:rPr>
            </w:pPr>
            <w:r>
              <w:rPr>
                <w:rFonts w:ascii="Arial" w:cs="Arial" w:eastAsia="Arial" w:hAnsi="Arial"/>
                <w:sz w:val="12"/>
                <w:szCs w:val="12"/>
                <w:b w:val="1"/>
                <w:bCs w:val="1"/>
                <w:color w:val="auto"/>
              </w:rPr>
              <w:t>Appreciation</w:t>
            </w:r>
          </w:p>
        </w:tc>
        <w:tc>
          <w:tcPr>
            <w:tcW w:w="100" w:type="dxa"/>
            <w:vAlign w:val="bottom"/>
          </w:tcPr>
          <w:p>
            <w:pPr>
              <w:spacing w:after="0"/>
              <w:rPr>
                <w:sz w:val="11"/>
                <w:szCs w:val="11"/>
                <w:color w:val="auto"/>
              </w:rPr>
            </w:pPr>
          </w:p>
        </w:tc>
        <w:tc>
          <w:tcPr>
            <w:tcW w:w="108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tcPr>
          <w:p>
            <w:pPr>
              <w:jc w:val="center"/>
              <w:ind w:right="36"/>
              <w:spacing w:after="0" w:line="129" w:lineRule="exact"/>
              <w:rPr>
                <w:sz w:val="20"/>
                <w:szCs w:val="20"/>
                <w:color w:val="auto"/>
              </w:rPr>
            </w:pPr>
            <w:r>
              <w:rPr>
                <w:rFonts w:ascii="Arial" w:cs="Arial" w:eastAsia="Arial" w:hAnsi="Arial"/>
                <w:sz w:val="12"/>
                <w:szCs w:val="12"/>
                <w:b w:val="1"/>
                <w:bCs w:val="1"/>
                <w:color w:val="auto"/>
              </w:rPr>
              <w:t>Appreciation</w:t>
            </w:r>
          </w:p>
        </w:tc>
        <w:tc>
          <w:tcPr>
            <w:tcW w:w="0" w:type="dxa"/>
            <w:vAlign w:val="bottom"/>
          </w:tcPr>
          <w:p>
            <w:pPr>
              <w:spacing w:after="0"/>
              <w:rPr>
                <w:sz w:val="1"/>
                <w:szCs w:val="1"/>
                <w:color w:val="auto"/>
              </w:rPr>
            </w:pPr>
          </w:p>
        </w:tc>
      </w:tr>
      <w:tr>
        <w:trPr>
          <w:trHeight w:val="116"/>
        </w:trPr>
        <w:tc>
          <w:tcPr>
            <w:tcW w:w="2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00" w:type="dxa"/>
            <w:vAlign w:val="bottom"/>
            <w:gridSpan w:val="2"/>
          </w:tcPr>
          <w:p>
            <w:pPr>
              <w:jc w:val="center"/>
              <w:ind w:right="260"/>
              <w:spacing w:after="0" w:line="116" w:lineRule="exact"/>
              <w:rPr>
                <w:sz w:val="20"/>
                <w:szCs w:val="20"/>
                <w:color w:val="auto"/>
              </w:rPr>
            </w:pPr>
            <w:r>
              <w:rPr>
                <w:rFonts w:ascii="Arial" w:cs="Arial" w:eastAsia="Arial" w:hAnsi="Arial"/>
                <w:sz w:val="12"/>
                <w:szCs w:val="12"/>
                <w:b w:val="1"/>
                <w:bCs w:val="1"/>
                <w:color w:val="auto"/>
              </w:rPr>
              <w:t>(Depreciation) on</w:t>
            </w:r>
          </w:p>
        </w:tc>
        <w:tc>
          <w:tcPr>
            <w:tcW w:w="100" w:type="dxa"/>
            <w:vAlign w:val="bottom"/>
          </w:tcPr>
          <w:p>
            <w:pPr>
              <w:spacing w:after="0"/>
              <w:rPr>
                <w:sz w:val="10"/>
                <w:szCs w:val="10"/>
                <w:color w:val="auto"/>
              </w:rPr>
            </w:pPr>
          </w:p>
        </w:tc>
        <w:tc>
          <w:tcPr>
            <w:tcW w:w="1080" w:type="dxa"/>
            <w:vAlign w:val="bottom"/>
          </w:tcPr>
          <w:p>
            <w:pPr>
              <w:jc w:val="center"/>
              <w:spacing w:after="0" w:line="116" w:lineRule="exact"/>
              <w:rPr>
                <w:sz w:val="20"/>
                <w:szCs w:val="20"/>
                <w:color w:val="auto"/>
              </w:rPr>
            </w:pPr>
            <w:r>
              <w:rPr>
                <w:rFonts w:ascii="Arial" w:cs="Arial" w:eastAsia="Arial" w:hAnsi="Arial"/>
                <w:sz w:val="12"/>
                <w:szCs w:val="12"/>
                <w:b w:val="1"/>
                <w:bCs w:val="1"/>
                <w:color w:val="auto"/>
                <w:w w:val="99"/>
              </w:rPr>
              <w:t>(Loss) on</w:t>
            </w: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00" w:type="dxa"/>
            <w:vAlign w:val="bottom"/>
            <w:gridSpan w:val="2"/>
          </w:tcPr>
          <w:p>
            <w:pPr>
              <w:jc w:val="center"/>
              <w:ind w:right="260"/>
              <w:spacing w:after="0" w:line="116" w:lineRule="exact"/>
              <w:rPr>
                <w:sz w:val="20"/>
                <w:szCs w:val="20"/>
                <w:color w:val="auto"/>
              </w:rPr>
            </w:pPr>
            <w:r>
              <w:rPr>
                <w:rFonts w:ascii="Arial" w:cs="Arial" w:eastAsia="Arial" w:hAnsi="Arial"/>
                <w:sz w:val="12"/>
                <w:szCs w:val="12"/>
                <w:b w:val="1"/>
                <w:bCs w:val="1"/>
                <w:color w:val="auto"/>
              </w:rPr>
              <w:t>(Depreciation) on</w:t>
            </w:r>
          </w:p>
        </w:tc>
        <w:tc>
          <w:tcPr>
            <w:tcW w:w="100" w:type="dxa"/>
            <w:vAlign w:val="bottom"/>
          </w:tcPr>
          <w:p>
            <w:pPr>
              <w:spacing w:after="0"/>
              <w:rPr>
                <w:sz w:val="10"/>
                <w:szCs w:val="10"/>
                <w:color w:val="auto"/>
              </w:rPr>
            </w:pPr>
          </w:p>
        </w:tc>
        <w:tc>
          <w:tcPr>
            <w:tcW w:w="1080" w:type="dxa"/>
            <w:vAlign w:val="bottom"/>
          </w:tcPr>
          <w:p>
            <w:pPr>
              <w:jc w:val="center"/>
              <w:spacing w:after="0" w:line="116" w:lineRule="exact"/>
              <w:rPr>
                <w:sz w:val="20"/>
                <w:szCs w:val="20"/>
                <w:color w:val="auto"/>
              </w:rPr>
            </w:pPr>
            <w:r>
              <w:rPr>
                <w:rFonts w:ascii="Arial" w:cs="Arial" w:eastAsia="Arial" w:hAnsi="Arial"/>
                <w:sz w:val="12"/>
                <w:szCs w:val="12"/>
                <w:b w:val="1"/>
                <w:bCs w:val="1"/>
                <w:color w:val="auto"/>
                <w:w w:val="99"/>
              </w:rPr>
              <w:t>(Loss) on</w:t>
            </w: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20" w:type="dxa"/>
            <w:vAlign w:val="bottom"/>
          </w:tcPr>
          <w:p>
            <w:pPr>
              <w:jc w:val="center"/>
              <w:ind w:right="36"/>
              <w:spacing w:after="0" w:line="116" w:lineRule="exact"/>
              <w:rPr>
                <w:sz w:val="20"/>
                <w:szCs w:val="20"/>
                <w:color w:val="auto"/>
              </w:rPr>
            </w:pPr>
            <w:r>
              <w:rPr>
                <w:rFonts w:ascii="Arial" w:cs="Arial" w:eastAsia="Arial" w:hAnsi="Arial"/>
                <w:sz w:val="12"/>
                <w:szCs w:val="12"/>
                <w:b w:val="1"/>
                <w:bCs w:val="1"/>
                <w:color w:val="auto"/>
                <w:w w:val="99"/>
              </w:rPr>
              <w:t>(Depreciation) on</w:t>
            </w:r>
          </w:p>
        </w:tc>
        <w:tc>
          <w:tcPr>
            <w:tcW w:w="0" w:type="dxa"/>
            <w:vAlign w:val="bottom"/>
          </w:tcPr>
          <w:p>
            <w:pPr>
              <w:spacing w:after="0"/>
              <w:rPr>
                <w:sz w:val="1"/>
                <w:szCs w:val="1"/>
                <w:color w:val="auto"/>
              </w:rPr>
            </w:pPr>
          </w:p>
        </w:tc>
      </w:tr>
      <w:tr>
        <w:trPr>
          <w:trHeight w:val="173"/>
        </w:trPr>
        <w:tc>
          <w:tcPr>
            <w:tcW w:w="29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54"/>
              <w:spacing w:after="0"/>
              <w:rPr>
                <w:sz w:val="20"/>
                <w:szCs w:val="20"/>
                <w:color w:val="auto"/>
              </w:rPr>
            </w:pPr>
            <w:r>
              <w:rPr>
                <w:rFonts w:ascii="Arial" w:cs="Arial" w:eastAsia="Arial" w:hAnsi="Arial"/>
                <w:sz w:val="12"/>
                <w:szCs w:val="12"/>
                <w:b w:val="1"/>
                <w:bCs w:val="1"/>
                <w:color w:val="auto"/>
              </w:rPr>
              <w:t>on Investments</w:t>
            </w:r>
          </w:p>
        </w:tc>
        <w:tc>
          <w:tcPr>
            <w:tcW w:w="6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center"/>
              <w:ind w:right="56"/>
              <w:spacing w:after="0"/>
              <w:rPr>
                <w:sz w:val="20"/>
                <w:szCs w:val="20"/>
                <w:color w:val="auto"/>
              </w:rPr>
            </w:pPr>
            <w:r>
              <w:rPr>
                <w:rFonts w:ascii="Arial" w:cs="Arial" w:eastAsia="Arial" w:hAnsi="Arial"/>
                <w:sz w:val="12"/>
                <w:szCs w:val="12"/>
                <w:b w:val="1"/>
                <w:bCs w:val="1"/>
                <w:color w:val="auto"/>
                <w:w w:val="99"/>
              </w:rPr>
              <w:t>Investments</w:t>
            </w:r>
          </w:p>
        </w:tc>
        <w:tc>
          <w:tcPr>
            <w:tcW w:w="1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9"/>
              </w:rPr>
              <w:t>Investments</w:t>
            </w:r>
          </w:p>
        </w:tc>
        <w:tc>
          <w:tcPr>
            <w:tcW w:w="4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center"/>
              <w:ind w:right="56"/>
              <w:spacing w:after="0"/>
              <w:rPr>
                <w:sz w:val="20"/>
                <w:szCs w:val="20"/>
                <w:color w:val="auto"/>
              </w:rPr>
            </w:pPr>
            <w:r>
              <w:rPr>
                <w:rFonts w:ascii="Arial" w:cs="Arial" w:eastAsia="Arial" w:hAnsi="Arial"/>
                <w:sz w:val="12"/>
                <w:szCs w:val="12"/>
                <w:b w:val="1"/>
                <w:bCs w:val="1"/>
                <w:color w:val="auto"/>
                <w:w w:val="99"/>
              </w:rPr>
              <w:t>Investments</w:t>
            </w:r>
          </w:p>
        </w:tc>
        <w:tc>
          <w:tcPr>
            <w:tcW w:w="1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9"/>
              </w:rPr>
              <w:t>Investments</w:t>
            </w:r>
          </w:p>
        </w:tc>
        <w:tc>
          <w:tcPr>
            <w:tcW w:w="6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center"/>
              <w:ind w:right="36"/>
              <w:spacing w:after="0"/>
              <w:rPr>
                <w:sz w:val="20"/>
                <w:szCs w:val="20"/>
                <w:color w:val="auto"/>
              </w:rPr>
            </w:pPr>
            <w:r>
              <w:rPr>
                <w:rFonts w:ascii="Arial" w:cs="Arial" w:eastAsia="Arial" w:hAnsi="Arial"/>
                <w:sz w:val="12"/>
                <w:szCs w:val="12"/>
                <w:b w:val="1"/>
                <w:bCs w:val="1"/>
                <w:color w:val="auto"/>
                <w:w w:val="99"/>
              </w:rPr>
              <w:t>Investments</w:t>
            </w:r>
          </w:p>
        </w:tc>
        <w:tc>
          <w:tcPr>
            <w:tcW w:w="0" w:type="dxa"/>
            <w:vAlign w:val="bottom"/>
          </w:tcPr>
          <w:p>
            <w:pPr>
              <w:spacing w:after="0"/>
              <w:rPr>
                <w:sz w:val="1"/>
                <w:szCs w:val="1"/>
                <w:color w:val="auto"/>
              </w:rPr>
            </w:pPr>
          </w:p>
        </w:tc>
      </w:tr>
      <w:tr>
        <w:trPr>
          <w:trHeight w:val="186"/>
        </w:trPr>
        <w:tc>
          <w:tcPr>
            <w:tcW w:w="2980" w:type="dxa"/>
            <w:vAlign w:val="bottom"/>
          </w:tcPr>
          <w:p>
            <w:pPr>
              <w:spacing w:after="0"/>
              <w:rPr>
                <w:sz w:val="20"/>
                <w:szCs w:val="20"/>
                <w:color w:val="auto"/>
              </w:rPr>
            </w:pPr>
            <w:r>
              <w:rPr>
                <w:rFonts w:ascii="Arial" w:cs="Arial" w:eastAsia="Arial" w:hAnsi="Arial"/>
                <w:sz w:val="14"/>
                <w:szCs w:val="14"/>
                <w:color w:val="auto"/>
              </w:rPr>
              <w:t>Foreign-currency forward contracts</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2,481</w:t>
            </w:r>
          </w:p>
        </w:tc>
        <w:tc>
          <w:tcPr>
            <w:tcW w:w="32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(48,297)</w:t>
            </w:r>
          </w:p>
        </w:tc>
        <w:tc>
          <w:tcPr>
            <w:tcW w:w="16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337</w:t>
            </w:r>
          </w:p>
        </w:tc>
        <w:tc>
          <w:tcPr>
            <w:tcW w:w="32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28,193</w:t>
            </w:r>
          </w:p>
        </w:tc>
        <w:tc>
          <w:tcPr>
            <w:tcW w:w="16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898</w:t>
            </w:r>
          </w:p>
        </w:tc>
        <w:tc>
          <w:tcPr>
            <w:tcW w:w="340" w:type="dxa"/>
            <w:vAlign w:val="bottom"/>
            <w:gridSpan w:val="3"/>
          </w:tcPr>
          <w:p>
            <w:pPr>
              <w:jc w:val="right"/>
              <w:ind w:right="20"/>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(14,909)</w:t>
            </w:r>
          </w:p>
        </w:tc>
        <w:tc>
          <w:tcPr>
            <w:tcW w:w="0" w:type="dxa"/>
            <w:vAlign w:val="bottom"/>
          </w:tcPr>
          <w:p>
            <w:pPr>
              <w:spacing w:after="0"/>
              <w:rPr>
                <w:sz w:val="1"/>
                <w:szCs w:val="1"/>
                <w:color w:val="auto"/>
              </w:rPr>
            </w:pPr>
          </w:p>
        </w:tc>
      </w:tr>
      <w:tr>
        <w:trPr>
          <w:trHeight w:val="149"/>
        </w:trPr>
        <w:tc>
          <w:tcPr>
            <w:tcW w:w="2980" w:type="dxa"/>
            <w:vAlign w:val="bottom"/>
          </w:tcPr>
          <w:p>
            <w:pPr>
              <w:spacing w:after="0" w:line="149" w:lineRule="exact"/>
              <w:rPr>
                <w:sz w:val="20"/>
                <w:szCs w:val="20"/>
                <w:color w:val="auto"/>
              </w:rPr>
            </w:pPr>
            <w:r>
              <w:rPr>
                <w:rFonts w:ascii="Arial" w:cs="Arial" w:eastAsia="Arial" w:hAnsi="Arial"/>
                <w:sz w:val="14"/>
                <w:szCs w:val="14"/>
                <w:color w:val="auto"/>
              </w:rPr>
              <w:t>Total-return and interest-rate and credit default</w:t>
            </w:r>
          </w:p>
        </w:tc>
        <w:tc>
          <w:tcPr>
            <w:tcW w:w="100" w:type="dxa"/>
            <w:vAlign w:val="bottom"/>
          </w:tcPr>
          <w:p>
            <w:pPr>
              <w:spacing w:after="0"/>
              <w:rPr>
                <w:sz w:val="12"/>
                <w:szCs w:val="12"/>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403</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811</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613</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(19)</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vMerge w:val="restart"/>
          </w:tcPr>
          <w:p>
            <w:pPr>
              <w:jc w:val="right"/>
              <w:spacing w:after="0"/>
              <w:rPr>
                <w:sz w:val="20"/>
                <w:szCs w:val="20"/>
                <w:color w:val="auto"/>
              </w:rPr>
            </w:pPr>
            <w:r>
              <w:rPr>
                <w:rFonts w:ascii="Arial" w:cs="Arial" w:eastAsia="Arial" w:hAnsi="Arial"/>
                <w:sz w:val="14"/>
                <w:szCs w:val="14"/>
                <w:color w:val="auto"/>
              </w:rPr>
              <w:t>(235)</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vMerge w:val="restart"/>
          </w:tcPr>
          <w:p>
            <w:pPr>
              <w:jc w:val="right"/>
              <w:spacing w:after="0"/>
              <w:rPr>
                <w:sz w:val="20"/>
                <w:szCs w:val="20"/>
                <w:color w:val="auto"/>
              </w:rPr>
            </w:pPr>
            <w:r>
              <w:rPr>
                <w:rFonts w:ascii="Arial" w:cs="Arial" w:eastAsia="Arial" w:hAnsi="Arial"/>
                <w:sz w:val="14"/>
                <w:szCs w:val="14"/>
                <w:color w:val="auto"/>
              </w:rPr>
              <w:t>328</w:t>
            </w:r>
          </w:p>
        </w:tc>
        <w:tc>
          <w:tcPr>
            <w:tcW w:w="0" w:type="dxa"/>
            <w:vAlign w:val="bottom"/>
          </w:tcPr>
          <w:p>
            <w:pPr>
              <w:spacing w:after="0"/>
              <w:rPr>
                <w:sz w:val="1"/>
                <w:szCs w:val="1"/>
                <w:color w:val="auto"/>
              </w:rPr>
            </w:pPr>
          </w:p>
        </w:tc>
      </w:tr>
      <w:tr>
        <w:trPr>
          <w:trHeight w:val="180"/>
        </w:trPr>
        <w:tc>
          <w:tcPr>
            <w:tcW w:w="2980" w:type="dxa"/>
            <w:vAlign w:val="bottom"/>
          </w:tcPr>
          <w:p>
            <w:pPr>
              <w:ind w:left="160"/>
              <w:spacing w:after="0"/>
              <w:rPr>
                <w:sz w:val="20"/>
                <w:szCs w:val="20"/>
                <w:color w:val="auto"/>
              </w:rPr>
            </w:pPr>
            <w:r>
              <w:rPr>
                <w:rFonts w:ascii="Arial" w:cs="Arial" w:eastAsia="Arial" w:hAnsi="Arial"/>
                <w:sz w:val="14"/>
                <w:szCs w:val="14"/>
                <w:color w:val="auto"/>
              </w:rPr>
              <w:t>swaps</w:t>
            </w:r>
          </w:p>
        </w:tc>
        <w:tc>
          <w:tcPr>
            <w:tcW w:w="100" w:type="dxa"/>
            <w:vAlign w:val="bottom"/>
          </w:tcPr>
          <w:p>
            <w:pPr>
              <w:spacing w:after="0"/>
              <w:rPr>
                <w:sz w:val="15"/>
                <w:szCs w:val="15"/>
                <w:color w:val="auto"/>
              </w:rPr>
            </w:pPr>
          </w:p>
        </w:tc>
        <w:tc>
          <w:tcPr>
            <w:tcW w:w="108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2980" w:type="dxa"/>
            <w:vAlign w:val="bottom"/>
          </w:tcPr>
          <w:p>
            <w:pPr>
              <w:spacing w:after="0"/>
              <w:rPr>
                <w:sz w:val="20"/>
                <w:szCs w:val="20"/>
                <w:color w:val="auto"/>
              </w:rPr>
            </w:pPr>
            <w:r>
              <w:rPr>
                <w:rFonts w:ascii="Arial" w:cs="Arial" w:eastAsia="Arial" w:hAnsi="Arial"/>
                <w:sz w:val="14"/>
                <w:szCs w:val="14"/>
                <w:color w:val="auto"/>
              </w:rPr>
              <w:t>Options and futures</w:t>
            </w:r>
          </w:p>
        </w:tc>
        <w:tc>
          <w:tcPr>
            <w:tcW w:w="1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2,187</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2,207</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1,440</w:t>
            </w: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(2,176)</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4,382</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(569)</w:t>
            </w:r>
          </w:p>
        </w:tc>
        <w:tc>
          <w:tcPr>
            <w:tcW w:w="0" w:type="dxa"/>
            <w:vAlign w:val="bottom"/>
          </w:tcPr>
          <w:p>
            <w:pPr>
              <w:spacing w:after="0"/>
              <w:rPr>
                <w:sz w:val="1"/>
                <w:szCs w:val="1"/>
                <w:color w:val="auto"/>
              </w:rPr>
            </w:pPr>
          </w:p>
        </w:tc>
      </w:tr>
      <w:tr>
        <w:trPr>
          <w:trHeight w:val="197"/>
        </w:trPr>
        <w:tc>
          <w:tcPr>
            <w:tcW w:w="2980" w:type="dxa"/>
            <w:vAlign w:val="bottom"/>
          </w:tcPr>
          <w:p>
            <w:pPr>
              <w:spacing w:after="0"/>
              <w:rPr>
                <w:sz w:val="20"/>
                <w:szCs w:val="20"/>
                <w:color w:val="auto"/>
              </w:rPr>
            </w:pPr>
            <w:r>
              <w:rPr>
                <w:rFonts w:ascii="Arial" w:cs="Arial" w:eastAsia="Arial" w:hAnsi="Arial"/>
                <w:sz w:val="14"/>
                <w:szCs w:val="14"/>
                <w:color w:val="auto"/>
              </w:rPr>
              <w:t>Commodity swaps</w:t>
            </w:r>
          </w:p>
        </w:tc>
        <w:tc>
          <w:tcPr>
            <w:tcW w:w="1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1,882</w:t>
            </w:r>
          </w:p>
        </w:tc>
        <w:tc>
          <w:tcPr>
            <w:tcW w:w="6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8,489</w:t>
            </w:r>
          </w:p>
        </w:tc>
        <w:tc>
          <w:tcPr>
            <w:tcW w:w="40" w:type="dxa"/>
            <w:vAlign w:val="bottom"/>
            <w:tcBorders>
              <w:bottom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(8,654)</w:t>
            </w:r>
          </w:p>
        </w:tc>
        <w:tc>
          <w:tcPr>
            <w:tcW w:w="16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11,162</w:t>
            </w:r>
          </w:p>
        </w:tc>
        <w:tc>
          <w:tcPr>
            <w:tcW w:w="6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16,324</w:t>
            </w:r>
          </w:p>
        </w:tc>
        <w:tc>
          <w:tcPr>
            <w:tcW w:w="0" w:type="dxa"/>
            <w:vAlign w:val="bottom"/>
          </w:tcPr>
          <w:p>
            <w:pPr>
              <w:spacing w:after="0"/>
              <w:rPr>
                <w:sz w:val="1"/>
                <w:szCs w:val="1"/>
                <w:color w:val="auto"/>
              </w:rPr>
            </w:pPr>
          </w:p>
        </w:tc>
      </w:tr>
      <w:tr>
        <w:trPr>
          <w:trHeight w:val="190"/>
        </w:trPr>
        <w:tc>
          <w:tcPr>
            <w:tcW w:w="2980" w:type="dxa"/>
            <w:vAlign w:val="bottom"/>
          </w:tcPr>
          <w:p>
            <w:pPr>
              <w:ind w:left="300"/>
              <w:spacing w:after="0"/>
              <w:rPr>
                <w:sz w:val="20"/>
                <w:szCs w:val="20"/>
                <w:color w:val="auto"/>
              </w:rPr>
            </w:pPr>
            <w:r>
              <w:rPr>
                <w:rFonts w:ascii="Arial" w:cs="Arial" w:eastAsia="Arial" w:hAnsi="Arial"/>
                <w:sz w:val="14"/>
                <w:szCs w:val="14"/>
                <w:color w:val="auto"/>
              </w:rPr>
              <w:t>Total</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6,953</w:t>
            </w:r>
          </w:p>
        </w:tc>
        <w:tc>
          <w:tcPr>
            <w:tcW w:w="32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(45,279)</w:t>
            </w:r>
          </w:p>
        </w:tc>
        <w:tc>
          <w:tcPr>
            <w:tcW w:w="16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10,879</w:t>
            </w:r>
          </w:p>
        </w:tc>
        <w:tc>
          <w:tcPr>
            <w:tcW w:w="32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17,344</w:t>
            </w:r>
          </w:p>
        </w:tc>
        <w:tc>
          <w:tcPr>
            <w:tcW w:w="16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16,207</w:t>
            </w:r>
          </w:p>
        </w:tc>
        <w:tc>
          <w:tcPr>
            <w:tcW w:w="340" w:type="dxa"/>
            <w:vAlign w:val="bottom"/>
            <w:gridSpan w:val="3"/>
          </w:tcPr>
          <w:p>
            <w:pPr>
              <w:jc w:val="right"/>
              <w:ind w:right="20"/>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1,174</w:t>
            </w:r>
          </w:p>
        </w:tc>
        <w:tc>
          <w:tcPr>
            <w:tcW w:w="0" w:type="dxa"/>
            <w:vAlign w:val="bottom"/>
          </w:tcPr>
          <w:p>
            <w:pPr>
              <w:spacing w:after="0"/>
              <w:rPr>
                <w:sz w:val="1"/>
                <w:szCs w:val="1"/>
                <w:color w:val="auto"/>
              </w:rPr>
            </w:pPr>
          </w:p>
        </w:tc>
      </w:tr>
      <w:tr>
        <w:trPr>
          <w:trHeight w:val="20"/>
        </w:trPr>
        <w:tc>
          <w:tcPr>
            <w:tcW w:w="29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Balance Sheet Offsetting</w:t>
      </w:r>
    </w:p>
    <w:p>
      <w:pPr>
        <w:spacing w:after="0" w:line="168" w:lineRule="exact"/>
        <w:rPr>
          <w:sz w:val="20"/>
          <w:szCs w:val="20"/>
          <w:color w:val="auto"/>
        </w:rPr>
      </w:pPr>
    </w:p>
    <w:p>
      <w:pPr>
        <w:ind w:right="20" w:firstLine="619"/>
        <w:spacing w:after="0" w:line="258" w:lineRule="auto"/>
        <w:rPr>
          <w:sz w:val="20"/>
          <w:szCs w:val="20"/>
          <w:color w:val="auto"/>
        </w:rPr>
      </w:pPr>
      <w:r>
        <w:rPr>
          <w:rFonts w:ascii="Arial" w:cs="Arial" w:eastAsia="Arial" w:hAnsi="Arial"/>
          <w:sz w:val="17"/>
          <w:szCs w:val="17"/>
          <w:color w:val="auto"/>
        </w:rPr>
        <w:t>The Company recognizes all derivatives as assets or liabilities at fair value in its consolidated statements of financial condition. In connection with its derivative activities, the Company generally enters into agreements subject to enforceable master netting arrangements that allow the Company to offset derivative assets and liabilities in the same currency by specific derivative type or, in the event of default by the counterparty, to offset derivative assets and liabilities with the same counterparty. While these derivatives are eligible to be offset in accordance with applicable accounting guidance, the Company has elected to present derivative assets and liabilities based on gross fair value in its consolidated statements of financial condition. The table below sets forth the setoff rights and related arrangements associated with derivatives held by the Company. The “gross amounts not offset in statements of financial condition” columns represent derivatives that management has elected not to offset in the consolidated statements of financial condition even though they are eligible to be offset in accordance with applicable accounting guidance.</w:t>
      </w:r>
    </w:p>
    <w:p>
      <w:pPr>
        <w:spacing w:after="0" w:line="200" w:lineRule="exact"/>
        <w:rPr>
          <w:sz w:val="20"/>
          <w:szCs w:val="20"/>
          <w:color w:val="auto"/>
        </w:rPr>
      </w:pPr>
    </w:p>
    <w:p>
      <w:pPr>
        <w:spacing w:after="0" w:line="254"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142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20" w:type="dxa"/>
            <w:vAlign w:val="bottom"/>
            <w:gridSpan w:val="5"/>
          </w:tcPr>
          <w:p>
            <w:pPr>
              <w:ind w:left="20"/>
              <w:spacing w:after="0"/>
              <w:rPr>
                <w:sz w:val="20"/>
                <w:szCs w:val="20"/>
                <w:color w:val="auto"/>
              </w:rPr>
            </w:pPr>
            <w:r>
              <w:rPr>
                <w:rFonts w:ascii="Arial" w:cs="Arial" w:eastAsia="Arial" w:hAnsi="Arial"/>
                <w:sz w:val="12"/>
                <w:szCs w:val="12"/>
                <w:b w:val="1"/>
                <w:bCs w:val="1"/>
                <w:color w:val="auto"/>
              </w:rPr>
              <w:t>Gross Amounts Not Offset in Statements of</w:t>
            </w:r>
          </w:p>
        </w:tc>
        <w:tc>
          <w:tcPr>
            <w:tcW w:w="1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1420" w:type="dxa"/>
            <w:vAlign w:val="bottom"/>
          </w:tcPr>
          <w:p>
            <w:pPr>
              <w:spacing w:after="0"/>
              <w:rPr>
                <w:sz w:val="15"/>
                <w:szCs w:val="15"/>
                <w:color w:val="auto"/>
              </w:rPr>
            </w:pPr>
          </w:p>
        </w:tc>
        <w:tc>
          <w:tcPr>
            <w:tcW w:w="4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600" w:type="dxa"/>
            <w:vAlign w:val="bottom"/>
            <w:tcBorders>
              <w:bottom w:val="single" w:sz="8" w:color="auto"/>
            </w:tcBorders>
            <w:gridSpan w:val="4"/>
          </w:tcPr>
          <w:p>
            <w:pPr>
              <w:jc w:val="right"/>
              <w:ind w:right="709"/>
              <w:spacing w:after="0"/>
              <w:rPr>
                <w:sz w:val="20"/>
                <w:szCs w:val="20"/>
                <w:color w:val="auto"/>
              </w:rPr>
            </w:pPr>
            <w:r>
              <w:rPr>
                <w:rFonts w:ascii="Arial" w:cs="Arial" w:eastAsia="Arial" w:hAnsi="Arial"/>
                <w:sz w:val="12"/>
                <w:szCs w:val="12"/>
                <w:b w:val="1"/>
                <w:bCs w:val="1"/>
                <w:color w:val="auto"/>
              </w:rPr>
              <w:t>Financial Condition</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142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2"/>
                <w:szCs w:val="12"/>
                <w:b w:val="1"/>
                <w:bCs w:val="1"/>
                <w:color w:val="auto"/>
              </w:rPr>
              <w:t>Gross Amounts of</w:t>
            </w:r>
          </w:p>
        </w:tc>
        <w:tc>
          <w:tcPr>
            <w:tcW w:w="100" w:type="dxa"/>
            <w:vAlign w:val="bottom"/>
          </w:tcPr>
          <w:p>
            <w:pPr>
              <w:spacing w:after="0"/>
              <w:rPr>
                <w:sz w:val="12"/>
                <w:szCs w:val="12"/>
                <w:color w:val="auto"/>
              </w:rPr>
            </w:pPr>
          </w:p>
        </w:tc>
        <w:tc>
          <w:tcPr>
            <w:tcW w:w="136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Derivative Assets</w:t>
            </w:r>
          </w:p>
        </w:tc>
        <w:tc>
          <w:tcPr>
            <w:tcW w:w="140" w:type="dxa"/>
            <w:vAlign w:val="bottom"/>
          </w:tcPr>
          <w:p>
            <w:pPr>
              <w:spacing w:after="0"/>
              <w:rPr>
                <w:sz w:val="12"/>
                <w:szCs w:val="12"/>
                <w:color w:val="auto"/>
              </w:rPr>
            </w:pPr>
          </w:p>
        </w:tc>
        <w:tc>
          <w:tcPr>
            <w:tcW w:w="132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Cash Collateral</w:t>
            </w:r>
          </w:p>
        </w:tc>
        <w:tc>
          <w:tcPr>
            <w:tcW w:w="1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6"/>
        </w:trPr>
        <w:tc>
          <w:tcPr>
            <w:tcW w:w="1420" w:type="dxa"/>
            <w:vAlign w:val="bottom"/>
            <w:vMerge w:val="restart"/>
          </w:tcPr>
          <w:p>
            <w:pPr>
              <w:spacing w:after="0"/>
              <w:rPr>
                <w:sz w:val="20"/>
                <w:szCs w:val="20"/>
                <w:color w:val="auto"/>
              </w:rPr>
            </w:pPr>
            <w:r>
              <w:rPr>
                <w:rFonts w:ascii="Arial" w:cs="Arial" w:eastAsia="Arial" w:hAnsi="Arial"/>
                <w:sz w:val="12"/>
                <w:szCs w:val="12"/>
                <w:b w:val="1"/>
                <w:bCs w:val="1"/>
                <w:color w:val="auto"/>
                <w:w w:val="98"/>
              </w:rPr>
              <w:t>As of December 31, 2025</w:t>
            </w:r>
          </w:p>
        </w:tc>
        <w:tc>
          <w:tcPr>
            <w:tcW w:w="4180" w:type="dxa"/>
            <w:vAlign w:val="bottom"/>
            <w:vMerge w:val="restart"/>
          </w:tcPr>
          <w:p>
            <w:pPr>
              <w:spacing w:after="0"/>
              <w:rPr>
                <w:sz w:val="10"/>
                <w:szCs w:val="10"/>
                <w:color w:val="auto"/>
              </w:rPr>
            </w:pPr>
          </w:p>
        </w:tc>
        <w:tc>
          <w:tcPr>
            <w:tcW w:w="1460" w:type="dxa"/>
            <w:vAlign w:val="bottom"/>
            <w:gridSpan w:val="3"/>
          </w:tcPr>
          <w:p>
            <w:pPr>
              <w:jc w:val="center"/>
              <w:ind w:right="200"/>
              <w:spacing w:after="0" w:line="116" w:lineRule="exact"/>
              <w:rPr>
                <w:sz w:val="20"/>
                <w:szCs w:val="20"/>
                <w:color w:val="auto"/>
              </w:rPr>
            </w:pPr>
            <w:r>
              <w:rPr>
                <w:rFonts w:ascii="Arial" w:cs="Arial" w:eastAsia="Arial" w:hAnsi="Arial"/>
                <w:sz w:val="12"/>
                <w:szCs w:val="12"/>
                <w:b w:val="1"/>
                <w:bCs w:val="1"/>
                <w:color w:val="auto"/>
                <w:w w:val="99"/>
              </w:rPr>
              <w:t>Assets (Liabilities)</w:t>
            </w:r>
          </w:p>
        </w:tc>
        <w:tc>
          <w:tcPr>
            <w:tcW w:w="100" w:type="dxa"/>
            <w:vAlign w:val="bottom"/>
          </w:tcPr>
          <w:p>
            <w:pPr>
              <w:spacing w:after="0"/>
              <w:rPr>
                <w:sz w:val="10"/>
                <w:szCs w:val="10"/>
                <w:color w:val="auto"/>
              </w:rPr>
            </w:pPr>
          </w:p>
        </w:tc>
        <w:tc>
          <w:tcPr>
            <w:tcW w:w="136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132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1060" w:type="dxa"/>
            <w:vAlign w:val="bottom"/>
            <w:vMerge w:val="restart"/>
          </w:tcPr>
          <w:p>
            <w:pPr>
              <w:jc w:val="right"/>
              <w:ind w:right="209"/>
              <w:spacing w:after="0"/>
              <w:rPr>
                <w:sz w:val="20"/>
                <w:szCs w:val="20"/>
                <w:color w:val="auto"/>
              </w:rPr>
            </w:pPr>
            <w:r>
              <w:rPr>
                <w:rFonts w:ascii="Arial" w:cs="Arial" w:eastAsia="Arial" w:hAnsi="Arial"/>
                <w:sz w:val="12"/>
                <w:szCs w:val="12"/>
                <w:b w:val="1"/>
                <w:bCs w:val="1"/>
                <w:color w:val="auto"/>
              </w:rPr>
              <w:t>Net Amount</w:t>
            </w:r>
          </w:p>
        </w:tc>
        <w:tc>
          <w:tcPr>
            <w:tcW w:w="0" w:type="dxa"/>
            <w:vAlign w:val="bottom"/>
          </w:tcPr>
          <w:p>
            <w:pPr>
              <w:spacing w:after="0"/>
              <w:rPr>
                <w:sz w:val="1"/>
                <w:szCs w:val="1"/>
                <w:color w:val="auto"/>
              </w:rPr>
            </w:pPr>
          </w:p>
        </w:tc>
      </w:tr>
      <w:tr>
        <w:trPr>
          <w:trHeight w:val="147"/>
        </w:trPr>
        <w:tc>
          <w:tcPr>
            <w:tcW w:w="1420" w:type="dxa"/>
            <w:vAlign w:val="bottom"/>
            <w:tcBorders>
              <w:bottom w:val="single" w:sz="8" w:color="auto"/>
            </w:tcBorders>
            <w:vMerge w:val="continue"/>
          </w:tcPr>
          <w:p>
            <w:pPr>
              <w:spacing w:after="0"/>
              <w:rPr>
                <w:sz w:val="12"/>
                <w:szCs w:val="12"/>
                <w:color w:val="auto"/>
              </w:rPr>
            </w:pPr>
          </w:p>
        </w:tc>
        <w:tc>
          <w:tcPr>
            <w:tcW w:w="41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2"/>
                <w:szCs w:val="12"/>
                <w:b w:val="1"/>
                <w:bCs w:val="1"/>
                <w:color w:val="auto"/>
                <w:w w:val="99"/>
              </w:rPr>
              <w:t>Presented</w:t>
            </w:r>
          </w:p>
        </w:tc>
        <w:tc>
          <w:tcPr>
            <w:tcW w:w="100" w:type="dxa"/>
            <w:vAlign w:val="bottom"/>
          </w:tcPr>
          <w:p>
            <w:pPr>
              <w:spacing w:after="0"/>
              <w:rPr>
                <w:sz w:val="12"/>
                <w:szCs w:val="12"/>
                <w:color w:val="auto"/>
              </w:rPr>
            </w:pPr>
          </w:p>
        </w:tc>
        <w:tc>
          <w:tcPr>
            <w:tcW w:w="1360" w:type="dxa"/>
            <w:vAlign w:val="bottom"/>
            <w:gridSpan w:val="2"/>
          </w:tcPr>
          <w:p>
            <w:pPr>
              <w:ind w:left="200"/>
              <w:spacing w:after="0"/>
              <w:rPr>
                <w:sz w:val="20"/>
                <w:szCs w:val="20"/>
                <w:color w:val="auto"/>
              </w:rPr>
            </w:pPr>
            <w:r>
              <w:rPr>
                <w:rFonts w:ascii="Arial" w:cs="Arial" w:eastAsia="Arial" w:hAnsi="Arial"/>
                <w:sz w:val="12"/>
                <w:szCs w:val="12"/>
                <w:b w:val="1"/>
                <w:bCs w:val="1"/>
                <w:color w:val="auto"/>
              </w:rPr>
              <w:t>(Liabilities)</w:t>
            </w:r>
          </w:p>
        </w:tc>
        <w:tc>
          <w:tcPr>
            <w:tcW w:w="1460" w:type="dxa"/>
            <w:vAlign w:val="bottom"/>
            <w:gridSpan w:val="3"/>
          </w:tcPr>
          <w:p>
            <w:pPr>
              <w:jc w:val="right"/>
              <w:ind w:right="280"/>
              <w:spacing w:after="0"/>
              <w:rPr>
                <w:sz w:val="20"/>
                <w:szCs w:val="20"/>
                <w:color w:val="auto"/>
              </w:rPr>
            </w:pPr>
            <w:r>
              <w:rPr>
                <w:rFonts w:ascii="Arial" w:cs="Arial" w:eastAsia="Arial" w:hAnsi="Arial"/>
                <w:sz w:val="12"/>
                <w:szCs w:val="12"/>
                <w:b w:val="1"/>
                <w:bCs w:val="1"/>
                <w:color w:val="auto"/>
              </w:rPr>
              <w:t>Received (Pledged)</w:t>
            </w:r>
          </w:p>
        </w:tc>
        <w:tc>
          <w:tcPr>
            <w:tcW w:w="18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600" w:type="dxa"/>
            <w:vAlign w:val="bottom"/>
            <w:gridSpan w:val="2"/>
            <w:vMerge w:val="restart"/>
          </w:tcPr>
          <w:p>
            <w:pPr>
              <w:spacing w:after="0"/>
              <w:rPr>
                <w:sz w:val="20"/>
                <w:szCs w:val="20"/>
                <w:color w:val="auto"/>
              </w:rPr>
            </w:pPr>
            <w:r>
              <w:rPr>
                <w:rFonts w:ascii="Arial" w:cs="Arial" w:eastAsia="Arial" w:hAnsi="Arial"/>
                <w:sz w:val="15"/>
                <w:szCs w:val="15"/>
                <w:b w:val="1"/>
                <w:bCs w:val="1"/>
                <w:color w:val="auto"/>
              </w:rPr>
              <w:t>Derivative Assets:</w:t>
            </w: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56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5600" w:type="dxa"/>
            <w:vAlign w:val="bottom"/>
            <w:gridSpan w:val="2"/>
          </w:tcPr>
          <w:p>
            <w:pPr>
              <w:ind w:left="160"/>
              <w:spacing w:after="0"/>
              <w:rPr>
                <w:sz w:val="20"/>
                <w:szCs w:val="20"/>
                <w:color w:val="auto"/>
              </w:rPr>
            </w:pPr>
            <w:r>
              <w:rPr>
                <w:rFonts w:ascii="Arial" w:cs="Arial" w:eastAsia="Arial" w:hAnsi="Arial"/>
                <w:sz w:val="15"/>
                <w:szCs w:val="15"/>
                <w:i w:val="1"/>
                <w:iCs w:val="1"/>
                <w:color w:val="auto"/>
              </w:rPr>
              <w:t>Derivative assets of consolidated funds:</w:t>
            </w: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5600" w:type="dxa"/>
            <w:vAlign w:val="bottom"/>
            <w:gridSpan w:val="2"/>
          </w:tcPr>
          <w:p>
            <w:pPr>
              <w:spacing w:after="0"/>
              <w:rPr>
                <w:sz w:val="20"/>
                <w:szCs w:val="20"/>
                <w:color w:val="auto"/>
              </w:rPr>
            </w:pPr>
            <w:r>
              <w:rPr>
                <w:rFonts w:ascii="Arial" w:cs="Arial" w:eastAsia="Arial" w:hAnsi="Arial"/>
                <w:sz w:val="15"/>
                <w:szCs w:val="15"/>
                <w:color w:val="auto"/>
              </w:rPr>
              <w:t>Foreign-currency forward contracts</w:t>
            </w: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60" w:type="dxa"/>
            <w:vAlign w:val="bottom"/>
          </w:tcPr>
          <w:p>
            <w:pPr>
              <w:jc w:val="right"/>
              <w:ind w:right="10"/>
              <w:spacing w:after="0"/>
              <w:rPr>
                <w:sz w:val="20"/>
                <w:szCs w:val="20"/>
                <w:color w:val="auto"/>
              </w:rPr>
            </w:pPr>
            <w:r>
              <w:rPr>
                <w:rFonts w:ascii="Arial" w:cs="Arial" w:eastAsia="Arial" w:hAnsi="Arial"/>
                <w:sz w:val="15"/>
                <w:szCs w:val="15"/>
                <w:color w:val="auto"/>
              </w:rPr>
              <w:t>7,800</w:t>
            </w:r>
          </w:p>
        </w:tc>
        <w:tc>
          <w:tcPr>
            <w:tcW w:w="2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360" w:type="dxa"/>
            <w:vAlign w:val="bottom"/>
            <w:gridSpan w:val="2"/>
          </w:tcPr>
          <w:p>
            <w:pPr>
              <w:ind w:left="940"/>
              <w:spacing w:after="0"/>
              <w:rPr>
                <w:sz w:val="20"/>
                <w:szCs w:val="20"/>
                <w:color w:val="auto"/>
              </w:rPr>
            </w:pPr>
            <w:r>
              <w:rPr>
                <w:rFonts w:ascii="Arial" w:cs="Arial" w:eastAsia="Arial" w:hAnsi="Arial"/>
                <w:sz w:val="15"/>
                <w:szCs w:val="15"/>
                <w:color w:val="auto"/>
              </w:rPr>
              <w:t>—</w:t>
            </w: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32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180" w:type="dxa"/>
            <w:vAlign w:val="bottom"/>
          </w:tcPr>
          <w:p>
            <w:pPr>
              <w:jc w:val="right"/>
              <w:ind w:right="7"/>
              <w:spacing w:after="0"/>
              <w:rPr>
                <w:sz w:val="20"/>
                <w:szCs w:val="20"/>
                <w:color w:val="auto"/>
              </w:rPr>
            </w:pPr>
            <w:r>
              <w:rPr>
                <w:rFonts w:ascii="Arial" w:cs="Arial" w:eastAsia="Arial" w:hAnsi="Arial"/>
                <w:sz w:val="15"/>
                <w:szCs w:val="15"/>
                <w:color w:val="auto"/>
                <w:w w:val="95"/>
              </w:rPr>
              <w:t>$</w:t>
            </w:r>
          </w:p>
        </w:tc>
        <w:tc>
          <w:tcPr>
            <w:tcW w:w="1060" w:type="dxa"/>
            <w:vAlign w:val="bottom"/>
          </w:tcPr>
          <w:p>
            <w:pPr>
              <w:jc w:val="right"/>
              <w:spacing w:after="0"/>
              <w:rPr>
                <w:sz w:val="20"/>
                <w:szCs w:val="20"/>
                <w:color w:val="auto"/>
              </w:rPr>
            </w:pPr>
            <w:r>
              <w:rPr>
                <w:rFonts w:ascii="Arial" w:cs="Arial" w:eastAsia="Arial" w:hAnsi="Arial"/>
                <w:sz w:val="15"/>
                <w:szCs w:val="15"/>
                <w:color w:val="auto"/>
              </w:rPr>
              <w:t>7,800</w:t>
            </w:r>
          </w:p>
        </w:tc>
        <w:tc>
          <w:tcPr>
            <w:tcW w:w="0" w:type="dxa"/>
            <w:vAlign w:val="bottom"/>
          </w:tcPr>
          <w:p>
            <w:pPr>
              <w:spacing w:after="0"/>
              <w:rPr>
                <w:sz w:val="1"/>
                <w:szCs w:val="1"/>
                <w:color w:val="auto"/>
              </w:rPr>
            </w:pPr>
          </w:p>
        </w:tc>
      </w:tr>
      <w:tr>
        <w:trPr>
          <w:trHeight w:val="196"/>
        </w:trPr>
        <w:tc>
          <w:tcPr>
            <w:tcW w:w="5600" w:type="dxa"/>
            <w:vAlign w:val="bottom"/>
            <w:gridSpan w:val="2"/>
          </w:tcPr>
          <w:p>
            <w:pPr>
              <w:spacing w:after="0"/>
              <w:rPr>
                <w:sz w:val="20"/>
                <w:szCs w:val="20"/>
                <w:color w:val="auto"/>
              </w:rPr>
            </w:pPr>
            <w:r>
              <w:rPr>
                <w:rFonts w:ascii="Arial" w:cs="Arial" w:eastAsia="Arial" w:hAnsi="Arial"/>
                <w:sz w:val="15"/>
                <w:szCs w:val="15"/>
                <w:color w:val="auto"/>
              </w:rPr>
              <w:t>Total-return and interest-rate and credit default swaps</w:t>
            </w:r>
          </w:p>
        </w:tc>
        <w:tc>
          <w:tcPr>
            <w:tcW w:w="100" w:type="dxa"/>
            <w:vAlign w:val="bottom"/>
          </w:tcPr>
          <w:p>
            <w:pPr>
              <w:spacing w:after="0"/>
              <w:rPr>
                <w:sz w:val="17"/>
                <w:szCs w:val="17"/>
                <w:color w:val="auto"/>
              </w:rPr>
            </w:pPr>
          </w:p>
        </w:tc>
        <w:tc>
          <w:tcPr>
            <w:tcW w:w="1160" w:type="dxa"/>
            <w:vAlign w:val="bottom"/>
          </w:tcPr>
          <w:p>
            <w:pPr>
              <w:jc w:val="right"/>
              <w:ind w:right="10"/>
              <w:spacing w:after="0"/>
              <w:rPr>
                <w:sz w:val="20"/>
                <w:szCs w:val="20"/>
                <w:color w:val="auto"/>
              </w:rPr>
            </w:pPr>
            <w:r>
              <w:rPr>
                <w:rFonts w:ascii="Arial" w:cs="Arial" w:eastAsia="Arial" w:hAnsi="Arial"/>
                <w:sz w:val="15"/>
                <w:szCs w:val="15"/>
                <w:color w:val="auto"/>
              </w:rPr>
              <w:t>1,270</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gridSpan w:val="2"/>
          </w:tcPr>
          <w:p>
            <w:pPr>
              <w:ind w:left="94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1,270</w:t>
            </w:r>
          </w:p>
        </w:tc>
        <w:tc>
          <w:tcPr>
            <w:tcW w:w="0" w:type="dxa"/>
            <w:vAlign w:val="bottom"/>
          </w:tcPr>
          <w:p>
            <w:pPr>
              <w:spacing w:after="0"/>
              <w:rPr>
                <w:sz w:val="1"/>
                <w:szCs w:val="1"/>
                <w:color w:val="auto"/>
              </w:rPr>
            </w:pPr>
          </w:p>
        </w:tc>
      </w:tr>
      <w:tr>
        <w:trPr>
          <w:trHeight w:val="189"/>
        </w:trPr>
        <w:tc>
          <w:tcPr>
            <w:tcW w:w="5600" w:type="dxa"/>
            <w:vAlign w:val="bottom"/>
            <w:gridSpan w:val="2"/>
          </w:tcPr>
          <w:p>
            <w:pPr>
              <w:spacing w:after="0"/>
              <w:rPr>
                <w:sz w:val="20"/>
                <w:szCs w:val="20"/>
                <w:color w:val="auto"/>
              </w:rPr>
            </w:pPr>
            <w:r>
              <w:rPr>
                <w:rFonts w:ascii="Arial" w:cs="Arial" w:eastAsia="Arial" w:hAnsi="Arial"/>
                <w:sz w:val="15"/>
                <w:szCs w:val="15"/>
                <w:color w:val="auto"/>
              </w:rPr>
              <w:t>Total</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1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5"/>
                <w:szCs w:val="15"/>
                <w:color w:val="auto"/>
              </w:rPr>
              <w:t>9,070</w:t>
            </w:r>
          </w:p>
        </w:tc>
        <w:tc>
          <w:tcPr>
            <w:tcW w:w="20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160" w:type="dxa"/>
            <w:vAlign w:val="bottom"/>
            <w:tcBorders>
              <w:top w:val="single" w:sz="8" w:color="auto"/>
              <w:bottom w:val="single" w:sz="8" w:color="auto"/>
            </w:tcBorders>
          </w:tcPr>
          <w:p>
            <w:pPr>
              <w:ind w:left="94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95"/>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9,070</w:t>
            </w:r>
          </w:p>
        </w:tc>
        <w:tc>
          <w:tcPr>
            <w:tcW w:w="0" w:type="dxa"/>
            <w:vAlign w:val="bottom"/>
          </w:tcPr>
          <w:p>
            <w:pPr>
              <w:spacing w:after="0"/>
              <w:rPr>
                <w:sz w:val="1"/>
                <w:szCs w:val="1"/>
                <w:color w:val="auto"/>
              </w:rPr>
            </w:pPr>
          </w:p>
        </w:tc>
      </w:tr>
      <w:tr>
        <w:trPr>
          <w:trHeight w:val="20"/>
        </w:trPr>
        <w:tc>
          <w:tcPr>
            <w:tcW w:w="5600" w:type="dxa"/>
            <w:vAlign w:val="bottom"/>
            <w:gridSpan w:val="2"/>
            <w:vMerge w:val="restart"/>
          </w:tcPr>
          <w:p>
            <w:pPr>
              <w:spacing w:after="0"/>
              <w:rPr>
                <w:sz w:val="20"/>
                <w:szCs w:val="20"/>
                <w:color w:val="auto"/>
              </w:rPr>
            </w:pPr>
            <w:r>
              <w:rPr>
                <w:rFonts w:ascii="Arial" w:cs="Arial" w:eastAsia="Arial" w:hAnsi="Arial"/>
                <w:sz w:val="15"/>
                <w:szCs w:val="15"/>
                <w:b w:val="1"/>
                <w:bCs w:val="1"/>
                <w:color w:val="auto"/>
              </w:rPr>
              <w:t>Derivative Liabilities:</w:t>
            </w: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9"/>
        </w:trPr>
        <w:tc>
          <w:tcPr>
            <w:tcW w:w="560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5600" w:type="dxa"/>
            <w:vAlign w:val="bottom"/>
            <w:gridSpan w:val="2"/>
          </w:tcPr>
          <w:p>
            <w:pPr>
              <w:ind w:left="160"/>
              <w:spacing w:after="0"/>
              <w:rPr>
                <w:sz w:val="20"/>
                <w:szCs w:val="20"/>
                <w:color w:val="auto"/>
              </w:rPr>
            </w:pPr>
            <w:r>
              <w:rPr>
                <w:rFonts w:ascii="Arial" w:cs="Arial" w:eastAsia="Arial" w:hAnsi="Arial"/>
                <w:sz w:val="15"/>
                <w:szCs w:val="15"/>
                <w:i w:val="1"/>
                <w:iCs w:val="1"/>
                <w:color w:val="auto"/>
              </w:rPr>
              <w:t>Derivative liabilities of consolidated funds:</w:t>
            </w: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5600" w:type="dxa"/>
            <w:vAlign w:val="bottom"/>
            <w:gridSpan w:val="2"/>
          </w:tcPr>
          <w:p>
            <w:pPr>
              <w:spacing w:after="0"/>
              <w:rPr>
                <w:sz w:val="20"/>
                <w:szCs w:val="20"/>
                <w:color w:val="auto"/>
              </w:rPr>
            </w:pPr>
            <w:r>
              <w:rPr>
                <w:rFonts w:ascii="Arial" w:cs="Arial" w:eastAsia="Arial" w:hAnsi="Arial"/>
                <w:sz w:val="15"/>
                <w:szCs w:val="15"/>
                <w:color w:val="auto"/>
              </w:rPr>
              <w:t>Foreign-currency forward contracts</w:t>
            </w: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60" w:type="dxa"/>
            <w:vAlign w:val="bottom"/>
          </w:tcPr>
          <w:p>
            <w:pPr>
              <w:jc w:val="right"/>
              <w:spacing w:after="0"/>
              <w:rPr>
                <w:sz w:val="20"/>
                <w:szCs w:val="20"/>
                <w:color w:val="auto"/>
              </w:rPr>
            </w:pPr>
            <w:r>
              <w:rPr>
                <w:rFonts w:ascii="Arial" w:cs="Arial" w:eastAsia="Arial" w:hAnsi="Arial"/>
                <w:sz w:val="15"/>
                <w:szCs w:val="15"/>
                <w:color w:val="auto"/>
              </w:rPr>
              <w:t>(47,032)</w:t>
            </w:r>
          </w:p>
        </w:tc>
        <w:tc>
          <w:tcPr>
            <w:tcW w:w="2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360" w:type="dxa"/>
            <w:vAlign w:val="bottom"/>
            <w:gridSpan w:val="2"/>
          </w:tcPr>
          <w:p>
            <w:pPr>
              <w:ind w:left="940"/>
              <w:spacing w:after="0"/>
              <w:rPr>
                <w:sz w:val="20"/>
                <w:szCs w:val="20"/>
                <w:color w:val="auto"/>
              </w:rPr>
            </w:pPr>
            <w:r>
              <w:rPr>
                <w:rFonts w:ascii="Arial" w:cs="Arial" w:eastAsia="Arial" w:hAnsi="Arial"/>
                <w:sz w:val="15"/>
                <w:szCs w:val="15"/>
                <w:color w:val="auto"/>
              </w:rPr>
              <w:t>—</w:t>
            </w: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32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180" w:type="dxa"/>
            <w:vAlign w:val="bottom"/>
          </w:tcPr>
          <w:p>
            <w:pPr>
              <w:jc w:val="right"/>
              <w:ind w:right="7"/>
              <w:spacing w:after="0"/>
              <w:rPr>
                <w:sz w:val="20"/>
                <w:szCs w:val="20"/>
                <w:color w:val="auto"/>
              </w:rPr>
            </w:pPr>
            <w:r>
              <w:rPr>
                <w:rFonts w:ascii="Arial" w:cs="Arial" w:eastAsia="Arial" w:hAnsi="Arial"/>
                <w:sz w:val="15"/>
                <w:szCs w:val="15"/>
                <w:color w:val="auto"/>
                <w:w w:val="95"/>
              </w:rPr>
              <w:t>$</w:t>
            </w:r>
          </w:p>
        </w:tc>
        <w:tc>
          <w:tcPr>
            <w:tcW w:w="1060" w:type="dxa"/>
            <w:vAlign w:val="bottom"/>
          </w:tcPr>
          <w:p>
            <w:pPr>
              <w:jc w:val="right"/>
              <w:spacing w:after="0"/>
              <w:rPr>
                <w:sz w:val="20"/>
                <w:szCs w:val="20"/>
                <w:color w:val="auto"/>
              </w:rPr>
            </w:pPr>
            <w:r>
              <w:rPr>
                <w:rFonts w:ascii="Arial" w:cs="Arial" w:eastAsia="Arial" w:hAnsi="Arial"/>
                <w:sz w:val="15"/>
                <w:szCs w:val="15"/>
                <w:color w:val="auto"/>
              </w:rPr>
              <w:t>(47,032)</w:t>
            </w:r>
          </w:p>
        </w:tc>
        <w:tc>
          <w:tcPr>
            <w:tcW w:w="0" w:type="dxa"/>
            <w:vAlign w:val="bottom"/>
          </w:tcPr>
          <w:p>
            <w:pPr>
              <w:spacing w:after="0"/>
              <w:rPr>
                <w:sz w:val="1"/>
                <w:szCs w:val="1"/>
                <w:color w:val="auto"/>
              </w:rPr>
            </w:pPr>
          </w:p>
        </w:tc>
      </w:tr>
      <w:tr>
        <w:trPr>
          <w:trHeight w:val="196"/>
        </w:trPr>
        <w:tc>
          <w:tcPr>
            <w:tcW w:w="5600" w:type="dxa"/>
            <w:vAlign w:val="bottom"/>
            <w:gridSpan w:val="2"/>
          </w:tcPr>
          <w:p>
            <w:pPr>
              <w:spacing w:after="0"/>
              <w:rPr>
                <w:sz w:val="20"/>
                <w:szCs w:val="20"/>
                <w:color w:val="auto"/>
              </w:rPr>
            </w:pPr>
            <w:r>
              <w:rPr>
                <w:rFonts w:ascii="Arial" w:cs="Arial" w:eastAsia="Arial" w:hAnsi="Arial"/>
                <w:sz w:val="15"/>
                <w:szCs w:val="15"/>
                <w:color w:val="auto"/>
              </w:rPr>
              <w:t>Options and futures</w:t>
            </w:r>
          </w:p>
        </w:tc>
        <w:tc>
          <w:tcPr>
            <w:tcW w:w="10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(1,861)</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gridSpan w:val="2"/>
          </w:tcPr>
          <w:p>
            <w:pPr>
              <w:ind w:left="94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(1,861)</w:t>
            </w:r>
          </w:p>
        </w:tc>
        <w:tc>
          <w:tcPr>
            <w:tcW w:w="0" w:type="dxa"/>
            <w:vAlign w:val="bottom"/>
          </w:tcPr>
          <w:p>
            <w:pPr>
              <w:spacing w:after="0"/>
              <w:rPr>
                <w:sz w:val="1"/>
                <w:szCs w:val="1"/>
                <w:color w:val="auto"/>
              </w:rPr>
            </w:pPr>
          </w:p>
        </w:tc>
      </w:tr>
      <w:tr>
        <w:trPr>
          <w:trHeight w:val="189"/>
        </w:trPr>
        <w:tc>
          <w:tcPr>
            <w:tcW w:w="5600" w:type="dxa"/>
            <w:vAlign w:val="bottom"/>
            <w:gridSpan w:val="2"/>
          </w:tcPr>
          <w:p>
            <w:pPr>
              <w:spacing w:after="0"/>
              <w:rPr>
                <w:sz w:val="20"/>
                <w:szCs w:val="20"/>
                <w:color w:val="auto"/>
              </w:rPr>
            </w:pPr>
            <w:r>
              <w:rPr>
                <w:rFonts w:ascii="Arial" w:cs="Arial" w:eastAsia="Arial" w:hAnsi="Arial"/>
                <w:sz w:val="15"/>
                <w:szCs w:val="15"/>
                <w:color w:val="auto"/>
              </w:rPr>
              <w:t>Total</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(48,893)</w:t>
            </w:r>
          </w:p>
        </w:tc>
        <w:tc>
          <w:tcPr>
            <w:tcW w:w="20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160" w:type="dxa"/>
            <w:vAlign w:val="bottom"/>
            <w:tcBorders>
              <w:top w:val="single" w:sz="8" w:color="auto"/>
              <w:bottom w:val="single" w:sz="8" w:color="auto"/>
            </w:tcBorders>
          </w:tcPr>
          <w:p>
            <w:pPr>
              <w:ind w:left="94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95"/>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(48,893)</w:t>
            </w:r>
          </w:p>
        </w:tc>
        <w:tc>
          <w:tcPr>
            <w:tcW w:w="0" w:type="dxa"/>
            <w:vAlign w:val="bottom"/>
          </w:tcPr>
          <w:p>
            <w:pPr>
              <w:spacing w:after="0"/>
              <w:rPr>
                <w:sz w:val="1"/>
                <w:szCs w:val="1"/>
                <w:color w:val="auto"/>
              </w:rPr>
            </w:pPr>
          </w:p>
        </w:tc>
      </w:tr>
      <w:tr>
        <w:trPr>
          <w:trHeight w:val="20"/>
        </w:trPr>
        <w:tc>
          <w:tcPr>
            <w:tcW w:w="142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7" w:name="page98"/>
    <w:bookmarkEnd w:id="97"/>
    <w:p>
      <w:pPr>
        <w:jc w:val="center"/>
        <w:spacing w:after="0"/>
        <w:rPr>
          <w:sz w:val="20"/>
          <w:szCs w:val="20"/>
          <w:color w:val="auto"/>
        </w:rPr>
      </w:pPr>
      <w:r>
        <w:rPr>
          <w:rFonts w:ascii="Arial" w:cs="Arial" w:eastAsia="Arial" w:hAnsi="Arial"/>
          <w:sz w:val="17"/>
          <w:szCs w:val="17"/>
          <w:b w:val="1"/>
          <w:bCs w:val="1"/>
          <w:color w:val="auto"/>
        </w:rPr>
        <w:t>Brookfield Oaktree Holdings, LLC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 (Continued)</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December 31, 2025</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 in thousands, except where noted)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142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20" w:type="dxa"/>
            <w:vAlign w:val="bottom"/>
            <w:gridSpan w:val="5"/>
          </w:tcPr>
          <w:p>
            <w:pPr>
              <w:ind w:left="20"/>
              <w:spacing w:after="0"/>
              <w:rPr>
                <w:sz w:val="20"/>
                <w:szCs w:val="20"/>
                <w:color w:val="auto"/>
              </w:rPr>
            </w:pPr>
            <w:r>
              <w:rPr>
                <w:rFonts w:ascii="Arial" w:cs="Arial" w:eastAsia="Arial" w:hAnsi="Arial"/>
                <w:sz w:val="12"/>
                <w:szCs w:val="12"/>
                <w:b w:val="1"/>
                <w:bCs w:val="1"/>
                <w:color w:val="auto"/>
              </w:rPr>
              <w:t>Gross Amounts Not Offset in Statements of</w:t>
            </w:r>
          </w:p>
        </w:tc>
        <w:tc>
          <w:tcPr>
            <w:tcW w:w="1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1420" w:type="dxa"/>
            <w:vAlign w:val="bottom"/>
          </w:tcPr>
          <w:p>
            <w:pPr>
              <w:spacing w:after="0"/>
              <w:rPr>
                <w:sz w:val="15"/>
                <w:szCs w:val="15"/>
                <w:color w:val="auto"/>
              </w:rPr>
            </w:pPr>
          </w:p>
        </w:tc>
        <w:tc>
          <w:tcPr>
            <w:tcW w:w="4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600" w:type="dxa"/>
            <w:vAlign w:val="bottom"/>
            <w:tcBorders>
              <w:bottom w:val="single" w:sz="8" w:color="auto"/>
            </w:tcBorders>
            <w:gridSpan w:val="4"/>
          </w:tcPr>
          <w:p>
            <w:pPr>
              <w:jc w:val="right"/>
              <w:ind w:right="709"/>
              <w:spacing w:after="0"/>
              <w:rPr>
                <w:sz w:val="20"/>
                <w:szCs w:val="20"/>
                <w:color w:val="auto"/>
              </w:rPr>
            </w:pPr>
            <w:r>
              <w:rPr>
                <w:rFonts w:ascii="Arial" w:cs="Arial" w:eastAsia="Arial" w:hAnsi="Arial"/>
                <w:sz w:val="12"/>
                <w:szCs w:val="12"/>
                <w:b w:val="1"/>
                <w:bCs w:val="1"/>
                <w:color w:val="auto"/>
              </w:rPr>
              <w:t>Financial Condition</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142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2"/>
                <w:szCs w:val="12"/>
                <w:b w:val="1"/>
                <w:bCs w:val="1"/>
                <w:color w:val="auto"/>
              </w:rPr>
              <w:t>Gross Amounts of</w:t>
            </w:r>
          </w:p>
        </w:tc>
        <w:tc>
          <w:tcPr>
            <w:tcW w:w="100" w:type="dxa"/>
            <w:vAlign w:val="bottom"/>
          </w:tcPr>
          <w:p>
            <w:pPr>
              <w:spacing w:after="0"/>
              <w:rPr>
                <w:sz w:val="12"/>
                <w:szCs w:val="12"/>
                <w:color w:val="auto"/>
              </w:rPr>
            </w:pPr>
          </w:p>
        </w:tc>
        <w:tc>
          <w:tcPr>
            <w:tcW w:w="136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Derivative Assets</w:t>
            </w:r>
          </w:p>
        </w:tc>
        <w:tc>
          <w:tcPr>
            <w:tcW w:w="140" w:type="dxa"/>
            <w:vAlign w:val="bottom"/>
          </w:tcPr>
          <w:p>
            <w:pPr>
              <w:spacing w:after="0"/>
              <w:rPr>
                <w:sz w:val="12"/>
                <w:szCs w:val="12"/>
                <w:color w:val="auto"/>
              </w:rPr>
            </w:pPr>
          </w:p>
        </w:tc>
        <w:tc>
          <w:tcPr>
            <w:tcW w:w="132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Cash Collateral</w:t>
            </w:r>
          </w:p>
        </w:tc>
        <w:tc>
          <w:tcPr>
            <w:tcW w:w="1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6"/>
        </w:trPr>
        <w:tc>
          <w:tcPr>
            <w:tcW w:w="1420" w:type="dxa"/>
            <w:vAlign w:val="bottom"/>
            <w:vMerge w:val="restart"/>
          </w:tcPr>
          <w:p>
            <w:pPr>
              <w:spacing w:after="0"/>
              <w:rPr>
                <w:sz w:val="20"/>
                <w:szCs w:val="20"/>
                <w:color w:val="auto"/>
              </w:rPr>
            </w:pPr>
            <w:r>
              <w:rPr>
                <w:rFonts w:ascii="Arial" w:cs="Arial" w:eastAsia="Arial" w:hAnsi="Arial"/>
                <w:sz w:val="12"/>
                <w:szCs w:val="12"/>
                <w:b w:val="1"/>
                <w:bCs w:val="1"/>
                <w:color w:val="auto"/>
                <w:w w:val="98"/>
              </w:rPr>
              <w:t>As of December 31, 2024</w:t>
            </w:r>
          </w:p>
        </w:tc>
        <w:tc>
          <w:tcPr>
            <w:tcW w:w="4180" w:type="dxa"/>
            <w:vAlign w:val="bottom"/>
            <w:vMerge w:val="restart"/>
          </w:tcPr>
          <w:p>
            <w:pPr>
              <w:spacing w:after="0"/>
              <w:rPr>
                <w:sz w:val="10"/>
                <w:szCs w:val="10"/>
                <w:color w:val="auto"/>
              </w:rPr>
            </w:pPr>
          </w:p>
        </w:tc>
        <w:tc>
          <w:tcPr>
            <w:tcW w:w="1460" w:type="dxa"/>
            <w:vAlign w:val="bottom"/>
            <w:gridSpan w:val="3"/>
          </w:tcPr>
          <w:p>
            <w:pPr>
              <w:jc w:val="center"/>
              <w:ind w:right="200"/>
              <w:spacing w:after="0" w:line="116" w:lineRule="exact"/>
              <w:rPr>
                <w:sz w:val="20"/>
                <w:szCs w:val="20"/>
                <w:color w:val="auto"/>
              </w:rPr>
            </w:pPr>
            <w:r>
              <w:rPr>
                <w:rFonts w:ascii="Arial" w:cs="Arial" w:eastAsia="Arial" w:hAnsi="Arial"/>
                <w:sz w:val="12"/>
                <w:szCs w:val="12"/>
                <w:b w:val="1"/>
                <w:bCs w:val="1"/>
                <w:color w:val="auto"/>
                <w:w w:val="99"/>
              </w:rPr>
              <w:t>Assets (Liabilities)</w:t>
            </w:r>
          </w:p>
        </w:tc>
        <w:tc>
          <w:tcPr>
            <w:tcW w:w="100" w:type="dxa"/>
            <w:vAlign w:val="bottom"/>
          </w:tcPr>
          <w:p>
            <w:pPr>
              <w:spacing w:after="0"/>
              <w:rPr>
                <w:sz w:val="10"/>
                <w:szCs w:val="10"/>
                <w:color w:val="auto"/>
              </w:rPr>
            </w:pPr>
          </w:p>
        </w:tc>
        <w:tc>
          <w:tcPr>
            <w:tcW w:w="136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132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1060" w:type="dxa"/>
            <w:vAlign w:val="bottom"/>
            <w:vMerge w:val="restart"/>
          </w:tcPr>
          <w:p>
            <w:pPr>
              <w:jc w:val="right"/>
              <w:ind w:right="209"/>
              <w:spacing w:after="0"/>
              <w:rPr>
                <w:sz w:val="20"/>
                <w:szCs w:val="20"/>
                <w:color w:val="auto"/>
              </w:rPr>
            </w:pPr>
            <w:r>
              <w:rPr>
                <w:rFonts w:ascii="Arial" w:cs="Arial" w:eastAsia="Arial" w:hAnsi="Arial"/>
                <w:sz w:val="12"/>
                <w:szCs w:val="12"/>
                <w:b w:val="1"/>
                <w:bCs w:val="1"/>
                <w:color w:val="auto"/>
              </w:rPr>
              <w:t>Net Amount</w:t>
            </w:r>
          </w:p>
        </w:tc>
        <w:tc>
          <w:tcPr>
            <w:tcW w:w="0" w:type="dxa"/>
            <w:vAlign w:val="bottom"/>
          </w:tcPr>
          <w:p>
            <w:pPr>
              <w:spacing w:after="0"/>
              <w:rPr>
                <w:sz w:val="1"/>
                <w:szCs w:val="1"/>
                <w:color w:val="auto"/>
              </w:rPr>
            </w:pPr>
          </w:p>
        </w:tc>
      </w:tr>
      <w:tr>
        <w:trPr>
          <w:trHeight w:val="147"/>
        </w:trPr>
        <w:tc>
          <w:tcPr>
            <w:tcW w:w="1420" w:type="dxa"/>
            <w:vAlign w:val="bottom"/>
            <w:tcBorders>
              <w:bottom w:val="single" w:sz="8" w:color="auto"/>
            </w:tcBorders>
            <w:vMerge w:val="continue"/>
          </w:tcPr>
          <w:p>
            <w:pPr>
              <w:spacing w:after="0"/>
              <w:rPr>
                <w:sz w:val="12"/>
                <w:szCs w:val="12"/>
                <w:color w:val="auto"/>
              </w:rPr>
            </w:pPr>
          </w:p>
        </w:tc>
        <w:tc>
          <w:tcPr>
            <w:tcW w:w="41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2"/>
                <w:szCs w:val="12"/>
                <w:b w:val="1"/>
                <w:bCs w:val="1"/>
                <w:color w:val="auto"/>
                <w:w w:val="99"/>
              </w:rPr>
              <w:t>Presented</w:t>
            </w:r>
          </w:p>
        </w:tc>
        <w:tc>
          <w:tcPr>
            <w:tcW w:w="100" w:type="dxa"/>
            <w:vAlign w:val="bottom"/>
          </w:tcPr>
          <w:p>
            <w:pPr>
              <w:spacing w:after="0"/>
              <w:rPr>
                <w:sz w:val="12"/>
                <w:szCs w:val="12"/>
                <w:color w:val="auto"/>
              </w:rPr>
            </w:pPr>
          </w:p>
        </w:tc>
        <w:tc>
          <w:tcPr>
            <w:tcW w:w="1360" w:type="dxa"/>
            <w:vAlign w:val="bottom"/>
            <w:gridSpan w:val="2"/>
          </w:tcPr>
          <w:p>
            <w:pPr>
              <w:ind w:left="200"/>
              <w:spacing w:after="0"/>
              <w:rPr>
                <w:sz w:val="20"/>
                <w:szCs w:val="20"/>
                <w:color w:val="auto"/>
              </w:rPr>
            </w:pPr>
            <w:r>
              <w:rPr>
                <w:rFonts w:ascii="Arial" w:cs="Arial" w:eastAsia="Arial" w:hAnsi="Arial"/>
                <w:sz w:val="12"/>
                <w:szCs w:val="12"/>
                <w:b w:val="1"/>
                <w:bCs w:val="1"/>
                <w:color w:val="auto"/>
              </w:rPr>
              <w:t>(Liabilities)</w:t>
            </w:r>
          </w:p>
        </w:tc>
        <w:tc>
          <w:tcPr>
            <w:tcW w:w="1460" w:type="dxa"/>
            <w:vAlign w:val="bottom"/>
            <w:gridSpan w:val="3"/>
          </w:tcPr>
          <w:p>
            <w:pPr>
              <w:jc w:val="right"/>
              <w:ind w:right="280"/>
              <w:spacing w:after="0"/>
              <w:rPr>
                <w:sz w:val="20"/>
                <w:szCs w:val="20"/>
                <w:color w:val="auto"/>
              </w:rPr>
            </w:pPr>
            <w:r>
              <w:rPr>
                <w:rFonts w:ascii="Arial" w:cs="Arial" w:eastAsia="Arial" w:hAnsi="Arial"/>
                <w:sz w:val="12"/>
                <w:szCs w:val="12"/>
                <w:b w:val="1"/>
                <w:bCs w:val="1"/>
                <w:color w:val="auto"/>
              </w:rPr>
              <w:t>Received (Pledged)</w:t>
            </w:r>
          </w:p>
        </w:tc>
        <w:tc>
          <w:tcPr>
            <w:tcW w:w="18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600" w:type="dxa"/>
            <w:vAlign w:val="bottom"/>
            <w:gridSpan w:val="2"/>
            <w:vMerge w:val="restart"/>
          </w:tcPr>
          <w:p>
            <w:pPr>
              <w:spacing w:after="0"/>
              <w:rPr>
                <w:sz w:val="20"/>
                <w:szCs w:val="20"/>
                <w:color w:val="auto"/>
              </w:rPr>
            </w:pPr>
            <w:r>
              <w:rPr>
                <w:rFonts w:ascii="Arial" w:cs="Arial" w:eastAsia="Arial" w:hAnsi="Arial"/>
                <w:sz w:val="15"/>
                <w:szCs w:val="15"/>
                <w:b w:val="1"/>
                <w:bCs w:val="1"/>
                <w:color w:val="auto"/>
              </w:rPr>
              <w:t>Derivative Assets:</w:t>
            </w: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56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5600" w:type="dxa"/>
            <w:vAlign w:val="bottom"/>
            <w:gridSpan w:val="2"/>
          </w:tcPr>
          <w:p>
            <w:pPr>
              <w:ind w:left="160"/>
              <w:spacing w:after="0"/>
              <w:rPr>
                <w:sz w:val="20"/>
                <w:szCs w:val="20"/>
                <w:color w:val="auto"/>
              </w:rPr>
            </w:pPr>
            <w:r>
              <w:rPr>
                <w:rFonts w:ascii="Arial" w:cs="Arial" w:eastAsia="Arial" w:hAnsi="Arial"/>
                <w:sz w:val="15"/>
                <w:szCs w:val="15"/>
                <w:i w:val="1"/>
                <w:iCs w:val="1"/>
                <w:color w:val="auto"/>
              </w:rPr>
              <w:t>Derivative assets of consolidated funds:</w:t>
            </w: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5600" w:type="dxa"/>
            <w:vAlign w:val="bottom"/>
            <w:gridSpan w:val="2"/>
          </w:tcPr>
          <w:p>
            <w:pPr>
              <w:spacing w:after="0"/>
              <w:rPr>
                <w:sz w:val="20"/>
                <w:szCs w:val="20"/>
                <w:color w:val="auto"/>
              </w:rPr>
            </w:pPr>
            <w:r>
              <w:rPr>
                <w:rFonts w:ascii="Arial" w:cs="Arial" w:eastAsia="Arial" w:hAnsi="Arial"/>
                <w:sz w:val="15"/>
                <w:szCs w:val="15"/>
                <w:color w:val="auto"/>
              </w:rPr>
              <w:t>Foreign-currency forward contracts</w:t>
            </w: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60" w:type="dxa"/>
            <w:vAlign w:val="bottom"/>
          </w:tcPr>
          <w:p>
            <w:pPr>
              <w:jc w:val="right"/>
              <w:ind w:right="10"/>
              <w:spacing w:after="0"/>
              <w:rPr>
                <w:sz w:val="20"/>
                <w:szCs w:val="20"/>
                <w:color w:val="auto"/>
              </w:rPr>
            </w:pPr>
            <w:r>
              <w:rPr>
                <w:rFonts w:ascii="Arial" w:cs="Arial" w:eastAsia="Arial" w:hAnsi="Arial"/>
                <w:sz w:val="15"/>
                <w:szCs w:val="15"/>
                <w:color w:val="auto"/>
              </w:rPr>
              <w:t>17,578</w:t>
            </w:r>
          </w:p>
        </w:tc>
        <w:tc>
          <w:tcPr>
            <w:tcW w:w="2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360" w:type="dxa"/>
            <w:vAlign w:val="bottom"/>
            <w:gridSpan w:val="2"/>
          </w:tcPr>
          <w:p>
            <w:pPr>
              <w:ind w:left="940"/>
              <w:spacing w:after="0"/>
              <w:rPr>
                <w:sz w:val="20"/>
                <w:szCs w:val="20"/>
                <w:color w:val="auto"/>
              </w:rPr>
            </w:pPr>
            <w:r>
              <w:rPr>
                <w:rFonts w:ascii="Arial" w:cs="Arial" w:eastAsia="Arial" w:hAnsi="Arial"/>
                <w:sz w:val="15"/>
                <w:szCs w:val="15"/>
                <w:color w:val="auto"/>
              </w:rPr>
              <w:t>—</w:t>
            </w: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32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180" w:type="dxa"/>
            <w:vAlign w:val="bottom"/>
          </w:tcPr>
          <w:p>
            <w:pPr>
              <w:jc w:val="right"/>
              <w:ind w:right="7"/>
              <w:spacing w:after="0"/>
              <w:rPr>
                <w:sz w:val="20"/>
                <w:szCs w:val="20"/>
                <w:color w:val="auto"/>
              </w:rPr>
            </w:pPr>
            <w:r>
              <w:rPr>
                <w:rFonts w:ascii="Arial" w:cs="Arial" w:eastAsia="Arial" w:hAnsi="Arial"/>
                <w:sz w:val="15"/>
                <w:szCs w:val="15"/>
                <w:color w:val="auto"/>
                <w:w w:val="95"/>
              </w:rPr>
              <w:t>$</w:t>
            </w:r>
          </w:p>
        </w:tc>
        <w:tc>
          <w:tcPr>
            <w:tcW w:w="1060" w:type="dxa"/>
            <w:vAlign w:val="bottom"/>
          </w:tcPr>
          <w:p>
            <w:pPr>
              <w:jc w:val="right"/>
              <w:spacing w:after="0"/>
              <w:rPr>
                <w:sz w:val="20"/>
                <w:szCs w:val="20"/>
                <w:color w:val="auto"/>
              </w:rPr>
            </w:pPr>
            <w:r>
              <w:rPr>
                <w:rFonts w:ascii="Arial" w:cs="Arial" w:eastAsia="Arial" w:hAnsi="Arial"/>
                <w:sz w:val="15"/>
                <w:szCs w:val="15"/>
                <w:color w:val="auto"/>
              </w:rPr>
              <w:t>17,578</w:t>
            </w:r>
          </w:p>
        </w:tc>
        <w:tc>
          <w:tcPr>
            <w:tcW w:w="0" w:type="dxa"/>
            <w:vAlign w:val="bottom"/>
          </w:tcPr>
          <w:p>
            <w:pPr>
              <w:spacing w:after="0"/>
              <w:rPr>
                <w:sz w:val="1"/>
                <w:szCs w:val="1"/>
                <w:color w:val="auto"/>
              </w:rPr>
            </w:pPr>
          </w:p>
        </w:tc>
      </w:tr>
      <w:tr>
        <w:trPr>
          <w:trHeight w:val="196"/>
        </w:trPr>
        <w:tc>
          <w:tcPr>
            <w:tcW w:w="5600" w:type="dxa"/>
            <w:vAlign w:val="bottom"/>
            <w:gridSpan w:val="2"/>
          </w:tcPr>
          <w:p>
            <w:pPr>
              <w:spacing w:after="0"/>
              <w:rPr>
                <w:sz w:val="20"/>
                <w:szCs w:val="20"/>
                <w:color w:val="auto"/>
              </w:rPr>
            </w:pPr>
            <w:r>
              <w:rPr>
                <w:rFonts w:ascii="Arial" w:cs="Arial" w:eastAsia="Arial" w:hAnsi="Arial"/>
                <w:sz w:val="15"/>
                <w:szCs w:val="15"/>
                <w:color w:val="auto"/>
              </w:rPr>
              <w:t>Total-return and interest-rate and credit default swaps</w:t>
            </w:r>
          </w:p>
        </w:tc>
        <w:tc>
          <w:tcPr>
            <w:tcW w:w="100" w:type="dxa"/>
            <w:vAlign w:val="bottom"/>
          </w:tcPr>
          <w:p>
            <w:pPr>
              <w:spacing w:after="0"/>
              <w:rPr>
                <w:sz w:val="17"/>
                <w:szCs w:val="17"/>
                <w:color w:val="auto"/>
              </w:rPr>
            </w:pPr>
          </w:p>
        </w:tc>
        <w:tc>
          <w:tcPr>
            <w:tcW w:w="1160" w:type="dxa"/>
            <w:vAlign w:val="bottom"/>
          </w:tcPr>
          <w:p>
            <w:pPr>
              <w:jc w:val="right"/>
              <w:ind w:right="10"/>
              <w:spacing w:after="0"/>
              <w:rPr>
                <w:sz w:val="20"/>
                <w:szCs w:val="20"/>
                <w:color w:val="auto"/>
              </w:rPr>
            </w:pPr>
            <w:r>
              <w:rPr>
                <w:rFonts w:ascii="Arial" w:cs="Arial" w:eastAsia="Arial" w:hAnsi="Arial"/>
                <w:sz w:val="15"/>
                <w:szCs w:val="15"/>
                <w:color w:val="auto"/>
              </w:rPr>
              <w:t>15,771</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gridSpan w:val="2"/>
          </w:tcPr>
          <w:p>
            <w:pPr>
              <w:ind w:left="94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15,771</w:t>
            </w:r>
          </w:p>
        </w:tc>
        <w:tc>
          <w:tcPr>
            <w:tcW w:w="0" w:type="dxa"/>
            <w:vAlign w:val="bottom"/>
          </w:tcPr>
          <w:p>
            <w:pPr>
              <w:spacing w:after="0"/>
              <w:rPr>
                <w:sz w:val="1"/>
                <w:szCs w:val="1"/>
                <w:color w:val="auto"/>
              </w:rPr>
            </w:pPr>
          </w:p>
        </w:tc>
      </w:tr>
      <w:tr>
        <w:trPr>
          <w:trHeight w:val="189"/>
        </w:trPr>
        <w:tc>
          <w:tcPr>
            <w:tcW w:w="5600" w:type="dxa"/>
            <w:vAlign w:val="bottom"/>
            <w:gridSpan w:val="2"/>
          </w:tcPr>
          <w:p>
            <w:pPr>
              <w:spacing w:after="0"/>
              <w:rPr>
                <w:sz w:val="20"/>
                <w:szCs w:val="20"/>
                <w:color w:val="auto"/>
              </w:rPr>
            </w:pPr>
            <w:r>
              <w:rPr>
                <w:rFonts w:ascii="Arial" w:cs="Arial" w:eastAsia="Arial" w:hAnsi="Arial"/>
                <w:sz w:val="15"/>
                <w:szCs w:val="15"/>
                <w:color w:val="auto"/>
              </w:rPr>
              <w:t>Total</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1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5"/>
                <w:szCs w:val="15"/>
                <w:color w:val="auto"/>
              </w:rPr>
              <w:t>33,349</w:t>
            </w:r>
          </w:p>
        </w:tc>
        <w:tc>
          <w:tcPr>
            <w:tcW w:w="20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160" w:type="dxa"/>
            <w:vAlign w:val="bottom"/>
            <w:tcBorders>
              <w:top w:val="single" w:sz="8" w:color="auto"/>
              <w:bottom w:val="single" w:sz="8" w:color="auto"/>
            </w:tcBorders>
          </w:tcPr>
          <w:p>
            <w:pPr>
              <w:ind w:left="94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95"/>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33,349</w:t>
            </w:r>
          </w:p>
        </w:tc>
        <w:tc>
          <w:tcPr>
            <w:tcW w:w="0" w:type="dxa"/>
            <w:vAlign w:val="bottom"/>
          </w:tcPr>
          <w:p>
            <w:pPr>
              <w:spacing w:after="0"/>
              <w:rPr>
                <w:sz w:val="1"/>
                <w:szCs w:val="1"/>
                <w:color w:val="auto"/>
              </w:rPr>
            </w:pPr>
          </w:p>
        </w:tc>
      </w:tr>
      <w:tr>
        <w:trPr>
          <w:trHeight w:val="20"/>
        </w:trPr>
        <w:tc>
          <w:tcPr>
            <w:tcW w:w="5600" w:type="dxa"/>
            <w:vAlign w:val="bottom"/>
            <w:gridSpan w:val="2"/>
            <w:vMerge w:val="restart"/>
          </w:tcPr>
          <w:p>
            <w:pPr>
              <w:spacing w:after="0"/>
              <w:rPr>
                <w:sz w:val="20"/>
                <w:szCs w:val="20"/>
                <w:color w:val="auto"/>
              </w:rPr>
            </w:pPr>
            <w:r>
              <w:rPr>
                <w:rFonts w:ascii="Arial" w:cs="Arial" w:eastAsia="Arial" w:hAnsi="Arial"/>
                <w:sz w:val="15"/>
                <w:szCs w:val="15"/>
                <w:b w:val="1"/>
                <w:bCs w:val="1"/>
                <w:color w:val="auto"/>
              </w:rPr>
              <w:t>Derivative Liabilities:</w:t>
            </w: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9"/>
        </w:trPr>
        <w:tc>
          <w:tcPr>
            <w:tcW w:w="560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5600" w:type="dxa"/>
            <w:vAlign w:val="bottom"/>
            <w:gridSpan w:val="2"/>
          </w:tcPr>
          <w:p>
            <w:pPr>
              <w:ind w:left="160"/>
              <w:spacing w:after="0"/>
              <w:rPr>
                <w:sz w:val="20"/>
                <w:szCs w:val="20"/>
                <w:color w:val="auto"/>
              </w:rPr>
            </w:pPr>
            <w:r>
              <w:rPr>
                <w:rFonts w:ascii="Arial" w:cs="Arial" w:eastAsia="Arial" w:hAnsi="Arial"/>
                <w:sz w:val="15"/>
                <w:szCs w:val="15"/>
                <w:i w:val="1"/>
                <w:iCs w:val="1"/>
                <w:color w:val="auto"/>
              </w:rPr>
              <w:t>Derivative liabilities of consolidated funds:</w:t>
            </w: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5600" w:type="dxa"/>
            <w:vAlign w:val="bottom"/>
            <w:gridSpan w:val="2"/>
          </w:tcPr>
          <w:p>
            <w:pPr>
              <w:spacing w:after="0"/>
              <w:rPr>
                <w:sz w:val="20"/>
                <w:szCs w:val="20"/>
                <w:color w:val="auto"/>
              </w:rPr>
            </w:pPr>
            <w:r>
              <w:rPr>
                <w:rFonts w:ascii="Arial" w:cs="Arial" w:eastAsia="Arial" w:hAnsi="Arial"/>
                <w:sz w:val="15"/>
                <w:szCs w:val="15"/>
                <w:color w:val="auto"/>
              </w:rPr>
              <w:t>Foreign-currency forward contracts</w:t>
            </w: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60" w:type="dxa"/>
            <w:vAlign w:val="bottom"/>
          </w:tcPr>
          <w:p>
            <w:pPr>
              <w:jc w:val="right"/>
              <w:spacing w:after="0"/>
              <w:rPr>
                <w:sz w:val="20"/>
                <w:szCs w:val="20"/>
                <w:color w:val="auto"/>
              </w:rPr>
            </w:pPr>
            <w:r>
              <w:rPr>
                <w:rFonts w:ascii="Arial" w:cs="Arial" w:eastAsia="Arial" w:hAnsi="Arial"/>
                <w:sz w:val="15"/>
                <w:szCs w:val="15"/>
                <w:color w:val="auto"/>
              </w:rPr>
              <w:t>(8,513)</w:t>
            </w:r>
          </w:p>
        </w:tc>
        <w:tc>
          <w:tcPr>
            <w:tcW w:w="2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360" w:type="dxa"/>
            <w:vAlign w:val="bottom"/>
            <w:gridSpan w:val="2"/>
          </w:tcPr>
          <w:p>
            <w:pPr>
              <w:ind w:left="940"/>
              <w:spacing w:after="0"/>
              <w:rPr>
                <w:sz w:val="20"/>
                <w:szCs w:val="20"/>
                <w:color w:val="auto"/>
              </w:rPr>
            </w:pPr>
            <w:r>
              <w:rPr>
                <w:rFonts w:ascii="Arial" w:cs="Arial" w:eastAsia="Arial" w:hAnsi="Arial"/>
                <w:sz w:val="15"/>
                <w:szCs w:val="15"/>
                <w:color w:val="auto"/>
              </w:rPr>
              <w:t>—</w:t>
            </w: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32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180" w:type="dxa"/>
            <w:vAlign w:val="bottom"/>
          </w:tcPr>
          <w:p>
            <w:pPr>
              <w:jc w:val="right"/>
              <w:ind w:right="7"/>
              <w:spacing w:after="0"/>
              <w:rPr>
                <w:sz w:val="20"/>
                <w:szCs w:val="20"/>
                <w:color w:val="auto"/>
              </w:rPr>
            </w:pPr>
            <w:r>
              <w:rPr>
                <w:rFonts w:ascii="Arial" w:cs="Arial" w:eastAsia="Arial" w:hAnsi="Arial"/>
                <w:sz w:val="15"/>
                <w:szCs w:val="15"/>
                <w:color w:val="auto"/>
                <w:w w:val="95"/>
              </w:rPr>
              <w:t>$</w:t>
            </w:r>
          </w:p>
        </w:tc>
        <w:tc>
          <w:tcPr>
            <w:tcW w:w="1060" w:type="dxa"/>
            <w:vAlign w:val="bottom"/>
          </w:tcPr>
          <w:p>
            <w:pPr>
              <w:jc w:val="right"/>
              <w:spacing w:after="0"/>
              <w:rPr>
                <w:sz w:val="20"/>
                <w:szCs w:val="20"/>
                <w:color w:val="auto"/>
              </w:rPr>
            </w:pPr>
            <w:r>
              <w:rPr>
                <w:rFonts w:ascii="Arial" w:cs="Arial" w:eastAsia="Arial" w:hAnsi="Arial"/>
                <w:sz w:val="15"/>
                <w:szCs w:val="15"/>
                <w:color w:val="auto"/>
              </w:rPr>
              <w:t>(8,513)</w:t>
            </w:r>
          </w:p>
        </w:tc>
        <w:tc>
          <w:tcPr>
            <w:tcW w:w="0" w:type="dxa"/>
            <w:vAlign w:val="bottom"/>
          </w:tcPr>
          <w:p>
            <w:pPr>
              <w:spacing w:after="0"/>
              <w:rPr>
                <w:sz w:val="1"/>
                <w:szCs w:val="1"/>
                <w:color w:val="auto"/>
              </w:rPr>
            </w:pPr>
          </w:p>
        </w:tc>
      </w:tr>
      <w:tr>
        <w:trPr>
          <w:trHeight w:val="193"/>
        </w:trPr>
        <w:tc>
          <w:tcPr>
            <w:tcW w:w="5600" w:type="dxa"/>
            <w:vAlign w:val="bottom"/>
            <w:gridSpan w:val="2"/>
          </w:tcPr>
          <w:p>
            <w:pPr>
              <w:spacing w:after="0"/>
              <w:rPr>
                <w:sz w:val="20"/>
                <w:szCs w:val="20"/>
                <w:color w:val="auto"/>
              </w:rPr>
            </w:pPr>
            <w:r>
              <w:rPr>
                <w:rFonts w:ascii="Arial" w:cs="Arial" w:eastAsia="Arial" w:hAnsi="Arial"/>
                <w:sz w:val="15"/>
                <w:szCs w:val="15"/>
                <w:color w:val="auto"/>
              </w:rPr>
              <w:t>Total-return and interest-rate swaps</w:t>
            </w:r>
          </w:p>
        </w:tc>
        <w:tc>
          <w:tcPr>
            <w:tcW w:w="1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(19)</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gridSpan w:val="2"/>
          </w:tcPr>
          <w:p>
            <w:pPr>
              <w:ind w:left="94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6"/>
                <w:szCs w:val="16"/>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(19)</w:t>
            </w:r>
          </w:p>
        </w:tc>
        <w:tc>
          <w:tcPr>
            <w:tcW w:w="0" w:type="dxa"/>
            <w:vAlign w:val="bottom"/>
          </w:tcPr>
          <w:p>
            <w:pPr>
              <w:spacing w:after="0"/>
              <w:rPr>
                <w:sz w:val="1"/>
                <w:szCs w:val="1"/>
                <w:color w:val="auto"/>
              </w:rPr>
            </w:pPr>
          </w:p>
        </w:tc>
      </w:tr>
      <w:tr>
        <w:trPr>
          <w:trHeight w:val="196"/>
        </w:trPr>
        <w:tc>
          <w:tcPr>
            <w:tcW w:w="5600" w:type="dxa"/>
            <w:vAlign w:val="bottom"/>
            <w:gridSpan w:val="2"/>
          </w:tcPr>
          <w:p>
            <w:pPr>
              <w:spacing w:after="0"/>
              <w:rPr>
                <w:sz w:val="20"/>
                <w:szCs w:val="20"/>
                <w:color w:val="auto"/>
              </w:rPr>
            </w:pPr>
            <w:r>
              <w:rPr>
                <w:rFonts w:ascii="Arial" w:cs="Arial" w:eastAsia="Arial" w:hAnsi="Arial"/>
                <w:sz w:val="15"/>
                <w:szCs w:val="15"/>
                <w:color w:val="auto"/>
              </w:rPr>
              <w:t>Options and futures</w:t>
            </w:r>
          </w:p>
        </w:tc>
        <w:tc>
          <w:tcPr>
            <w:tcW w:w="10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(4,853)</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gridSpan w:val="2"/>
          </w:tcPr>
          <w:p>
            <w:pPr>
              <w:ind w:left="94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(4,853)</w:t>
            </w:r>
          </w:p>
        </w:tc>
        <w:tc>
          <w:tcPr>
            <w:tcW w:w="0" w:type="dxa"/>
            <w:vAlign w:val="bottom"/>
          </w:tcPr>
          <w:p>
            <w:pPr>
              <w:spacing w:after="0"/>
              <w:rPr>
                <w:sz w:val="1"/>
                <w:szCs w:val="1"/>
                <w:color w:val="auto"/>
              </w:rPr>
            </w:pPr>
          </w:p>
        </w:tc>
      </w:tr>
      <w:tr>
        <w:trPr>
          <w:trHeight w:val="189"/>
        </w:trPr>
        <w:tc>
          <w:tcPr>
            <w:tcW w:w="5600" w:type="dxa"/>
            <w:vAlign w:val="bottom"/>
            <w:gridSpan w:val="2"/>
          </w:tcPr>
          <w:p>
            <w:pPr>
              <w:spacing w:after="0"/>
              <w:rPr>
                <w:sz w:val="20"/>
                <w:szCs w:val="20"/>
                <w:color w:val="auto"/>
              </w:rPr>
            </w:pPr>
            <w:r>
              <w:rPr>
                <w:rFonts w:ascii="Arial" w:cs="Arial" w:eastAsia="Arial" w:hAnsi="Arial"/>
                <w:sz w:val="15"/>
                <w:szCs w:val="15"/>
                <w:color w:val="auto"/>
              </w:rPr>
              <w:t>Total</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(13,385)</w:t>
            </w:r>
          </w:p>
        </w:tc>
        <w:tc>
          <w:tcPr>
            <w:tcW w:w="20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160" w:type="dxa"/>
            <w:vAlign w:val="bottom"/>
            <w:tcBorders>
              <w:top w:val="single" w:sz="8" w:color="auto"/>
              <w:bottom w:val="single" w:sz="8" w:color="auto"/>
            </w:tcBorders>
          </w:tcPr>
          <w:p>
            <w:pPr>
              <w:ind w:left="94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95"/>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(13,385)</w:t>
            </w:r>
          </w:p>
        </w:tc>
        <w:tc>
          <w:tcPr>
            <w:tcW w:w="0" w:type="dxa"/>
            <w:vAlign w:val="bottom"/>
          </w:tcPr>
          <w:p>
            <w:pPr>
              <w:spacing w:after="0"/>
              <w:rPr>
                <w:sz w:val="1"/>
                <w:szCs w:val="1"/>
                <w:color w:val="auto"/>
              </w:rPr>
            </w:pPr>
          </w:p>
        </w:tc>
      </w:tr>
      <w:tr>
        <w:trPr>
          <w:trHeight w:val="20"/>
        </w:trPr>
        <w:tc>
          <w:tcPr>
            <w:tcW w:w="142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8. GOODWILL</w:t>
      </w:r>
    </w:p>
    <w:p>
      <w:pPr>
        <w:spacing w:after="0" w:line="168" w:lineRule="exact"/>
        <w:rPr>
          <w:sz w:val="20"/>
          <w:szCs w:val="20"/>
          <w:color w:val="auto"/>
        </w:rPr>
      </w:pPr>
    </w:p>
    <w:p>
      <w:pPr>
        <w:ind w:firstLine="619"/>
        <w:spacing w:after="0" w:line="262" w:lineRule="auto"/>
        <w:rPr>
          <w:sz w:val="20"/>
          <w:szCs w:val="20"/>
          <w:color w:val="auto"/>
        </w:rPr>
      </w:pPr>
      <w:r>
        <w:rPr>
          <w:rFonts w:ascii="Arial" w:cs="Arial" w:eastAsia="Arial" w:hAnsi="Arial"/>
          <w:sz w:val="17"/>
          <w:szCs w:val="17"/>
          <w:color w:val="auto"/>
        </w:rPr>
        <w:t>Goodwill represents the excess of cost over the fair value of identifiable net assets of acquired businesses. Goodwill has an indefinite useful life and is not amortized, but instead is tested for impairment annually in the fourth quarter of each fiscal year, or more frequently if events or circumstances indicate that impairment may have occurred. Goodwill is included in other assets in the consolidated statements of financial position. Following the 2024 Restructuring, with the deconsolidation of Oaktree Capital I, BOH no longer reports goodwill of Oaktree Capital I effective July 1, 2024.</w:t>
      </w:r>
    </w:p>
    <w:p>
      <w:pPr>
        <w:spacing w:after="0" w:line="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9. DEBT OBLIGATIONS AND CREDIT FACILITIES</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Debt Obligations of the Consolidated Funds</w:t>
      </w:r>
    </w:p>
    <w:p>
      <w:pPr>
        <w:spacing w:after="0" w:line="167" w:lineRule="exact"/>
        <w:rPr>
          <w:sz w:val="20"/>
          <w:szCs w:val="20"/>
          <w:color w:val="auto"/>
        </w:rPr>
      </w:pPr>
    </w:p>
    <w:p>
      <w:pPr>
        <w:jc w:val="both"/>
        <w:ind w:right="200" w:firstLine="619"/>
        <w:spacing w:after="0" w:line="271" w:lineRule="auto"/>
        <w:rPr>
          <w:sz w:val="20"/>
          <w:szCs w:val="20"/>
          <w:color w:val="auto"/>
        </w:rPr>
      </w:pPr>
      <w:r>
        <w:rPr>
          <w:rFonts w:ascii="Arial" w:cs="Arial" w:eastAsia="Arial" w:hAnsi="Arial"/>
          <w:sz w:val="17"/>
          <w:szCs w:val="17"/>
          <w:color w:val="auto"/>
        </w:rPr>
        <w:t>Certain consolidated funds may maintain revolving credit facilities that are secured by the assets of the fund or may issue senior variable rate notes to fund investments on a longer-term basis, generally up to ten years. The obligations of the consolidated funds are nonrecourse to the Company.</w:t>
      </w:r>
    </w:p>
    <w:p>
      <w:pPr>
        <w:spacing w:after="0" w:line="111"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consolidated funds had the following debt obligations outstanding:</w:t>
      </w:r>
    </w:p>
    <w:p>
      <w:pPr>
        <w:spacing w:after="0" w:line="200" w:lineRule="exact"/>
        <w:rPr>
          <w:sz w:val="20"/>
          <w:szCs w:val="20"/>
          <w:color w:val="auto"/>
        </w:rPr>
      </w:pP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300" w:type="dxa"/>
            <w:vAlign w:val="bottom"/>
            <w:gridSpan w:val="4"/>
          </w:tcPr>
          <w:p>
            <w:pPr>
              <w:jc w:val="right"/>
              <w:ind w:right="55"/>
              <w:spacing w:after="0"/>
              <w:rPr>
                <w:sz w:val="20"/>
                <w:szCs w:val="20"/>
                <w:color w:val="auto"/>
              </w:rPr>
            </w:pPr>
            <w:r>
              <w:rPr>
                <w:rFonts w:ascii="Arial" w:cs="Arial" w:eastAsia="Arial" w:hAnsi="Arial"/>
                <w:sz w:val="11"/>
                <w:szCs w:val="11"/>
                <w:b w:val="1"/>
                <w:bCs w:val="1"/>
                <w:color w:val="auto"/>
              </w:rPr>
              <w:t>Outstanding Amount as of December 31,</w:t>
            </w:r>
          </w:p>
        </w:tc>
        <w:tc>
          <w:tcPr>
            <w:tcW w:w="1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40" w:type="dxa"/>
            <w:vAlign w:val="bottom"/>
            <w:gridSpan w:val="2"/>
          </w:tcPr>
          <w:p>
            <w:pPr>
              <w:jc w:val="center"/>
              <w:ind w:right="160"/>
              <w:spacing w:after="0"/>
              <w:rPr>
                <w:sz w:val="20"/>
                <w:szCs w:val="20"/>
                <w:color w:val="auto"/>
              </w:rPr>
            </w:pPr>
            <w:r>
              <w:rPr>
                <w:rFonts w:ascii="Arial" w:cs="Arial" w:eastAsia="Arial" w:hAnsi="Arial"/>
                <w:sz w:val="11"/>
                <w:szCs w:val="11"/>
                <w:b w:val="1"/>
                <w:bCs w:val="1"/>
                <w:color w:val="auto"/>
              </w:rPr>
              <w:t>Weighted</w:t>
            </w:r>
          </w:p>
        </w:tc>
        <w:tc>
          <w:tcPr>
            <w:tcW w:w="118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99"/>
              </w:rPr>
              <w:t>Weighted Average</w:t>
            </w:r>
          </w:p>
        </w:tc>
        <w:tc>
          <w:tcPr>
            <w:tcW w:w="10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940" w:type="dxa"/>
            <w:vAlign w:val="bottom"/>
          </w:tcPr>
          <w:p>
            <w:pPr>
              <w:spacing w:after="0"/>
              <w:rPr>
                <w:sz w:val="4"/>
                <w:szCs w:val="4"/>
                <w:color w:val="auto"/>
              </w:rPr>
            </w:pPr>
          </w:p>
        </w:tc>
        <w:tc>
          <w:tcPr>
            <w:tcW w:w="12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9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40" w:type="dxa"/>
            <w:vAlign w:val="bottom"/>
            <w:gridSpan w:val="2"/>
            <w:vMerge w:val="restart"/>
          </w:tcPr>
          <w:p>
            <w:pPr>
              <w:jc w:val="center"/>
              <w:ind w:right="140"/>
              <w:spacing w:after="0" w:line="109" w:lineRule="exact"/>
              <w:rPr>
                <w:sz w:val="20"/>
                <w:szCs w:val="20"/>
                <w:color w:val="auto"/>
              </w:rPr>
            </w:pPr>
            <w:r>
              <w:rPr>
                <w:rFonts w:ascii="Arial" w:cs="Arial" w:eastAsia="Arial" w:hAnsi="Arial"/>
                <w:sz w:val="11"/>
                <w:szCs w:val="11"/>
                <w:b w:val="1"/>
                <w:bCs w:val="1"/>
                <w:color w:val="auto"/>
              </w:rPr>
              <w:t>Average Interest</w:t>
            </w:r>
          </w:p>
        </w:tc>
        <w:tc>
          <w:tcPr>
            <w:tcW w:w="1180" w:type="dxa"/>
            <w:vAlign w:val="bottom"/>
            <w:gridSpan w:val="2"/>
            <w:vMerge w:val="restart"/>
          </w:tcPr>
          <w:p>
            <w:pPr>
              <w:jc w:val="center"/>
              <w:ind w:right="140"/>
              <w:spacing w:after="0" w:line="109" w:lineRule="exact"/>
              <w:rPr>
                <w:sz w:val="20"/>
                <w:szCs w:val="20"/>
                <w:color w:val="auto"/>
              </w:rPr>
            </w:pPr>
            <w:r>
              <w:rPr>
                <w:rFonts w:ascii="Arial" w:cs="Arial" w:eastAsia="Arial" w:hAnsi="Arial"/>
                <w:sz w:val="11"/>
                <w:szCs w:val="11"/>
                <w:b w:val="1"/>
                <w:bCs w:val="1"/>
                <w:color w:val="auto"/>
                <w:w w:val="99"/>
              </w:rPr>
              <w:t>Remaining</w:t>
            </w:r>
          </w:p>
        </w:tc>
        <w:tc>
          <w:tcPr>
            <w:tcW w:w="1240" w:type="dxa"/>
            <w:vAlign w:val="bottom"/>
            <w:gridSpan w:val="2"/>
            <w:vMerge w:val="restart"/>
          </w:tcPr>
          <w:p>
            <w:pPr>
              <w:jc w:val="center"/>
              <w:ind w:right="140"/>
              <w:spacing w:after="0" w:line="109" w:lineRule="exact"/>
              <w:rPr>
                <w:sz w:val="20"/>
                <w:szCs w:val="20"/>
                <w:color w:val="auto"/>
              </w:rPr>
            </w:pPr>
            <w:r>
              <w:rPr>
                <w:rFonts w:ascii="Arial" w:cs="Arial" w:eastAsia="Arial" w:hAnsi="Arial"/>
                <w:sz w:val="11"/>
                <w:szCs w:val="11"/>
                <w:b w:val="1"/>
                <w:bCs w:val="1"/>
                <w:color w:val="auto"/>
              </w:rPr>
              <w:t>Commitment Fee</w:t>
            </w:r>
          </w:p>
        </w:tc>
        <w:tc>
          <w:tcPr>
            <w:tcW w:w="10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
        </w:trPr>
        <w:tc>
          <w:tcPr>
            <w:tcW w:w="20" w:type="dxa"/>
            <w:vAlign w:val="bottom"/>
            <w:vMerge w:val="restart"/>
          </w:tcPr>
          <w:p>
            <w:pPr>
              <w:spacing w:after="0"/>
              <w:rPr>
                <w:sz w:val="3"/>
                <w:szCs w:val="3"/>
                <w:color w:val="auto"/>
              </w:rPr>
            </w:pPr>
          </w:p>
        </w:tc>
        <w:tc>
          <w:tcPr>
            <w:tcW w:w="940" w:type="dxa"/>
            <w:vAlign w:val="bottom"/>
            <w:vMerge w:val="restart"/>
          </w:tcPr>
          <w:p>
            <w:pPr>
              <w:spacing w:after="0"/>
              <w:rPr>
                <w:sz w:val="20"/>
                <w:szCs w:val="20"/>
                <w:color w:val="auto"/>
              </w:rPr>
            </w:pPr>
            <w:r>
              <w:rPr>
                <w:rFonts w:ascii="Arial" w:cs="Arial" w:eastAsia="Arial" w:hAnsi="Arial"/>
                <w:sz w:val="11"/>
                <w:szCs w:val="11"/>
                <w:b w:val="1"/>
                <w:bCs w:val="1"/>
                <w:color w:val="auto"/>
                <w:w w:val="99"/>
              </w:rPr>
              <w:t>Credit Agreement</w:t>
            </w:r>
          </w:p>
        </w:tc>
        <w:tc>
          <w:tcPr>
            <w:tcW w:w="2020" w:type="dxa"/>
            <w:vAlign w:val="bottom"/>
            <w:gridSpan w:val="2"/>
            <w:vMerge w:val="restart"/>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vMerge w:val="restart"/>
          </w:tcPr>
          <w:p>
            <w:pPr>
              <w:ind w:left="340"/>
              <w:spacing w:after="0"/>
              <w:rPr>
                <w:sz w:val="20"/>
                <w:szCs w:val="20"/>
                <w:color w:val="auto"/>
              </w:rPr>
            </w:pPr>
            <w:r>
              <w:rPr>
                <w:rFonts w:ascii="Arial" w:cs="Arial" w:eastAsia="Arial" w:hAnsi="Arial"/>
                <w:sz w:val="11"/>
                <w:szCs w:val="11"/>
                <w:b w:val="1"/>
                <w:bCs w:val="1"/>
                <w:color w:val="auto"/>
              </w:rPr>
              <w:t>2025</w:t>
            </w:r>
          </w:p>
        </w:tc>
        <w:tc>
          <w:tcPr>
            <w:tcW w:w="160" w:type="dxa"/>
            <w:vAlign w:val="bottom"/>
          </w:tcPr>
          <w:p>
            <w:pPr>
              <w:spacing w:after="0"/>
              <w:rPr>
                <w:sz w:val="3"/>
                <w:szCs w:val="3"/>
                <w:color w:val="auto"/>
              </w:rPr>
            </w:pPr>
          </w:p>
        </w:tc>
        <w:tc>
          <w:tcPr>
            <w:tcW w:w="260" w:type="dxa"/>
            <w:vAlign w:val="bottom"/>
          </w:tcPr>
          <w:p>
            <w:pPr>
              <w:spacing w:after="0"/>
              <w:rPr>
                <w:sz w:val="3"/>
                <w:szCs w:val="3"/>
                <w:color w:val="auto"/>
              </w:rPr>
            </w:pPr>
          </w:p>
        </w:tc>
        <w:tc>
          <w:tcPr>
            <w:tcW w:w="860" w:type="dxa"/>
            <w:vAlign w:val="bottom"/>
            <w:vMerge w:val="restart"/>
          </w:tcPr>
          <w:p>
            <w:pPr>
              <w:jc w:val="right"/>
              <w:ind w:right="375"/>
              <w:spacing w:after="0"/>
              <w:rPr>
                <w:sz w:val="20"/>
                <w:szCs w:val="20"/>
                <w:color w:val="auto"/>
              </w:rPr>
            </w:pPr>
            <w:r>
              <w:rPr>
                <w:rFonts w:ascii="Arial" w:cs="Arial" w:eastAsia="Arial" w:hAnsi="Arial"/>
                <w:sz w:val="11"/>
                <w:szCs w:val="11"/>
                <w:b w:val="1"/>
                <w:bCs w:val="1"/>
                <w:color w:val="auto"/>
              </w:rPr>
              <w:t>2024</w:t>
            </w:r>
          </w:p>
        </w:tc>
        <w:tc>
          <w:tcPr>
            <w:tcW w:w="160" w:type="dxa"/>
            <w:vAlign w:val="bottom"/>
          </w:tcPr>
          <w:p>
            <w:pPr>
              <w:spacing w:after="0"/>
              <w:rPr>
                <w:sz w:val="3"/>
                <w:szCs w:val="3"/>
                <w:color w:val="auto"/>
              </w:rPr>
            </w:pPr>
          </w:p>
        </w:tc>
        <w:tc>
          <w:tcPr>
            <w:tcW w:w="1120" w:type="dxa"/>
            <w:vAlign w:val="bottom"/>
            <w:gridSpan w:val="2"/>
            <w:vMerge w:val="restart"/>
          </w:tcPr>
          <w:p>
            <w:pPr>
              <w:jc w:val="center"/>
              <w:ind w:right="160"/>
              <w:spacing w:after="0"/>
              <w:rPr>
                <w:sz w:val="20"/>
                <w:szCs w:val="20"/>
                <w:color w:val="auto"/>
              </w:rPr>
            </w:pPr>
            <w:r>
              <w:rPr>
                <w:rFonts w:ascii="Arial" w:cs="Arial" w:eastAsia="Arial" w:hAnsi="Arial"/>
                <w:sz w:val="11"/>
                <w:szCs w:val="11"/>
                <w:b w:val="1"/>
                <w:bCs w:val="1"/>
                <w:color w:val="auto"/>
              </w:rPr>
              <w:t>Facility Capacity</w:t>
            </w:r>
          </w:p>
        </w:tc>
        <w:tc>
          <w:tcPr>
            <w:tcW w:w="1140" w:type="dxa"/>
            <w:vAlign w:val="bottom"/>
            <w:gridSpan w:val="2"/>
            <w:vMerge w:val="continue"/>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1020" w:type="dxa"/>
            <w:vAlign w:val="bottom"/>
            <w:vMerge w:val="restart"/>
          </w:tcPr>
          <w:p>
            <w:pPr>
              <w:ind w:left="300"/>
              <w:spacing w:after="0"/>
              <w:rPr>
                <w:sz w:val="20"/>
                <w:szCs w:val="20"/>
                <w:color w:val="auto"/>
              </w:rPr>
            </w:pPr>
            <w:r>
              <w:rPr>
                <w:rFonts w:ascii="Arial" w:cs="Arial" w:eastAsia="Arial" w:hAnsi="Arial"/>
                <w:sz w:val="11"/>
                <w:szCs w:val="11"/>
                <w:b w:val="1"/>
                <w:bCs w:val="1"/>
                <w:color w:val="auto"/>
              </w:rPr>
              <w:t>L/C Fee</w:t>
            </w:r>
          </w:p>
        </w:tc>
        <w:tc>
          <w:tcPr>
            <w:tcW w:w="0" w:type="dxa"/>
            <w:vAlign w:val="bottom"/>
          </w:tcPr>
          <w:p>
            <w:pPr>
              <w:spacing w:after="0" w:line="20" w:lineRule="exact"/>
              <w:rPr>
                <w:sz w:val="1"/>
                <w:szCs w:val="1"/>
                <w:color w:val="auto"/>
              </w:rPr>
            </w:pPr>
          </w:p>
        </w:tc>
      </w:tr>
      <w:tr>
        <w:trPr>
          <w:trHeight w:val="116"/>
        </w:trPr>
        <w:tc>
          <w:tcPr>
            <w:tcW w:w="20" w:type="dxa"/>
            <w:vAlign w:val="bottom"/>
            <w:vMerge w:val="continue"/>
          </w:tcPr>
          <w:p>
            <w:pPr>
              <w:spacing w:after="0"/>
              <w:rPr>
                <w:sz w:val="9"/>
                <w:szCs w:val="9"/>
                <w:color w:val="auto"/>
              </w:rPr>
            </w:pPr>
          </w:p>
        </w:tc>
        <w:tc>
          <w:tcPr>
            <w:tcW w:w="940" w:type="dxa"/>
            <w:vAlign w:val="bottom"/>
            <w:tcBorders>
              <w:bottom w:val="single" w:sz="8" w:color="auto"/>
            </w:tcBorders>
            <w:vMerge w:val="continue"/>
          </w:tcPr>
          <w:p>
            <w:pPr>
              <w:spacing w:after="0"/>
              <w:rPr>
                <w:sz w:val="9"/>
                <w:szCs w:val="9"/>
                <w:color w:val="auto"/>
              </w:rPr>
            </w:pPr>
          </w:p>
        </w:tc>
        <w:tc>
          <w:tcPr>
            <w:tcW w:w="202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260" w:type="dxa"/>
            <w:vAlign w:val="bottom"/>
          </w:tcPr>
          <w:p>
            <w:pPr>
              <w:spacing w:after="0"/>
              <w:rPr>
                <w:sz w:val="9"/>
                <w:szCs w:val="9"/>
                <w:color w:val="auto"/>
              </w:rPr>
            </w:pPr>
          </w:p>
        </w:tc>
        <w:tc>
          <w:tcPr>
            <w:tcW w:w="86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1120" w:type="dxa"/>
            <w:vAlign w:val="bottom"/>
            <w:gridSpan w:val="2"/>
            <w:vMerge w:val="continue"/>
          </w:tcPr>
          <w:p>
            <w:pPr>
              <w:spacing w:after="0"/>
              <w:rPr>
                <w:sz w:val="9"/>
                <w:szCs w:val="9"/>
                <w:color w:val="auto"/>
              </w:rPr>
            </w:pPr>
          </w:p>
        </w:tc>
        <w:tc>
          <w:tcPr>
            <w:tcW w:w="1140" w:type="dxa"/>
            <w:vAlign w:val="bottom"/>
            <w:gridSpan w:val="2"/>
          </w:tcPr>
          <w:p>
            <w:pPr>
              <w:jc w:val="center"/>
              <w:ind w:right="140"/>
              <w:spacing w:after="0" w:line="92" w:lineRule="exact"/>
              <w:rPr>
                <w:sz w:val="20"/>
                <w:szCs w:val="20"/>
                <w:color w:val="auto"/>
              </w:rPr>
            </w:pPr>
            <w:r>
              <w:rPr>
                <w:rFonts w:ascii="Arial" w:cs="Arial" w:eastAsia="Arial" w:hAnsi="Arial"/>
                <w:sz w:val="10"/>
                <w:szCs w:val="10"/>
                <w:b w:val="1"/>
                <w:bCs w:val="1"/>
                <w:color w:val="auto"/>
              </w:rPr>
              <w:t>Rate</w:t>
            </w:r>
          </w:p>
        </w:tc>
        <w:tc>
          <w:tcPr>
            <w:tcW w:w="1180" w:type="dxa"/>
            <w:vAlign w:val="bottom"/>
            <w:gridSpan w:val="2"/>
          </w:tcPr>
          <w:p>
            <w:pPr>
              <w:jc w:val="center"/>
              <w:ind w:right="140"/>
              <w:spacing w:after="0" w:line="92" w:lineRule="exact"/>
              <w:rPr>
                <w:sz w:val="20"/>
                <w:szCs w:val="20"/>
                <w:color w:val="auto"/>
              </w:rPr>
            </w:pPr>
            <w:r>
              <w:rPr>
                <w:rFonts w:ascii="Arial" w:cs="Arial" w:eastAsia="Arial" w:hAnsi="Arial"/>
                <w:sz w:val="10"/>
                <w:szCs w:val="10"/>
                <w:b w:val="1"/>
                <w:bCs w:val="1"/>
                <w:color w:val="auto"/>
              </w:rPr>
              <w:t>Maturity (years)</w:t>
            </w:r>
          </w:p>
        </w:tc>
        <w:tc>
          <w:tcPr>
            <w:tcW w:w="1240" w:type="dxa"/>
            <w:vAlign w:val="bottom"/>
            <w:gridSpan w:val="2"/>
          </w:tcPr>
          <w:p>
            <w:pPr>
              <w:jc w:val="center"/>
              <w:ind w:right="160"/>
              <w:spacing w:after="0" w:line="92" w:lineRule="exact"/>
              <w:rPr>
                <w:sz w:val="20"/>
                <w:szCs w:val="20"/>
                <w:color w:val="auto"/>
              </w:rPr>
            </w:pPr>
            <w:r>
              <w:rPr>
                <w:rFonts w:ascii="Arial" w:cs="Arial" w:eastAsia="Arial" w:hAnsi="Arial"/>
                <w:sz w:val="10"/>
                <w:szCs w:val="10"/>
                <w:b w:val="1"/>
                <w:bCs w:val="1"/>
                <w:color w:val="auto"/>
              </w:rPr>
              <w:t>Rate</w:t>
            </w:r>
          </w:p>
        </w:tc>
        <w:tc>
          <w:tcPr>
            <w:tcW w:w="10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2980" w:type="dxa"/>
            <w:vAlign w:val="bottom"/>
            <w:gridSpan w:val="4"/>
            <w:vMerge w:val="restart"/>
          </w:tcPr>
          <w:p>
            <w:pPr>
              <w:ind w:left="20"/>
              <w:spacing w:after="0"/>
              <w:rPr>
                <w:sz w:val="20"/>
                <w:szCs w:val="20"/>
                <w:color w:val="auto"/>
              </w:rPr>
            </w:pPr>
            <w:r>
              <w:rPr>
                <w:rFonts w:ascii="Arial" w:cs="Arial" w:eastAsia="Arial" w:hAnsi="Arial"/>
                <w:sz w:val="14"/>
                <w:szCs w:val="14"/>
                <w:color w:val="auto"/>
              </w:rPr>
              <w:t xml:space="preserve">Revolving credit facilities </w:t>
            </w:r>
            <w:r>
              <w:rPr>
                <w:rFonts w:ascii="Arial" w:cs="Arial" w:eastAsia="Arial" w:hAnsi="Arial"/>
                <w:sz w:val="8"/>
                <w:szCs w:val="8"/>
                <w:color w:val="auto"/>
              </w:rPr>
              <w:t>(1)</w:t>
            </w: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2980" w:type="dxa"/>
            <w:vAlign w:val="bottom"/>
            <w:gridSpan w:val="4"/>
            <w:vMerge w:val="continue"/>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tcPr>
          <w:p>
            <w:pPr>
              <w:ind w:left="340"/>
              <w:spacing w:after="0"/>
              <w:rPr>
                <w:sz w:val="20"/>
                <w:szCs w:val="20"/>
                <w:color w:val="auto"/>
              </w:rPr>
            </w:pPr>
            <w:r>
              <w:rPr>
                <w:rFonts w:ascii="Arial" w:cs="Arial" w:eastAsia="Arial" w:hAnsi="Arial"/>
                <w:sz w:val="14"/>
                <w:szCs w:val="14"/>
                <w:color w:val="auto"/>
              </w:rPr>
              <w:t>1,320,795</w:t>
            </w:r>
          </w:p>
        </w:tc>
        <w:tc>
          <w:tcPr>
            <w:tcW w:w="160" w:type="dxa"/>
            <w:vAlign w:val="bottom"/>
          </w:tcPr>
          <w:p>
            <w:pPr>
              <w:spacing w:after="0"/>
              <w:rPr>
                <w:sz w:val="15"/>
                <w:szCs w:val="15"/>
                <w:color w:val="auto"/>
              </w:rPr>
            </w:pPr>
          </w:p>
        </w:tc>
        <w:tc>
          <w:tcPr>
            <w:tcW w:w="260" w:type="dxa"/>
            <w:vAlign w:val="bottom"/>
          </w:tcPr>
          <w:p>
            <w:pPr>
              <w:jc w:val="right"/>
              <w:ind w:right="91"/>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1,472,795</w:t>
            </w:r>
          </w:p>
        </w:tc>
        <w:tc>
          <w:tcPr>
            <w:tcW w:w="1140" w:type="dxa"/>
            <w:vAlign w:val="bottom"/>
            <w:gridSpan w:val="2"/>
          </w:tcPr>
          <w:p>
            <w:pPr>
              <w:jc w:val="right"/>
              <w:ind w:right="104"/>
              <w:spacing w:after="0"/>
              <w:rPr>
                <w:sz w:val="20"/>
                <w:szCs w:val="20"/>
                <w:color w:val="auto"/>
              </w:rPr>
            </w:pPr>
            <w:r>
              <w:rPr>
                <w:rFonts w:ascii="Arial" w:cs="Arial" w:eastAsia="Arial" w:hAnsi="Arial"/>
                <w:sz w:val="14"/>
                <w:szCs w:val="14"/>
                <w:color w:val="auto"/>
              </w:rPr>
              <w:t>$1,784,037</w:t>
            </w:r>
          </w:p>
        </w:tc>
        <w:tc>
          <w:tcPr>
            <w:tcW w:w="140" w:type="dxa"/>
            <w:vAlign w:val="bottom"/>
          </w:tcPr>
          <w:p>
            <w:pPr>
              <w:spacing w:after="0"/>
              <w:rPr>
                <w:sz w:val="15"/>
                <w:szCs w:val="15"/>
                <w:color w:val="auto"/>
              </w:rPr>
            </w:pPr>
          </w:p>
        </w:tc>
        <w:tc>
          <w:tcPr>
            <w:tcW w:w="980" w:type="dxa"/>
            <w:vAlign w:val="bottom"/>
          </w:tcPr>
          <w:p>
            <w:pPr>
              <w:jc w:val="center"/>
              <w:spacing w:after="0"/>
              <w:rPr>
                <w:sz w:val="20"/>
                <w:szCs w:val="20"/>
                <w:color w:val="auto"/>
              </w:rPr>
            </w:pPr>
            <w:r>
              <w:rPr>
                <w:rFonts w:ascii="Arial" w:cs="Arial" w:eastAsia="Arial" w:hAnsi="Arial"/>
                <w:sz w:val="14"/>
                <w:szCs w:val="14"/>
                <w:color w:val="auto"/>
              </w:rPr>
              <w:t>5.46%</w:t>
            </w:r>
          </w:p>
        </w:tc>
        <w:tc>
          <w:tcPr>
            <w:tcW w:w="160" w:type="dxa"/>
            <w:vAlign w:val="bottom"/>
          </w:tcPr>
          <w:p>
            <w:pPr>
              <w:spacing w:after="0"/>
              <w:rPr>
                <w:sz w:val="15"/>
                <w:szCs w:val="15"/>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rPr>
              <w:t>0.49</w:t>
            </w:r>
          </w:p>
        </w:tc>
        <w:tc>
          <w:tcPr>
            <w:tcW w:w="140" w:type="dxa"/>
            <w:vAlign w:val="bottom"/>
          </w:tcPr>
          <w:p>
            <w:pPr>
              <w:spacing w:after="0"/>
              <w:rPr>
                <w:sz w:val="15"/>
                <w:szCs w:val="15"/>
                <w:color w:val="auto"/>
              </w:rPr>
            </w:pPr>
          </w:p>
        </w:tc>
        <w:tc>
          <w:tcPr>
            <w:tcW w:w="1080" w:type="dxa"/>
            <w:vAlign w:val="bottom"/>
          </w:tcPr>
          <w:p>
            <w:pPr>
              <w:jc w:val="center"/>
              <w:spacing w:after="0"/>
              <w:rPr>
                <w:sz w:val="20"/>
                <w:szCs w:val="20"/>
                <w:color w:val="auto"/>
              </w:rPr>
            </w:pPr>
            <w:r>
              <w:rPr>
                <w:rFonts w:ascii="Arial" w:cs="Arial" w:eastAsia="Arial" w:hAnsi="Arial"/>
                <w:sz w:val="14"/>
                <w:szCs w:val="14"/>
                <w:color w:val="auto"/>
              </w:rPr>
              <w:t>0.25%</w:t>
            </w:r>
          </w:p>
        </w:tc>
        <w:tc>
          <w:tcPr>
            <w:tcW w:w="160" w:type="dxa"/>
            <w:vAlign w:val="bottom"/>
          </w:tcPr>
          <w:p>
            <w:pPr>
              <w:spacing w:after="0"/>
              <w:rPr>
                <w:sz w:val="15"/>
                <w:szCs w:val="15"/>
                <w:color w:val="auto"/>
              </w:rPr>
            </w:pPr>
          </w:p>
        </w:tc>
        <w:tc>
          <w:tcPr>
            <w:tcW w:w="1020" w:type="dxa"/>
            <w:vAlign w:val="bottom"/>
          </w:tcPr>
          <w:p>
            <w:pPr>
              <w:ind w:left="320"/>
              <w:spacing w:after="0"/>
              <w:rPr>
                <w:sz w:val="20"/>
                <w:szCs w:val="20"/>
                <w:color w:val="auto"/>
              </w:rPr>
            </w:pPr>
            <w:r>
              <w:rPr>
                <w:rFonts w:ascii="Arial" w:cs="Arial" w:eastAsia="Arial" w:hAnsi="Arial"/>
                <w:sz w:val="14"/>
                <w:szCs w:val="14"/>
                <w:color w:val="auto"/>
              </w:rPr>
              <w:t>1.76%</w:t>
            </w:r>
          </w:p>
        </w:tc>
        <w:tc>
          <w:tcPr>
            <w:tcW w:w="0" w:type="dxa"/>
            <w:vAlign w:val="bottom"/>
          </w:tcPr>
          <w:p>
            <w:pPr>
              <w:spacing w:after="0"/>
              <w:rPr>
                <w:sz w:val="1"/>
                <w:szCs w:val="1"/>
                <w:color w:val="auto"/>
              </w:rPr>
            </w:pPr>
          </w:p>
        </w:tc>
      </w:tr>
      <w:tr>
        <w:trPr>
          <w:trHeight w:val="197"/>
        </w:trPr>
        <w:tc>
          <w:tcPr>
            <w:tcW w:w="2980" w:type="dxa"/>
            <w:vAlign w:val="bottom"/>
            <w:gridSpan w:val="4"/>
          </w:tcPr>
          <w:p>
            <w:pPr>
              <w:ind w:left="20"/>
              <w:spacing w:after="0"/>
              <w:rPr>
                <w:sz w:val="20"/>
                <w:szCs w:val="20"/>
                <w:color w:val="auto"/>
              </w:rPr>
            </w:pPr>
            <w:r>
              <w:rPr>
                <w:rFonts w:ascii="Arial" w:cs="Arial" w:eastAsia="Arial" w:hAnsi="Arial"/>
                <w:sz w:val="14"/>
                <w:szCs w:val="14"/>
                <w:color w:val="auto"/>
              </w:rPr>
              <w:t xml:space="preserve">Less: Debt issuance costs </w:t>
            </w:r>
            <w:r>
              <w:rPr>
                <w:rFonts w:ascii="Arial" w:cs="Arial" w:eastAsia="Arial" w:hAnsi="Arial"/>
                <w:sz w:val="8"/>
                <w:szCs w:val="8"/>
                <w:color w:val="auto"/>
              </w:rPr>
              <w:t>(2)</w:t>
            </w:r>
          </w:p>
        </w:tc>
        <w:tc>
          <w:tcPr>
            <w:tcW w:w="1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(2,666)</w:t>
            </w:r>
          </w:p>
        </w:tc>
        <w:tc>
          <w:tcPr>
            <w:tcW w:w="1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(2,685)</w:t>
            </w: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2980" w:type="dxa"/>
            <w:vAlign w:val="bottom"/>
            <w:gridSpan w:val="4"/>
          </w:tcPr>
          <w:p>
            <w:pPr>
              <w:ind w:left="20"/>
              <w:spacing w:after="0"/>
              <w:rPr>
                <w:sz w:val="20"/>
                <w:szCs w:val="20"/>
                <w:color w:val="auto"/>
              </w:rPr>
            </w:pPr>
            <w:r>
              <w:rPr>
                <w:rFonts w:ascii="Arial" w:cs="Arial" w:eastAsia="Arial" w:hAnsi="Arial"/>
                <w:sz w:val="14"/>
                <w:szCs w:val="14"/>
                <w:color w:val="auto"/>
              </w:rPr>
              <w:t>Total debt obligations, net</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ind w:left="340"/>
              <w:spacing w:after="0"/>
              <w:rPr>
                <w:sz w:val="20"/>
                <w:szCs w:val="20"/>
                <w:color w:val="auto"/>
              </w:rPr>
            </w:pPr>
            <w:r>
              <w:rPr>
                <w:rFonts w:ascii="Arial" w:cs="Arial" w:eastAsia="Arial" w:hAnsi="Arial"/>
                <w:sz w:val="14"/>
                <w:szCs w:val="14"/>
                <w:color w:val="auto"/>
              </w:rPr>
              <w:t>1,318,129</w:t>
            </w:r>
          </w:p>
        </w:tc>
        <w:tc>
          <w:tcPr>
            <w:tcW w:w="160" w:type="dxa"/>
            <w:vAlign w:val="bottom"/>
          </w:tcPr>
          <w:p>
            <w:pPr>
              <w:spacing w:after="0"/>
              <w:rPr>
                <w:sz w:val="16"/>
                <w:szCs w:val="16"/>
                <w:color w:val="auto"/>
              </w:rPr>
            </w:pPr>
          </w:p>
        </w:tc>
        <w:tc>
          <w:tcPr>
            <w:tcW w:w="26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1,470,110</w:t>
            </w: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2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70" w:lineRule="exact"/>
        <w:rPr>
          <w:sz w:val="20"/>
          <w:szCs w:val="20"/>
          <w:color w:val="auto"/>
        </w:rPr>
      </w:pPr>
    </w:p>
    <w:p>
      <w:pPr>
        <w:ind w:left="320" w:hanging="317"/>
        <w:spacing w:after="0"/>
        <w:tabs>
          <w:tab w:leader="none" w:pos="320" w:val="left"/>
        </w:tabs>
        <w:numPr>
          <w:ilvl w:val="0"/>
          <w:numId w:val="40"/>
        </w:numPr>
        <w:rPr>
          <w:rFonts w:ascii="Arial" w:cs="Arial" w:eastAsia="Arial" w:hAnsi="Arial"/>
          <w:sz w:val="14"/>
          <w:szCs w:val="14"/>
          <w:color w:val="auto"/>
        </w:rPr>
      </w:pPr>
      <w:r>
        <w:rPr>
          <w:rFonts w:ascii="Arial" w:cs="Arial" w:eastAsia="Arial" w:hAnsi="Arial"/>
          <w:sz w:val="14"/>
          <w:szCs w:val="14"/>
          <w:color w:val="auto"/>
        </w:rPr>
        <w:t>The credit facility capacity is calculated on a pro rata basis using fund commitments as of December 31, 2025.</w:t>
      </w:r>
    </w:p>
    <w:p>
      <w:pPr>
        <w:spacing w:after="0" w:line="18" w:lineRule="exact"/>
        <w:rPr>
          <w:rFonts w:ascii="Arial" w:cs="Arial" w:eastAsia="Arial" w:hAnsi="Arial"/>
          <w:sz w:val="14"/>
          <w:szCs w:val="14"/>
          <w:color w:val="auto"/>
        </w:rPr>
      </w:pPr>
    </w:p>
    <w:p>
      <w:pPr>
        <w:ind w:left="320" w:hanging="317"/>
        <w:spacing w:after="0"/>
        <w:tabs>
          <w:tab w:leader="none" w:pos="320" w:val="left"/>
        </w:tabs>
        <w:numPr>
          <w:ilvl w:val="0"/>
          <w:numId w:val="40"/>
        </w:numPr>
        <w:rPr>
          <w:rFonts w:ascii="Arial" w:cs="Arial" w:eastAsia="Arial" w:hAnsi="Arial"/>
          <w:sz w:val="14"/>
          <w:szCs w:val="14"/>
          <w:color w:val="auto"/>
        </w:rPr>
      </w:pPr>
      <w:r>
        <w:rPr>
          <w:rFonts w:ascii="Arial" w:cs="Arial" w:eastAsia="Arial" w:hAnsi="Arial"/>
          <w:sz w:val="14"/>
          <w:szCs w:val="14"/>
          <w:color w:val="auto"/>
        </w:rPr>
        <w:t>Debt issuance costs are included in other assets as of December 31, 2025 and December 31, 2024.</w:t>
      </w:r>
    </w:p>
    <w:p>
      <w:pPr>
        <w:spacing w:after="0" w:line="127" w:lineRule="exact"/>
        <w:rPr>
          <w:sz w:val="20"/>
          <w:szCs w:val="20"/>
          <w:color w:val="auto"/>
        </w:rPr>
      </w:pPr>
    </w:p>
    <w:p>
      <w:pPr>
        <w:ind w:right="220" w:firstLine="619"/>
        <w:spacing w:after="0" w:line="271" w:lineRule="auto"/>
        <w:rPr>
          <w:sz w:val="20"/>
          <w:szCs w:val="20"/>
          <w:color w:val="auto"/>
        </w:rPr>
      </w:pPr>
      <w:r>
        <w:rPr>
          <w:rFonts w:ascii="Arial" w:cs="Arial" w:eastAsia="Arial" w:hAnsi="Arial"/>
          <w:sz w:val="17"/>
          <w:szCs w:val="17"/>
          <w:color w:val="auto"/>
        </w:rPr>
        <w:t>The carrying value of the revolving credit facilities approximated fair value due to recent issuance. Financial instruments that are valued using quoted prices for the security or similar securities are generally classified as Level III because the quoted prices may be indicative in nature for securities that are in an inactive market, may be for similar securities or may require adjustment for investment-specific factors or restrictions.</w:t>
      </w:r>
    </w:p>
    <w:p>
      <w:pPr>
        <w:spacing w:after="0" w:line="98" w:lineRule="exact"/>
        <w:rPr>
          <w:sz w:val="20"/>
          <w:szCs w:val="20"/>
          <w:color w:val="auto"/>
        </w:rPr>
      </w:pPr>
    </w:p>
    <w:p>
      <w:pPr>
        <w:ind w:right="180" w:firstLine="619"/>
        <w:spacing w:after="0" w:line="255" w:lineRule="auto"/>
        <w:rPr>
          <w:sz w:val="20"/>
          <w:szCs w:val="20"/>
          <w:color w:val="auto"/>
        </w:rPr>
      </w:pPr>
      <w:r>
        <w:rPr>
          <w:rFonts w:ascii="Arial" w:cs="Arial" w:eastAsia="Arial" w:hAnsi="Arial"/>
          <w:sz w:val="17"/>
          <w:szCs w:val="17"/>
          <w:color w:val="auto"/>
        </w:rPr>
        <w:t>Following the 2024 Restructuring, with the deconsolidation of Oaktree Capital I, which acts as or controls the general partner of certain Oaktree funds and which holds a majority of Oaktree’s investments in its funds, the debt obligations of the funds consolidated by Oaktree Capital I are accounted for as part of the equity investment in Oaktree Capital 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8" w:name="page99"/>
    <w:bookmarkEnd w:id="98"/>
    <w:p>
      <w:pPr>
        <w:jc w:val="center"/>
        <w:ind w:right="-39"/>
        <w:spacing w:after="0"/>
        <w:rPr>
          <w:sz w:val="20"/>
          <w:szCs w:val="20"/>
          <w:color w:val="auto"/>
        </w:rPr>
      </w:pPr>
      <w:r>
        <w:rPr>
          <w:rFonts w:ascii="Arial" w:cs="Arial" w:eastAsia="Arial" w:hAnsi="Arial"/>
          <w:sz w:val="17"/>
          <w:szCs w:val="17"/>
          <w:b w:val="1"/>
          <w:bCs w:val="1"/>
          <w:color w:val="auto"/>
        </w:rPr>
        <w:t>Brookfield Oaktree Holdings, LLC</w:t>
      </w:r>
    </w:p>
    <w:p>
      <w:pPr>
        <w:spacing w:after="0" w:line="15"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Notes to Consolidated Financial Statements — (Continued)</w:t>
      </w:r>
    </w:p>
    <w:p>
      <w:pPr>
        <w:spacing w:after="0" w:line="11"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December 31, 2025</w:t>
      </w:r>
    </w:p>
    <w:p>
      <w:pPr>
        <w:spacing w:after="0" w:line="11"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 in thousands, except where noted)</w:t>
      </w: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10. NON-CONTROLLING REDEEMABLE INTERESTS IN CONSOLIDATED FUNDS</w:t>
      </w:r>
    </w:p>
    <w:p>
      <w:pPr>
        <w:spacing w:after="0" w:line="168" w:lineRule="exact"/>
        <w:rPr>
          <w:sz w:val="20"/>
          <w:szCs w:val="20"/>
          <w:color w:val="auto"/>
        </w:rPr>
      </w:pPr>
    </w:p>
    <w:p>
      <w:pPr>
        <w:ind w:right="520" w:firstLine="619"/>
        <w:spacing w:after="0" w:line="290" w:lineRule="auto"/>
        <w:rPr>
          <w:sz w:val="20"/>
          <w:szCs w:val="20"/>
          <w:color w:val="auto"/>
        </w:rPr>
      </w:pPr>
      <w:r>
        <w:rPr>
          <w:rFonts w:ascii="Arial" w:cs="Arial" w:eastAsia="Arial" w:hAnsi="Arial"/>
          <w:sz w:val="17"/>
          <w:szCs w:val="17"/>
          <w:color w:val="auto"/>
        </w:rPr>
        <w:t>The following table sets forth a summary of changes in the non-controlling redeemable interests in the consolidated funds. Dividends reinvested and in-kind contributions or distributions are non-cash in nature and have been presented on a gross basis in the table below.</w:t>
      </w:r>
    </w:p>
    <w:p>
      <w:pPr>
        <w:spacing w:after="0" w:line="68" w:lineRule="exact"/>
        <w:rPr>
          <w:sz w:val="20"/>
          <w:szCs w:val="20"/>
          <w:color w:val="auto"/>
        </w:rPr>
      </w:pPr>
    </w:p>
    <w:tbl>
      <w:tblPr>
        <w:tblLayout w:type="fixed"/>
        <w:tblInd w:w="20" w:type="dxa"/>
        <w:tblCellMar>
          <w:top w:w="0" w:type="dxa"/>
          <w:left w:w="0" w:type="dxa"/>
          <w:bottom w:w="0" w:type="dxa"/>
          <w:right w:w="0" w:type="dxa"/>
        </w:tblCellMar>
      </w:tblPr>
      <w:tr>
        <w:trPr>
          <w:trHeight w:val="169"/>
        </w:trPr>
        <w:tc>
          <w:tcPr>
            <w:tcW w:w="656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4"/>
          </w:tcPr>
          <w:p>
            <w:pPr>
              <w:ind w:left="180"/>
              <w:spacing w:after="0"/>
              <w:rPr>
                <w:sz w:val="20"/>
                <w:szCs w:val="20"/>
                <w:color w:val="auto"/>
              </w:rPr>
            </w:pPr>
            <w:r>
              <w:rPr>
                <w:rFonts w:ascii="Arial" w:cs="Arial" w:eastAsia="Arial" w:hAnsi="Arial"/>
                <w:sz w:val="12"/>
                <w:szCs w:val="12"/>
                <w:b w:val="1"/>
                <w:bCs w:val="1"/>
                <w:color w:val="auto"/>
              </w:rPr>
              <w:t>Year Ended December 31,</w:t>
            </w:r>
          </w:p>
        </w:tc>
        <w:tc>
          <w:tcPr>
            <w:tcW w:w="3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r>
      <w:tr>
        <w:trPr>
          <w:trHeight w:val="162"/>
        </w:trPr>
        <w:tc>
          <w:tcPr>
            <w:tcW w:w="656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85"/>
              <w:spacing w:after="0"/>
              <w:rPr>
                <w:sz w:val="20"/>
                <w:szCs w:val="20"/>
                <w:color w:val="auto"/>
              </w:rPr>
            </w:pPr>
            <w:r>
              <w:rPr>
                <w:rFonts w:ascii="Arial" w:cs="Arial" w:eastAsia="Arial" w:hAnsi="Arial"/>
                <w:sz w:val="12"/>
                <w:szCs w:val="12"/>
                <w:b w:val="1"/>
                <w:bCs w:val="1"/>
                <w:color w:val="auto"/>
              </w:rPr>
              <w:t>2025</w:t>
            </w:r>
          </w:p>
        </w:tc>
        <w:tc>
          <w:tcPr>
            <w:tcW w:w="20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505"/>
              <w:spacing w:after="0"/>
              <w:rPr>
                <w:sz w:val="20"/>
                <w:szCs w:val="20"/>
                <w:color w:val="auto"/>
              </w:rPr>
            </w:pPr>
            <w:r>
              <w:rPr>
                <w:rFonts w:ascii="Arial" w:cs="Arial" w:eastAsia="Arial" w:hAnsi="Arial"/>
                <w:sz w:val="12"/>
                <w:szCs w:val="12"/>
                <w:b w:val="1"/>
                <w:bCs w:val="1"/>
                <w:color w:val="auto"/>
              </w:rPr>
              <w:t>2024</w:t>
            </w:r>
          </w:p>
        </w:tc>
        <w:tc>
          <w:tcPr>
            <w:tcW w:w="20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85"/>
              <w:spacing w:after="0"/>
              <w:rPr>
                <w:sz w:val="20"/>
                <w:szCs w:val="20"/>
                <w:color w:val="auto"/>
              </w:rPr>
            </w:pPr>
            <w:r>
              <w:rPr>
                <w:rFonts w:ascii="Arial" w:cs="Arial" w:eastAsia="Arial" w:hAnsi="Arial"/>
                <w:sz w:val="12"/>
                <w:szCs w:val="12"/>
                <w:b w:val="1"/>
                <w:bCs w:val="1"/>
                <w:color w:val="auto"/>
              </w:rPr>
              <w:t>2023</w:t>
            </w:r>
          </w:p>
        </w:tc>
      </w:tr>
      <w:tr>
        <w:trPr>
          <w:trHeight w:val="200"/>
        </w:trPr>
        <w:tc>
          <w:tcPr>
            <w:tcW w:w="6560" w:type="dxa"/>
            <w:vAlign w:val="bottom"/>
          </w:tcPr>
          <w:p>
            <w:pPr>
              <w:spacing w:after="0"/>
              <w:rPr>
                <w:sz w:val="20"/>
                <w:szCs w:val="20"/>
                <w:color w:val="auto"/>
              </w:rPr>
            </w:pPr>
            <w:r>
              <w:rPr>
                <w:rFonts w:ascii="Arial" w:cs="Arial" w:eastAsia="Arial" w:hAnsi="Arial"/>
                <w:sz w:val="15"/>
                <w:szCs w:val="15"/>
                <w:color w:val="auto"/>
              </w:rPr>
              <w:t>Beginning balance</w:t>
            </w:r>
          </w:p>
        </w:tc>
        <w:tc>
          <w:tcPr>
            <w:tcW w:w="340" w:type="dxa"/>
            <w:vAlign w:val="bottom"/>
          </w:tcPr>
          <w:p>
            <w:pPr>
              <w:jc w:val="right"/>
              <w:ind w:right="163"/>
              <w:spacing w:after="0"/>
              <w:rPr>
                <w:sz w:val="20"/>
                <w:szCs w:val="20"/>
                <w:color w:val="auto"/>
              </w:rPr>
            </w:pPr>
            <w:r>
              <w:rPr>
                <w:rFonts w:ascii="Arial" w:cs="Arial" w:eastAsia="Arial" w:hAnsi="Arial"/>
                <w:sz w:val="15"/>
                <w:szCs w:val="15"/>
                <w:color w:val="auto"/>
                <w:w w:val="95"/>
              </w:rPr>
              <w:t>$</w:t>
            </w:r>
          </w:p>
        </w:tc>
        <w:tc>
          <w:tcPr>
            <w:tcW w:w="1060" w:type="dxa"/>
            <w:vAlign w:val="bottom"/>
          </w:tcPr>
          <w:p>
            <w:pPr>
              <w:jc w:val="right"/>
              <w:spacing w:after="0"/>
              <w:rPr>
                <w:sz w:val="20"/>
                <w:szCs w:val="20"/>
                <w:color w:val="auto"/>
              </w:rPr>
            </w:pPr>
            <w:r>
              <w:rPr>
                <w:rFonts w:ascii="Arial" w:cs="Arial" w:eastAsia="Arial" w:hAnsi="Arial"/>
                <w:sz w:val="15"/>
                <w:szCs w:val="15"/>
                <w:color w:val="auto"/>
              </w:rPr>
              <w:t>3,069,084</w:t>
            </w:r>
          </w:p>
        </w:tc>
        <w:tc>
          <w:tcPr>
            <w:tcW w:w="54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080" w:type="dxa"/>
            <w:vAlign w:val="bottom"/>
          </w:tcPr>
          <w:p>
            <w:pPr>
              <w:jc w:val="right"/>
              <w:ind w:right="5"/>
              <w:spacing w:after="0"/>
              <w:rPr>
                <w:sz w:val="20"/>
                <w:szCs w:val="20"/>
                <w:color w:val="auto"/>
              </w:rPr>
            </w:pPr>
            <w:r>
              <w:rPr>
                <w:rFonts w:ascii="Arial" w:cs="Arial" w:eastAsia="Arial" w:hAnsi="Arial"/>
                <w:sz w:val="15"/>
                <w:szCs w:val="15"/>
                <w:color w:val="auto"/>
              </w:rPr>
              <w:t>3,336,548</w:t>
            </w:r>
          </w:p>
        </w:tc>
        <w:tc>
          <w:tcPr>
            <w:tcW w:w="200" w:type="dxa"/>
            <w:vAlign w:val="bottom"/>
          </w:tcPr>
          <w:p>
            <w:pPr>
              <w:spacing w:after="0"/>
              <w:rPr>
                <w:sz w:val="17"/>
                <w:szCs w:val="17"/>
                <w:color w:val="auto"/>
              </w:rPr>
            </w:pPr>
          </w:p>
        </w:tc>
        <w:tc>
          <w:tcPr>
            <w:tcW w:w="340" w:type="dxa"/>
            <w:vAlign w:val="bottom"/>
          </w:tcPr>
          <w:p>
            <w:pPr>
              <w:jc w:val="right"/>
              <w:ind w:right="163"/>
              <w:spacing w:after="0"/>
              <w:rPr>
                <w:sz w:val="20"/>
                <w:szCs w:val="20"/>
                <w:color w:val="auto"/>
              </w:rPr>
            </w:pPr>
            <w:r>
              <w:rPr>
                <w:rFonts w:ascii="Arial" w:cs="Arial" w:eastAsia="Arial" w:hAnsi="Arial"/>
                <w:sz w:val="15"/>
                <w:szCs w:val="15"/>
                <w:color w:val="auto"/>
                <w:w w:val="95"/>
              </w:rPr>
              <w:t>$</w:t>
            </w:r>
          </w:p>
        </w:tc>
        <w:tc>
          <w:tcPr>
            <w:tcW w:w="1060" w:type="dxa"/>
            <w:vAlign w:val="bottom"/>
          </w:tcPr>
          <w:p>
            <w:pPr>
              <w:jc w:val="right"/>
              <w:spacing w:after="0"/>
              <w:rPr>
                <w:sz w:val="20"/>
                <w:szCs w:val="20"/>
                <w:color w:val="auto"/>
              </w:rPr>
            </w:pPr>
            <w:r>
              <w:rPr>
                <w:rFonts w:ascii="Arial" w:cs="Arial" w:eastAsia="Arial" w:hAnsi="Arial"/>
                <w:sz w:val="15"/>
                <w:szCs w:val="15"/>
                <w:color w:val="auto"/>
              </w:rPr>
              <w:t>2,182,414</w:t>
            </w:r>
          </w:p>
        </w:tc>
      </w:tr>
      <w:tr>
        <w:trPr>
          <w:trHeight w:val="206"/>
        </w:trPr>
        <w:tc>
          <w:tcPr>
            <w:tcW w:w="6560" w:type="dxa"/>
            <w:vAlign w:val="bottom"/>
          </w:tcPr>
          <w:p>
            <w:pPr>
              <w:ind w:left="300"/>
              <w:spacing w:after="0"/>
              <w:rPr>
                <w:sz w:val="20"/>
                <w:szCs w:val="20"/>
                <w:color w:val="auto"/>
              </w:rPr>
            </w:pPr>
            <w:r>
              <w:rPr>
                <w:rFonts w:ascii="Arial" w:cs="Arial" w:eastAsia="Arial" w:hAnsi="Arial"/>
                <w:sz w:val="15"/>
                <w:szCs w:val="15"/>
                <w:color w:val="auto"/>
              </w:rPr>
              <w:t>Deconsolidation of funds</w:t>
            </w:r>
          </w:p>
        </w:tc>
        <w:tc>
          <w:tcPr>
            <w:tcW w:w="3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(500,020)</w:t>
            </w: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(242)</w:t>
            </w:r>
          </w:p>
        </w:tc>
      </w:tr>
      <w:tr>
        <w:trPr>
          <w:trHeight w:val="206"/>
        </w:trPr>
        <w:tc>
          <w:tcPr>
            <w:tcW w:w="6560" w:type="dxa"/>
            <w:vAlign w:val="bottom"/>
          </w:tcPr>
          <w:p>
            <w:pPr>
              <w:ind w:left="300"/>
              <w:spacing w:after="0"/>
              <w:rPr>
                <w:sz w:val="20"/>
                <w:szCs w:val="20"/>
                <w:color w:val="auto"/>
              </w:rPr>
            </w:pPr>
            <w:r>
              <w:rPr>
                <w:rFonts w:ascii="Arial" w:cs="Arial" w:eastAsia="Arial" w:hAnsi="Arial"/>
                <w:sz w:val="15"/>
                <w:szCs w:val="15"/>
                <w:color w:val="auto"/>
              </w:rPr>
              <w:t>Contributions</w:t>
            </w:r>
          </w:p>
        </w:tc>
        <w:tc>
          <w:tcPr>
            <w:tcW w:w="3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633,232</w:t>
            </w: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jc w:val="right"/>
              <w:ind w:right="5"/>
              <w:spacing w:after="0"/>
              <w:rPr>
                <w:sz w:val="20"/>
                <w:szCs w:val="20"/>
                <w:color w:val="auto"/>
              </w:rPr>
            </w:pPr>
            <w:r>
              <w:rPr>
                <w:rFonts w:ascii="Arial" w:cs="Arial" w:eastAsia="Arial" w:hAnsi="Arial"/>
                <w:sz w:val="15"/>
                <w:szCs w:val="15"/>
                <w:color w:val="auto"/>
              </w:rPr>
              <w:t>470,924</w:t>
            </w: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1,223,103</w:t>
            </w:r>
          </w:p>
        </w:tc>
      </w:tr>
      <w:tr>
        <w:trPr>
          <w:trHeight w:val="206"/>
        </w:trPr>
        <w:tc>
          <w:tcPr>
            <w:tcW w:w="6560" w:type="dxa"/>
            <w:vAlign w:val="bottom"/>
          </w:tcPr>
          <w:p>
            <w:pPr>
              <w:ind w:left="300"/>
              <w:spacing w:after="0"/>
              <w:rPr>
                <w:sz w:val="20"/>
                <w:szCs w:val="20"/>
                <w:color w:val="auto"/>
              </w:rPr>
            </w:pPr>
            <w:r>
              <w:rPr>
                <w:rFonts w:ascii="Arial" w:cs="Arial" w:eastAsia="Arial" w:hAnsi="Arial"/>
                <w:sz w:val="15"/>
                <w:szCs w:val="15"/>
                <w:color w:val="auto"/>
              </w:rPr>
              <w:t>Distributions</w:t>
            </w:r>
          </w:p>
        </w:tc>
        <w:tc>
          <w:tcPr>
            <w:tcW w:w="3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(903,082)</w:t>
            </w: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(750,886)</w:t>
            </w: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(221,745)</w:t>
            </w:r>
          </w:p>
        </w:tc>
      </w:tr>
      <w:tr>
        <w:trPr>
          <w:trHeight w:val="206"/>
        </w:trPr>
        <w:tc>
          <w:tcPr>
            <w:tcW w:w="6560" w:type="dxa"/>
            <w:vAlign w:val="bottom"/>
          </w:tcPr>
          <w:p>
            <w:pPr>
              <w:ind w:left="300"/>
              <w:spacing w:after="0"/>
              <w:rPr>
                <w:sz w:val="20"/>
                <w:szCs w:val="20"/>
                <w:color w:val="auto"/>
              </w:rPr>
            </w:pPr>
            <w:r>
              <w:rPr>
                <w:rFonts w:ascii="Arial" w:cs="Arial" w:eastAsia="Arial" w:hAnsi="Arial"/>
                <w:sz w:val="15"/>
                <w:szCs w:val="15"/>
                <w:color w:val="auto"/>
              </w:rPr>
              <w:t>Net income</w:t>
            </w:r>
          </w:p>
        </w:tc>
        <w:tc>
          <w:tcPr>
            <w:tcW w:w="3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272,350</w:t>
            </w: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jc w:val="right"/>
              <w:ind w:right="5"/>
              <w:spacing w:after="0"/>
              <w:rPr>
                <w:sz w:val="20"/>
                <w:szCs w:val="20"/>
                <w:color w:val="auto"/>
              </w:rPr>
            </w:pPr>
            <w:r>
              <w:rPr>
                <w:rFonts w:ascii="Arial" w:cs="Arial" w:eastAsia="Arial" w:hAnsi="Arial"/>
                <w:sz w:val="15"/>
                <w:szCs w:val="15"/>
                <w:color w:val="auto"/>
              </w:rPr>
              <w:t>417,901</w:t>
            </w: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245,928</w:t>
            </w:r>
          </w:p>
        </w:tc>
      </w:tr>
      <w:tr>
        <w:trPr>
          <w:trHeight w:val="206"/>
        </w:trPr>
        <w:tc>
          <w:tcPr>
            <w:tcW w:w="6560" w:type="dxa"/>
            <w:vAlign w:val="bottom"/>
          </w:tcPr>
          <w:p>
            <w:pPr>
              <w:ind w:left="300"/>
              <w:spacing w:after="0"/>
              <w:rPr>
                <w:sz w:val="20"/>
                <w:szCs w:val="20"/>
                <w:color w:val="auto"/>
              </w:rPr>
            </w:pPr>
            <w:r>
              <w:rPr>
                <w:rFonts w:ascii="Arial" w:cs="Arial" w:eastAsia="Arial" w:hAnsi="Arial"/>
                <w:sz w:val="15"/>
                <w:szCs w:val="15"/>
                <w:color w:val="auto"/>
              </w:rPr>
              <w:t>Change in distributions payable</w:t>
            </w:r>
          </w:p>
        </w:tc>
        <w:tc>
          <w:tcPr>
            <w:tcW w:w="3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27</w:t>
            </w: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jc w:val="right"/>
              <w:ind w:right="5"/>
              <w:spacing w:after="0"/>
              <w:rPr>
                <w:sz w:val="20"/>
                <w:szCs w:val="20"/>
                <w:color w:val="auto"/>
              </w:rPr>
            </w:pPr>
            <w:r>
              <w:rPr>
                <w:rFonts w:ascii="Arial" w:cs="Arial" w:eastAsia="Arial" w:hAnsi="Arial"/>
                <w:sz w:val="15"/>
                <w:szCs w:val="15"/>
                <w:color w:val="auto"/>
              </w:rPr>
              <w:t>95,622</w:t>
            </w: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(94,253)</w:t>
            </w:r>
          </w:p>
        </w:tc>
      </w:tr>
      <w:tr>
        <w:trPr>
          <w:trHeight w:val="207"/>
        </w:trPr>
        <w:tc>
          <w:tcPr>
            <w:tcW w:w="6560" w:type="dxa"/>
            <w:vAlign w:val="bottom"/>
          </w:tcPr>
          <w:p>
            <w:pPr>
              <w:ind w:left="300"/>
              <w:spacing w:after="0"/>
              <w:rPr>
                <w:sz w:val="20"/>
                <w:szCs w:val="20"/>
                <w:color w:val="auto"/>
              </w:rPr>
            </w:pPr>
            <w:r>
              <w:rPr>
                <w:rFonts w:ascii="Arial" w:cs="Arial" w:eastAsia="Arial" w:hAnsi="Arial"/>
                <w:sz w:val="15"/>
                <w:szCs w:val="15"/>
                <w:color w:val="auto"/>
              </w:rPr>
              <w:t>Foreign currency translation and other, net</w:t>
            </w:r>
          </w:p>
        </w:tc>
        <w:tc>
          <w:tcPr>
            <w:tcW w:w="3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(1,005)</w:t>
            </w:r>
          </w:p>
        </w:tc>
        <w:tc>
          <w:tcPr>
            <w:tcW w:w="2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1,343</w:t>
            </w:r>
          </w:p>
        </w:tc>
      </w:tr>
      <w:tr>
        <w:trPr>
          <w:trHeight w:val="200"/>
        </w:trPr>
        <w:tc>
          <w:tcPr>
            <w:tcW w:w="6560" w:type="dxa"/>
            <w:vAlign w:val="bottom"/>
          </w:tcPr>
          <w:p>
            <w:pPr>
              <w:spacing w:after="0"/>
              <w:rPr>
                <w:sz w:val="20"/>
                <w:szCs w:val="20"/>
                <w:color w:val="auto"/>
              </w:rPr>
            </w:pPr>
            <w:r>
              <w:rPr>
                <w:rFonts w:ascii="Arial" w:cs="Arial" w:eastAsia="Arial" w:hAnsi="Arial"/>
                <w:sz w:val="15"/>
                <w:szCs w:val="15"/>
                <w:color w:val="auto"/>
              </w:rPr>
              <w:t>Ending balance</w:t>
            </w:r>
          </w:p>
        </w:tc>
        <w:tc>
          <w:tcPr>
            <w:tcW w:w="340" w:type="dxa"/>
            <w:vAlign w:val="bottom"/>
          </w:tcPr>
          <w:p>
            <w:pPr>
              <w:jc w:val="right"/>
              <w:ind w:right="163"/>
              <w:spacing w:after="0"/>
              <w:rPr>
                <w:sz w:val="20"/>
                <w:szCs w:val="20"/>
                <w:color w:val="auto"/>
              </w:rPr>
            </w:pPr>
            <w:r>
              <w:rPr>
                <w:rFonts w:ascii="Arial" w:cs="Arial" w:eastAsia="Arial" w:hAnsi="Arial"/>
                <w:sz w:val="15"/>
                <w:szCs w:val="15"/>
                <w:color w:val="auto"/>
                <w:w w:val="95"/>
              </w:rPr>
              <w:t>$</w:t>
            </w:r>
          </w:p>
        </w:tc>
        <w:tc>
          <w:tcPr>
            <w:tcW w:w="1060" w:type="dxa"/>
            <w:vAlign w:val="bottom"/>
          </w:tcPr>
          <w:p>
            <w:pPr>
              <w:jc w:val="right"/>
              <w:spacing w:after="0"/>
              <w:rPr>
                <w:sz w:val="20"/>
                <w:szCs w:val="20"/>
                <w:color w:val="auto"/>
              </w:rPr>
            </w:pPr>
            <w:r>
              <w:rPr>
                <w:rFonts w:ascii="Arial" w:cs="Arial" w:eastAsia="Arial" w:hAnsi="Arial"/>
                <w:sz w:val="15"/>
                <w:szCs w:val="15"/>
                <w:color w:val="auto"/>
              </w:rPr>
              <w:t>3,071,611</w:t>
            </w:r>
          </w:p>
        </w:tc>
        <w:tc>
          <w:tcPr>
            <w:tcW w:w="54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080" w:type="dxa"/>
            <w:vAlign w:val="bottom"/>
          </w:tcPr>
          <w:p>
            <w:pPr>
              <w:jc w:val="right"/>
              <w:ind w:right="5"/>
              <w:spacing w:after="0"/>
              <w:rPr>
                <w:sz w:val="20"/>
                <w:szCs w:val="20"/>
                <w:color w:val="auto"/>
              </w:rPr>
            </w:pPr>
            <w:r>
              <w:rPr>
                <w:rFonts w:ascii="Arial" w:cs="Arial" w:eastAsia="Arial" w:hAnsi="Arial"/>
                <w:sz w:val="15"/>
                <w:szCs w:val="15"/>
                <w:color w:val="auto"/>
              </w:rPr>
              <w:t>3,069,084</w:t>
            </w:r>
          </w:p>
        </w:tc>
        <w:tc>
          <w:tcPr>
            <w:tcW w:w="200" w:type="dxa"/>
            <w:vAlign w:val="bottom"/>
          </w:tcPr>
          <w:p>
            <w:pPr>
              <w:spacing w:after="0"/>
              <w:rPr>
                <w:sz w:val="17"/>
                <w:szCs w:val="17"/>
                <w:color w:val="auto"/>
              </w:rPr>
            </w:pPr>
          </w:p>
        </w:tc>
        <w:tc>
          <w:tcPr>
            <w:tcW w:w="340" w:type="dxa"/>
            <w:vAlign w:val="bottom"/>
          </w:tcPr>
          <w:p>
            <w:pPr>
              <w:jc w:val="right"/>
              <w:ind w:right="163"/>
              <w:spacing w:after="0"/>
              <w:rPr>
                <w:sz w:val="20"/>
                <w:szCs w:val="20"/>
                <w:color w:val="auto"/>
              </w:rPr>
            </w:pPr>
            <w:r>
              <w:rPr>
                <w:rFonts w:ascii="Arial" w:cs="Arial" w:eastAsia="Arial" w:hAnsi="Arial"/>
                <w:sz w:val="15"/>
                <w:szCs w:val="15"/>
                <w:color w:val="auto"/>
                <w:w w:val="95"/>
              </w:rPr>
              <w:t>$</w:t>
            </w:r>
          </w:p>
        </w:tc>
        <w:tc>
          <w:tcPr>
            <w:tcW w:w="1060" w:type="dxa"/>
            <w:vAlign w:val="bottom"/>
          </w:tcPr>
          <w:p>
            <w:pPr>
              <w:jc w:val="right"/>
              <w:spacing w:after="0"/>
              <w:rPr>
                <w:sz w:val="20"/>
                <w:szCs w:val="20"/>
                <w:color w:val="auto"/>
              </w:rPr>
            </w:pPr>
            <w:r>
              <w:rPr>
                <w:rFonts w:ascii="Arial" w:cs="Arial" w:eastAsia="Arial" w:hAnsi="Arial"/>
                <w:sz w:val="15"/>
                <w:szCs w:val="15"/>
                <w:color w:val="auto"/>
              </w:rPr>
              <w:t>3,336,548</w:t>
            </w:r>
          </w:p>
        </w:tc>
      </w:tr>
      <w:tr>
        <w:trPr>
          <w:trHeight w:val="20"/>
        </w:trPr>
        <w:tc>
          <w:tcPr>
            <w:tcW w:w="65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99" w:name="page100"/>
    <w:bookmarkEnd w:id="99"/>
    <w:p>
      <w:pPr>
        <w:jc w:val="center"/>
        <w:ind w:right="-39"/>
        <w:spacing w:after="0"/>
        <w:rPr>
          <w:sz w:val="20"/>
          <w:szCs w:val="20"/>
          <w:color w:val="auto"/>
        </w:rPr>
      </w:pPr>
      <w:r>
        <w:rPr>
          <w:rFonts w:ascii="Arial" w:cs="Arial" w:eastAsia="Arial" w:hAnsi="Arial"/>
          <w:sz w:val="17"/>
          <w:szCs w:val="17"/>
          <w:b w:val="1"/>
          <w:bCs w:val="1"/>
          <w:color w:val="auto"/>
        </w:rPr>
        <w:t>Brookfield Oaktree Holdings, LLC</w:t>
      </w:r>
    </w:p>
    <w:p>
      <w:pPr>
        <w:spacing w:after="0" w:line="15"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Notes to Consolidated Financial Statements — (Continued)</w:t>
      </w:r>
    </w:p>
    <w:p>
      <w:pPr>
        <w:spacing w:after="0" w:line="11"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December 31, 2025</w:t>
      </w:r>
    </w:p>
    <w:p>
      <w:pPr>
        <w:spacing w:after="0" w:line="11"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 in thousands, except where noted)</w:t>
      </w: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11. UNITHOLDERS’ CAPITAL</w:t>
      </w:r>
    </w:p>
    <w:p>
      <w:pPr>
        <w:spacing w:after="0" w:line="103" w:lineRule="exact"/>
        <w:rPr>
          <w:sz w:val="20"/>
          <w:szCs w:val="20"/>
          <w:color w:val="auto"/>
        </w:rPr>
      </w:pPr>
    </w:p>
    <w:p>
      <w:pPr>
        <w:ind w:right="20" w:firstLine="619"/>
        <w:spacing w:after="0" w:line="243" w:lineRule="auto"/>
        <w:rPr>
          <w:sz w:val="20"/>
          <w:szCs w:val="20"/>
          <w:color w:val="auto"/>
        </w:rPr>
      </w:pPr>
      <w:r>
        <w:rPr>
          <w:rFonts w:ascii="Arial" w:cs="Arial" w:eastAsia="Arial" w:hAnsi="Arial"/>
          <w:sz w:val="17"/>
          <w:szCs w:val="17"/>
          <w:color w:val="auto"/>
        </w:rPr>
        <w:t>Unitholders’ capital reflects the economic interests attributable to Class A unitholders, preferred unitholders, non-controlling interests in consolidated subsidiaries and non-controlling interests in consolidated funds. Non-controlling interests in consolidated subsidiaries represent the portion of unitholders’ capital attributable to the OCGH non-controlling interest and third parties. The OCGH non-controlling interest is determined at the Oaktree Operating Group level, after giving effect to distributions, if any, attributable to the preferred unitholders, based on the proportionate share of Oaktree Operating Group units held by the OCGH unitholders. Certain expenses, such as income taxes and related administrative expenses of Brookfield Oaktree Holdings, LLC and the holding companies through which the Company holds interests in Oaktree Capital I, are solely attributable to the Class A unitholders.</w:t>
      </w:r>
    </w:p>
    <w:p>
      <w:pPr>
        <w:spacing w:after="0" w:line="123" w:lineRule="exact"/>
        <w:rPr>
          <w:sz w:val="20"/>
          <w:szCs w:val="20"/>
          <w:color w:val="auto"/>
        </w:rPr>
      </w:pPr>
    </w:p>
    <w:p>
      <w:pPr>
        <w:ind w:right="2900" w:firstLine="619"/>
        <w:spacing w:after="0" w:line="290" w:lineRule="auto"/>
        <w:rPr>
          <w:sz w:val="20"/>
          <w:szCs w:val="20"/>
          <w:color w:val="auto"/>
        </w:rPr>
      </w:pPr>
      <w:r>
        <w:rPr>
          <w:rFonts w:ascii="Arial" w:cs="Arial" w:eastAsia="Arial" w:hAnsi="Arial"/>
          <w:sz w:val="17"/>
          <w:szCs w:val="17"/>
          <w:color w:val="auto"/>
        </w:rPr>
        <w:t>Following the 2024 Restructuring, any related equity interests and non-controlling interests in Oaktree Capital I will no longer be reflected as part of the Company’s unitholders’ capital.</w:t>
      </w:r>
    </w:p>
    <w:p>
      <w:pPr>
        <w:spacing w:after="0" w:line="95" w:lineRule="exact"/>
        <w:rPr>
          <w:sz w:val="20"/>
          <w:szCs w:val="20"/>
          <w:color w:val="auto"/>
        </w:rPr>
      </w:pPr>
    </w:p>
    <w:p>
      <w:pPr>
        <w:ind w:left="620"/>
        <w:spacing w:after="0"/>
        <w:rPr>
          <w:sz w:val="20"/>
          <w:szCs w:val="20"/>
          <w:color w:val="auto"/>
        </w:rPr>
      </w:pPr>
      <w:r>
        <w:rPr>
          <w:rFonts w:ascii="Arial" w:cs="Arial" w:eastAsia="Arial" w:hAnsi="Arial"/>
          <w:sz w:val="17"/>
          <w:szCs w:val="17"/>
          <w:color w:val="auto"/>
        </w:rPr>
        <w:t>Distributions per Class A unit are set forth below:</w:t>
      </w:r>
    </w:p>
    <w:p>
      <w:pPr>
        <w:spacing w:after="0" w:line="194" w:lineRule="exact"/>
        <w:rPr>
          <w:sz w:val="20"/>
          <w:szCs w:val="20"/>
          <w:color w:val="auto"/>
        </w:rPr>
      </w:pPr>
    </w:p>
    <w:tbl>
      <w:tblPr>
        <w:tblLayout w:type="fixed"/>
        <w:tblInd w:w="40" w:type="dxa"/>
        <w:tblCellMar>
          <w:top w:w="0" w:type="dxa"/>
          <w:left w:w="0" w:type="dxa"/>
          <w:bottom w:w="0" w:type="dxa"/>
          <w:right w:w="0" w:type="dxa"/>
        </w:tblCellMar>
      </w:tblPr>
      <w:tr>
        <w:trPr>
          <w:trHeight w:val="138"/>
        </w:trPr>
        <w:tc>
          <w:tcPr>
            <w:tcW w:w="2620" w:type="dxa"/>
            <w:vAlign w:val="bottom"/>
            <w:vMerge w:val="restart"/>
          </w:tcPr>
          <w:p>
            <w:pPr>
              <w:ind w:left="1080"/>
              <w:spacing w:after="0"/>
              <w:rPr>
                <w:sz w:val="20"/>
                <w:szCs w:val="20"/>
                <w:color w:val="auto"/>
              </w:rPr>
            </w:pPr>
            <w:r>
              <w:rPr>
                <w:rFonts w:ascii="Arial" w:cs="Arial" w:eastAsia="Arial" w:hAnsi="Arial"/>
                <w:sz w:val="12"/>
                <w:szCs w:val="12"/>
                <w:b w:val="1"/>
                <w:bCs w:val="1"/>
                <w:color w:val="auto"/>
              </w:rPr>
              <w:t>Payment Date</w:t>
            </w:r>
          </w:p>
        </w:tc>
        <w:tc>
          <w:tcPr>
            <w:tcW w:w="3360" w:type="dxa"/>
            <w:vAlign w:val="bottom"/>
            <w:vMerge w:val="restart"/>
          </w:tcPr>
          <w:p>
            <w:pPr>
              <w:ind w:left="1880"/>
              <w:spacing w:after="0"/>
              <w:rPr>
                <w:sz w:val="20"/>
                <w:szCs w:val="20"/>
                <w:color w:val="auto"/>
              </w:rPr>
            </w:pPr>
            <w:r>
              <w:rPr>
                <w:rFonts w:ascii="Arial" w:cs="Arial" w:eastAsia="Arial" w:hAnsi="Arial"/>
                <w:sz w:val="12"/>
                <w:szCs w:val="12"/>
                <w:b w:val="1"/>
                <w:bCs w:val="1"/>
                <w:color w:val="auto"/>
              </w:rPr>
              <w:t>Record Date</w:t>
            </w:r>
          </w:p>
        </w:tc>
        <w:tc>
          <w:tcPr>
            <w:tcW w:w="4140" w:type="dxa"/>
            <w:vAlign w:val="bottom"/>
            <w:vMerge w:val="restart"/>
          </w:tcPr>
          <w:p>
            <w:pPr>
              <w:ind w:left="1500"/>
              <w:spacing w:after="0"/>
              <w:rPr>
                <w:sz w:val="20"/>
                <w:szCs w:val="20"/>
                <w:color w:val="auto"/>
              </w:rPr>
            </w:pPr>
            <w:r>
              <w:rPr>
                <w:rFonts w:ascii="Arial" w:cs="Arial" w:eastAsia="Arial" w:hAnsi="Arial"/>
                <w:sz w:val="12"/>
                <w:szCs w:val="12"/>
                <w:b w:val="1"/>
                <w:bCs w:val="1"/>
                <w:color w:val="auto"/>
              </w:rPr>
              <w:t>Applicable to Period Ended</w:t>
            </w:r>
          </w:p>
        </w:tc>
        <w:tc>
          <w:tcPr>
            <w:tcW w:w="1040" w:type="dxa"/>
            <w:vAlign w:val="bottom"/>
            <w:gridSpan w:val="2"/>
          </w:tcPr>
          <w:p>
            <w:pPr>
              <w:jc w:val="right"/>
              <w:spacing w:after="0"/>
              <w:rPr>
                <w:sz w:val="20"/>
                <w:szCs w:val="20"/>
                <w:color w:val="auto"/>
              </w:rPr>
            </w:pPr>
            <w:r>
              <w:rPr>
                <w:rFonts w:ascii="Arial" w:cs="Arial" w:eastAsia="Arial" w:hAnsi="Arial"/>
                <w:sz w:val="12"/>
                <w:szCs w:val="12"/>
                <w:b w:val="1"/>
                <w:bCs w:val="1"/>
                <w:color w:val="auto"/>
              </w:rPr>
              <w:t>Distribution Per</w:t>
            </w:r>
          </w:p>
        </w:tc>
        <w:tc>
          <w:tcPr>
            <w:tcW w:w="0" w:type="dxa"/>
            <w:vAlign w:val="bottom"/>
          </w:tcPr>
          <w:p>
            <w:pPr>
              <w:spacing w:after="0"/>
              <w:rPr>
                <w:sz w:val="1"/>
                <w:szCs w:val="1"/>
                <w:color w:val="auto"/>
              </w:rPr>
            </w:pPr>
          </w:p>
        </w:tc>
      </w:tr>
      <w:tr>
        <w:trPr>
          <w:trHeight w:val="165"/>
        </w:trPr>
        <w:tc>
          <w:tcPr>
            <w:tcW w:w="2620" w:type="dxa"/>
            <w:vAlign w:val="bottom"/>
            <w:vMerge w:val="continue"/>
          </w:tcPr>
          <w:p>
            <w:pPr>
              <w:spacing w:after="0"/>
              <w:rPr>
                <w:sz w:val="14"/>
                <w:szCs w:val="14"/>
                <w:color w:val="auto"/>
              </w:rPr>
            </w:pPr>
          </w:p>
        </w:tc>
        <w:tc>
          <w:tcPr>
            <w:tcW w:w="3360" w:type="dxa"/>
            <w:vAlign w:val="bottom"/>
            <w:vMerge w:val="continue"/>
          </w:tcPr>
          <w:p>
            <w:pPr>
              <w:spacing w:after="0"/>
              <w:rPr>
                <w:sz w:val="14"/>
                <w:szCs w:val="14"/>
                <w:color w:val="auto"/>
              </w:rPr>
            </w:pPr>
          </w:p>
        </w:tc>
        <w:tc>
          <w:tcPr>
            <w:tcW w:w="414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jc w:val="right"/>
              <w:ind w:right="324"/>
              <w:spacing w:after="0"/>
              <w:rPr>
                <w:sz w:val="20"/>
                <w:szCs w:val="20"/>
                <w:color w:val="auto"/>
              </w:rPr>
            </w:pPr>
            <w:r>
              <w:rPr>
                <w:rFonts w:ascii="Arial" w:cs="Arial" w:eastAsia="Arial" w:hAnsi="Arial"/>
                <w:sz w:val="12"/>
                <w:szCs w:val="12"/>
                <w:b w:val="1"/>
                <w:bCs w:val="1"/>
                <w:color w:val="auto"/>
              </w:rPr>
              <w:t>Unit</w:t>
            </w:r>
          </w:p>
        </w:tc>
        <w:tc>
          <w:tcPr>
            <w:tcW w:w="0" w:type="dxa"/>
            <w:vAlign w:val="bottom"/>
          </w:tcPr>
          <w:p>
            <w:pPr>
              <w:spacing w:after="0"/>
              <w:rPr>
                <w:sz w:val="1"/>
                <w:szCs w:val="1"/>
                <w:color w:val="auto"/>
              </w:rPr>
            </w:pPr>
          </w:p>
        </w:tc>
      </w:tr>
      <w:tr>
        <w:trPr>
          <w:trHeight w:val="212"/>
        </w:trPr>
        <w:tc>
          <w:tcPr>
            <w:tcW w:w="2620" w:type="dxa"/>
            <w:vAlign w:val="bottom"/>
          </w:tcPr>
          <w:p>
            <w:pPr>
              <w:spacing w:after="0"/>
              <w:rPr>
                <w:sz w:val="20"/>
                <w:szCs w:val="20"/>
                <w:color w:val="auto"/>
              </w:rPr>
            </w:pPr>
            <w:r>
              <w:rPr>
                <w:rFonts w:ascii="Arial" w:cs="Arial" w:eastAsia="Arial" w:hAnsi="Arial"/>
                <w:sz w:val="15"/>
                <w:szCs w:val="15"/>
                <w:color w:val="auto"/>
              </w:rPr>
              <w:t>November 10, 2025</w:t>
            </w:r>
          </w:p>
        </w:tc>
        <w:tc>
          <w:tcPr>
            <w:tcW w:w="3360" w:type="dxa"/>
            <w:vAlign w:val="bottom"/>
          </w:tcPr>
          <w:p>
            <w:pPr>
              <w:ind w:left="740"/>
              <w:spacing w:after="0"/>
              <w:rPr>
                <w:sz w:val="20"/>
                <w:szCs w:val="20"/>
                <w:color w:val="auto"/>
              </w:rPr>
            </w:pPr>
            <w:r>
              <w:rPr>
                <w:rFonts w:ascii="Arial" w:cs="Arial" w:eastAsia="Arial" w:hAnsi="Arial"/>
                <w:sz w:val="15"/>
                <w:szCs w:val="15"/>
                <w:color w:val="auto"/>
              </w:rPr>
              <w:t>November 3, 2025</w:t>
            </w:r>
          </w:p>
        </w:tc>
        <w:tc>
          <w:tcPr>
            <w:tcW w:w="4140" w:type="dxa"/>
            <w:vAlign w:val="bottom"/>
          </w:tcPr>
          <w:p>
            <w:pPr>
              <w:ind w:left="760"/>
              <w:spacing w:after="0"/>
              <w:rPr>
                <w:sz w:val="20"/>
                <w:szCs w:val="20"/>
                <w:color w:val="auto"/>
              </w:rPr>
            </w:pPr>
            <w:r>
              <w:rPr>
                <w:rFonts w:ascii="Arial" w:cs="Arial" w:eastAsia="Arial" w:hAnsi="Arial"/>
                <w:sz w:val="15"/>
                <w:szCs w:val="15"/>
                <w:color w:val="auto"/>
              </w:rPr>
              <w:t>September 30, 2025</w:t>
            </w:r>
          </w:p>
        </w:tc>
        <w:tc>
          <w:tcPr>
            <w:tcW w:w="260" w:type="dxa"/>
            <w:vAlign w:val="bottom"/>
          </w:tcPr>
          <w:p>
            <w:pPr>
              <w:jc w:val="right"/>
              <w:ind w:right="85"/>
              <w:spacing w:after="0"/>
              <w:rPr>
                <w:sz w:val="20"/>
                <w:szCs w:val="20"/>
                <w:color w:val="auto"/>
              </w:rPr>
            </w:pPr>
            <w:r>
              <w:rPr>
                <w:rFonts w:ascii="Arial" w:cs="Arial" w:eastAsia="Arial" w:hAnsi="Arial"/>
                <w:sz w:val="15"/>
                <w:szCs w:val="15"/>
                <w:color w:val="auto"/>
                <w:w w:val="95"/>
              </w:rPr>
              <w:t>$</w:t>
            </w:r>
          </w:p>
        </w:tc>
        <w:tc>
          <w:tcPr>
            <w:tcW w:w="780" w:type="dxa"/>
            <w:vAlign w:val="bottom"/>
          </w:tcPr>
          <w:p>
            <w:pPr>
              <w:jc w:val="right"/>
              <w:spacing w:after="0"/>
              <w:rPr>
                <w:sz w:val="20"/>
                <w:szCs w:val="20"/>
                <w:color w:val="auto"/>
              </w:rPr>
            </w:pPr>
            <w:r>
              <w:rPr>
                <w:rFonts w:ascii="Arial" w:cs="Arial" w:eastAsia="Arial" w:hAnsi="Arial"/>
                <w:sz w:val="15"/>
                <w:szCs w:val="15"/>
                <w:color w:val="auto"/>
              </w:rPr>
              <w:t>0.24</w:t>
            </w:r>
          </w:p>
        </w:tc>
        <w:tc>
          <w:tcPr>
            <w:tcW w:w="0" w:type="dxa"/>
            <w:vAlign w:val="bottom"/>
          </w:tcPr>
          <w:p>
            <w:pPr>
              <w:spacing w:after="0"/>
              <w:rPr>
                <w:sz w:val="1"/>
                <w:szCs w:val="1"/>
                <w:color w:val="auto"/>
              </w:rPr>
            </w:pPr>
          </w:p>
        </w:tc>
      </w:tr>
      <w:tr>
        <w:trPr>
          <w:trHeight w:val="206"/>
        </w:trPr>
        <w:tc>
          <w:tcPr>
            <w:tcW w:w="2620" w:type="dxa"/>
            <w:vAlign w:val="bottom"/>
          </w:tcPr>
          <w:p>
            <w:pPr>
              <w:spacing w:after="0"/>
              <w:rPr>
                <w:sz w:val="20"/>
                <w:szCs w:val="20"/>
                <w:color w:val="auto"/>
              </w:rPr>
            </w:pPr>
            <w:r>
              <w:rPr>
                <w:rFonts w:ascii="Arial" w:cs="Arial" w:eastAsia="Arial" w:hAnsi="Arial"/>
                <w:sz w:val="15"/>
                <w:szCs w:val="15"/>
                <w:color w:val="auto"/>
              </w:rPr>
              <w:t>August 8, 2025</w:t>
            </w:r>
          </w:p>
        </w:tc>
        <w:tc>
          <w:tcPr>
            <w:tcW w:w="3360" w:type="dxa"/>
            <w:vAlign w:val="bottom"/>
          </w:tcPr>
          <w:p>
            <w:pPr>
              <w:ind w:left="740"/>
              <w:spacing w:after="0"/>
              <w:rPr>
                <w:sz w:val="20"/>
                <w:szCs w:val="20"/>
                <w:color w:val="auto"/>
              </w:rPr>
            </w:pPr>
            <w:r>
              <w:rPr>
                <w:rFonts w:ascii="Arial" w:cs="Arial" w:eastAsia="Arial" w:hAnsi="Arial"/>
                <w:sz w:val="15"/>
                <w:szCs w:val="15"/>
                <w:color w:val="auto"/>
              </w:rPr>
              <w:t>August 1, 2025</w:t>
            </w:r>
          </w:p>
        </w:tc>
        <w:tc>
          <w:tcPr>
            <w:tcW w:w="4140" w:type="dxa"/>
            <w:vAlign w:val="bottom"/>
          </w:tcPr>
          <w:p>
            <w:pPr>
              <w:ind w:left="760"/>
              <w:spacing w:after="0"/>
              <w:rPr>
                <w:sz w:val="20"/>
                <w:szCs w:val="20"/>
                <w:color w:val="auto"/>
              </w:rPr>
            </w:pPr>
            <w:r>
              <w:rPr>
                <w:rFonts w:ascii="Arial" w:cs="Arial" w:eastAsia="Arial" w:hAnsi="Arial"/>
                <w:sz w:val="15"/>
                <w:szCs w:val="15"/>
                <w:color w:val="auto"/>
              </w:rPr>
              <w:t>June 30, 2025</w:t>
            </w:r>
          </w:p>
        </w:tc>
        <w:tc>
          <w:tcPr>
            <w:tcW w:w="2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0.28</w:t>
            </w:r>
          </w:p>
        </w:tc>
        <w:tc>
          <w:tcPr>
            <w:tcW w:w="0" w:type="dxa"/>
            <w:vAlign w:val="bottom"/>
          </w:tcPr>
          <w:p>
            <w:pPr>
              <w:spacing w:after="0"/>
              <w:rPr>
                <w:sz w:val="1"/>
                <w:szCs w:val="1"/>
                <w:color w:val="auto"/>
              </w:rPr>
            </w:pPr>
          </w:p>
        </w:tc>
      </w:tr>
      <w:tr>
        <w:trPr>
          <w:trHeight w:val="206"/>
        </w:trPr>
        <w:tc>
          <w:tcPr>
            <w:tcW w:w="2620" w:type="dxa"/>
            <w:vAlign w:val="bottom"/>
          </w:tcPr>
          <w:p>
            <w:pPr>
              <w:spacing w:after="0"/>
              <w:rPr>
                <w:sz w:val="20"/>
                <w:szCs w:val="20"/>
                <w:color w:val="auto"/>
              </w:rPr>
            </w:pPr>
            <w:r>
              <w:rPr>
                <w:rFonts w:ascii="Arial" w:cs="Arial" w:eastAsia="Arial" w:hAnsi="Arial"/>
                <w:sz w:val="15"/>
                <w:szCs w:val="15"/>
                <w:color w:val="auto"/>
              </w:rPr>
              <w:t>May 9, 2025</w:t>
            </w:r>
          </w:p>
        </w:tc>
        <w:tc>
          <w:tcPr>
            <w:tcW w:w="3360" w:type="dxa"/>
            <w:vAlign w:val="bottom"/>
          </w:tcPr>
          <w:p>
            <w:pPr>
              <w:ind w:left="740"/>
              <w:spacing w:after="0"/>
              <w:rPr>
                <w:sz w:val="20"/>
                <w:szCs w:val="20"/>
                <w:color w:val="auto"/>
              </w:rPr>
            </w:pPr>
            <w:r>
              <w:rPr>
                <w:rFonts w:ascii="Arial" w:cs="Arial" w:eastAsia="Arial" w:hAnsi="Arial"/>
                <w:sz w:val="15"/>
                <w:szCs w:val="15"/>
                <w:color w:val="auto"/>
              </w:rPr>
              <w:t>May 1, 2025</w:t>
            </w:r>
          </w:p>
        </w:tc>
        <w:tc>
          <w:tcPr>
            <w:tcW w:w="4140" w:type="dxa"/>
            <w:vAlign w:val="bottom"/>
          </w:tcPr>
          <w:p>
            <w:pPr>
              <w:ind w:left="760"/>
              <w:spacing w:after="0"/>
              <w:rPr>
                <w:sz w:val="20"/>
                <w:szCs w:val="20"/>
                <w:color w:val="auto"/>
              </w:rPr>
            </w:pPr>
            <w:r>
              <w:rPr>
                <w:rFonts w:ascii="Arial" w:cs="Arial" w:eastAsia="Arial" w:hAnsi="Arial"/>
                <w:sz w:val="15"/>
                <w:szCs w:val="15"/>
                <w:color w:val="auto"/>
              </w:rPr>
              <w:t>March 31, 2025</w:t>
            </w:r>
          </w:p>
        </w:tc>
        <w:tc>
          <w:tcPr>
            <w:tcW w:w="2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0.83</w:t>
            </w:r>
          </w:p>
        </w:tc>
        <w:tc>
          <w:tcPr>
            <w:tcW w:w="0" w:type="dxa"/>
            <w:vAlign w:val="bottom"/>
          </w:tcPr>
          <w:p>
            <w:pPr>
              <w:spacing w:after="0"/>
              <w:rPr>
                <w:sz w:val="1"/>
                <w:szCs w:val="1"/>
                <w:color w:val="auto"/>
              </w:rPr>
            </w:pPr>
          </w:p>
        </w:tc>
      </w:tr>
      <w:tr>
        <w:trPr>
          <w:trHeight w:val="207"/>
        </w:trPr>
        <w:tc>
          <w:tcPr>
            <w:tcW w:w="2620" w:type="dxa"/>
            <w:vAlign w:val="bottom"/>
          </w:tcPr>
          <w:p>
            <w:pPr>
              <w:spacing w:after="0"/>
              <w:rPr>
                <w:sz w:val="20"/>
                <w:szCs w:val="20"/>
                <w:color w:val="auto"/>
              </w:rPr>
            </w:pPr>
            <w:r>
              <w:rPr>
                <w:rFonts w:ascii="Arial" w:cs="Arial" w:eastAsia="Arial" w:hAnsi="Arial"/>
                <w:sz w:val="15"/>
                <w:szCs w:val="15"/>
                <w:color w:val="auto"/>
              </w:rPr>
              <w:t>February 25, 2025</w:t>
            </w:r>
          </w:p>
        </w:tc>
        <w:tc>
          <w:tcPr>
            <w:tcW w:w="3360" w:type="dxa"/>
            <w:vAlign w:val="bottom"/>
          </w:tcPr>
          <w:p>
            <w:pPr>
              <w:ind w:left="740"/>
              <w:spacing w:after="0"/>
              <w:rPr>
                <w:sz w:val="20"/>
                <w:szCs w:val="20"/>
                <w:color w:val="auto"/>
              </w:rPr>
            </w:pPr>
            <w:r>
              <w:rPr>
                <w:rFonts w:ascii="Arial" w:cs="Arial" w:eastAsia="Arial" w:hAnsi="Arial"/>
                <w:sz w:val="15"/>
                <w:szCs w:val="15"/>
                <w:color w:val="auto"/>
              </w:rPr>
              <w:t>February 15, 2025</w:t>
            </w:r>
          </w:p>
        </w:tc>
        <w:tc>
          <w:tcPr>
            <w:tcW w:w="4140" w:type="dxa"/>
            <w:vAlign w:val="bottom"/>
          </w:tcPr>
          <w:p>
            <w:pPr>
              <w:ind w:left="760"/>
              <w:spacing w:after="0"/>
              <w:rPr>
                <w:sz w:val="20"/>
                <w:szCs w:val="20"/>
                <w:color w:val="auto"/>
              </w:rPr>
            </w:pPr>
            <w:r>
              <w:rPr>
                <w:rFonts w:ascii="Arial" w:cs="Arial" w:eastAsia="Arial" w:hAnsi="Arial"/>
                <w:sz w:val="15"/>
                <w:szCs w:val="15"/>
                <w:color w:val="auto"/>
              </w:rPr>
              <w:t>December 31, 2024</w:t>
            </w:r>
          </w:p>
        </w:tc>
        <w:tc>
          <w:tcPr>
            <w:tcW w:w="2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0.75</w:t>
            </w:r>
          </w:p>
        </w:tc>
        <w:tc>
          <w:tcPr>
            <w:tcW w:w="0" w:type="dxa"/>
            <w:vAlign w:val="bottom"/>
          </w:tcPr>
          <w:p>
            <w:pPr>
              <w:spacing w:after="0"/>
              <w:rPr>
                <w:sz w:val="1"/>
                <w:szCs w:val="1"/>
                <w:color w:val="auto"/>
              </w:rPr>
            </w:pPr>
          </w:p>
        </w:tc>
      </w:tr>
      <w:tr>
        <w:trPr>
          <w:trHeight w:val="200"/>
        </w:trPr>
        <w:tc>
          <w:tcPr>
            <w:tcW w:w="2620" w:type="dxa"/>
            <w:vAlign w:val="bottom"/>
          </w:tcPr>
          <w:p>
            <w:pPr>
              <w:spacing w:after="0"/>
              <w:rPr>
                <w:sz w:val="20"/>
                <w:szCs w:val="20"/>
                <w:color w:val="auto"/>
              </w:rPr>
            </w:pPr>
            <w:r>
              <w:rPr>
                <w:rFonts w:ascii="Arial" w:cs="Arial" w:eastAsia="Arial" w:hAnsi="Arial"/>
                <w:sz w:val="15"/>
                <w:szCs w:val="15"/>
                <w:color w:val="auto"/>
              </w:rPr>
              <w:t>Total 2025</w:t>
            </w:r>
          </w:p>
        </w:tc>
        <w:tc>
          <w:tcPr>
            <w:tcW w:w="3360" w:type="dxa"/>
            <w:vAlign w:val="bottom"/>
          </w:tcPr>
          <w:p>
            <w:pPr>
              <w:spacing w:after="0"/>
              <w:rPr>
                <w:sz w:val="17"/>
                <w:szCs w:val="17"/>
                <w:color w:val="auto"/>
              </w:rPr>
            </w:pPr>
          </w:p>
        </w:tc>
        <w:tc>
          <w:tcPr>
            <w:tcW w:w="4140" w:type="dxa"/>
            <w:vAlign w:val="bottom"/>
          </w:tcPr>
          <w:p>
            <w:pPr>
              <w:spacing w:after="0"/>
              <w:rPr>
                <w:sz w:val="17"/>
                <w:szCs w:val="17"/>
                <w:color w:val="auto"/>
              </w:rPr>
            </w:pPr>
          </w:p>
        </w:tc>
        <w:tc>
          <w:tcPr>
            <w:tcW w:w="26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95"/>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2.10</w:t>
            </w:r>
          </w:p>
        </w:tc>
        <w:tc>
          <w:tcPr>
            <w:tcW w:w="0" w:type="dxa"/>
            <w:vAlign w:val="bottom"/>
          </w:tcPr>
          <w:p>
            <w:pPr>
              <w:spacing w:after="0"/>
              <w:rPr>
                <w:sz w:val="1"/>
                <w:szCs w:val="1"/>
                <w:color w:val="auto"/>
              </w:rPr>
            </w:pPr>
          </w:p>
        </w:tc>
      </w:tr>
      <w:tr>
        <w:trPr>
          <w:trHeight w:val="20"/>
        </w:trPr>
        <w:tc>
          <w:tcPr>
            <w:tcW w:w="262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7"/>
        </w:trPr>
        <w:tc>
          <w:tcPr>
            <w:tcW w:w="2620" w:type="dxa"/>
            <w:vAlign w:val="bottom"/>
          </w:tcPr>
          <w:p>
            <w:pPr>
              <w:spacing w:after="0"/>
              <w:rPr>
                <w:sz w:val="20"/>
                <w:szCs w:val="20"/>
                <w:color w:val="auto"/>
              </w:rPr>
            </w:pPr>
            <w:r>
              <w:rPr>
                <w:rFonts w:ascii="Arial" w:cs="Arial" w:eastAsia="Arial" w:hAnsi="Arial"/>
                <w:sz w:val="15"/>
                <w:szCs w:val="15"/>
                <w:color w:val="auto"/>
              </w:rPr>
              <w:t>November 8, 2024</w:t>
            </w:r>
          </w:p>
        </w:tc>
        <w:tc>
          <w:tcPr>
            <w:tcW w:w="3360" w:type="dxa"/>
            <w:vAlign w:val="bottom"/>
          </w:tcPr>
          <w:p>
            <w:pPr>
              <w:ind w:left="740"/>
              <w:spacing w:after="0"/>
              <w:rPr>
                <w:sz w:val="20"/>
                <w:szCs w:val="20"/>
                <w:color w:val="auto"/>
              </w:rPr>
            </w:pPr>
            <w:r>
              <w:rPr>
                <w:rFonts w:ascii="Arial" w:cs="Arial" w:eastAsia="Arial" w:hAnsi="Arial"/>
                <w:sz w:val="15"/>
                <w:szCs w:val="15"/>
                <w:color w:val="auto"/>
              </w:rPr>
              <w:t>November 1, 2024</w:t>
            </w:r>
          </w:p>
        </w:tc>
        <w:tc>
          <w:tcPr>
            <w:tcW w:w="4140" w:type="dxa"/>
            <w:vAlign w:val="bottom"/>
          </w:tcPr>
          <w:p>
            <w:pPr>
              <w:ind w:left="760"/>
              <w:spacing w:after="0"/>
              <w:rPr>
                <w:sz w:val="20"/>
                <w:szCs w:val="20"/>
                <w:color w:val="auto"/>
              </w:rPr>
            </w:pPr>
            <w:r>
              <w:rPr>
                <w:rFonts w:ascii="Arial" w:cs="Arial" w:eastAsia="Arial" w:hAnsi="Arial"/>
                <w:sz w:val="15"/>
                <w:szCs w:val="15"/>
                <w:color w:val="auto"/>
              </w:rPr>
              <w:t>September 30, 2024</w:t>
            </w:r>
          </w:p>
        </w:tc>
        <w:tc>
          <w:tcPr>
            <w:tcW w:w="260" w:type="dxa"/>
            <w:vAlign w:val="bottom"/>
          </w:tcPr>
          <w:p>
            <w:pPr>
              <w:jc w:val="right"/>
              <w:ind w:right="85"/>
              <w:spacing w:after="0"/>
              <w:rPr>
                <w:sz w:val="20"/>
                <w:szCs w:val="20"/>
                <w:color w:val="auto"/>
              </w:rPr>
            </w:pPr>
            <w:r>
              <w:rPr>
                <w:rFonts w:ascii="Arial" w:cs="Arial" w:eastAsia="Arial" w:hAnsi="Arial"/>
                <w:sz w:val="15"/>
                <w:szCs w:val="15"/>
                <w:color w:val="auto"/>
                <w:w w:val="95"/>
              </w:rPr>
              <w:t>$</w:t>
            </w:r>
          </w:p>
        </w:tc>
        <w:tc>
          <w:tcPr>
            <w:tcW w:w="780" w:type="dxa"/>
            <w:vAlign w:val="bottom"/>
          </w:tcPr>
          <w:p>
            <w:pPr>
              <w:jc w:val="right"/>
              <w:spacing w:after="0"/>
              <w:rPr>
                <w:sz w:val="20"/>
                <w:szCs w:val="20"/>
                <w:color w:val="auto"/>
              </w:rPr>
            </w:pPr>
            <w:r>
              <w:rPr>
                <w:rFonts w:ascii="Arial" w:cs="Arial" w:eastAsia="Arial" w:hAnsi="Arial"/>
                <w:sz w:val="15"/>
                <w:szCs w:val="15"/>
                <w:color w:val="auto"/>
              </w:rPr>
              <w:t>0.79</w:t>
            </w:r>
          </w:p>
        </w:tc>
        <w:tc>
          <w:tcPr>
            <w:tcW w:w="0" w:type="dxa"/>
            <w:vAlign w:val="bottom"/>
          </w:tcPr>
          <w:p>
            <w:pPr>
              <w:spacing w:after="0"/>
              <w:rPr>
                <w:sz w:val="1"/>
                <w:szCs w:val="1"/>
                <w:color w:val="auto"/>
              </w:rPr>
            </w:pPr>
          </w:p>
        </w:tc>
      </w:tr>
      <w:tr>
        <w:trPr>
          <w:trHeight w:val="206"/>
        </w:trPr>
        <w:tc>
          <w:tcPr>
            <w:tcW w:w="2620" w:type="dxa"/>
            <w:vAlign w:val="bottom"/>
          </w:tcPr>
          <w:p>
            <w:pPr>
              <w:spacing w:after="0"/>
              <w:rPr>
                <w:sz w:val="20"/>
                <w:szCs w:val="20"/>
                <w:color w:val="auto"/>
              </w:rPr>
            </w:pPr>
            <w:r>
              <w:rPr>
                <w:rFonts w:ascii="Arial" w:cs="Arial" w:eastAsia="Arial" w:hAnsi="Arial"/>
                <w:sz w:val="15"/>
                <w:szCs w:val="15"/>
                <w:color w:val="auto"/>
              </w:rPr>
              <w:t>August 9, 2024</w:t>
            </w:r>
          </w:p>
        </w:tc>
        <w:tc>
          <w:tcPr>
            <w:tcW w:w="3360" w:type="dxa"/>
            <w:vAlign w:val="bottom"/>
          </w:tcPr>
          <w:p>
            <w:pPr>
              <w:ind w:left="740"/>
              <w:spacing w:after="0"/>
              <w:rPr>
                <w:sz w:val="20"/>
                <w:szCs w:val="20"/>
                <w:color w:val="auto"/>
              </w:rPr>
            </w:pPr>
            <w:r>
              <w:rPr>
                <w:rFonts w:ascii="Arial" w:cs="Arial" w:eastAsia="Arial" w:hAnsi="Arial"/>
                <w:sz w:val="15"/>
                <w:szCs w:val="15"/>
                <w:color w:val="auto"/>
              </w:rPr>
              <w:t>August 5, 2024</w:t>
            </w:r>
          </w:p>
        </w:tc>
        <w:tc>
          <w:tcPr>
            <w:tcW w:w="4140" w:type="dxa"/>
            <w:vAlign w:val="bottom"/>
          </w:tcPr>
          <w:p>
            <w:pPr>
              <w:ind w:left="760"/>
              <w:spacing w:after="0"/>
              <w:rPr>
                <w:sz w:val="20"/>
                <w:szCs w:val="20"/>
                <w:color w:val="auto"/>
              </w:rPr>
            </w:pPr>
            <w:r>
              <w:rPr>
                <w:rFonts w:ascii="Arial" w:cs="Arial" w:eastAsia="Arial" w:hAnsi="Arial"/>
                <w:sz w:val="15"/>
                <w:szCs w:val="15"/>
                <w:color w:val="auto"/>
              </w:rPr>
              <w:t>June 30, 2024</w:t>
            </w:r>
          </w:p>
        </w:tc>
        <w:tc>
          <w:tcPr>
            <w:tcW w:w="2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0.65</w:t>
            </w:r>
          </w:p>
        </w:tc>
        <w:tc>
          <w:tcPr>
            <w:tcW w:w="0" w:type="dxa"/>
            <w:vAlign w:val="bottom"/>
          </w:tcPr>
          <w:p>
            <w:pPr>
              <w:spacing w:after="0"/>
              <w:rPr>
                <w:sz w:val="1"/>
                <w:szCs w:val="1"/>
                <w:color w:val="auto"/>
              </w:rPr>
            </w:pPr>
          </w:p>
        </w:tc>
      </w:tr>
      <w:tr>
        <w:trPr>
          <w:trHeight w:val="206"/>
        </w:trPr>
        <w:tc>
          <w:tcPr>
            <w:tcW w:w="2620" w:type="dxa"/>
            <w:vAlign w:val="bottom"/>
          </w:tcPr>
          <w:p>
            <w:pPr>
              <w:spacing w:after="0"/>
              <w:rPr>
                <w:sz w:val="20"/>
                <w:szCs w:val="20"/>
                <w:color w:val="auto"/>
              </w:rPr>
            </w:pPr>
            <w:r>
              <w:rPr>
                <w:rFonts w:ascii="Arial" w:cs="Arial" w:eastAsia="Arial" w:hAnsi="Arial"/>
                <w:sz w:val="15"/>
                <w:szCs w:val="15"/>
                <w:color w:val="auto"/>
              </w:rPr>
              <w:t>May 15, 2024</w:t>
            </w:r>
          </w:p>
        </w:tc>
        <w:tc>
          <w:tcPr>
            <w:tcW w:w="3360" w:type="dxa"/>
            <w:vAlign w:val="bottom"/>
          </w:tcPr>
          <w:p>
            <w:pPr>
              <w:ind w:left="740"/>
              <w:spacing w:after="0"/>
              <w:rPr>
                <w:sz w:val="20"/>
                <w:szCs w:val="20"/>
                <w:color w:val="auto"/>
              </w:rPr>
            </w:pPr>
            <w:r>
              <w:rPr>
                <w:rFonts w:ascii="Arial" w:cs="Arial" w:eastAsia="Arial" w:hAnsi="Arial"/>
                <w:sz w:val="15"/>
                <w:szCs w:val="15"/>
                <w:color w:val="auto"/>
              </w:rPr>
              <w:t>May 13, 2024</w:t>
            </w:r>
          </w:p>
        </w:tc>
        <w:tc>
          <w:tcPr>
            <w:tcW w:w="4140" w:type="dxa"/>
            <w:vAlign w:val="bottom"/>
          </w:tcPr>
          <w:p>
            <w:pPr>
              <w:ind w:left="760"/>
              <w:spacing w:after="0"/>
              <w:rPr>
                <w:sz w:val="20"/>
                <w:szCs w:val="20"/>
                <w:color w:val="auto"/>
              </w:rPr>
            </w:pPr>
            <w:r>
              <w:rPr>
                <w:rFonts w:ascii="Arial" w:cs="Arial" w:eastAsia="Arial" w:hAnsi="Arial"/>
                <w:sz w:val="15"/>
                <w:szCs w:val="15"/>
                <w:color w:val="auto"/>
              </w:rPr>
              <w:t>March 31, 2024</w:t>
            </w:r>
          </w:p>
        </w:tc>
        <w:tc>
          <w:tcPr>
            <w:tcW w:w="2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1.26</w:t>
            </w:r>
          </w:p>
        </w:tc>
        <w:tc>
          <w:tcPr>
            <w:tcW w:w="0" w:type="dxa"/>
            <w:vAlign w:val="bottom"/>
          </w:tcPr>
          <w:p>
            <w:pPr>
              <w:spacing w:after="0"/>
              <w:rPr>
                <w:sz w:val="1"/>
                <w:szCs w:val="1"/>
                <w:color w:val="auto"/>
              </w:rPr>
            </w:pPr>
          </w:p>
        </w:tc>
      </w:tr>
      <w:tr>
        <w:trPr>
          <w:trHeight w:val="207"/>
        </w:trPr>
        <w:tc>
          <w:tcPr>
            <w:tcW w:w="2620" w:type="dxa"/>
            <w:vAlign w:val="bottom"/>
          </w:tcPr>
          <w:p>
            <w:pPr>
              <w:spacing w:after="0"/>
              <w:rPr>
                <w:sz w:val="20"/>
                <w:szCs w:val="20"/>
                <w:color w:val="auto"/>
              </w:rPr>
            </w:pPr>
            <w:r>
              <w:rPr>
                <w:rFonts w:ascii="Arial" w:cs="Arial" w:eastAsia="Arial" w:hAnsi="Arial"/>
                <w:sz w:val="15"/>
                <w:szCs w:val="15"/>
                <w:color w:val="auto"/>
              </w:rPr>
              <w:t>February 23, 2024</w:t>
            </w:r>
          </w:p>
        </w:tc>
        <w:tc>
          <w:tcPr>
            <w:tcW w:w="3360" w:type="dxa"/>
            <w:vAlign w:val="bottom"/>
          </w:tcPr>
          <w:p>
            <w:pPr>
              <w:ind w:left="740"/>
              <w:spacing w:after="0"/>
              <w:rPr>
                <w:sz w:val="20"/>
                <w:szCs w:val="20"/>
                <w:color w:val="auto"/>
              </w:rPr>
            </w:pPr>
            <w:r>
              <w:rPr>
                <w:rFonts w:ascii="Arial" w:cs="Arial" w:eastAsia="Arial" w:hAnsi="Arial"/>
                <w:sz w:val="15"/>
                <w:szCs w:val="15"/>
                <w:color w:val="auto"/>
              </w:rPr>
              <w:t>February 15, 2024</w:t>
            </w:r>
          </w:p>
        </w:tc>
        <w:tc>
          <w:tcPr>
            <w:tcW w:w="4140" w:type="dxa"/>
            <w:vAlign w:val="bottom"/>
          </w:tcPr>
          <w:p>
            <w:pPr>
              <w:ind w:left="760"/>
              <w:spacing w:after="0"/>
              <w:rPr>
                <w:sz w:val="20"/>
                <w:szCs w:val="20"/>
                <w:color w:val="auto"/>
              </w:rPr>
            </w:pPr>
            <w:r>
              <w:rPr>
                <w:rFonts w:ascii="Arial" w:cs="Arial" w:eastAsia="Arial" w:hAnsi="Arial"/>
                <w:sz w:val="15"/>
                <w:szCs w:val="15"/>
                <w:color w:val="auto"/>
              </w:rPr>
              <w:t>December 31, 2023</w:t>
            </w:r>
          </w:p>
        </w:tc>
        <w:tc>
          <w:tcPr>
            <w:tcW w:w="2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0.14</w:t>
            </w:r>
          </w:p>
        </w:tc>
        <w:tc>
          <w:tcPr>
            <w:tcW w:w="0" w:type="dxa"/>
            <w:vAlign w:val="bottom"/>
          </w:tcPr>
          <w:p>
            <w:pPr>
              <w:spacing w:after="0"/>
              <w:rPr>
                <w:sz w:val="1"/>
                <w:szCs w:val="1"/>
                <w:color w:val="auto"/>
              </w:rPr>
            </w:pPr>
          </w:p>
        </w:tc>
      </w:tr>
      <w:tr>
        <w:trPr>
          <w:trHeight w:val="200"/>
        </w:trPr>
        <w:tc>
          <w:tcPr>
            <w:tcW w:w="2620" w:type="dxa"/>
            <w:vAlign w:val="bottom"/>
          </w:tcPr>
          <w:p>
            <w:pPr>
              <w:spacing w:after="0"/>
              <w:rPr>
                <w:sz w:val="20"/>
                <w:szCs w:val="20"/>
                <w:color w:val="auto"/>
              </w:rPr>
            </w:pPr>
            <w:r>
              <w:rPr>
                <w:rFonts w:ascii="Arial" w:cs="Arial" w:eastAsia="Arial" w:hAnsi="Arial"/>
                <w:sz w:val="15"/>
                <w:szCs w:val="15"/>
                <w:color w:val="auto"/>
              </w:rPr>
              <w:t>Total 2024</w:t>
            </w:r>
          </w:p>
        </w:tc>
        <w:tc>
          <w:tcPr>
            <w:tcW w:w="3360" w:type="dxa"/>
            <w:vAlign w:val="bottom"/>
          </w:tcPr>
          <w:p>
            <w:pPr>
              <w:spacing w:after="0"/>
              <w:rPr>
                <w:sz w:val="17"/>
                <w:szCs w:val="17"/>
                <w:color w:val="auto"/>
              </w:rPr>
            </w:pPr>
          </w:p>
        </w:tc>
        <w:tc>
          <w:tcPr>
            <w:tcW w:w="4140" w:type="dxa"/>
            <w:vAlign w:val="bottom"/>
          </w:tcPr>
          <w:p>
            <w:pPr>
              <w:spacing w:after="0"/>
              <w:rPr>
                <w:sz w:val="17"/>
                <w:szCs w:val="17"/>
                <w:color w:val="auto"/>
              </w:rPr>
            </w:pPr>
          </w:p>
        </w:tc>
        <w:tc>
          <w:tcPr>
            <w:tcW w:w="26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95"/>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2.84</w:t>
            </w:r>
          </w:p>
        </w:tc>
        <w:tc>
          <w:tcPr>
            <w:tcW w:w="0" w:type="dxa"/>
            <w:vAlign w:val="bottom"/>
          </w:tcPr>
          <w:p>
            <w:pPr>
              <w:spacing w:after="0"/>
              <w:rPr>
                <w:sz w:val="1"/>
                <w:szCs w:val="1"/>
                <w:color w:val="auto"/>
              </w:rPr>
            </w:pPr>
          </w:p>
        </w:tc>
      </w:tr>
      <w:tr>
        <w:trPr>
          <w:trHeight w:val="20"/>
        </w:trPr>
        <w:tc>
          <w:tcPr>
            <w:tcW w:w="262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7"/>
        </w:trPr>
        <w:tc>
          <w:tcPr>
            <w:tcW w:w="2620" w:type="dxa"/>
            <w:vAlign w:val="bottom"/>
          </w:tcPr>
          <w:p>
            <w:pPr>
              <w:spacing w:after="0"/>
              <w:rPr>
                <w:sz w:val="20"/>
                <w:szCs w:val="20"/>
                <w:color w:val="auto"/>
              </w:rPr>
            </w:pPr>
            <w:r>
              <w:rPr>
                <w:rFonts w:ascii="Arial" w:cs="Arial" w:eastAsia="Arial" w:hAnsi="Arial"/>
                <w:sz w:val="15"/>
                <w:szCs w:val="15"/>
                <w:color w:val="auto"/>
              </w:rPr>
              <w:t>November 10, 2023</w:t>
            </w:r>
          </w:p>
        </w:tc>
        <w:tc>
          <w:tcPr>
            <w:tcW w:w="3360" w:type="dxa"/>
            <w:vAlign w:val="bottom"/>
          </w:tcPr>
          <w:p>
            <w:pPr>
              <w:ind w:left="740"/>
              <w:spacing w:after="0"/>
              <w:rPr>
                <w:sz w:val="20"/>
                <w:szCs w:val="20"/>
                <w:color w:val="auto"/>
              </w:rPr>
            </w:pPr>
            <w:r>
              <w:rPr>
                <w:rFonts w:ascii="Arial" w:cs="Arial" w:eastAsia="Arial" w:hAnsi="Arial"/>
                <w:sz w:val="15"/>
                <w:szCs w:val="15"/>
                <w:color w:val="auto"/>
              </w:rPr>
              <w:t>November 3, 2023</w:t>
            </w:r>
          </w:p>
        </w:tc>
        <w:tc>
          <w:tcPr>
            <w:tcW w:w="4140" w:type="dxa"/>
            <w:vAlign w:val="bottom"/>
          </w:tcPr>
          <w:p>
            <w:pPr>
              <w:ind w:left="760"/>
              <w:spacing w:after="0"/>
              <w:rPr>
                <w:sz w:val="20"/>
                <w:szCs w:val="20"/>
                <w:color w:val="auto"/>
              </w:rPr>
            </w:pPr>
            <w:r>
              <w:rPr>
                <w:rFonts w:ascii="Arial" w:cs="Arial" w:eastAsia="Arial" w:hAnsi="Arial"/>
                <w:sz w:val="15"/>
                <w:szCs w:val="15"/>
                <w:color w:val="auto"/>
              </w:rPr>
              <w:t>September 30, 2023</w:t>
            </w:r>
          </w:p>
        </w:tc>
        <w:tc>
          <w:tcPr>
            <w:tcW w:w="260" w:type="dxa"/>
            <w:vAlign w:val="bottom"/>
          </w:tcPr>
          <w:p>
            <w:pPr>
              <w:jc w:val="right"/>
              <w:ind w:right="85"/>
              <w:spacing w:after="0"/>
              <w:rPr>
                <w:sz w:val="20"/>
                <w:szCs w:val="20"/>
                <w:color w:val="auto"/>
              </w:rPr>
            </w:pPr>
            <w:r>
              <w:rPr>
                <w:rFonts w:ascii="Arial" w:cs="Arial" w:eastAsia="Arial" w:hAnsi="Arial"/>
                <w:sz w:val="15"/>
                <w:szCs w:val="15"/>
                <w:color w:val="auto"/>
                <w:w w:val="95"/>
              </w:rPr>
              <w:t>$</w:t>
            </w:r>
          </w:p>
        </w:tc>
        <w:tc>
          <w:tcPr>
            <w:tcW w:w="780" w:type="dxa"/>
            <w:vAlign w:val="bottom"/>
          </w:tcPr>
          <w:p>
            <w:pPr>
              <w:jc w:val="right"/>
              <w:spacing w:after="0"/>
              <w:rPr>
                <w:sz w:val="20"/>
                <w:szCs w:val="20"/>
                <w:color w:val="auto"/>
              </w:rPr>
            </w:pPr>
            <w:r>
              <w:rPr>
                <w:rFonts w:ascii="Arial" w:cs="Arial" w:eastAsia="Arial" w:hAnsi="Arial"/>
                <w:sz w:val="15"/>
                <w:szCs w:val="15"/>
                <w:color w:val="auto"/>
              </w:rPr>
              <w:t>0.08</w:t>
            </w:r>
          </w:p>
        </w:tc>
        <w:tc>
          <w:tcPr>
            <w:tcW w:w="0" w:type="dxa"/>
            <w:vAlign w:val="bottom"/>
          </w:tcPr>
          <w:p>
            <w:pPr>
              <w:spacing w:after="0"/>
              <w:rPr>
                <w:sz w:val="1"/>
                <w:szCs w:val="1"/>
                <w:color w:val="auto"/>
              </w:rPr>
            </w:pPr>
          </w:p>
        </w:tc>
      </w:tr>
      <w:tr>
        <w:trPr>
          <w:trHeight w:val="206"/>
        </w:trPr>
        <w:tc>
          <w:tcPr>
            <w:tcW w:w="2620" w:type="dxa"/>
            <w:vAlign w:val="bottom"/>
          </w:tcPr>
          <w:p>
            <w:pPr>
              <w:spacing w:after="0"/>
              <w:rPr>
                <w:sz w:val="20"/>
                <w:szCs w:val="20"/>
                <w:color w:val="auto"/>
              </w:rPr>
            </w:pPr>
            <w:r>
              <w:rPr>
                <w:rFonts w:ascii="Arial" w:cs="Arial" w:eastAsia="Arial" w:hAnsi="Arial"/>
                <w:sz w:val="15"/>
                <w:szCs w:val="15"/>
                <w:color w:val="auto"/>
              </w:rPr>
              <w:t>August 10, 2023</w:t>
            </w:r>
          </w:p>
        </w:tc>
        <w:tc>
          <w:tcPr>
            <w:tcW w:w="3360" w:type="dxa"/>
            <w:vAlign w:val="bottom"/>
          </w:tcPr>
          <w:p>
            <w:pPr>
              <w:ind w:left="740"/>
              <w:spacing w:after="0"/>
              <w:rPr>
                <w:sz w:val="20"/>
                <w:szCs w:val="20"/>
                <w:color w:val="auto"/>
              </w:rPr>
            </w:pPr>
            <w:r>
              <w:rPr>
                <w:rFonts w:ascii="Arial" w:cs="Arial" w:eastAsia="Arial" w:hAnsi="Arial"/>
                <w:sz w:val="15"/>
                <w:szCs w:val="15"/>
                <w:color w:val="auto"/>
              </w:rPr>
              <w:t>August 2, 2023</w:t>
            </w:r>
          </w:p>
        </w:tc>
        <w:tc>
          <w:tcPr>
            <w:tcW w:w="4140" w:type="dxa"/>
            <w:vAlign w:val="bottom"/>
          </w:tcPr>
          <w:p>
            <w:pPr>
              <w:ind w:left="760"/>
              <w:spacing w:after="0"/>
              <w:rPr>
                <w:sz w:val="20"/>
                <w:szCs w:val="20"/>
                <w:color w:val="auto"/>
              </w:rPr>
            </w:pPr>
            <w:r>
              <w:rPr>
                <w:rFonts w:ascii="Arial" w:cs="Arial" w:eastAsia="Arial" w:hAnsi="Arial"/>
                <w:sz w:val="15"/>
                <w:szCs w:val="15"/>
                <w:color w:val="auto"/>
              </w:rPr>
              <w:t>June 30, 2023</w:t>
            </w:r>
          </w:p>
        </w:tc>
        <w:tc>
          <w:tcPr>
            <w:tcW w:w="2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0.09</w:t>
            </w:r>
          </w:p>
        </w:tc>
        <w:tc>
          <w:tcPr>
            <w:tcW w:w="0" w:type="dxa"/>
            <w:vAlign w:val="bottom"/>
          </w:tcPr>
          <w:p>
            <w:pPr>
              <w:spacing w:after="0"/>
              <w:rPr>
                <w:sz w:val="1"/>
                <w:szCs w:val="1"/>
                <w:color w:val="auto"/>
              </w:rPr>
            </w:pPr>
          </w:p>
        </w:tc>
      </w:tr>
      <w:tr>
        <w:trPr>
          <w:trHeight w:val="206"/>
        </w:trPr>
        <w:tc>
          <w:tcPr>
            <w:tcW w:w="2620" w:type="dxa"/>
            <w:vAlign w:val="bottom"/>
          </w:tcPr>
          <w:p>
            <w:pPr>
              <w:spacing w:after="0"/>
              <w:rPr>
                <w:sz w:val="20"/>
                <w:szCs w:val="20"/>
                <w:color w:val="auto"/>
              </w:rPr>
            </w:pPr>
            <w:r>
              <w:rPr>
                <w:rFonts w:ascii="Arial" w:cs="Arial" w:eastAsia="Arial" w:hAnsi="Arial"/>
                <w:sz w:val="15"/>
                <w:szCs w:val="15"/>
                <w:color w:val="auto"/>
              </w:rPr>
              <w:t>May 10, 2023</w:t>
            </w:r>
          </w:p>
        </w:tc>
        <w:tc>
          <w:tcPr>
            <w:tcW w:w="3360" w:type="dxa"/>
            <w:vAlign w:val="bottom"/>
          </w:tcPr>
          <w:p>
            <w:pPr>
              <w:ind w:left="740"/>
              <w:spacing w:after="0"/>
              <w:rPr>
                <w:sz w:val="20"/>
                <w:szCs w:val="20"/>
                <w:color w:val="auto"/>
              </w:rPr>
            </w:pPr>
            <w:r>
              <w:rPr>
                <w:rFonts w:ascii="Arial" w:cs="Arial" w:eastAsia="Arial" w:hAnsi="Arial"/>
                <w:sz w:val="15"/>
                <w:szCs w:val="15"/>
                <w:color w:val="auto"/>
              </w:rPr>
              <w:t>May 1, 2023</w:t>
            </w:r>
          </w:p>
        </w:tc>
        <w:tc>
          <w:tcPr>
            <w:tcW w:w="4140" w:type="dxa"/>
            <w:vAlign w:val="bottom"/>
          </w:tcPr>
          <w:p>
            <w:pPr>
              <w:ind w:left="760"/>
              <w:spacing w:after="0"/>
              <w:rPr>
                <w:sz w:val="20"/>
                <w:szCs w:val="20"/>
                <w:color w:val="auto"/>
              </w:rPr>
            </w:pPr>
            <w:r>
              <w:rPr>
                <w:rFonts w:ascii="Arial" w:cs="Arial" w:eastAsia="Arial" w:hAnsi="Arial"/>
                <w:sz w:val="15"/>
                <w:szCs w:val="15"/>
                <w:color w:val="auto"/>
              </w:rPr>
              <w:t>March 31, 2023</w:t>
            </w:r>
          </w:p>
        </w:tc>
        <w:tc>
          <w:tcPr>
            <w:tcW w:w="2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0.72</w:t>
            </w:r>
          </w:p>
        </w:tc>
        <w:tc>
          <w:tcPr>
            <w:tcW w:w="0" w:type="dxa"/>
            <w:vAlign w:val="bottom"/>
          </w:tcPr>
          <w:p>
            <w:pPr>
              <w:spacing w:after="0"/>
              <w:rPr>
                <w:sz w:val="1"/>
                <w:szCs w:val="1"/>
                <w:color w:val="auto"/>
              </w:rPr>
            </w:pPr>
          </w:p>
        </w:tc>
      </w:tr>
      <w:tr>
        <w:trPr>
          <w:trHeight w:val="207"/>
        </w:trPr>
        <w:tc>
          <w:tcPr>
            <w:tcW w:w="2620" w:type="dxa"/>
            <w:vAlign w:val="bottom"/>
          </w:tcPr>
          <w:p>
            <w:pPr>
              <w:spacing w:after="0"/>
              <w:rPr>
                <w:sz w:val="20"/>
                <w:szCs w:val="20"/>
                <w:color w:val="auto"/>
              </w:rPr>
            </w:pPr>
            <w:r>
              <w:rPr>
                <w:rFonts w:ascii="Arial" w:cs="Arial" w:eastAsia="Arial" w:hAnsi="Arial"/>
                <w:sz w:val="15"/>
                <w:szCs w:val="15"/>
                <w:color w:val="auto"/>
              </w:rPr>
              <w:t>February 24, 2023</w:t>
            </w:r>
          </w:p>
        </w:tc>
        <w:tc>
          <w:tcPr>
            <w:tcW w:w="3360" w:type="dxa"/>
            <w:vAlign w:val="bottom"/>
          </w:tcPr>
          <w:p>
            <w:pPr>
              <w:ind w:left="740"/>
              <w:spacing w:after="0"/>
              <w:rPr>
                <w:sz w:val="20"/>
                <w:szCs w:val="20"/>
                <w:color w:val="auto"/>
              </w:rPr>
            </w:pPr>
            <w:r>
              <w:rPr>
                <w:rFonts w:ascii="Arial" w:cs="Arial" w:eastAsia="Arial" w:hAnsi="Arial"/>
                <w:sz w:val="15"/>
                <w:szCs w:val="15"/>
                <w:color w:val="auto"/>
              </w:rPr>
              <w:t>February 15, 2023</w:t>
            </w:r>
          </w:p>
        </w:tc>
        <w:tc>
          <w:tcPr>
            <w:tcW w:w="4140" w:type="dxa"/>
            <w:vAlign w:val="bottom"/>
          </w:tcPr>
          <w:p>
            <w:pPr>
              <w:ind w:left="760"/>
              <w:spacing w:after="0"/>
              <w:rPr>
                <w:sz w:val="20"/>
                <w:szCs w:val="20"/>
                <w:color w:val="auto"/>
              </w:rPr>
            </w:pPr>
            <w:r>
              <w:rPr>
                <w:rFonts w:ascii="Arial" w:cs="Arial" w:eastAsia="Arial" w:hAnsi="Arial"/>
                <w:sz w:val="15"/>
                <w:szCs w:val="15"/>
                <w:color w:val="auto"/>
              </w:rPr>
              <w:t>December 31, 2022</w:t>
            </w:r>
          </w:p>
        </w:tc>
        <w:tc>
          <w:tcPr>
            <w:tcW w:w="2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0.11</w:t>
            </w:r>
          </w:p>
        </w:tc>
        <w:tc>
          <w:tcPr>
            <w:tcW w:w="0" w:type="dxa"/>
            <w:vAlign w:val="bottom"/>
          </w:tcPr>
          <w:p>
            <w:pPr>
              <w:spacing w:after="0"/>
              <w:rPr>
                <w:sz w:val="1"/>
                <w:szCs w:val="1"/>
                <w:color w:val="auto"/>
              </w:rPr>
            </w:pPr>
          </w:p>
        </w:tc>
      </w:tr>
      <w:tr>
        <w:trPr>
          <w:trHeight w:val="200"/>
        </w:trPr>
        <w:tc>
          <w:tcPr>
            <w:tcW w:w="2620" w:type="dxa"/>
            <w:vAlign w:val="bottom"/>
          </w:tcPr>
          <w:p>
            <w:pPr>
              <w:spacing w:after="0"/>
              <w:rPr>
                <w:sz w:val="20"/>
                <w:szCs w:val="20"/>
                <w:color w:val="auto"/>
              </w:rPr>
            </w:pPr>
            <w:r>
              <w:rPr>
                <w:rFonts w:ascii="Arial" w:cs="Arial" w:eastAsia="Arial" w:hAnsi="Arial"/>
                <w:sz w:val="15"/>
                <w:szCs w:val="15"/>
                <w:color w:val="auto"/>
              </w:rPr>
              <w:t>Total 2023</w:t>
            </w:r>
          </w:p>
        </w:tc>
        <w:tc>
          <w:tcPr>
            <w:tcW w:w="3360" w:type="dxa"/>
            <w:vAlign w:val="bottom"/>
          </w:tcPr>
          <w:p>
            <w:pPr>
              <w:spacing w:after="0"/>
              <w:rPr>
                <w:sz w:val="17"/>
                <w:szCs w:val="17"/>
                <w:color w:val="auto"/>
              </w:rPr>
            </w:pPr>
          </w:p>
        </w:tc>
        <w:tc>
          <w:tcPr>
            <w:tcW w:w="4140" w:type="dxa"/>
            <w:vAlign w:val="bottom"/>
          </w:tcPr>
          <w:p>
            <w:pPr>
              <w:spacing w:after="0"/>
              <w:rPr>
                <w:sz w:val="17"/>
                <w:szCs w:val="17"/>
                <w:color w:val="auto"/>
              </w:rPr>
            </w:pPr>
          </w:p>
        </w:tc>
        <w:tc>
          <w:tcPr>
            <w:tcW w:w="26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95"/>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1.00</w:t>
            </w:r>
          </w:p>
        </w:tc>
        <w:tc>
          <w:tcPr>
            <w:tcW w:w="0" w:type="dxa"/>
            <w:vAlign w:val="bottom"/>
          </w:tcPr>
          <w:p>
            <w:pPr>
              <w:spacing w:after="0"/>
              <w:rPr>
                <w:sz w:val="1"/>
                <w:szCs w:val="1"/>
                <w:color w:val="auto"/>
              </w:rPr>
            </w:pPr>
          </w:p>
        </w:tc>
      </w:tr>
      <w:tr>
        <w:trPr>
          <w:trHeight w:val="20"/>
        </w:trPr>
        <w:tc>
          <w:tcPr>
            <w:tcW w:w="262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Preferred Unit Issuances</w:t>
      </w:r>
    </w:p>
    <w:p>
      <w:pPr>
        <w:spacing w:after="0" w:line="167" w:lineRule="exact"/>
        <w:rPr>
          <w:sz w:val="20"/>
          <w:szCs w:val="20"/>
          <w:color w:val="auto"/>
        </w:rPr>
      </w:pPr>
    </w:p>
    <w:p>
      <w:pPr>
        <w:ind w:firstLine="619"/>
        <w:spacing w:after="0" w:line="265" w:lineRule="auto"/>
        <w:rPr>
          <w:sz w:val="20"/>
          <w:szCs w:val="20"/>
          <w:color w:val="auto"/>
        </w:rPr>
      </w:pPr>
      <w:r>
        <w:rPr>
          <w:rFonts w:ascii="Arial" w:cs="Arial" w:eastAsia="Arial" w:hAnsi="Arial"/>
          <w:sz w:val="17"/>
          <w:szCs w:val="17"/>
          <w:color w:val="auto"/>
        </w:rPr>
        <w:t>On May 17, 2018, the Company issued 7,200,000 of its 6.625% Series A preferred units representing limited liability company interests with a liquidation preference of $ 25.00 per unit. The issuance resulted in $173.7 million in net proceeds to the Company. Distributions on the Series A preferred units, when and if declared by the board of directors of Oaktree, will be paid quarterly on March 15, June 15, September 15 and December 15 of each year. The first distribution was paid on September 17, 2018. Distributions on the Series A preferred units are non-cumulative.</w:t>
      </w:r>
    </w:p>
    <w:p>
      <w:pPr>
        <w:spacing w:after="0" w:line="116" w:lineRule="exact"/>
        <w:rPr>
          <w:sz w:val="20"/>
          <w:szCs w:val="20"/>
          <w:color w:val="auto"/>
        </w:rPr>
      </w:pPr>
    </w:p>
    <w:p>
      <w:pPr>
        <w:ind w:right="60" w:firstLine="619"/>
        <w:spacing w:after="0" w:line="265" w:lineRule="auto"/>
        <w:rPr>
          <w:sz w:val="20"/>
          <w:szCs w:val="20"/>
          <w:color w:val="auto"/>
        </w:rPr>
      </w:pPr>
      <w:r>
        <w:rPr>
          <w:rFonts w:ascii="Arial" w:cs="Arial" w:eastAsia="Arial" w:hAnsi="Arial"/>
          <w:sz w:val="17"/>
          <w:szCs w:val="17"/>
          <w:color w:val="auto"/>
        </w:rPr>
        <w:t>On August 9, 2018, the Company issued 9,400,000 of its 6.550% Series B preferred units representing limited liability company interests with a liquidation preference of $25.00 per unit. The issuance resulted in $226.9 million in net proceeds to the Company. Distributions on the Series B preferred units, when and if declared by the board of directors of Oaktree, will be paid quarterly on March 15, June 15, September 15 and December 15 of each year. The first distribution was paid on December 17, 2018. Distributions on the Series B preferred units are non-cumulative.</w:t>
      </w:r>
    </w:p>
    <w:p>
      <w:pPr>
        <w:spacing w:after="0" w:line="200" w:lineRule="exact"/>
        <w:rPr>
          <w:sz w:val="20"/>
          <w:szCs w:val="20"/>
          <w:color w:val="auto"/>
        </w:rPr>
      </w:pPr>
    </w:p>
    <w:p>
      <w:pPr>
        <w:spacing w:after="0" w:line="32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00" w:name="page101"/>
    <w:bookmarkEnd w:id="100"/>
    <w:p>
      <w:pPr>
        <w:jc w:val="center"/>
        <w:ind w:right="-19"/>
        <w:spacing w:after="0"/>
        <w:rPr>
          <w:sz w:val="20"/>
          <w:szCs w:val="20"/>
          <w:color w:val="auto"/>
        </w:rPr>
      </w:pPr>
      <w:r>
        <w:rPr>
          <w:rFonts w:ascii="Arial" w:cs="Arial" w:eastAsia="Arial" w:hAnsi="Arial"/>
          <w:sz w:val="17"/>
          <w:szCs w:val="17"/>
          <w:b w:val="1"/>
          <w:bCs w:val="1"/>
          <w:color w:val="auto"/>
        </w:rPr>
        <w:t>Brookfield Oaktree Holdings, LLC</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Consolidated Financial Statements — (Continued)</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December 31, 2025</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 in thousands, except where noted)</w:t>
      </w:r>
    </w:p>
    <w:p>
      <w:pPr>
        <w:spacing w:after="0" w:line="200" w:lineRule="exact"/>
        <w:rPr>
          <w:sz w:val="20"/>
          <w:szCs w:val="20"/>
          <w:color w:val="auto"/>
        </w:rPr>
      </w:pPr>
    </w:p>
    <w:p>
      <w:pPr>
        <w:spacing w:after="0" w:line="375" w:lineRule="exact"/>
        <w:rPr>
          <w:sz w:val="20"/>
          <w:szCs w:val="20"/>
          <w:color w:val="auto"/>
        </w:rPr>
      </w:pPr>
    </w:p>
    <w:p>
      <w:pPr>
        <w:ind w:firstLine="619"/>
        <w:spacing w:after="0" w:line="262" w:lineRule="auto"/>
        <w:rPr>
          <w:sz w:val="20"/>
          <w:szCs w:val="20"/>
          <w:color w:val="auto"/>
        </w:rPr>
      </w:pPr>
      <w:r>
        <w:rPr>
          <w:rFonts w:ascii="Arial" w:cs="Arial" w:eastAsia="Arial" w:hAnsi="Arial"/>
          <w:sz w:val="17"/>
          <w:szCs w:val="17"/>
          <w:color w:val="auto"/>
        </w:rPr>
        <w:t>Unless distributions have been declared and paid or declared and set apart for payment on the preferred units for a quarterly distribution period, during the remainder of that distribution period the Company may not repurchase any common units or any other units that are junior in rank, as to the payment of distributions, to the preferred units and the Company may not declare or pay or set apart payment for distributions on any common units or junior units for the remainder of that distribution period, other than certain Permitted Distributions (as defined in the unit designation related to the applicable preferred units (each, the “Preferred Unit Designation”)).</w:t>
      </w:r>
    </w:p>
    <w:p>
      <w:pPr>
        <w:spacing w:after="0" w:line="106" w:lineRule="exact"/>
        <w:rPr>
          <w:sz w:val="20"/>
          <w:szCs w:val="20"/>
          <w:color w:val="auto"/>
        </w:rPr>
      </w:pPr>
    </w:p>
    <w:p>
      <w:pPr>
        <w:ind w:firstLine="619"/>
        <w:spacing w:after="0" w:line="255" w:lineRule="auto"/>
        <w:rPr>
          <w:sz w:val="20"/>
          <w:szCs w:val="20"/>
          <w:color w:val="auto"/>
        </w:rPr>
      </w:pPr>
      <w:r>
        <w:rPr>
          <w:rFonts w:ascii="Arial" w:cs="Arial" w:eastAsia="Arial" w:hAnsi="Arial"/>
          <w:sz w:val="17"/>
          <w:szCs w:val="17"/>
          <w:color w:val="auto"/>
        </w:rPr>
        <w:t>The Company may redeem, at its option, out of funds legally available, at any time, in whole or in part, the Series A preferred units or the Series B preferred units, at a price of $25.00 per preferred unit plus declared and unpaid distributions to, but excluding, the redemption date, without payment of any undeclared distributions. Holders of the preferred units have no right to require the redemption of the preferred units.</w:t>
      </w:r>
    </w:p>
    <w:p>
      <w:pPr>
        <w:spacing w:after="0" w:line="125" w:lineRule="exact"/>
        <w:rPr>
          <w:sz w:val="20"/>
          <w:szCs w:val="20"/>
          <w:color w:val="auto"/>
        </w:rPr>
      </w:pPr>
    </w:p>
    <w:p>
      <w:pPr>
        <w:ind w:right="20" w:firstLine="619"/>
        <w:spacing w:after="0" w:line="271" w:lineRule="auto"/>
        <w:rPr>
          <w:sz w:val="20"/>
          <w:szCs w:val="20"/>
          <w:color w:val="auto"/>
        </w:rPr>
      </w:pPr>
      <w:r>
        <w:rPr>
          <w:rFonts w:ascii="Arial" w:cs="Arial" w:eastAsia="Arial" w:hAnsi="Arial"/>
          <w:sz w:val="17"/>
          <w:szCs w:val="17"/>
          <w:color w:val="auto"/>
        </w:rPr>
        <w:t>The preferred units are not convertible into Class A units or any other class or series of the Company’s interests or any other security. Holders of the preferred units do not have any of the voting rights given to holders of our Class A units, except that holders of the preferred units are entitled to certain voting rights under certain conditions.</w:t>
      </w:r>
    </w:p>
    <w:p>
      <w:pPr>
        <w:spacing w:after="0" w:line="111" w:lineRule="exact"/>
        <w:rPr>
          <w:sz w:val="20"/>
          <w:szCs w:val="20"/>
          <w:color w:val="auto"/>
        </w:rPr>
      </w:pPr>
    </w:p>
    <w:p>
      <w:pPr>
        <w:ind w:left="620"/>
        <w:spacing w:after="0"/>
        <w:rPr>
          <w:sz w:val="20"/>
          <w:szCs w:val="20"/>
          <w:color w:val="auto"/>
        </w:rPr>
      </w:pPr>
      <w:r>
        <w:rPr>
          <w:rFonts w:ascii="Arial" w:cs="Arial" w:eastAsia="Arial" w:hAnsi="Arial"/>
          <w:sz w:val="17"/>
          <w:szCs w:val="17"/>
          <w:color w:val="auto"/>
        </w:rPr>
        <w:t>Please see notes 10 and 12 for additional information regarding transactions that impacted unitholders’ capital.</w:t>
      </w:r>
    </w:p>
    <w:p>
      <w:pPr>
        <w:sectPr>
          <w:pgSz w:w="11900" w:h="16838" w:orient="portrait"/>
          <w:cols w:equalWidth="0" w:num="1">
            <w:col w:w="11240"/>
          </w:cols>
          <w:pgMar w:left="320" w:top="121" w:right="339" w:bottom="1440" w:gutter="0" w:footer="0" w:header="0"/>
        </w:sectPr>
      </w:pPr>
    </w:p>
    <w:p>
      <w:pPr>
        <w:spacing w:after="0" w:line="26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12. EARNINGS PER UNIT</w:t>
      </w:r>
    </w:p>
    <w:p>
      <w:pPr>
        <w:spacing w:after="0" w:line="90" w:lineRule="exact"/>
        <w:rPr>
          <w:sz w:val="20"/>
          <w:szCs w:val="20"/>
          <w:color w:val="auto"/>
        </w:rPr>
      </w:pPr>
    </w:p>
    <w:p>
      <w:pPr>
        <w:jc w:val="right"/>
        <w:ind w:right="900"/>
        <w:spacing w:after="0"/>
        <w:rPr>
          <w:sz w:val="20"/>
          <w:szCs w:val="20"/>
          <w:color w:val="auto"/>
        </w:rPr>
      </w:pPr>
      <w:r>
        <w:rPr>
          <w:rFonts w:ascii="Arial" w:cs="Arial" w:eastAsia="Arial" w:hAnsi="Arial"/>
          <w:sz w:val="17"/>
          <w:szCs w:val="17"/>
          <w:color w:val="auto"/>
        </w:rPr>
        <w:t>The computation of net income per Class A unit is set forth below:</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20"/>
        <w:spacing w:after="0"/>
        <w:rPr>
          <w:sz w:val="20"/>
          <w:szCs w:val="20"/>
          <w:color w:val="auto"/>
        </w:rPr>
      </w:pPr>
      <w:r>
        <w:rPr>
          <w:rFonts w:ascii="Arial" w:cs="Arial" w:eastAsia="Arial" w:hAnsi="Arial"/>
          <w:sz w:val="15"/>
          <w:szCs w:val="15"/>
          <w:color w:val="auto"/>
        </w:rPr>
        <w:t>Net income per Class A unit (basic and diluted):</w:t>
      </w:r>
    </w:p>
    <w:p>
      <w:pPr>
        <w:spacing w:after="0" w:line="60" w:lineRule="exact"/>
        <w:rPr>
          <w:sz w:val="20"/>
          <w:szCs w:val="20"/>
          <w:color w:val="auto"/>
        </w:rPr>
      </w:pPr>
    </w:p>
    <w:p>
      <w:pPr>
        <w:ind w:left="320"/>
        <w:spacing w:after="0"/>
        <w:rPr>
          <w:sz w:val="20"/>
          <w:szCs w:val="20"/>
          <w:color w:val="auto"/>
        </w:rPr>
      </w:pPr>
      <w:r>
        <w:rPr>
          <w:rFonts w:ascii="Arial" w:cs="Arial" w:eastAsia="Arial" w:hAnsi="Arial"/>
          <w:sz w:val="15"/>
          <w:szCs w:val="15"/>
          <w:color w:val="auto"/>
        </w:rPr>
        <w:t>Net income attributable to BOH Class A unitholders</w:t>
      </w:r>
    </w:p>
    <w:p>
      <w:pPr>
        <w:spacing w:after="0" w:line="85" w:lineRule="exact"/>
        <w:rPr>
          <w:sz w:val="20"/>
          <w:szCs w:val="20"/>
          <w:color w:val="auto"/>
        </w:rPr>
      </w:pPr>
    </w:p>
    <w:p>
      <w:pPr>
        <w:ind w:left="320"/>
        <w:spacing w:after="0"/>
        <w:rPr>
          <w:sz w:val="20"/>
          <w:szCs w:val="20"/>
          <w:color w:val="auto"/>
        </w:rPr>
      </w:pPr>
      <w:r>
        <w:rPr>
          <w:rFonts w:ascii="Arial" w:cs="Arial" w:eastAsia="Arial" w:hAnsi="Arial"/>
          <w:sz w:val="15"/>
          <w:szCs w:val="15"/>
          <w:color w:val="auto"/>
        </w:rPr>
        <w:t>Weighted average number of Class A units outstanding (basic and diluted)</w:t>
      </w:r>
    </w:p>
    <w:p>
      <w:pPr>
        <w:spacing w:after="0" w:line="85" w:lineRule="exact"/>
        <w:rPr>
          <w:sz w:val="20"/>
          <w:szCs w:val="20"/>
          <w:color w:val="auto"/>
        </w:rPr>
      </w:pPr>
    </w:p>
    <w:p>
      <w:pPr>
        <w:ind w:left="320"/>
        <w:spacing w:after="0"/>
        <w:rPr>
          <w:sz w:val="20"/>
          <w:szCs w:val="20"/>
          <w:color w:val="auto"/>
        </w:rPr>
      </w:pPr>
      <w:r>
        <w:rPr>
          <w:rFonts w:ascii="Arial" w:cs="Arial" w:eastAsia="Arial" w:hAnsi="Arial"/>
          <w:sz w:val="15"/>
          <w:szCs w:val="15"/>
          <w:color w:val="auto"/>
        </w:rPr>
        <w:t>Basic and diluted net income (net of tax) per Class A unit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1260"/>
        <w:spacing w:after="0"/>
        <w:rPr>
          <w:sz w:val="20"/>
          <w:szCs w:val="20"/>
          <w:color w:val="auto"/>
        </w:rPr>
      </w:pPr>
      <w:r>
        <w:rPr>
          <w:rFonts w:ascii="Arial" w:cs="Arial" w:eastAsia="Arial" w:hAnsi="Arial"/>
          <w:sz w:val="12"/>
          <w:szCs w:val="12"/>
          <w:b w:val="1"/>
          <w:bCs w:val="1"/>
          <w:color w:val="auto"/>
        </w:rPr>
        <w:t>Year Ended December 31,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80" w:type="dxa"/>
            <w:vAlign w:val="bottom"/>
            <w:tcBorders>
              <w:top w:val="single" w:sz="8" w:color="auto"/>
              <w:bottom w:val="single" w:sz="8" w:color="auto"/>
            </w:tcBorders>
          </w:tcPr>
          <w:p>
            <w:pPr>
              <w:spacing w:after="0"/>
              <w:rPr>
                <w:sz w:val="14"/>
                <w:szCs w:val="14"/>
                <w:color w:val="auto"/>
              </w:rPr>
            </w:pPr>
          </w:p>
        </w:tc>
        <w:tc>
          <w:tcPr>
            <w:tcW w:w="92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2"/>
                <w:szCs w:val="12"/>
                <w:b w:val="1"/>
                <w:bCs w:val="1"/>
                <w:color w:val="auto"/>
              </w:rPr>
              <w:t>2025</w:t>
            </w:r>
          </w:p>
        </w:tc>
        <w:tc>
          <w:tcPr>
            <w:tcW w:w="200" w:type="dxa"/>
            <w:vAlign w:val="bottom"/>
            <w:tcBorders>
              <w:top w:val="single" w:sz="8" w:color="auto"/>
              <w:bottom w:val="single" w:sz="8" w:color="auto"/>
            </w:tcBorders>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920" w:type="dxa"/>
            <w:vAlign w:val="bottom"/>
            <w:tcBorders>
              <w:top w:val="single" w:sz="8" w:color="auto"/>
              <w:bottom w:val="single" w:sz="8" w:color="auto"/>
            </w:tcBorders>
          </w:tcPr>
          <w:p>
            <w:pPr>
              <w:jc w:val="right"/>
              <w:ind w:right="387"/>
              <w:spacing w:after="0"/>
              <w:rPr>
                <w:sz w:val="20"/>
                <w:szCs w:val="20"/>
                <w:color w:val="auto"/>
              </w:rPr>
            </w:pPr>
            <w:r>
              <w:rPr>
                <w:rFonts w:ascii="Arial" w:cs="Arial" w:eastAsia="Arial" w:hAnsi="Arial"/>
                <w:sz w:val="12"/>
                <w:szCs w:val="12"/>
                <w:b w:val="1"/>
                <w:bCs w:val="1"/>
                <w:color w:val="auto"/>
              </w:rPr>
              <w:t>2024</w:t>
            </w:r>
          </w:p>
        </w:tc>
        <w:tc>
          <w:tcPr>
            <w:tcW w:w="200" w:type="dxa"/>
            <w:vAlign w:val="bottom"/>
            <w:tcBorders>
              <w:top w:val="single" w:sz="8" w:color="auto"/>
              <w:bottom w:val="single" w:sz="8" w:color="auto"/>
            </w:tcBorders>
          </w:tcPr>
          <w:p>
            <w:pPr>
              <w:spacing w:after="0"/>
              <w:rPr>
                <w:sz w:val="14"/>
                <w:szCs w:val="14"/>
                <w:color w:val="auto"/>
              </w:rPr>
            </w:pPr>
          </w:p>
        </w:tc>
        <w:tc>
          <w:tcPr>
            <w:tcW w:w="400" w:type="dxa"/>
            <w:vAlign w:val="bottom"/>
            <w:tcBorders>
              <w:top w:val="single" w:sz="8" w:color="auto"/>
              <w:bottom w:val="single" w:sz="8" w:color="auto"/>
            </w:tcBorders>
          </w:tcPr>
          <w:p>
            <w:pPr>
              <w:spacing w:after="0"/>
              <w:rPr>
                <w:sz w:val="14"/>
                <w:szCs w:val="14"/>
                <w:color w:val="auto"/>
              </w:rPr>
            </w:pPr>
          </w:p>
        </w:tc>
        <w:tc>
          <w:tcPr>
            <w:tcW w:w="800" w:type="dxa"/>
            <w:vAlign w:val="bottom"/>
            <w:tcBorders>
              <w:top w:val="single" w:sz="8" w:color="auto"/>
              <w:bottom w:val="single" w:sz="8" w:color="auto"/>
            </w:tcBorders>
          </w:tcPr>
          <w:p>
            <w:pPr>
              <w:jc w:val="right"/>
              <w:ind w:right="387"/>
              <w:spacing w:after="0"/>
              <w:rPr>
                <w:sz w:val="20"/>
                <w:szCs w:val="20"/>
                <w:color w:val="auto"/>
              </w:rPr>
            </w:pPr>
            <w:r>
              <w:rPr>
                <w:rFonts w:ascii="Arial" w:cs="Arial" w:eastAsia="Arial" w:hAnsi="Arial"/>
                <w:sz w:val="12"/>
                <w:szCs w:val="12"/>
                <w:b w:val="1"/>
                <w:bCs w:val="1"/>
                <w:color w:val="auto"/>
              </w:rPr>
              <w:t>2023</w:t>
            </w:r>
          </w:p>
        </w:tc>
      </w:tr>
      <w:tr>
        <w:trPr>
          <w:trHeight w:val="159"/>
        </w:trPr>
        <w:tc>
          <w:tcPr>
            <w:tcW w:w="280" w:type="dxa"/>
            <w:vAlign w:val="bottom"/>
          </w:tcPr>
          <w:p>
            <w:pPr>
              <w:spacing w:after="0"/>
              <w:rPr>
                <w:sz w:val="13"/>
                <w:szCs w:val="13"/>
                <w:color w:val="auto"/>
              </w:rPr>
            </w:pPr>
          </w:p>
        </w:tc>
        <w:tc>
          <w:tcPr>
            <w:tcW w:w="2920" w:type="dxa"/>
            <w:vAlign w:val="bottom"/>
            <w:gridSpan w:val="6"/>
          </w:tcPr>
          <w:p>
            <w:pPr>
              <w:jc w:val="right"/>
              <w:spacing w:after="0"/>
              <w:rPr>
                <w:sz w:val="20"/>
                <w:szCs w:val="20"/>
                <w:color w:val="auto"/>
              </w:rPr>
            </w:pPr>
            <w:r>
              <w:rPr>
                <w:rFonts w:ascii="Arial" w:cs="Arial" w:eastAsia="Arial" w:hAnsi="Arial"/>
                <w:sz w:val="12"/>
                <w:szCs w:val="12"/>
                <w:b w:val="1"/>
                <w:bCs w:val="1"/>
                <w:color w:val="auto"/>
              </w:rPr>
              <w:t>(in thousands, except per unit amounts)</w:t>
            </w:r>
          </w:p>
        </w:tc>
        <w:tc>
          <w:tcPr>
            <w:tcW w:w="800" w:type="dxa"/>
            <w:vAlign w:val="bottom"/>
          </w:tcPr>
          <w:p>
            <w:pPr>
              <w:spacing w:after="0"/>
              <w:rPr>
                <w:sz w:val="13"/>
                <w:szCs w:val="13"/>
                <w:color w:val="auto"/>
              </w:rPr>
            </w:pPr>
          </w:p>
        </w:tc>
      </w:tr>
      <w:tr>
        <w:trPr>
          <w:trHeight w:val="376"/>
        </w:trPr>
        <w:tc>
          <w:tcPr>
            <w:tcW w:w="280" w:type="dxa"/>
            <w:vAlign w:val="bottom"/>
            <w:tcBorders>
              <w:bottom w:val="single" w:sz="8" w:color="auto"/>
            </w:tcBorders>
          </w:tcPr>
          <w:p>
            <w:pPr>
              <w:jc w:val="right"/>
              <w:ind w:right="103"/>
              <w:spacing w:after="0"/>
              <w:rPr>
                <w:sz w:val="20"/>
                <w:szCs w:val="20"/>
                <w:color w:val="auto"/>
              </w:rPr>
            </w:pPr>
            <w:r>
              <w:rPr>
                <w:rFonts w:ascii="Arial" w:cs="Arial" w:eastAsia="Arial" w:hAnsi="Arial"/>
                <w:sz w:val="15"/>
                <w:szCs w:val="15"/>
                <w:color w:val="auto"/>
                <w:w w:val="95"/>
              </w:rPr>
              <w:t>$</w:t>
            </w: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5"/>
                <w:szCs w:val="15"/>
                <w:color w:val="auto"/>
              </w:rPr>
              <w:t>221,922</w:t>
            </w:r>
          </w:p>
        </w:tc>
        <w:tc>
          <w:tcPr>
            <w:tcW w:w="200" w:type="dxa"/>
            <w:vAlign w:val="bottom"/>
          </w:tcPr>
          <w:p>
            <w:pPr>
              <w:spacing w:after="0"/>
              <w:rPr>
                <w:sz w:val="24"/>
                <w:szCs w:val="24"/>
                <w:color w:val="auto"/>
              </w:rPr>
            </w:pPr>
          </w:p>
        </w:tc>
        <w:tc>
          <w:tcPr>
            <w:tcW w:w="280" w:type="dxa"/>
            <w:vAlign w:val="bottom"/>
            <w:tcBorders>
              <w:bottom w:val="single" w:sz="8" w:color="auto"/>
            </w:tcBorders>
          </w:tcPr>
          <w:p>
            <w:pPr>
              <w:jc w:val="right"/>
              <w:ind w:right="103"/>
              <w:spacing w:after="0"/>
              <w:rPr>
                <w:sz w:val="20"/>
                <w:szCs w:val="20"/>
                <w:color w:val="auto"/>
              </w:rPr>
            </w:pPr>
            <w:r>
              <w:rPr>
                <w:rFonts w:ascii="Arial" w:cs="Arial" w:eastAsia="Arial" w:hAnsi="Arial"/>
                <w:sz w:val="15"/>
                <w:szCs w:val="15"/>
                <w:color w:val="auto"/>
                <w:w w:val="95"/>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280,208</w:t>
            </w:r>
          </w:p>
        </w:tc>
        <w:tc>
          <w:tcPr>
            <w:tcW w:w="200" w:type="dxa"/>
            <w:vAlign w:val="bottom"/>
          </w:tcPr>
          <w:p>
            <w:pPr>
              <w:spacing w:after="0"/>
              <w:rPr>
                <w:sz w:val="24"/>
                <w:szCs w:val="24"/>
                <w:color w:val="auto"/>
              </w:rPr>
            </w:pPr>
          </w:p>
        </w:tc>
        <w:tc>
          <w:tcPr>
            <w:tcW w:w="400" w:type="dxa"/>
            <w:vAlign w:val="bottom"/>
            <w:tcBorders>
              <w:bottom w:val="single" w:sz="8" w:color="auto"/>
            </w:tcBorders>
          </w:tcPr>
          <w:p>
            <w:pPr>
              <w:jc w:val="right"/>
              <w:ind w:right="223"/>
              <w:spacing w:after="0"/>
              <w:rPr>
                <w:sz w:val="20"/>
                <w:szCs w:val="20"/>
                <w:color w:val="auto"/>
              </w:rPr>
            </w:pPr>
            <w:r>
              <w:rPr>
                <w:rFonts w:ascii="Arial" w:cs="Arial" w:eastAsia="Arial" w:hAnsi="Arial"/>
                <w:sz w:val="15"/>
                <w:szCs w:val="15"/>
                <w:color w:val="auto"/>
                <w:w w:val="95"/>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193,861</w:t>
            </w:r>
          </w:p>
        </w:tc>
      </w:tr>
      <w:tr>
        <w:trPr>
          <w:trHeight w:val="20"/>
        </w:trPr>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198"/>
        </w:trPr>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5"/>
                <w:szCs w:val="15"/>
                <w:color w:val="auto"/>
              </w:rPr>
              <w:t>118,186</w:t>
            </w:r>
          </w:p>
        </w:tc>
        <w:tc>
          <w:tcPr>
            <w:tcW w:w="2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114,452</w:t>
            </w:r>
          </w:p>
        </w:tc>
        <w:tc>
          <w:tcPr>
            <w:tcW w:w="20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107,590</w:t>
            </w:r>
          </w:p>
        </w:tc>
      </w:tr>
      <w:tr>
        <w:trPr>
          <w:trHeight w:val="20"/>
        </w:trPr>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198"/>
        </w:trPr>
        <w:tc>
          <w:tcPr>
            <w:tcW w:w="280" w:type="dxa"/>
            <w:vAlign w:val="bottom"/>
            <w:tcBorders>
              <w:bottom w:val="single" w:sz="8" w:color="auto"/>
            </w:tcBorders>
          </w:tcPr>
          <w:p>
            <w:pPr>
              <w:jc w:val="right"/>
              <w:ind w:right="103"/>
              <w:spacing w:after="0"/>
              <w:rPr>
                <w:sz w:val="20"/>
                <w:szCs w:val="20"/>
                <w:color w:val="auto"/>
              </w:rPr>
            </w:pPr>
            <w:r>
              <w:rPr>
                <w:rFonts w:ascii="Arial" w:cs="Arial" w:eastAsia="Arial" w:hAnsi="Arial"/>
                <w:sz w:val="15"/>
                <w:szCs w:val="15"/>
                <w:color w:val="auto"/>
                <w:w w:val="95"/>
              </w:rPr>
              <w:t>$</w:t>
            </w: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5"/>
                <w:szCs w:val="15"/>
                <w:color w:val="auto"/>
              </w:rPr>
              <w:t>1.88</w:t>
            </w:r>
          </w:p>
        </w:tc>
        <w:tc>
          <w:tcPr>
            <w:tcW w:w="200" w:type="dxa"/>
            <w:vAlign w:val="bottom"/>
          </w:tcPr>
          <w:p>
            <w:pPr>
              <w:spacing w:after="0"/>
              <w:rPr>
                <w:sz w:val="17"/>
                <w:szCs w:val="17"/>
                <w:color w:val="auto"/>
              </w:rPr>
            </w:pPr>
          </w:p>
        </w:tc>
        <w:tc>
          <w:tcPr>
            <w:tcW w:w="280" w:type="dxa"/>
            <w:vAlign w:val="bottom"/>
            <w:tcBorders>
              <w:bottom w:val="single" w:sz="8" w:color="auto"/>
            </w:tcBorders>
          </w:tcPr>
          <w:p>
            <w:pPr>
              <w:jc w:val="right"/>
              <w:ind w:right="103"/>
              <w:spacing w:after="0"/>
              <w:rPr>
                <w:sz w:val="20"/>
                <w:szCs w:val="20"/>
                <w:color w:val="auto"/>
              </w:rPr>
            </w:pPr>
            <w:r>
              <w:rPr>
                <w:rFonts w:ascii="Arial" w:cs="Arial" w:eastAsia="Arial" w:hAnsi="Arial"/>
                <w:sz w:val="15"/>
                <w:szCs w:val="15"/>
                <w:color w:val="auto"/>
                <w:w w:val="95"/>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2.45</w:t>
            </w:r>
          </w:p>
        </w:tc>
        <w:tc>
          <w:tcPr>
            <w:tcW w:w="200" w:type="dxa"/>
            <w:vAlign w:val="bottom"/>
          </w:tcPr>
          <w:p>
            <w:pPr>
              <w:spacing w:after="0"/>
              <w:rPr>
                <w:sz w:val="17"/>
                <w:szCs w:val="17"/>
                <w:color w:val="auto"/>
              </w:rPr>
            </w:pPr>
          </w:p>
        </w:tc>
        <w:tc>
          <w:tcPr>
            <w:tcW w:w="400" w:type="dxa"/>
            <w:vAlign w:val="bottom"/>
            <w:tcBorders>
              <w:bottom w:val="single" w:sz="8" w:color="auto"/>
            </w:tcBorders>
          </w:tcPr>
          <w:p>
            <w:pPr>
              <w:jc w:val="right"/>
              <w:ind w:right="223"/>
              <w:spacing w:after="0"/>
              <w:rPr>
                <w:sz w:val="20"/>
                <w:szCs w:val="20"/>
                <w:color w:val="auto"/>
              </w:rPr>
            </w:pPr>
            <w:r>
              <w:rPr>
                <w:rFonts w:ascii="Arial" w:cs="Arial" w:eastAsia="Arial" w:hAnsi="Arial"/>
                <w:sz w:val="15"/>
                <w:szCs w:val="15"/>
                <w:color w:val="auto"/>
                <w:w w:val="95"/>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1.80</w:t>
            </w:r>
          </w:p>
        </w:tc>
      </w:tr>
      <w:tr>
        <w:trPr>
          <w:trHeight w:val="20"/>
        </w:trPr>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6520" w:space="720"/>
            <w:col w:w="4000"/>
          </w:cols>
          <w:pgMar w:left="320" w:top="121" w:right="339" w:bottom="1440" w:gutter="0" w:footer="0" w:header="0"/>
          <w:type w:val="continuous"/>
        </w:sectPr>
      </w:pPr>
    </w:p>
    <w:p>
      <w:pPr>
        <w:spacing w:after="0" w:line="131" w:lineRule="exact"/>
        <w:rPr>
          <w:sz w:val="20"/>
          <w:szCs w:val="20"/>
          <w:color w:val="auto"/>
        </w:rPr>
      </w:pPr>
    </w:p>
    <w:p>
      <w:pPr>
        <w:ind w:right="80" w:firstLine="619"/>
        <w:spacing w:after="0" w:line="271" w:lineRule="auto"/>
        <w:rPr>
          <w:sz w:val="20"/>
          <w:szCs w:val="20"/>
          <w:color w:val="auto"/>
        </w:rPr>
      </w:pPr>
      <w:r>
        <w:rPr>
          <w:rFonts w:ascii="Arial" w:cs="Arial" w:eastAsia="Arial" w:hAnsi="Arial"/>
          <w:sz w:val="17"/>
          <w:szCs w:val="17"/>
          <w:color w:val="auto"/>
        </w:rPr>
        <w:t>OCGH units are not exchangeable into Class A units. As the restrictions set forth in the then-current exchange agreement were in place for each applicable reporting period, OCGH units were not included in the computation of diluted earnings per unit for the years ended December 31, 2025 and 2024.</w:t>
      </w:r>
    </w:p>
    <w:p>
      <w:pPr>
        <w:spacing w:after="0" w:line="214" w:lineRule="exact"/>
        <w:rPr>
          <w:sz w:val="20"/>
          <w:szCs w:val="20"/>
          <w:color w:val="auto"/>
        </w:rPr>
      </w:pPr>
    </w:p>
    <w:p>
      <w:pPr>
        <w:ind w:right="3460" w:firstLine="619"/>
        <w:spacing w:after="0" w:line="290" w:lineRule="auto"/>
        <w:rPr>
          <w:sz w:val="20"/>
          <w:szCs w:val="20"/>
          <w:color w:val="auto"/>
        </w:rPr>
      </w:pPr>
      <w:r>
        <w:rPr>
          <w:rFonts w:ascii="Arial" w:cs="Arial" w:eastAsia="Arial" w:hAnsi="Arial"/>
          <w:sz w:val="17"/>
          <w:szCs w:val="17"/>
          <w:color w:val="auto"/>
        </w:rPr>
        <w:t>As a result of the 2024 Restructuring, earnings attributable to Oaktree Capital I are reflected in the Company's investment income for periods beginning in the third quarter of 2024.</w:t>
      </w:r>
    </w:p>
    <w:p>
      <w:pPr>
        <w:spacing w:after="0" w:line="4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13. INCOME TAXES AND RELATED PAYMENTS</w:t>
      </w:r>
    </w:p>
    <w:p>
      <w:pPr>
        <w:spacing w:after="0" w:line="103" w:lineRule="exact"/>
        <w:rPr>
          <w:sz w:val="20"/>
          <w:szCs w:val="20"/>
          <w:color w:val="auto"/>
        </w:rPr>
      </w:pPr>
    </w:p>
    <w:p>
      <w:pPr>
        <w:ind w:right="100" w:firstLine="619"/>
        <w:spacing w:after="0" w:line="255" w:lineRule="auto"/>
        <w:rPr>
          <w:sz w:val="20"/>
          <w:szCs w:val="20"/>
          <w:color w:val="auto"/>
        </w:rPr>
      </w:pPr>
      <w:r>
        <w:rPr>
          <w:rFonts w:ascii="Arial" w:cs="Arial" w:eastAsia="Arial" w:hAnsi="Arial"/>
          <w:sz w:val="17"/>
          <w:szCs w:val="17"/>
          <w:color w:val="auto"/>
        </w:rPr>
        <w:t>The Company is a publicly traded partnership and holds interest in Oaktree Capital I (a non-corporate entity that is not subject to U.S. federal corporate income tax). As a result of the 2024 Restructuring, effected to facilitate the change of the general partner of Oaktree Capital I, the Company no longer controls Oaktree Capital I.</w:t>
      </w:r>
    </w:p>
    <w:p>
      <w:pPr>
        <w:spacing w:after="0" w:line="189" w:lineRule="exact"/>
        <w:rPr>
          <w:sz w:val="20"/>
          <w:szCs w:val="20"/>
          <w:color w:val="auto"/>
        </w:rPr>
      </w:pPr>
    </w:p>
    <w:p>
      <w:pPr>
        <w:ind w:right="300" w:firstLine="619"/>
        <w:spacing w:after="0" w:line="274" w:lineRule="auto"/>
        <w:rPr>
          <w:sz w:val="20"/>
          <w:szCs w:val="20"/>
          <w:color w:val="auto"/>
        </w:rPr>
      </w:pPr>
      <w:r>
        <w:rPr>
          <w:rFonts w:ascii="Arial" w:cs="Arial" w:eastAsia="Arial" w:hAnsi="Arial"/>
          <w:sz w:val="17"/>
          <w:szCs w:val="17"/>
          <w:color w:val="auto"/>
        </w:rPr>
        <w:t>The Company’s income before income taxes consisted of the following domestic income before income taxes. No foreign income before income taxes was included in the Company’s income before income taxes:</w:t>
      </w:r>
    </w:p>
    <w:p>
      <w:pPr>
        <w:spacing w:after="0" w:line="146" w:lineRule="exact"/>
        <w:rPr>
          <w:sz w:val="20"/>
          <w:szCs w:val="20"/>
          <w:color w:val="auto"/>
        </w:rPr>
      </w:pPr>
    </w:p>
    <w:tbl>
      <w:tblPr>
        <w:tblLayout w:type="fixed"/>
        <w:tblInd w:w="20" w:type="dxa"/>
        <w:tblCellMar>
          <w:top w:w="0" w:type="dxa"/>
          <w:left w:w="0" w:type="dxa"/>
          <w:bottom w:w="0" w:type="dxa"/>
          <w:right w:w="0" w:type="dxa"/>
        </w:tblCellMar>
      </w:tblPr>
      <w:tr>
        <w:trPr>
          <w:trHeight w:val="169"/>
        </w:trPr>
        <w:tc>
          <w:tcPr>
            <w:tcW w:w="68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4"/>
          </w:tcPr>
          <w:p>
            <w:pPr>
              <w:jc w:val="center"/>
              <w:spacing w:after="0"/>
              <w:rPr>
                <w:sz w:val="20"/>
                <w:szCs w:val="20"/>
                <w:color w:val="auto"/>
              </w:rPr>
            </w:pPr>
            <w:r>
              <w:rPr>
                <w:rFonts w:ascii="Arial" w:cs="Arial" w:eastAsia="Arial" w:hAnsi="Arial"/>
                <w:sz w:val="12"/>
                <w:szCs w:val="12"/>
                <w:b w:val="1"/>
                <w:bCs w:val="1"/>
                <w:color w:val="auto"/>
                <w:w w:val="99"/>
              </w:rPr>
              <w:t>Year Ended December 31,</w:t>
            </w:r>
          </w:p>
        </w:tc>
        <w:tc>
          <w:tcPr>
            <w:tcW w:w="3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r>
      <w:tr>
        <w:trPr>
          <w:trHeight w:val="162"/>
        </w:trPr>
        <w:tc>
          <w:tcPr>
            <w:tcW w:w="68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71"/>
              <w:spacing w:after="0"/>
              <w:rPr>
                <w:sz w:val="20"/>
                <w:szCs w:val="20"/>
                <w:color w:val="auto"/>
              </w:rPr>
            </w:pPr>
            <w:r>
              <w:rPr>
                <w:rFonts w:ascii="Arial" w:cs="Arial" w:eastAsia="Arial" w:hAnsi="Arial"/>
                <w:sz w:val="12"/>
                <w:szCs w:val="12"/>
                <w:b w:val="1"/>
                <w:bCs w:val="1"/>
                <w:color w:val="auto"/>
              </w:rPr>
              <w:t>2025</w:t>
            </w:r>
          </w:p>
        </w:tc>
        <w:tc>
          <w:tcPr>
            <w:tcW w:w="2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71"/>
              <w:spacing w:after="0"/>
              <w:rPr>
                <w:sz w:val="20"/>
                <w:szCs w:val="20"/>
                <w:color w:val="auto"/>
              </w:rPr>
            </w:pPr>
            <w:r>
              <w:rPr>
                <w:rFonts w:ascii="Arial" w:cs="Arial" w:eastAsia="Arial" w:hAnsi="Arial"/>
                <w:sz w:val="12"/>
                <w:szCs w:val="12"/>
                <w:b w:val="1"/>
                <w:bCs w:val="1"/>
                <w:color w:val="auto"/>
              </w:rPr>
              <w:t>2024</w:t>
            </w:r>
          </w:p>
        </w:tc>
        <w:tc>
          <w:tcPr>
            <w:tcW w:w="2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51"/>
              <w:spacing w:after="0"/>
              <w:rPr>
                <w:sz w:val="20"/>
                <w:szCs w:val="20"/>
                <w:color w:val="auto"/>
              </w:rPr>
            </w:pPr>
            <w:r>
              <w:rPr>
                <w:rFonts w:ascii="Arial" w:cs="Arial" w:eastAsia="Arial" w:hAnsi="Arial"/>
                <w:sz w:val="12"/>
                <w:szCs w:val="12"/>
                <w:b w:val="1"/>
                <w:bCs w:val="1"/>
                <w:color w:val="auto"/>
              </w:rPr>
              <w:t>2023</w:t>
            </w:r>
          </w:p>
        </w:tc>
      </w:tr>
      <w:tr>
        <w:trPr>
          <w:trHeight w:val="200"/>
        </w:trPr>
        <w:tc>
          <w:tcPr>
            <w:tcW w:w="6820" w:type="dxa"/>
            <w:vAlign w:val="bottom"/>
          </w:tcPr>
          <w:p>
            <w:pPr>
              <w:spacing w:after="0"/>
              <w:rPr>
                <w:sz w:val="20"/>
                <w:szCs w:val="20"/>
                <w:color w:val="auto"/>
              </w:rPr>
            </w:pPr>
            <w:r>
              <w:rPr>
                <w:rFonts w:ascii="Arial" w:cs="Arial" w:eastAsia="Arial" w:hAnsi="Arial"/>
                <w:sz w:val="15"/>
                <w:szCs w:val="15"/>
                <w:color w:val="auto"/>
              </w:rPr>
              <w:t>Domestic income before income taxes</w:t>
            </w:r>
          </w:p>
        </w:tc>
        <w:tc>
          <w:tcPr>
            <w:tcW w:w="320" w:type="dxa"/>
            <w:vAlign w:val="bottom"/>
          </w:tcPr>
          <w:p>
            <w:pPr>
              <w:jc w:val="right"/>
              <w:ind w:right="123"/>
              <w:spacing w:after="0"/>
              <w:rPr>
                <w:sz w:val="20"/>
                <w:szCs w:val="20"/>
                <w:color w:val="auto"/>
              </w:rPr>
            </w:pPr>
            <w:r>
              <w:rPr>
                <w:rFonts w:ascii="Arial" w:cs="Arial" w:eastAsia="Arial" w:hAnsi="Arial"/>
                <w:sz w:val="15"/>
                <w:szCs w:val="15"/>
                <w:color w:val="auto"/>
              </w:rPr>
              <w:t>$</w:t>
            </w:r>
          </w:p>
        </w:tc>
        <w:tc>
          <w:tcPr>
            <w:tcW w:w="1020" w:type="dxa"/>
            <w:vAlign w:val="bottom"/>
          </w:tcPr>
          <w:p>
            <w:pPr>
              <w:jc w:val="right"/>
              <w:ind w:right="11"/>
              <w:spacing w:after="0"/>
              <w:rPr>
                <w:sz w:val="20"/>
                <w:szCs w:val="20"/>
                <w:color w:val="auto"/>
              </w:rPr>
            </w:pPr>
            <w:r>
              <w:rPr>
                <w:rFonts w:ascii="Arial" w:cs="Arial" w:eastAsia="Arial" w:hAnsi="Arial"/>
                <w:sz w:val="15"/>
                <w:szCs w:val="15"/>
                <w:color w:val="auto"/>
              </w:rPr>
              <w:t>523,215</w:t>
            </w:r>
          </w:p>
        </w:tc>
        <w:tc>
          <w:tcPr>
            <w:tcW w:w="5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020" w:type="dxa"/>
            <w:vAlign w:val="bottom"/>
          </w:tcPr>
          <w:p>
            <w:pPr>
              <w:jc w:val="right"/>
              <w:ind w:right="11"/>
              <w:spacing w:after="0"/>
              <w:rPr>
                <w:sz w:val="20"/>
                <w:szCs w:val="20"/>
                <w:color w:val="auto"/>
              </w:rPr>
            </w:pPr>
            <w:r>
              <w:rPr>
                <w:rFonts w:ascii="Arial" w:cs="Arial" w:eastAsia="Arial" w:hAnsi="Arial"/>
                <w:sz w:val="15"/>
                <w:szCs w:val="15"/>
                <w:color w:val="auto"/>
              </w:rPr>
              <w:t>787,062</w:t>
            </w:r>
          </w:p>
        </w:tc>
        <w:tc>
          <w:tcPr>
            <w:tcW w:w="200" w:type="dxa"/>
            <w:vAlign w:val="bottom"/>
          </w:tcPr>
          <w:p>
            <w:pPr>
              <w:spacing w:after="0"/>
              <w:rPr>
                <w:sz w:val="17"/>
                <w:szCs w:val="17"/>
                <w:color w:val="auto"/>
              </w:rPr>
            </w:pPr>
          </w:p>
        </w:tc>
        <w:tc>
          <w:tcPr>
            <w:tcW w:w="320" w:type="dxa"/>
            <w:vAlign w:val="bottom"/>
          </w:tcPr>
          <w:p>
            <w:pPr>
              <w:jc w:val="right"/>
              <w:ind w:right="143"/>
              <w:spacing w:after="0"/>
              <w:rPr>
                <w:sz w:val="20"/>
                <w:szCs w:val="20"/>
                <w:color w:val="auto"/>
              </w:rPr>
            </w:pPr>
            <w:r>
              <w:rPr>
                <w:rFonts w:ascii="Arial" w:cs="Arial" w:eastAsia="Arial" w:hAnsi="Arial"/>
                <w:sz w:val="15"/>
                <w:szCs w:val="15"/>
                <w:color w:val="auto"/>
                <w:w w:val="95"/>
              </w:rPr>
              <w:t>$</w:t>
            </w:r>
          </w:p>
        </w:tc>
        <w:tc>
          <w:tcPr>
            <w:tcW w:w="1000" w:type="dxa"/>
            <w:vAlign w:val="bottom"/>
          </w:tcPr>
          <w:p>
            <w:pPr>
              <w:jc w:val="right"/>
              <w:spacing w:after="0"/>
              <w:rPr>
                <w:sz w:val="20"/>
                <w:szCs w:val="20"/>
                <w:color w:val="auto"/>
              </w:rPr>
            </w:pPr>
            <w:r>
              <w:rPr>
                <w:rFonts w:ascii="Arial" w:cs="Arial" w:eastAsia="Arial" w:hAnsi="Arial"/>
                <w:sz w:val="15"/>
                <w:szCs w:val="15"/>
                <w:color w:val="auto"/>
              </w:rPr>
              <w:t>540,166</w:t>
            </w:r>
          </w:p>
        </w:tc>
      </w:tr>
    </w:tbl>
    <w:p>
      <w:pPr>
        <w:spacing w:after="0" w:line="200" w:lineRule="exact"/>
        <w:rPr>
          <w:sz w:val="20"/>
          <w:szCs w:val="20"/>
          <w:color w:val="auto"/>
        </w:rPr>
      </w:pPr>
    </w:p>
    <w:p>
      <w:pPr>
        <w:spacing w:after="0" w:line="236" w:lineRule="exact"/>
        <w:rPr>
          <w:sz w:val="20"/>
          <w:szCs w:val="20"/>
          <w:color w:val="auto"/>
        </w:rPr>
      </w:pPr>
    </w:p>
    <w:p>
      <w:pPr>
        <w:ind w:right="140" w:firstLine="619"/>
        <w:spacing w:after="0" w:line="249" w:lineRule="auto"/>
        <w:rPr>
          <w:sz w:val="20"/>
          <w:szCs w:val="20"/>
          <w:color w:val="auto"/>
        </w:rPr>
      </w:pPr>
      <w:r>
        <w:rPr>
          <w:rFonts w:ascii="Arial" w:cs="Arial" w:eastAsia="Arial" w:hAnsi="Arial"/>
          <w:sz w:val="17"/>
          <w:szCs w:val="17"/>
          <w:color w:val="auto"/>
        </w:rPr>
        <w:t>As the Company satisfies the applicable qualifying income requirements applicable to publicly traded partnerships, it is not required to be treated as a corporation for U.S. federal or state income tax purposes. Instead, the Company is taxed as a partnership and the tax effects of its activities pass through to its unitholders. Consequently, no provision for income taxes is recorded, except for state and local income taxes incurred directly</w:t>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01" w:name="page102"/>
    <w:bookmarkEnd w:id="101"/>
    <w:p>
      <w:pPr>
        <w:jc w:val="center"/>
        <w:spacing w:after="0"/>
        <w:rPr>
          <w:sz w:val="20"/>
          <w:szCs w:val="20"/>
          <w:color w:val="auto"/>
        </w:rPr>
      </w:pPr>
      <w:r>
        <w:rPr>
          <w:rFonts w:ascii="Arial" w:cs="Arial" w:eastAsia="Arial" w:hAnsi="Arial"/>
          <w:sz w:val="17"/>
          <w:szCs w:val="17"/>
          <w:b w:val="1"/>
          <w:bCs w:val="1"/>
          <w:color w:val="auto"/>
        </w:rPr>
        <w:t>Brookfield Oaktree Holdings, LLC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 (Continued)</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December 31, 2025</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 in thousands, except where noted)</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7"/>
          <w:szCs w:val="17"/>
          <w:color w:val="auto"/>
        </w:rPr>
        <w:t>by the Company. The Company recorded no income tax expense for the years ended December 31, 2025, 2024, and 2023.</w:t>
      </w:r>
    </w:p>
    <w:p>
      <w:pPr>
        <w:spacing w:after="0" w:line="153" w:lineRule="exact"/>
        <w:rPr>
          <w:sz w:val="20"/>
          <w:szCs w:val="20"/>
          <w:color w:val="auto"/>
        </w:rPr>
      </w:pPr>
    </w:p>
    <w:p>
      <w:pPr>
        <w:ind w:right="100" w:firstLine="619"/>
        <w:spacing w:after="0" w:line="241" w:lineRule="auto"/>
        <w:rPr>
          <w:sz w:val="20"/>
          <w:szCs w:val="20"/>
          <w:color w:val="auto"/>
        </w:rPr>
      </w:pPr>
      <w:r>
        <w:rPr>
          <w:rFonts w:ascii="Arial" w:cs="Arial" w:eastAsia="Arial" w:hAnsi="Arial"/>
          <w:sz w:val="17"/>
          <w:szCs w:val="17"/>
          <w:color w:val="auto"/>
        </w:rPr>
        <w:t>When assessing the realizability of deferred tax assets, the Company considers whether it is probable that some or all of the deferred tax assets will not be realized. In determining whether the deferred tax assets are realizable, the Company considers the period of expiration of the tax asset, historical and projected taxable income, and tax liabilities for the tax jurisdiction in which the tax asset is located. The deferred tax asset recognized by the Company, as it relates to the higher tax basis in the carrying value of certain assets compared to the book basis of those assets, will be recognized in future years by these taxable entities. Deferred tax assets are based on the amount of the tax benefit that the Company’s</w:t>
      </w:r>
    </w:p>
    <w:p>
      <w:pPr>
        <w:spacing w:after="0" w:line="1" w:lineRule="exact"/>
        <w:rPr>
          <w:sz w:val="20"/>
          <w:szCs w:val="20"/>
          <w:color w:val="auto"/>
        </w:rPr>
      </w:pPr>
    </w:p>
    <w:p>
      <w:pPr>
        <w:ind w:right="40"/>
        <w:spacing w:after="0" w:line="229" w:lineRule="auto"/>
        <w:rPr>
          <w:sz w:val="20"/>
          <w:szCs w:val="20"/>
          <w:color w:val="auto"/>
        </w:rPr>
      </w:pPr>
      <w:r>
        <w:rPr>
          <w:rFonts w:ascii="Arial" w:cs="Arial" w:eastAsia="Arial" w:hAnsi="Arial"/>
          <w:sz w:val="17"/>
          <w:szCs w:val="17"/>
          <w:color w:val="auto"/>
        </w:rPr>
        <w:t>management has determined is more likely than not to be realized in future periods. In determining the realizability of this tax benefit, management considered numerous factors that will give rise to pre-tax income in future periods. Among these are the historical and expected future book and tax</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basis pre-tax income of the Company and unrealized gains in the Company’s assets at the determination date.</w:t>
      </w:r>
    </w:p>
    <w:p>
      <w:pPr>
        <w:spacing w:after="0" w:line="137" w:lineRule="exact"/>
        <w:rPr>
          <w:sz w:val="20"/>
          <w:szCs w:val="20"/>
          <w:color w:val="auto"/>
        </w:rPr>
      </w:pPr>
    </w:p>
    <w:p>
      <w:pPr>
        <w:ind w:firstLine="619"/>
        <w:spacing w:after="0" w:line="249" w:lineRule="auto"/>
        <w:rPr>
          <w:sz w:val="20"/>
          <w:szCs w:val="20"/>
          <w:color w:val="auto"/>
        </w:rPr>
      </w:pPr>
      <w:r>
        <w:rPr>
          <w:rFonts w:ascii="Arial" w:cs="Arial" w:eastAsia="Arial" w:hAnsi="Arial"/>
          <w:sz w:val="17"/>
          <w:szCs w:val="17"/>
          <w:color w:val="auto"/>
        </w:rPr>
        <w:t>The Company recognizes tax benefits related to its tax positions only where the position is “more likely than not” to be sustained in the event of examination by tax authorities. As part of its assessment, the Company analyzes its tax filing positions in all of the federal, state and foreign tax jurisdictions where it is required to file income tax returns, and for all open tax years in these jurisdictions. As of December 31, 2025, 2024 and 2023, the Company had no unrecognized tax benefits.</w:t>
      </w:r>
    </w:p>
    <w:p>
      <w:pPr>
        <w:spacing w:after="0" w:line="130" w:lineRule="exact"/>
        <w:rPr>
          <w:sz w:val="20"/>
          <w:szCs w:val="20"/>
          <w:color w:val="auto"/>
        </w:rPr>
      </w:pPr>
    </w:p>
    <w:p>
      <w:pPr>
        <w:ind w:right="140" w:firstLine="619"/>
        <w:spacing w:after="0" w:line="271" w:lineRule="auto"/>
        <w:rPr>
          <w:sz w:val="20"/>
          <w:szCs w:val="20"/>
          <w:color w:val="auto"/>
        </w:rPr>
      </w:pPr>
      <w:r>
        <w:rPr>
          <w:rFonts w:ascii="Arial" w:cs="Arial" w:eastAsia="Arial" w:hAnsi="Arial"/>
          <w:sz w:val="17"/>
          <w:szCs w:val="17"/>
          <w:color w:val="auto"/>
        </w:rPr>
        <w:t>The Company recognizes interest and penalties related to unrecognized tax positions in the provision for income taxes in the consolidated statements of operations. As of December 31, 2025 and 2024, there were no aggregate amount of interest and penalties accrued. The Company recognized no expense in 2025, 2024, and 2023.</w:t>
      </w:r>
    </w:p>
    <w:p>
      <w:pPr>
        <w:spacing w:after="0" w:line="98" w:lineRule="exact"/>
        <w:rPr>
          <w:sz w:val="20"/>
          <w:szCs w:val="20"/>
          <w:color w:val="auto"/>
        </w:rPr>
      </w:pPr>
    </w:p>
    <w:p>
      <w:pPr>
        <w:ind w:right="280" w:firstLine="619"/>
        <w:spacing w:after="0" w:line="246" w:lineRule="auto"/>
        <w:rPr>
          <w:sz w:val="20"/>
          <w:szCs w:val="20"/>
          <w:color w:val="auto"/>
        </w:rPr>
      </w:pPr>
      <w:r>
        <w:rPr>
          <w:rFonts w:ascii="Arial" w:cs="Arial" w:eastAsia="Arial" w:hAnsi="Arial"/>
          <w:sz w:val="17"/>
          <w:szCs w:val="17"/>
          <w:color w:val="auto"/>
        </w:rPr>
        <w:t>The Company files its tax returns as prescribed by the tax laws of the jurisdictions in which it operates. In the normal course of business, the Company is subject to examination by the relevant tax authorities. With limited exceptions, the Company is no longer subject to income tax audits by taxing authorities for periods before 2022. The Company believes that it has adequately provided for any reasonably foreseeable outcomes related to its tax examinations and that any settlements related thereto will not have a material adverse effect on the Company’s consolidated financial statements; however, there can be no assurances as to the ultimate outcomes.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14. COMMITMENTS AND CONTINGENCIES</w:t>
      </w:r>
    </w:p>
    <w:p>
      <w:pPr>
        <w:spacing w:after="0" w:line="167" w:lineRule="exact"/>
        <w:rPr>
          <w:sz w:val="20"/>
          <w:szCs w:val="20"/>
          <w:color w:val="auto"/>
        </w:rPr>
      </w:pPr>
    </w:p>
    <w:p>
      <w:pPr>
        <w:ind w:right="40" w:firstLine="503"/>
        <w:spacing w:after="0" w:line="271" w:lineRule="auto"/>
        <w:rPr>
          <w:sz w:val="20"/>
          <w:szCs w:val="20"/>
          <w:color w:val="auto"/>
        </w:rPr>
      </w:pPr>
      <w:r>
        <w:rPr>
          <w:rFonts w:ascii="Arial" w:cs="Arial" w:eastAsia="Arial" w:hAnsi="Arial"/>
          <w:sz w:val="17"/>
          <w:szCs w:val="17"/>
          <w:color w:val="auto"/>
        </w:rPr>
        <w:t>In the normal course of business, Oaktree enters into contracts that contain certain representations, warranties and indemnifications. The Company’s exposure under these arrangements would involve future claims that have not yet been asserted. Inasmuch as no such claims currently exist or are expected to arise, the Company has not accrued any liability in connection with these indemnifications.</w:t>
      </w:r>
    </w:p>
    <w:p>
      <w:pPr>
        <w:spacing w:after="0" w:line="10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Legal Actions</w:t>
      </w:r>
    </w:p>
    <w:p>
      <w:pPr>
        <w:spacing w:after="0" w:line="14" w:lineRule="exact"/>
        <w:rPr>
          <w:sz w:val="20"/>
          <w:szCs w:val="20"/>
          <w:color w:val="auto"/>
        </w:rPr>
      </w:pPr>
    </w:p>
    <w:p>
      <w:pPr>
        <w:ind w:left="620"/>
        <w:spacing w:after="0"/>
        <w:rPr>
          <w:sz w:val="20"/>
          <w:szCs w:val="20"/>
          <w:color w:val="auto"/>
        </w:rPr>
      </w:pPr>
      <w:r>
        <w:rPr>
          <w:rFonts w:ascii="Arial" w:cs="Arial" w:eastAsia="Arial" w:hAnsi="Arial"/>
          <w:sz w:val="17"/>
          <w:szCs w:val="17"/>
          <w:color w:val="auto"/>
        </w:rPr>
        <w:t>Oaktree, its affiliates, investment professionals, and portfolio companies are routinely involved in litigation and other legal actions in the</w:t>
      </w:r>
    </w:p>
    <w:p>
      <w:pPr>
        <w:ind w:right="240"/>
        <w:spacing w:after="0" w:line="229" w:lineRule="auto"/>
        <w:rPr>
          <w:sz w:val="20"/>
          <w:szCs w:val="20"/>
          <w:color w:val="auto"/>
        </w:rPr>
      </w:pPr>
      <w:r>
        <w:rPr>
          <w:rFonts w:ascii="Arial" w:cs="Arial" w:eastAsia="Arial" w:hAnsi="Arial"/>
          <w:sz w:val="17"/>
          <w:szCs w:val="17"/>
          <w:color w:val="auto"/>
        </w:rPr>
        <w:t>ordinary course of their business and investing activities. In addition, Oaktree is subject to the authority of a number of U.S. and non-U.S. regulators, including the SEC and the Financial Industry Regulatory Authority, and those authorities periodically conduct examinations of Oaktree</w:t>
      </w:r>
    </w:p>
    <w:p>
      <w:pPr>
        <w:spacing w:after="0" w:line="1" w:lineRule="exact"/>
        <w:rPr>
          <w:sz w:val="20"/>
          <w:szCs w:val="20"/>
          <w:color w:val="auto"/>
        </w:rPr>
      </w:pPr>
    </w:p>
    <w:p>
      <w:pPr>
        <w:ind w:right="140"/>
        <w:spacing w:after="0" w:line="246" w:lineRule="auto"/>
        <w:rPr>
          <w:sz w:val="20"/>
          <w:szCs w:val="20"/>
          <w:color w:val="auto"/>
        </w:rPr>
      </w:pPr>
      <w:r>
        <w:rPr>
          <w:rFonts w:ascii="Arial" w:cs="Arial" w:eastAsia="Arial" w:hAnsi="Arial"/>
          <w:sz w:val="17"/>
          <w:szCs w:val="17"/>
          <w:color w:val="auto"/>
        </w:rPr>
        <w:t>and make other inquiries that may result in the commencement of regulatory proceedings against Oaktree and its personnel. The Company and Oaktree are currently not subject to any pending actions or regulatory proceedings that either individually or in the aggregate are expected to have a material impact on the Company’s consolidated financial statements.</w:t>
      </w:r>
    </w:p>
    <w:p>
      <w:pPr>
        <w:spacing w:after="0" w:line="12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Commitments to Funds</w:t>
      </w:r>
    </w:p>
    <w:p>
      <w:pPr>
        <w:spacing w:after="0" w:line="167" w:lineRule="exact"/>
        <w:rPr>
          <w:sz w:val="20"/>
          <w:szCs w:val="20"/>
          <w:color w:val="auto"/>
        </w:rPr>
      </w:pPr>
    </w:p>
    <w:p>
      <w:pPr>
        <w:ind w:right="200" w:firstLine="503"/>
        <w:spacing w:after="0" w:line="271" w:lineRule="auto"/>
        <w:rPr>
          <w:sz w:val="20"/>
          <w:szCs w:val="20"/>
          <w:color w:val="auto"/>
        </w:rPr>
      </w:pPr>
      <w:r>
        <w:rPr>
          <w:rFonts w:ascii="Arial" w:cs="Arial" w:eastAsia="Arial" w:hAnsi="Arial"/>
          <w:sz w:val="17"/>
          <w:szCs w:val="17"/>
          <w:color w:val="auto"/>
        </w:rPr>
        <w:t>As of December 31, 2025 and 2024, the Company had undrawn capital commitments of $112.5 million in its capacity as a limited partner in Opps XI. As of December 31, 2025 and 2024, the Company had undrawn commitments of $577.3 million and $696.7 million, respectively, in its capacity as a limited partner in Opps XII (Opps XI and Opps XII as defined in note 15).</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02" w:name="page103"/>
    <w:bookmarkEnd w:id="102"/>
    <w:p>
      <w:pPr>
        <w:jc w:val="center"/>
        <w:spacing w:after="0"/>
        <w:rPr>
          <w:sz w:val="20"/>
          <w:szCs w:val="20"/>
          <w:color w:val="auto"/>
        </w:rPr>
      </w:pPr>
      <w:r>
        <w:rPr>
          <w:rFonts w:ascii="Arial" w:cs="Arial" w:eastAsia="Arial" w:hAnsi="Arial"/>
          <w:sz w:val="17"/>
          <w:szCs w:val="17"/>
          <w:b w:val="1"/>
          <w:bCs w:val="1"/>
          <w:color w:val="auto"/>
        </w:rPr>
        <w:t>Brookfield Oaktree Holdings, LLC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 (Continued)</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December 31, 2025</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 in thousands, except where noted)</w:t>
      </w: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Investment Commitments of the Consolidated Funds</w:t>
      </w:r>
    </w:p>
    <w:p>
      <w:pPr>
        <w:spacing w:after="0" w:line="168" w:lineRule="exact"/>
        <w:rPr>
          <w:sz w:val="20"/>
          <w:szCs w:val="20"/>
          <w:color w:val="auto"/>
        </w:rPr>
      </w:pPr>
    </w:p>
    <w:p>
      <w:pPr>
        <w:ind w:right="140" w:firstLine="619"/>
        <w:spacing w:after="0" w:line="259" w:lineRule="auto"/>
        <w:rPr>
          <w:sz w:val="20"/>
          <w:szCs w:val="20"/>
          <w:color w:val="auto"/>
        </w:rPr>
      </w:pPr>
      <w:r>
        <w:rPr>
          <w:rFonts w:ascii="Arial" w:cs="Arial" w:eastAsia="Arial" w:hAnsi="Arial"/>
          <w:sz w:val="17"/>
          <w:szCs w:val="17"/>
          <w:color w:val="auto"/>
        </w:rPr>
        <w:t>Certain of the consolidated funds are parties to credit arrangements that provide for the issuance of letters of credit and/or revolving loans, which may require the particular fund to extend loans to investee companies. The consolidated funds use the same investment criteria in making these commitments as they do for investments that are included in the consolidated statements of financial condition. The unfunded liability associated with these credit arrangements is equal to the amount by which the contractual loan commitment exceeds the sum of funded debt and cash held in escrow, if any. As of December 31, 2025 and 2024, the consolidated funds had total outstanding debt commitments of $263.2 million and $327.1 million respectively. As of December 31, 2025 and 2024, the consolidated funds had potential unfunded investment commitments of $378.8 million and $411.4 million respectively.</w:t>
      </w:r>
    </w:p>
    <w:p>
      <w:pPr>
        <w:spacing w:after="0" w:line="122" w:lineRule="exact"/>
        <w:rPr>
          <w:sz w:val="20"/>
          <w:szCs w:val="20"/>
          <w:color w:val="auto"/>
        </w:rPr>
      </w:pPr>
    </w:p>
    <w:p>
      <w:pPr>
        <w:ind w:right="40" w:firstLine="619"/>
        <w:spacing w:after="0" w:line="290" w:lineRule="auto"/>
        <w:rPr>
          <w:sz w:val="20"/>
          <w:szCs w:val="20"/>
          <w:color w:val="auto"/>
        </w:rPr>
      </w:pPr>
      <w:r>
        <w:rPr>
          <w:rFonts w:ascii="Arial" w:cs="Arial" w:eastAsia="Arial" w:hAnsi="Arial"/>
          <w:sz w:val="17"/>
          <w:szCs w:val="17"/>
          <w:color w:val="auto"/>
        </w:rPr>
        <w:t>A consolidated fund may agree to guarantee the repayment obligations of certain investee companies. As of December 31, 2025 and 2024, there were no guaranteed amounts under such arrangements.</w:t>
      </w:r>
    </w:p>
    <w:p>
      <w:pPr>
        <w:spacing w:after="0" w:line="95" w:lineRule="exact"/>
        <w:rPr>
          <w:sz w:val="20"/>
          <w:szCs w:val="20"/>
          <w:color w:val="auto"/>
        </w:rPr>
      </w:pPr>
    </w:p>
    <w:p>
      <w:pPr>
        <w:ind w:right="40" w:firstLine="619"/>
        <w:spacing w:after="0" w:line="271" w:lineRule="auto"/>
        <w:rPr>
          <w:sz w:val="20"/>
          <w:szCs w:val="20"/>
          <w:color w:val="auto"/>
        </w:rPr>
      </w:pPr>
      <w:r>
        <w:rPr>
          <w:rFonts w:ascii="Arial" w:cs="Arial" w:eastAsia="Arial" w:hAnsi="Arial"/>
          <w:sz w:val="17"/>
          <w:szCs w:val="17"/>
          <w:color w:val="auto"/>
        </w:rPr>
        <w:t>Certain consolidated funds are investment companies that are required to disclose financial support provided or contractually required to be provided to any of their portfolio companies. During the twelve months ended December 31, 2025, $211.5 million financial support was provided to investees pursuant to contractual agreements.</w:t>
      </w:r>
    </w:p>
    <w:p>
      <w:pPr>
        <w:spacing w:after="0" w:line="10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15. RELATED-PARTY TRANSACTIONS</w:t>
      </w:r>
    </w:p>
    <w:p>
      <w:pPr>
        <w:spacing w:after="0" w:line="168" w:lineRule="exact"/>
        <w:rPr>
          <w:sz w:val="20"/>
          <w:szCs w:val="20"/>
          <w:color w:val="auto"/>
        </w:rPr>
      </w:pPr>
    </w:p>
    <w:p>
      <w:pPr>
        <w:ind w:right="180" w:firstLine="503"/>
        <w:spacing w:after="0" w:line="265" w:lineRule="auto"/>
        <w:rPr>
          <w:sz w:val="20"/>
          <w:szCs w:val="20"/>
          <w:color w:val="auto"/>
        </w:rPr>
      </w:pPr>
      <w:r>
        <w:rPr>
          <w:rFonts w:ascii="Arial" w:cs="Arial" w:eastAsia="Arial" w:hAnsi="Arial"/>
          <w:sz w:val="17"/>
          <w:szCs w:val="17"/>
          <w:color w:val="auto"/>
        </w:rPr>
        <w:t>The Company considers its executive officers, employees, if any, and unconsolidated Oaktree funds to be affiliates (as defined in the FASB ASC Master Glossary). Amounts due from and to affiliates are set forth below. The fair value of amounts due from and to affiliates is a Level III valuation and was valued based on a discounted cash-flow analysis. The carrying value of amounts due from and to affiliates approximated fair value due to their short-term nature or because their weighted average interest rate approximated the Company’s cost of debt.</w:t>
      </w:r>
    </w:p>
    <w:p>
      <w:pPr>
        <w:spacing w:after="0" w:line="154" w:lineRule="exact"/>
        <w:rPr>
          <w:sz w:val="20"/>
          <w:szCs w:val="20"/>
          <w:color w:val="auto"/>
        </w:rPr>
      </w:pPr>
    </w:p>
    <w:tbl>
      <w:tblPr>
        <w:tblLayout w:type="fixed"/>
        <w:tblInd w:w="20" w:type="dxa"/>
        <w:tblCellMar>
          <w:top w:w="0" w:type="dxa"/>
          <w:left w:w="0" w:type="dxa"/>
          <w:bottom w:w="0" w:type="dxa"/>
          <w:right w:w="0" w:type="dxa"/>
        </w:tblCellMar>
      </w:tblPr>
      <w:tr>
        <w:trPr>
          <w:trHeight w:val="169"/>
        </w:trPr>
        <w:tc>
          <w:tcPr>
            <w:tcW w:w="860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3"/>
          </w:tcPr>
          <w:p>
            <w:pPr>
              <w:jc w:val="right"/>
              <w:spacing w:after="0"/>
              <w:rPr>
                <w:sz w:val="20"/>
                <w:szCs w:val="20"/>
                <w:color w:val="auto"/>
              </w:rPr>
            </w:pPr>
            <w:r>
              <w:rPr>
                <w:rFonts w:ascii="Arial" w:cs="Arial" w:eastAsia="Arial" w:hAnsi="Arial"/>
                <w:sz w:val="12"/>
                <w:szCs w:val="12"/>
                <w:b w:val="1"/>
                <w:bCs w:val="1"/>
                <w:color w:val="auto"/>
                <w:w w:val="98"/>
              </w:rPr>
              <w:t>As of December 31,</w:t>
            </w:r>
          </w:p>
        </w:tc>
        <w:tc>
          <w:tcPr>
            <w:tcW w:w="7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600" w:type="dxa"/>
            <w:vAlign w:val="bottom"/>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2025</w:t>
            </w:r>
          </w:p>
        </w:tc>
        <w:tc>
          <w:tcPr>
            <w:tcW w:w="46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386"/>
              <w:spacing w:after="0"/>
              <w:rPr>
                <w:sz w:val="20"/>
                <w:szCs w:val="20"/>
                <w:color w:val="auto"/>
              </w:rPr>
            </w:pPr>
            <w:r>
              <w:rPr>
                <w:rFonts w:ascii="Arial" w:cs="Arial" w:eastAsia="Arial" w:hAnsi="Arial"/>
                <w:sz w:val="12"/>
                <w:szCs w:val="12"/>
                <w:b w:val="1"/>
                <w:bCs w:val="1"/>
                <w:color w:val="auto"/>
                <w:w w:val="97"/>
              </w:rPr>
              <w:t>2024</w:t>
            </w:r>
          </w:p>
        </w:tc>
        <w:tc>
          <w:tcPr>
            <w:tcW w:w="0" w:type="dxa"/>
            <w:vAlign w:val="bottom"/>
          </w:tcPr>
          <w:p>
            <w:pPr>
              <w:spacing w:after="0"/>
              <w:rPr>
                <w:sz w:val="1"/>
                <w:szCs w:val="1"/>
                <w:color w:val="auto"/>
              </w:rPr>
            </w:pPr>
          </w:p>
        </w:tc>
      </w:tr>
      <w:tr>
        <w:trPr>
          <w:trHeight w:val="200"/>
        </w:trPr>
        <w:tc>
          <w:tcPr>
            <w:tcW w:w="8600" w:type="dxa"/>
            <w:vAlign w:val="bottom"/>
          </w:tcPr>
          <w:p>
            <w:pPr>
              <w:spacing w:after="0"/>
              <w:rPr>
                <w:sz w:val="20"/>
                <w:szCs w:val="20"/>
                <w:color w:val="auto"/>
              </w:rPr>
            </w:pPr>
            <w:r>
              <w:rPr>
                <w:rFonts w:ascii="Arial" w:cs="Arial" w:eastAsia="Arial" w:hAnsi="Arial"/>
                <w:sz w:val="15"/>
                <w:szCs w:val="15"/>
                <w:color w:val="auto"/>
              </w:rPr>
              <w:t>Due from affiliates:</w:t>
            </w:r>
          </w:p>
        </w:tc>
        <w:tc>
          <w:tcPr>
            <w:tcW w:w="7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8600" w:type="dxa"/>
            <w:vAlign w:val="bottom"/>
          </w:tcPr>
          <w:p>
            <w:pPr>
              <w:ind w:left="300"/>
              <w:spacing w:after="0"/>
              <w:rPr>
                <w:sz w:val="20"/>
                <w:szCs w:val="20"/>
                <w:color w:val="auto"/>
              </w:rPr>
            </w:pPr>
            <w:r>
              <w:rPr>
                <w:rFonts w:ascii="Arial" w:cs="Arial" w:eastAsia="Arial" w:hAnsi="Arial"/>
                <w:sz w:val="15"/>
                <w:szCs w:val="15"/>
                <w:color w:val="auto"/>
              </w:rPr>
              <w:t>Payments made on behalf of unconsolidated entities</w:t>
            </w:r>
          </w:p>
        </w:tc>
        <w:tc>
          <w:tcPr>
            <w:tcW w:w="740" w:type="dxa"/>
            <w:vAlign w:val="bottom"/>
            <w:tcBorders>
              <w:bottom w:val="single" w:sz="8" w:color="auto"/>
            </w:tcBorders>
          </w:tcPr>
          <w:p>
            <w:pPr>
              <w:jc w:val="right"/>
              <w:ind w:right="566"/>
              <w:spacing w:after="0"/>
              <w:rPr>
                <w:sz w:val="20"/>
                <w:szCs w:val="20"/>
                <w:color w:val="auto"/>
              </w:rPr>
            </w:pPr>
            <w:r>
              <w:rPr>
                <w:rFonts w:ascii="Arial" w:cs="Arial" w:eastAsia="Arial" w:hAnsi="Arial"/>
                <w:sz w:val="15"/>
                <w:szCs w:val="15"/>
                <w:color w:val="auto"/>
                <w:w w:val="95"/>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551</w:t>
            </w:r>
          </w:p>
        </w:tc>
        <w:tc>
          <w:tcPr>
            <w:tcW w:w="220" w:type="dxa"/>
            <w:vAlign w:val="bottom"/>
          </w:tcPr>
          <w:p>
            <w:pPr>
              <w:spacing w:after="0"/>
              <w:rPr>
                <w:sz w:val="18"/>
                <w:szCs w:val="18"/>
                <w:color w:val="auto"/>
              </w:rPr>
            </w:pPr>
          </w:p>
        </w:tc>
        <w:tc>
          <w:tcPr>
            <w:tcW w:w="460" w:type="dxa"/>
            <w:vAlign w:val="bottom"/>
            <w:tcBorders>
              <w:bottom w:val="single" w:sz="8" w:color="auto"/>
            </w:tcBorders>
          </w:tcPr>
          <w:p>
            <w:pPr>
              <w:jc w:val="right"/>
              <w:ind w:right="283"/>
              <w:spacing w:after="0"/>
              <w:rPr>
                <w:sz w:val="20"/>
                <w:szCs w:val="20"/>
                <w:color w:val="auto"/>
              </w:rPr>
            </w:pPr>
            <w:r>
              <w:rPr>
                <w:rFonts w:ascii="Arial" w:cs="Arial" w:eastAsia="Arial" w:hAnsi="Arial"/>
                <w:sz w:val="15"/>
                <w:szCs w:val="15"/>
                <w:color w:val="auto"/>
                <w:w w:val="95"/>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227</w:t>
            </w:r>
          </w:p>
        </w:tc>
        <w:tc>
          <w:tcPr>
            <w:tcW w:w="0" w:type="dxa"/>
            <w:vAlign w:val="bottom"/>
          </w:tcPr>
          <w:p>
            <w:pPr>
              <w:spacing w:after="0"/>
              <w:rPr>
                <w:sz w:val="1"/>
                <w:szCs w:val="1"/>
                <w:color w:val="auto"/>
              </w:rPr>
            </w:pPr>
          </w:p>
        </w:tc>
      </w:tr>
      <w:tr>
        <w:trPr>
          <w:trHeight w:val="200"/>
        </w:trPr>
        <w:tc>
          <w:tcPr>
            <w:tcW w:w="8600" w:type="dxa"/>
            <w:vAlign w:val="bottom"/>
          </w:tcPr>
          <w:p>
            <w:pPr>
              <w:ind w:left="620"/>
              <w:spacing w:after="0"/>
              <w:rPr>
                <w:sz w:val="20"/>
                <w:szCs w:val="20"/>
                <w:color w:val="auto"/>
              </w:rPr>
            </w:pPr>
            <w:r>
              <w:rPr>
                <w:rFonts w:ascii="Arial" w:cs="Arial" w:eastAsia="Arial" w:hAnsi="Arial"/>
                <w:sz w:val="15"/>
                <w:szCs w:val="15"/>
                <w:color w:val="auto"/>
              </w:rPr>
              <w:t>Total due from affiliates</w:t>
            </w:r>
          </w:p>
        </w:tc>
        <w:tc>
          <w:tcPr>
            <w:tcW w:w="740" w:type="dxa"/>
            <w:vAlign w:val="bottom"/>
            <w:tcBorders>
              <w:bottom w:val="single" w:sz="8" w:color="auto"/>
            </w:tcBorders>
          </w:tcPr>
          <w:p>
            <w:pPr>
              <w:jc w:val="right"/>
              <w:ind w:right="566"/>
              <w:spacing w:after="0"/>
              <w:rPr>
                <w:sz w:val="20"/>
                <w:szCs w:val="20"/>
                <w:color w:val="auto"/>
              </w:rPr>
            </w:pPr>
            <w:r>
              <w:rPr>
                <w:rFonts w:ascii="Arial" w:cs="Arial" w:eastAsia="Arial" w:hAnsi="Arial"/>
                <w:sz w:val="15"/>
                <w:szCs w:val="15"/>
                <w:color w:val="auto"/>
                <w:w w:val="95"/>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551</w:t>
            </w:r>
          </w:p>
        </w:tc>
        <w:tc>
          <w:tcPr>
            <w:tcW w:w="220" w:type="dxa"/>
            <w:vAlign w:val="bottom"/>
          </w:tcPr>
          <w:p>
            <w:pPr>
              <w:spacing w:after="0"/>
              <w:rPr>
                <w:sz w:val="17"/>
                <w:szCs w:val="17"/>
                <w:color w:val="auto"/>
              </w:rPr>
            </w:pPr>
          </w:p>
        </w:tc>
        <w:tc>
          <w:tcPr>
            <w:tcW w:w="460" w:type="dxa"/>
            <w:vAlign w:val="bottom"/>
            <w:tcBorders>
              <w:bottom w:val="single" w:sz="8" w:color="auto"/>
            </w:tcBorders>
          </w:tcPr>
          <w:p>
            <w:pPr>
              <w:jc w:val="right"/>
              <w:ind w:right="283"/>
              <w:spacing w:after="0"/>
              <w:rPr>
                <w:sz w:val="20"/>
                <w:szCs w:val="20"/>
                <w:color w:val="auto"/>
              </w:rPr>
            </w:pPr>
            <w:r>
              <w:rPr>
                <w:rFonts w:ascii="Arial" w:cs="Arial" w:eastAsia="Arial" w:hAnsi="Arial"/>
                <w:sz w:val="15"/>
                <w:szCs w:val="15"/>
                <w:color w:val="auto"/>
                <w:w w:val="95"/>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227</w:t>
            </w:r>
          </w:p>
        </w:tc>
        <w:tc>
          <w:tcPr>
            <w:tcW w:w="0" w:type="dxa"/>
            <w:vAlign w:val="bottom"/>
          </w:tcPr>
          <w:p>
            <w:pPr>
              <w:spacing w:after="0"/>
              <w:rPr>
                <w:sz w:val="1"/>
                <w:szCs w:val="1"/>
                <w:color w:val="auto"/>
              </w:rPr>
            </w:pPr>
          </w:p>
        </w:tc>
      </w:tr>
      <w:tr>
        <w:trPr>
          <w:trHeight w:val="20"/>
        </w:trPr>
        <w:tc>
          <w:tcPr>
            <w:tcW w:w="8600" w:type="dxa"/>
            <w:vAlign w:val="bottom"/>
            <w:vMerge w:val="restart"/>
          </w:tcPr>
          <w:p>
            <w:pPr>
              <w:spacing w:after="0"/>
              <w:rPr>
                <w:sz w:val="20"/>
                <w:szCs w:val="20"/>
                <w:color w:val="auto"/>
              </w:rPr>
            </w:pPr>
            <w:r>
              <w:rPr>
                <w:rFonts w:ascii="Arial" w:cs="Arial" w:eastAsia="Arial" w:hAnsi="Arial"/>
                <w:sz w:val="15"/>
                <w:szCs w:val="15"/>
                <w:color w:val="auto"/>
              </w:rPr>
              <w:t>Due to affiliates:</w:t>
            </w:r>
          </w:p>
        </w:tc>
        <w:tc>
          <w:tcPr>
            <w:tcW w:w="7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00" w:type="dxa"/>
            <w:vAlign w:val="bottom"/>
            <w:vMerge w:val="continue"/>
          </w:tcPr>
          <w:p>
            <w:pPr>
              <w:spacing w:after="0"/>
              <w:rPr>
                <w:sz w:val="17"/>
                <w:szCs w:val="17"/>
                <w:color w:val="auto"/>
              </w:rPr>
            </w:pPr>
          </w:p>
        </w:tc>
        <w:tc>
          <w:tcPr>
            <w:tcW w:w="7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8600" w:type="dxa"/>
            <w:vAlign w:val="bottom"/>
          </w:tcPr>
          <w:p>
            <w:pPr>
              <w:ind w:left="300"/>
              <w:spacing w:after="0"/>
              <w:rPr>
                <w:sz w:val="20"/>
                <w:szCs w:val="20"/>
                <w:color w:val="auto"/>
              </w:rPr>
            </w:pPr>
            <w:r>
              <w:rPr>
                <w:rFonts w:ascii="Arial" w:cs="Arial" w:eastAsia="Arial" w:hAnsi="Arial"/>
                <w:sz w:val="15"/>
                <w:szCs w:val="15"/>
                <w:color w:val="auto"/>
              </w:rPr>
              <w:t>Amounts due to unconsolidated entities</w:t>
            </w:r>
          </w:p>
        </w:tc>
        <w:tc>
          <w:tcPr>
            <w:tcW w:w="740" w:type="dxa"/>
            <w:vAlign w:val="bottom"/>
            <w:tcBorders>
              <w:bottom w:val="single" w:sz="8" w:color="auto"/>
            </w:tcBorders>
          </w:tcPr>
          <w:p>
            <w:pPr>
              <w:jc w:val="right"/>
              <w:ind w:right="566"/>
              <w:spacing w:after="0"/>
              <w:rPr>
                <w:sz w:val="20"/>
                <w:szCs w:val="20"/>
                <w:color w:val="auto"/>
              </w:rPr>
            </w:pPr>
            <w:r>
              <w:rPr>
                <w:rFonts w:ascii="Arial" w:cs="Arial" w:eastAsia="Arial" w:hAnsi="Arial"/>
                <w:sz w:val="15"/>
                <w:szCs w:val="15"/>
                <w:color w:val="auto"/>
                <w:w w:val="95"/>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8"/>
                <w:szCs w:val="18"/>
                <w:color w:val="auto"/>
              </w:rPr>
            </w:pPr>
          </w:p>
        </w:tc>
        <w:tc>
          <w:tcPr>
            <w:tcW w:w="460" w:type="dxa"/>
            <w:vAlign w:val="bottom"/>
            <w:tcBorders>
              <w:bottom w:val="single" w:sz="8" w:color="auto"/>
            </w:tcBorders>
          </w:tcPr>
          <w:p>
            <w:pPr>
              <w:jc w:val="right"/>
              <w:ind w:right="283"/>
              <w:spacing w:after="0"/>
              <w:rPr>
                <w:sz w:val="20"/>
                <w:szCs w:val="20"/>
                <w:color w:val="auto"/>
              </w:rPr>
            </w:pPr>
            <w:r>
              <w:rPr>
                <w:rFonts w:ascii="Arial" w:cs="Arial" w:eastAsia="Arial" w:hAnsi="Arial"/>
                <w:sz w:val="15"/>
                <w:szCs w:val="15"/>
                <w:color w:val="auto"/>
                <w:w w:val="95"/>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200</w:t>
            </w:r>
          </w:p>
        </w:tc>
        <w:tc>
          <w:tcPr>
            <w:tcW w:w="0" w:type="dxa"/>
            <w:vAlign w:val="bottom"/>
          </w:tcPr>
          <w:p>
            <w:pPr>
              <w:spacing w:after="0"/>
              <w:rPr>
                <w:sz w:val="1"/>
                <w:szCs w:val="1"/>
                <w:color w:val="auto"/>
              </w:rPr>
            </w:pPr>
          </w:p>
        </w:tc>
      </w:tr>
      <w:tr>
        <w:trPr>
          <w:trHeight w:val="200"/>
        </w:trPr>
        <w:tc>
          <w:tcPr>
            <w:tcW w:w="8600" w:type="dxa"/>
            <w:vAlign w:val="bottom"/>
          </w:tcPr>
          <w:p>
            <w:pPr>
              <w:ind w:left="620"/>
              <w:spacing w:after="0"/>
              <w:rPr>
                <w:sz w:val="20"/>
                <w:szCs w:val="20"/>
                <w:color w:val="auto"/>
              </w:rPr>
            </w:pPr>
            <w:r>
              <w:rPr>
                <w:rFonts w:ascii="Arial" w:cs="Arial" w:eastAsia="Arial" w:hAnsi="Arial"/>
                <w:sz w:val="15"/>
                <w:szCs w:val="15"/>
                <w:color w:val="auto"/>
              </w:rPr>
              <w:t>Total due to affiliates</w:t>
            </w:r>
          </w:p>
        </w:tc>
        <w:tc>
          <w:tcPr>
            <w:tcW w:w="740" w:type="dxa"/>
            <w:vAlign w:val="bottom"/>
          </w:tcPr>
          <w:p>
            <w:pPr>
              <w:jc w:val="right"/>
              <w:ind w:right="566"/>
              <w:spacing w:after="0"/>
              <w:rPr>
                <w:sz w:val="20"/>
                <w:szCs w:val="20"/>
                <w:color w:val="auto"/>
              </w:rPr>
            </w:pPr>
            <w:r>
              <w:rPr>
                <w:rFonts w:ascii="Arial" w:cs="Arial" w:eastAsia="Arial" w:hAnsi="Arial"/>
                <w:sz w:val="15"/>
                <w:szCs w:val="15"/>
                <w:color w:val="auto"/>
                <w:w w:val="95"/>
              </w:rPr>
              <w:t>$</w:t>
            </w:r>
          </w:p>
        </w:tc>
        <w:tc>
          <w:tcPr>
            <w:tcW w:w="68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460" w:type="dxa"/>
            <w:vAlign w:val="bottom"/>
          </w:tcPr>
          <w:p>
            <w:pPr>
              <w:jc w:val="right"/>
              <w:ind w:right="283"/>
              <w:spacing w:after="0"/>
              <w:rPr>
                <w:sz w:val="20"/>
                <w:szCs w:val="20"/>
                <w:color w:val="auto"/>
              </w:rPr>
            </w:pPr>
            <w:r>
              <w:rPr>
                <w:rFonts w:ascii="Arial" w:cs="Arial" w:eastAsia="Arial" w:hAnsi="Arial"/>
                <w:sz w:val="15"/>
                <w:szCs w:val="15"/>
                <w:color w:val="auto"/>
                <w:w w:val="95"/>
              </w:rPr>
              <w:t>$</w:t>
            </w:r>
          </w:p>
        </w:tc>
        <w:tc>
          <w:tcPr>
            <w:tcW w:w="740" w:type="dxa"/>
            <w:vAlign w:val="bottom"/>
          </w:tcPr>
          <w:p>
            <w:pPr>
              <w:jc w:val="right"/>
              <w:spacing w:after="0"/>
              <w:rPr>
                <w:sz w:val="20"/>
                <w:szCs w:val="20"/>
                <w:color w:val="auto"/>
              </w:rPr>
            </w:pPr>
            <w:r>
              <w:rPr>
                <w:rFonts w:ascii="Arial" w:cs="Arial" w:eastAsia="Arial" w:hAnsi="Arial"/>
                <w:sz w:val="15"/>
                <w:szCs w:val="15"/>
                <w:color w:val="auto"/>
              </w:rPr>
              <w:t>200</w:t>
            </w:r>
          </w:p>
        </w:tc>
        <w:tc>
          <w:tcPr>
            <w:tcW w:w="0" w:type="dxa"/>
            <w:vAlign w:val="bottom"/>
          </w:tcPr>
          <w:p>
            <w:pPr>
              <w:spacing w:after="0"/>
              <w:rPr>
                <w:sz w:val="1"/>
                <w:szCs w:val="1"/>
                <w:color w:val="auto"/>
              </w:rPr>
            </w:pPr>
          </w:p>
        </w:tc>
      </w:tr>
      <w:tr>
        <w:trPr>
          <w:trHeight w:val="20"/>
        </w:trPr>
        <w:tc>
          <w:tcPr>
            <w:tcW w:w="86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Payments made on behalf of unconsolidated entities</w:t>
      </w:r>
    </w:p>
    <w:p>
      <w:pPr>
        <w:spacing w:after="0" w:line="167" w:lineRule="exact"/>
        <w:rPr>
          <w:sz w:val="20"/>
          <w:szCs w:val="20"/>
          <w:color w:val="auto"/>
        </w:rPr>
      </w:pPr>
    </w:p>
    <w:p>
      <w:pPr>
        <w:ind w:right="300" w:firstLine="619"/>
        <w:spacing w:after="0" w:line="290" w:lineRule="auto"/>
        <w:rPr>
          <w:sz w:val="20"/>
          <w:szCs w:val="20"/>
          <w:color w:val="auto"/>
        </w:rPr>
      </w:pPr>
      <w:r>
        <w:rPr>
          <w:rFonts w:ascii="Arial" w:cs="Arial" w:eastAsia="Arial" w:hAnsi="Arial"/>
          <w:sz w:val="17"/>
          <w:szCs w:val="17"/>
          <w:color w:val="auto"/>
        </w:rPr>
        <w:t>In the normal course of business, the Company advances certain expenses on behalf of Oaktree funds. Amounts advanced on behalf of consolidated funds are eliminated in consolidation.</w:t>
      </w:r>
    </w:p>
    <w:p>
      <w:pPr>
        <w:spacing w:after="0" w:line="9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Revenues Earned From Oaktree Funds</w:t>
      </w:r>
    </w:p>
    <w:p>
      <w:pPr>
        <w:spacing w:after="0" w:line="167" w:lineRule="exact"/>
        <w:rPr>
          <w:sz w:val="20"/>
          <w:szCs w:val="20"/>
          <w:color w:val="auto"/>
        </w:rPr>
      </w:pPr>
    </w:p>
    <w:p>
      <w:pPr>
        <w:ind w:right="260" w:firstLine="619"/>
        <w:spacing w:after="0" w:line="290" w:lineRule="auto"/>
        <w:rPr>
          <w:sz w:val="20"/>
          <w:szCs w:val="20"/>
          <w:color w:val="auto"/>
        </w:rPr>
      </w:pPr>
      <w:r>
        <w:rPr>
          <w:rFonts w:ascii="Arial" w:cs="Arial" w:eastAsia="Arial" w:hAnsi="Arial"/>
          <w:sz w:val="17"/>
          <w:szCs w:val="17"/>
          <w:color w:val="auto"/>
        </w:rPr>
        <w:t>Subsequent to the 2024 Restructuring, incentive income is no longer recognized by the Company due to the deconsolidation of Oaktree Capital I. The Company’s proportionate share of incentive income earned by Oaktree Capital I is included as a component of investment income.</w:t>
      </w:r>
    </w:p>
    <w:p>
      <w:pPr>
        <w:spacing w:after="0" w:line="95" w:lineRule="exact"/>
        <w:rPr>
          <w:sz w:val="20"/>
          <w:szCs w:val="20"/>
          <w:color w:val="auto"/>
        </w:rPr>
      </w:pPr>
    </w:p>
    <w:p>
      <w:pPr>
        <w:ind w:right="160" w:firstLine="619"/>
        <w:spacing w:after="0" w:line="290" w:lineRule="auto"/>
        <w:rPr>
          <w:sz w:val="20"/>
          <w:szCs w:val="20"/>
          <w:color w:val="auto"/>
        </w:rPr>
      </w:pPr>
      <w:r>
        <w:rPr>
          <w:rFonts w:ascii="Arial" w:cs="Arial" w:eastAsia="Arial" w:hAnsi="Arial"/>
          <w:sz w:val="17"/>
          <w:szCs w:val="17"/>
          <w:color w:val="auto"/>
        </w:rPr>
        <w:t>Incentive income earned from unconsolidated funds totaled $0, $117.5 million and $267.3 million for the years ended December 31, 2025, 2024 and 2023, respectively.</w:t>
      </w:r>
    </w:p>
    <w:p>
      <w:pPr>
        <w:spacing w:after="0" w:line="9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Special Allocations</w:t>
      </w:r>
    </w:p>
    <w:p>
      <w:pPr>
        <w:spacing w:after="0" w:line="168" w:lineRule="exact"/>
        <w:rPr>
          <w:sz w:val="20"/>
          <w:szCs w:val="20"/>
          <w:color w:val="auto"/>
        </w:rPr>
      </w:pPr>
    </w:p>
    <w:p>
      <w:pPr>
        <w:ind w:right="260" w:firstLine="619"/>
        <w:spacing w:after="0" w:line="271" w:lineRule="auto"/>
        <w:rPr>
          <w:sz w:val="20"/>
          <w:szCs w:val="20"/>
          <w:color w:val="auto"/>
        </w:rPr>
      </w:pPr>
      <w:r>
        <w:rPr>
          <w:rFonts w:ascii="Arial" w:cs="Arial" w:eastAsia="Arial" w:hAnsi="Arial"/>
          <w:sz w:val="17"/>
          <w:szCs w:val="17"/>
          <w:color w:val="auto"/>
        </w:rPr>
        <w:t>Certain executive officers of the Company receive special allocations based on a percentage of profits of the Oaktree Operating Group. These special allocations are made on a current basis for so long as the executive officers remain senior executives of the Company, with limited exceptions.</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3" w:name="page104"/>
    <w:bookmarkEnd w:id="103"/>
    <w:p>
      <w:pPr>
        <w:jc w:val="center"/>
        <w:ind w:right="-19"/>
        <w:spacing w:after="0"/>
        <w:rPr>
          <w:sz w:val="20"/>
          <w:szCs w:val="20"/>
          <w:color w:val="auto"/>
        </w:rPr>
      </w:pPr>
      <w:r>
        <w:rPr>
          <w:rFonts w:ascii="Arial" w:cs="Arial" w:eastAsia="Arial" w:hAnsi="Arial"/>
          <w:sz w:val="17"/>
          <w:szCs w:val="17"/>
          <w:b w:val="1"/>
          <w:bCs w:val="1"/>
          <w:color w:val="auto"/>
        </w:rPr>
        <w:t>Brookfield Oaktree Holdings, LLC</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Consolidated Financial Statements — (Continued)</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December 31, 2025</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 in thousands, except where noted)</w:t>
      </w: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Administrative Services</w:t>
      </w:r>
    </w:p>
    <w:p>
      <w:pPr>
        <w:spacing w:after="0" w:line="168" w:lineRule="exact"/>
        <w:rPr>
          <w:sz w:val="20"/>
          <w:szCs w:val="20"/>
          <w:color w:val="auto"/>
        </w:rPr>
      </w:pPr>
    </w:p>
    <w:p>
      <w:pPr>
        <w:ind w:right="40" w:firstLine="619"/>
        <w:spacing w:after="0" w:line="260" w:lineRule="auto"/>
        <w:rPr>
          <w:sz w:val="20"/>
          <w:szCs w:val="20"/>
          <w:color w:val="auto"/>
        </w:rPr>
      </w:pPr>
      <w:r>
        <w:rPr>
          <w:rFonts w:ascii="Arial" w:cs="Arial" w:eastAsia="Arial" w:hAnsi="Arial"/>
          <w:sz w:val="17"/>
          <w:szCs w:val="17"/>
          <w:color w:val="auto"/>
        </w:rPr>
        <w:t>The Company is party to the Services Agreement with OCM. Pursuant to the Services Agreement, OCM provides administrative services to the Company necessary for the operations of the Company, which include providing office facilities, equipment, clerical, bookkeeping and record keeping services at such facilities and such other services as OCM, subject to review by the Company’s board of directors, shall from time to time deem to be necessary or useful to perform its obligations under the Services Agreement. OCM may, on behalf of the Company, conduct relations and negotiate agreements with custodians, trustees, depositories, attorneys, underwriters, brokers and dealers, corporate fiduciaries, insurers, banks and such other persons in any such other capacity deemed to be necessary or desirable.</w:t>
      </w:r>
    </w:p>
    <w:p>
      <w:pPr>
        <w:spacing w:after="0" w:line="122" w:lineRule="exact"/>
        <w:rPr>
          <w:sz w:val="20"/>
          <w:szCs w:val="20"/>
          <w:color w:val="auto"/>
        </w:rPr>
      </w:pPr>
    </w:p>
    <w:p>
      <w:pPr>
        <w:ind w:right="400" w:firstLine="619"/>
        <w:spacing w:after="0" w:line="265" w:lineRule="auto"/>
        <w:rPr>
          <w:sz w:val="20"/>
          <w:szCs w:val="20"/>
          <w:color w:val="auto"/>
        </w:rPr>
      </w:pPr>
      <w:r>
        <w:rPr>
          <w:rFonts w:ascii="Arial" w:cs="Arial" w:eastAsia="Arial" w:hAnsi="Arial"/>
          <w:sz w:val="17"/>
          <w:szCs w:val="17"/>
          <w:color w:val="auto"/>
        </w:rPr>
        <w:t>OCM is responsible for the financial and other records that the Company is required to maintain and prepares, prints and disseminates reports to the Company’s unitholders and all other materials filed with the SEC. In addition, OCM assists the Company in overseeing the preparation and filing of the Company’s tax returns, and generally overseeing the payment of the Company’s expenses and the performance of administrative and professional services rendered to the Company by others.</w:t>
      </w:r>
    </w:p>
    <w:p>
      <w:pPr>
        <w:spacing w:after="0" w:line="116" w:lineRule="exact"/>
        <w:rPr>
          <w:sz w:val="20"/>
          <w:szCs w:val="20"/>
          <w:color w:val="auto"/>
        </w:rPr>
      </w:pPr>
    </w:p>
    <w:p>
      <w:pPr>
        <w:ind w:firstLine="619"/>
        <w:spacing w:after="0" w:line="260" w:lineRule="auto"/>
        <w:rPr>
          <w:sz w:val="20"/>
          <w:szCs w:val="20"/>
          <w:color w:val="auto"/>
        </w:rPr>
      </w:pPr>
      <w:r>
        <w:rPr>
          <w:rFonts w:ascii="Arial" w:cs="Arial" w:eastAsia="Arial" w:hAnsi="Arial"/>
          <w:sz w:val="17"/>
          <w:szCs w:val="17"/>
          <w:color w:val="auto"/>
        </w:rPr>
        <w:t>On an annual basis the Company reimburses OCM $750,000 of the costs incurred for providing these administrative services. This reimbursement is payable quarterly, in equal installments, and relates to the Company’s allocable portion of overhead and other expenses (facilities and personnel) incurred by OCM in performing its obligations under the Services Agreement. This amount includes the Company’s allocable portion of (i) the rent of the Company’s principal executive offices (which are located in a building owned by a Brookfield affiliate) at market rates and (ii) the costs of compensation and related expenses of various personnel at Oaktree that perform duties for the Company. The Services Agreement may be terminated by either party without penalty upon 90 days’ written notice to the other.</w:t>
      </w:r>
    </w:p>
    <w:p>
      <w:pPr>
        <w:spacing w:after="0" w:line="109" w:lineRule="exact"/>
        <w:rPr>
          <w:sz w:val="20"/>
          <w:szCs w:val="20"/>
          <w:color w:val="auto"/>
        </w:rPr>
      </w:pPr>
    </w:p>
    <w:p>
      <w:pPr>
        <w:ind w:right="720" w:firstLine="619"/>
        <w:spacing w:after="0" w:line="443" w:lineRule="auto"/>
        <w:rPr>
          <w:sz w:val="20"/>
          <w:szCs w:val="20"/>
          <w:color w:val="auto"/>
        </w:rPr>
      </w:pPr>
      <w:r>
        <w:rPr>
          <w:rFonts w:ascii="Arial" w:cs="Arial" w:eastAsia="Arial" w:hAnsi="Arial"/>
          <w:sz w:val="17"/>
          <w:szCs w:val="17"/>
          <w:color w:val="auto"/>
        </w:rPr>
        <w:t xml:space="preserve">For each of the years ended December 31, 2025 and 2024, the Company incurred administrative services expense of $0.8 million. </w:t>
      </w:r>
      <w:r>
        <w:rPr>
          <w:rFonts w:ascii="Arial" w:cs="Arial" w:eastAsia="Arial" w:hAnsi="Arial"/>
          <w:sz w:val="17"/>
          <w:szCs w:val="17"/>
          <w:b w:val="1"/>
          <w:bCs w:val="1"/>
          <w:color w:val="auto"/>
        </w:rPr>
        <w:t>Investment in Oaktree Opportunities Fund XI</w:t>
      </w:r>
    </w:p>
    <w:p>
      <w:pPr>
        <w:ind w:right="60" w:firstLine="619"/>
        <w:spacing w:after="0" w:line="257" w:lineRule="auto"/>
        <w:rPr>
          <w:sz w:val="20"/>
          <w:szCs w:val="20"/>
          <w:color w:val="auto"/>
        </w:rPr>
      </w:pPr>
      <w:r>
        <w:rPr>
          <w:rFonts w:ascii="Arial" w:cs="Arial" w:eastAsia="Arial" w:hAnsi="Arial"/>
          <w:sz w:val="17"/>
          <w:szCs w:val="17"/>
          <w:color w:val="auto"/>
        </w:rPr>
        <w:t>The Company has subscribed for a limited partner interest in, and made a capital commitment of, $ 750.0 million to Oaktree Opportunities Fund XI, L.P., a parallel investment vehicle thereof or a feeder fund in respect of one of the foregoing (such limited partner interest, the “Opps XI Investment” and such fund entities collectively, “Opps XI”). In order to make the Opps XI Investment, the Company’s sole Class A unitholder, or one of its affiliates, will contribute cash as a capital contribution (the “Opps XI Investment Cash”) as and to the extent required to satisfy the Company’s obligations to Opps XI. The Company will use the Opps XI Investment Cash solely to fund the Opps XI Investment and satisfy its obligations in respect of Opps XI and distributions from the Opps XI Investment are intended solely for the benefit of the Class A unitholder, subject to applicable law. The Company’s preferred unitholders should not rely on distributions received by the Company in respect of the Company’s Opps XI Investment for payment of dividends or redemption of the preferred units. For the year ended December 31, 2025, the Company did not fund any of its capital commitment. As of December 31, 2025, the Company has funded in the aggregate $637.5 million of the $750.0 million of its capital commitment.</w:t>
      </w:r>
    </w:p>
    <w:p>
      <w:pPr>
        <w:spacing w:after="0" w:line="33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Investment in Oaktree Opportunities Fund XII</w:t>
      </w:r>
    </w:p>
    <w:p>
      <w:pPr>
        <w:spacing w:after="0" w:line="167" w:lineRule="exact"/>
        <w:rPr>
          <w:sz w:val="20"/>
          <w:szCs w:val="20"/>
          <w:color w:val="auto"/>
        </w:rPr>
      </w:pPr>
    </w:p>
    <w:p>
      <w:pPr>
        <w:ind w:left="620"/>
        <w:spacing w:after="0"/>
        <w:rPr>
          <w:sz w:val="20"/>
          <w:szCs w:val="20"/>
          <w:color w:val="auto"/>
        </w:rPr>
      </w:pPr>
      <w:r>
        <w:rPr>
          <w:rFonts w:ascii="Arial" w:cs="Arial" w:eastAsia="Arial" w:hAnsi="Arial"/>
          <w:sz w:val="17"/>
          <w:szCs w:val="17"/>
          <w:color w:val="auto"/>
        </w:rPr>
        <w:t>On May 22, 2023, the Company subscribed for a limited partner interest in, and made a capital commitment of, $750.0 million to Oaktree</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color w:val="auto"/>
        </w:rPr>
        <w:t>Opportunities Fund XII, L.P., a parallel investment vehicle thereof or a feeder fund in respect of one of the foregoing (such limited partner interest,</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the “Opps XII Investment” and such fund entities collectively, “Opps XII”). Subsequently, the Company made an additional commitment of</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$46.2 million. In order to make the Opps XII Investment, the Company’s sole Class A unitholder, or one of its affiliates, will contribute cash as a</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capital contribution (the “Opps XII Investment Cash”) as and to the extent required to satisfy the Company’s obligations to Opps XII. The Company</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will use the Opps XII Investment Cash solely to fund the Opps XII Investment and satisfy its obligations in respect of Opps XII and distributions from</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the Opps XII Investment are intended solely for the benefit of the Class A unitholder, subject to applicable law. The Company’s preferred unitholders</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should not rely on distributions received by the Company in respect of the Company’s Opps XII Investment for payment of distributions on or</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redemption of the preferred units. For the year ended December 31, 2025, the Company funded</w:t>
      </w: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4" w:name="page105"/>
    <w:bookmarkEnd w:id="104"/>
    <w:p>
      <w:pPr>
        <w:jc w:val="center"/>
        <w:spacing w:after="0"/>
        <w:rPr>
          <w:sz w:val="20"/>
          <w:szCs w:val="20"/>
          <w:color w:val="auto"/>
        </w:rPr>
      </w:pPr>
      <w:r>
        <w:rPr>
          <w:rFonts w:ascii="Arial" w:cs="Arial" w:eastAsia="Arial" w:hAnsi="Arial"/>
          <w:sz w:val="17"/>
          <w:szCs w:val="17"/>
          <w:b w:val="1"/>
          <w:bCs w:val="1"/>
          <w:color w:val="auto"/>
        </w:rPr>
        <w:t>Brookfield Oaktree Holdings, LLC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 (Continued)</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December 31, 2025</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 in thousands, except where noted)</w:t>
      </w:r>
    </w:p>
    <w:p>
      <w:pPr>
        <w:spacing w:after="0" w:line="200" w:lineRule="exact"/>
        <w:rPr>
          <w:sz w:val="20"/>
          <w:szCs w:val="20"/>
          <w:color w:val="auto"/>
        </w:rPr>
      </w:pPr>
    </w:p>
    <w:p>
      <w:pPr>
        <w:spacing w:after="0" w:line="375" w:lineRule="exact"/>
        <w:rPr>
          <w:sz w:val="20"/>
          <w:szCs w:val="20"/>
          <w:color w:val="auto"/>
        </w:rPr>
      </w:pPr>
    </w:p>
    <w:p>
      <w:pPr>
        <w:ind w:right="20"/>
        <w:spacing w:after="0" w:line="290" w:lineRule="auto"/>
        <w:rPr>
          <w:sz w:val="20"/>
          <w:szCs w:val="20"/>
          <w:color w:val="auto"/>
        </w:rPr>
      </w:pPr>
      <w:r>
        <w:rPr>
          <w:rFonts w:ascii="Arial" w:cs="Arial" w:eastAsia="Arial" w:hAnsi="Arial"/>
          <w:sz w:val="17"/>
          <w:szCs w:val="17"/>
          <w:color w:val="auto"/>
        </w:rPr>
        <w:t>$119.4 million of its capital commitment. As of December 31, 2025, the Company has funded in the aggregate $218.9 million of the $796.2 million of its capital commitment.</w:t>
      </w:r>
    </w:p>
    <w:p>
      <w:pPr>
        <w:spacing w:after="0" w:line="9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w:t>
      </w:r>
      <w:r>
        <w:rPr>
          <w:rFonts w:ascii="Arial" w:cs="Arial" w:eastAsia="Arial" w:hAnsi="Arial"/>
          <w:sz w:val="17"/>
          <w:szCs w:val="17"/>
          <w:b w:val="1"/>
          <w:bCs w:val="1"/>
          <w:color w:val="auto"/>
        </w:rPr>
        <w:t>on-Traded REIT</w:t>
      </w:r>
    </w:p>
    <w:p>
      <w:pPr>
        <w:spacing w:after="0" w:line="250" w:lineRule="exact"/>
        <w:rPr>
          <w:sz w:val="20"/>
          <w:szCs w:val="20"/>
          <w:color w:val="auto"/>
        </w:rPr>
      </w:pPr>
    </w:p>
    <w:p>
      <w:pPr>
        <w:ind w:right="100" w:firstLine="619"/>
        <w:spacing w:after="0" w:line="249" w:lineRule="auto"/>
        <w:rPr>
          <w:sz w:val="20"/>
          <w:szCs w:val="20"/>
          <w:color w:val="auto"/>
        </w:rPr>
      </w:pPr>
      <w:r>
        <w:rPr>
          <w:rFonts w:ascii="Arial" w:cs="Arial" w:eastAsia="Arial" w:hAnsi="Arial"/>
          <w:sz w:val="17"/>
          <w:szCs w:val="17"/>
          <w:color w:val="auto"/>
        </w:rPr>
        <w:t>On June 27, 2023, the Company entered into a contribution agreement (the “Treasury Contribution Agreement”) with Brookfield Corporate Treasury Ltd. (“Treasury”). Treasury holds all of the outstanding Class A units of the Company. Pursuant to the Treasury Contribution Agreement, Treasury agreed to contribute to the Company an amount (the “Contributed Amount”) equal to the value of BUSI II GP-C LLC, BUSI II-C L.P., BUSI</w:t>
      </w:r>
    </w:p>
    <w:p>
      <w:pPr>
        <w:spacing w:after="0" w:line="1" w:lineRule="exact"/>
        <w:rPr>
          <w:sz w:val="20"/>
          <w:szCs w:val="20"/>
          <w:color w:val="auto"/>
        </w:rPr>
      </w:pPr>
    </w:p>
    <w:p>
      <w:pPr>
        <w:ind w:firstLine="3"/>
        <w:spacing w:after="0" w:line="248" w:lineRule="auto"/>
        <w:tabs>
          <w:tab w:leader="none" w:pos="143" w:val="left"/>
        </w:tabs>
        <w:numPr>
          <w:ilvl w:val="0"/>
          <w:numId w:val="41"/>
        </w:numPr>
        <w:rPr>
          <w:rFonts w:ascii="Arial" w:cs="Arial" w:eastAsia="Arial" w:hAnsi="Arial"/>
          <w:sz w:val="17"/>
          <w:szCs w:val="17"/>
          <w:color w:val="auto"/>
        </w:rPr>
      </w:pPr>
      <w:r>
        <w:rPr>
          <w:rFonts w:ascii="Arial" w:cs="Arial" w:eastAsia="Arial" w:hAnsi="Arial"/>
          <w:sz w:val="17"/>
          <w:szCs w:val="17"/>
          <w:color w:val="auto"/>
        </w:rPr>
        <w:t>SLP-GP LLC and Brookfield REIT OP Special Limited Partner L.P. (collectively, and together with any additional entities that may become direct or indirect subsidiaries of NTR (as defined in Note 5) and that beneficially own shares of Brookfield REIT (as defined below), the “REIT Entities”), including their indirect ownership in Brookfield Real Estate Income Trust Inc., a Maryland corporation (“Brookfield REIT”), as of June 30, 2023, and the Company agreed to contribute the Contributed Amount to NTR, in connection with the Company’s indirect acquisition (the “Acquisition”) of 100% of the interests in the REIT Entities. An amount of $307.0 million in respect of the Contributed Amount was contributed to the Company on June 27, 2023 (the “Purchase Price”) and a true-up contribution of $13.9 million was made on July 31, 2023 (the “True-Up Payment”). Also on June 27, 2023, the Company entered into a contribution agreement (the “NTR Contribution Agreement”) with NTR whereby the Company contributed the Purchase Price to NTR and agreed to make a contribution in an amount equal to the True-Up Payment to NTR, and NTR agreed to use the Contributed Amount in connection with the Acquisition. On June 29, 2023, NTR entered into an agreement of purchase and sale (the “Agreement of Purchase and Sale”) to effect the Acquisition, whereby NTR acquired 100% of the interests in the REIT Entities from BUSI II NTR Sub LLC in exchange for cash. The Acquisition was completed on June 30, 2023.</w:t>
      </w:r>
    </w:p>
    <w:p>
      <w:pPr>
        <w:spacing w:after="0" w:line="186" w:lineRule="exact"/>
        <w:rPr>
          <w:sz w:val="20"/>
          <w:szCs w:val="20"/>
          <w:color w:val="auto"/>
        </w:rPr>
      </w:pPr>
    </w:p>
    <w:p>
      <w:pPr>
        <w:ind w:left="620"/>
        <w:spacing w:after="0"/>
        <w:rPr>
          <w:sz w:val="20"/>
          <w:szCs w:val="20"/>
          <w:color w:val="auto"/>
        </w:rPr>
      </w:pPr>
      <w:r>
        <w:rPr>
          <w:rFonts w:ascii="Arial" w:cs="Arial" w:eastAsia="Arial" w:hAnsi="Arial"/>
          <w:sz w:val="17"/>
          <w:szCs w:val="17"/>
          <w:color w:val="auto"/>
        </w:rPr>
        <w:t>As of December 31, 2025, the carrying value of NTR included in corporate investments was $311.0 million.</w:t>
      </w:r>
    </w:p>
    <w:p>
      <w:pPr>
        <w:spacing w:after="0" w:line="165" w:lineRule="exact"/>
        <w:rPr>
          <w:sz w:val="20"/>
          <w:szCs w:val="20"/>
          <w:color w:val="auto"/>
        </w:rPr>
      </w:pPr>
    </w:p>
    <w:p>
      <w:pPr>
        <w:ind w:right="20" w:firstLine="619"/>
        <w:spacing w:after="0" w:line="257" w:lineRule="auto"/>
        <w:rPr>
          <w:sz w:val="20"/>
          <w:szCs w:val="20"/>
          <w:color w:val="auto"/>
        </w:rPr>
      </w:pPr>
      <w:r>
        <w:rPr>
          <w:rFonts w:ascii="Arial" w:cs="Arial" w:eastAsia="Arial" w:hAnsi="Arial"/>
          <w:sz w:val="17"/>
          <w:szCs w:val="17"/>
          <w:color w:val="auto"/>
        </w:rPr>
        <w:t>In connection with the Acquisition, on June 29, 2023, the Company entered into a letter agreement (the “Restructuring Letter Agreement”) with Treasury whereby, among other things, the Company agreed that, notwithstanding any provision of the operating agreement of the Company to the contrary, Treasury will have the right, in its sole and absolute discretion, to make up to $200.0 million of additional capital contributions to the Company to be utilized in connection with the Company’s indirect ownership of Brookfield REIT or any other matters with respect to the operations of NTR and the REIT Entities, and no vote, approval or other authorization will be required in connection with such additional capital contributions. Also on June 29, 2023, the Company entered into a letter agreement (the “Indemnification Letter Agreement”) with BP US REIT LLC (“BP US”) whereby, among other things, BP US agrees to defend, indemnify and hold harmless the Company, its members and the Company’s and such members’ respective officers, directors, employees, agents, successors, and assigns from any third-party claims brought against any of them related to the ownership, management or ongoing operating of the REIT Entities, and any subsidiaries thereof.</w:t>
      </w:r>
    </w:p>
    <w:p>
      <w:pPr>
        <w:spacing w:after="0" w:line="1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SPV Credit Facility</w:t>
      </w:r>
    </w:p>
    <w:p>
      <w:pPr>
        <w:spacing w:after="0" w:line="167" w:lineRule="exact"/>
        <w:rPr>
          <w:sz w:val="20"/>
          <w:szCs w:val="20"/>
          <w:color w:val="auto"/>
        </w:rPr>
      </w:pPr>
    </w:p>
    <w:p>
      <w:pPr>
        <w:ind w:right="80" w:firstLine="619"/>
        <w:spacing w:after="0" w:line="257" w:lineRule="auto"/>
        <w:rPr>
          <w:sz w:val="20"/>
          <w:szCs w:val="20"/>
          <w:color w:val="auto"/>
        </w:rPr>
      </w:pPr>
      <w:r>
        <w:rPr>
          <w:rFonts w:ascii="Arial" w:cs="Arial" w:eastAsia="Arial" w:hAnsi="Arial"/>
          <w:sz w:val="17"/>
          <w:szCs w:val="17"/>
          <w:color w:val="auto"/>
        </w:rPr>
        <w:t>In March 2024, BOH transferred a portion of its indirect interest in Opps XI to newly formed special purpose subsidiary (“SPV I”) and pledged its ownership interest in SPV I as collateral for a non-recourse credit facility of an affiliate. In June 2024, BOH transferred an additional portion of its indirect interest in Opps XI to a newly formed special purpose subsidiary (“SPV II”) and pledged its ownership interest in SPV II as collateral for a second non-recourse credit facility of the affiliate. Subsequently, in June 2025, BOH transferred a portion of its indirect interest in Opps XII to a newly formed special purpose subsidiary (“SPV III”) and pledged its ownership interest in SPV III as collateral to upsize the non-recourse credit facility originally closed in March 2024. While the outstanding borrowings on the facilities are the obligations of the affiliate, the co-borrowers, including SPV I, SPV II and SPV III, have joint and several liability under the credit facilities in the event of default and are required to comply with certain covenants. As of December 31, 2025, BOH’s potential exposure under these arrangements is limited to the carrying value of its pledged interests in SPV I, SPV II and SPV III of $171.5 million, $175.3 million and $102.0 million, respectively.</w:t>
      </w:r>
    </w:p>
    <w:p>
      <w:pPr>
        <w:spacing w:after="0" w:line="1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16. SEGMENT REPORTING</w:t>
      </w:r>
    </w:p>
    <w:p>
      <w:pPr>
        <w:spacing w:after="0" w:line="103" w:lineRule="exact"/>
        <w:rPr>
          <w:sz w:val="20"/>
          <w:szCs w:val="20"/>
          <w:color w:val="auto"/>
        </w:rPr>
      </w:pPr>
    </w:p>
    <w:p>
      <w:pPr>
        <w:ind w:right="240" w:firstLine="619"/>
        <w:spacing w:after="0" w:line="239" w:lineRule="auto"/>
        <w:rPr>
          <w:sz w:val="20"/>
          <w:szCs w:val="20"/>
          <w:color w:val="auto"/>
        </w:rPr>
      </w:pPr>
      <w:r>
        <w:rPr>
          <w:rFonts w:ascii="Arial" w:cs="Arial" w:eastAsia="Arial" w:hAnsi="Arial"/>
          <w:sz w:val="17"/>
          <w:szCs w:val="17"/>
          <w:color w:val="auto"/>
        </w:rPr>
        <w:t>We operate as a single operating segment, which is also our sole reportable segment. The Company’s chief operating decision maker (“CODM”) is our Chief Executive Officer, who reviews financial information presented on a consolidated basis, accompanied by information about</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our revenue, for purposes of making operating decisions,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5" w:name="page106"/>
    <w:bookmarkEnd w:id="105"/>
    <w:p>
      <w:pPr>
        <w:jc w:val="center"/>
        <w:spacing w:after="0"/>
        <w:rPr>
          <w:sz w:val="20"/>
          <w:szCs w:val="20"/>
          <w:color w:val="auto"/>
        </w:rPr>
      </w:pPr>
      <w:r>
        <w:rPr>
          <w:rFonts w:ascii="Arial" w:cs="Arial" w:eastAsia="Arial" w:hAnsi="Arial"/>
          <w:sz w:val="17"/>
          <w:szCs w:val="17"/>
          <w:b w:val="1"/>
          <w:bCs w:val="1"/>
          <w:color w:val="auto"/>
        </w:rPr>
        <w:t>Brookfield Oaktree Holdings, LLC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 (Continued)</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December 31, 2025</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 in thousands, except where noted)</w:t>
      </w:r>
    </w:p>
    <w:p>
      <w:pPr>
        <w:spacing w:after="0" w:line="200" w:lineRule="exact"/>
        <w:rPr>
          <w:sz w:val="20"/>
          <w:szCs w:val="20"/>
          <w:color w:val="auto"/>
        </w:rPr>
      </w:pPr>
    </w:p>
    <w:p>
      <w:pPr>
        <w:spacing w:after="0" w:line="207" w:lineRule="exact"/>
        <w:rPr>
          <w:sz w:val="20"/>
          <w:szCs w:val="20"/>
          <w:color w:val="auto"/>
        </w:rPr>
      </w:pPr>
    </w:p>
    <w:p>
      <w:pPr>
        <w:ind w:right="20"/>
        <w:spacing w:after="0" w:line="239" w:lineRule="auto"/>
        <w:rPr>
          <w:sz w:val="20"/>
          <w:szCs w:val="20"/>
          <w:color w:val="auto"/>
        </w:rPr>
      </w:pPr>
      <w:r>
        <w:rPr>
          <w:rFonts w:ascii="Arial" w:cs="Arial" w:eastAsia="Arial" w:hAnsi="Arial"/>
          <w:sz w:val="17"/>
          <w:szCs w:val="17"/>
          <w:color w:val="auto"/>
        </w:rPr>
        <w:t>assessing financial performance and allocating resources. Net income is our primary measure of profit, and all costs and expense categories on our consolidated statements of operations are significant, and are regularly reviewed at a consolidated level by the CODM. The assets attributable to</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this segment are reflected in the consolidated financial statements.</w:t>
      </w:r>
    </w:p>
    <w:p>
      <w:pPr>
        <w:spacing w:after="0" w:line="135" w:lineRule="exact"/>
        <w:rPr>
          <w:sz w:val="20"/>
          <w:szCs w:val="20"/>
          <w:color w:val="auto"/>
        </w:rPr>
      </w:pPr>
    </w:p>
    <w:p>
      <w:pPr>
        <w:jc w:val="both"/>
        <w:ind w:right="8980" w:firstLine="3"/>
        <w:spacing w:after="0" w:line="444" w:lineRule="auto"/>
        <w:tabs>
          <w:tab w:leader="none" w:pos="287" w:val="left"/>
        </w:tabs>
        <w:numPr>
          <w:ilvl w:val="0"/>
          <w:numId w:val="42"/>
        </w:numPr>
        <w:rPr>
          <w:rFonts w:ascii="Arial" w:cs="Arial" w:eastAsia="Arial" w:hAnsi="Arial"/>
          <w:sz w:val="17"/>
          <w:szCs w:val="17"/>
          <w:b w:val="1"/>
          <w:bCs w:val="1"/>
          <w:color w:val="auto"/>
        </w:rPr>
      </w:pPr>
      <w:r>
        <w:rPr>
          <w:rFonts w:ascii="Arial" w:cs="Arial" w:eastAsia="Arial" w:hAnsi="Arial"/>
          <w:sz w:val="17"/>
          <w:szCs w:val="17"/>
          <w:b w:val="1"/>
          <w:bCs w:val="1"/>
          <w:color w:val="auto"/>
        </w:rPr>
        <w:t>SUBSEQUENT EVENTS Preferred Unit Distributions</w:t>
      </w:r>
    </w:p>
    <w:p>
      <w:pPr>
        <w:spacing w:after="0" w:line="1" w:lineRule="exact"/>
        <w:rPr>
          <w:sz w:val="20"/>
          <w:szCs w:val="20"/>
          <w:color w:val="auto"/>
        </w:rPr>
      </w:pPr>
    </w:p>
    <w:p>
      <w:pPr>
        <w:ind w:right="380" w:firstLine="181"/>
        <w:spacing w:after="0" w:line="290" w:lineRule="auto"/>
        <w:rPr>
          <w:sz w:val="20"/>
          <w:szCs w:val="20"/>
          <w:color w:val="auto"/>
        </w:rPr>
      </w:pPr>
      <w:r>
        <w:rPr>
          <w:rFonts w:ascii="Arial" w:cs="Arial" w:eastAsia="Arial" w:hAnsi="Arial"/>
          <w:sz w:val="17"/>
          <w:szCs w:val="17"/>
          <w:color w:val="auto"/>
        </w:rPr>
        <w:t>A distribution of $0.414063 per Series A preferred unit was paid on March 16, 2026 to Series A preferred unitholders of record at the close of business on March 1, 2026.</w:t>
      </w:r>
    </w:p>
    <w:p>
      <w:pPr>
        <w:spacing w:after="0" w:line="95" w:lineRule="exact"/>
        <w:rPr>
          <w:sz w:val="20"/>
          <w:szCs w:val="20"/>
          <w:color w:val="auto"/>
        </w:rPr>
      </w:pPr>
    </w:p>
    <w:p>
      <w:pPr>
        <w:ind w:right="380" w:firstLine="181"/>
        <w:spacing w:after="0" w:line="290" w:lineRule="auto"/>
        <w:rPr>
          <w:sz w:val="20"/>
          <w:szCs w:val="20"/>
          <w:color w:val="auto"/>
        </w:rPr>
      </w:pPr>
      <w:r>
        <w:rPr>
          <w:rFonts w:ascii="Arial" w:cs="Arial" w:eastAsia="Arial" w:hAnsi="Arial"/>
          <w:sz w:val="17"/>
          <w:szCs w:val="17"/>
          <w:color w:val="auto"/>
        </w:rPr>
        <w:t>A distribution of $0.409375 per Series B preferred unit was paid on March 16, 2026 to Series B preferred unitholders of record at the close of business on March 1, 2026.</w:t>
      </w:r>
    </w:p>
    <w:p>
      <w:pPr>
        <w:spacing w:after="0" w:line="8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Oaktree/Brookfield Transaction</w:t>
      </w:r>
    </w:p>
    <w:p>
      <w:pPr>
        <w:spacing w:after="0" w:line="155" w:lineRule="exact"/>
        <w:rPr>
          <w:sz w:val="20"/>
          <w:szCs w:val="20"/>
          <w:color w:val="auto"/>
        </w:rPr>
      </w:pPr>
    </w:p>
    <w:p>
      <w:pPr>
        <w:jc w:val="both"/>
        <w:ind w:right="120" w:firstLine="619"/>
        <w:spacing w:after="0" w:line="238" w:lineRule="auto"/>
        <w:rPr>
          <w:sz w:val="20"/>
          <w:szCs w:val="20"/>
          <w:color w:val="auto"/>
        </w:rPr>
      </w:pPr>
      <w:r>
        <w:rPr>
          <w:rFonts w:ascii="Arial" w:cs="Arial" w:eastAsia="Arial" w:hAnsi="Arial"/>
          <w:sz w:val="17"/>
          <w:szCs w:val="17"/>
          <w:color w:val="auto"/>
        </w:rPr>
        <w:t>On October 13, 2025, Oaktree and Brookfield announced that they have agreed on a proposed transaction whereby Brookfield will acquire the approximately 26% interest in Oaktree that it does not already own such that, upon completion of the proposed transaction, Brookfield will own 100% of Oaktree (such transaction, the “Remaining Interest Acquisition”). Subsequent to the Remaining Interest Acquisition, Brookfield will have</w:t>
      </w:r>
    </w:p>
    <w:p>
      <w:pPr>
        <w:spacing w:after="0"/>
        <w:rPr>
          <w:sz w:val="20"/>
          <w:szCs w:val="20"/>
          <w:color w:val="auto"/>
        </w:rPr>
      </w:pPr>
      <w:r>
        <w:rPr>
          <w:rFonts w:ascii="Arial" w:cs="Arial" w:eastAsia="Arial" w:hAnsi="Arial"/>
          <w:sz w:val="17"/>
          <w:szCs w:val="17"/>
          <w:color w:val="auto"/>
        </w:rPr>
        <w:t>100% economic and voting interests in Oaktree and BOH. The Remaining Interest Acquisition is expected to close in the first half of 2026, subject to</w:t>
      </w:r>
    </w:p>
    <w:p>
      <w:pPr>
        <w:ind w:right="200"/>
        <w:spacing w:after="0" w:line="254" w:lineRule="auto"/>
        <w:rPr>
          <w:sz w:val="20"/>
          <w:szCs w:val="20"/>
          <w:color w:val="auto"/>
        </w:rPr>
      </w:pPr>
      <w:r>
        <w:rPr>
          <w:rFonts w:ascii="Arial" w:cs="Arial" w:eastAsia="Arial" w:hAnsi="Arial"/>
          <w:sz w:val="17"/>
          <w:szCs w:val="17"/>
          <w:color w:val="auto"/>
        </w:rPr>
        <w:t>regulatory approvals and customary closing conditions. The terms of the Remaining Interest Acquisition will not affect the terms of the Company’s outstanding 6.625% Series A preferred units and 6.550% Series B preferred units.</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6" w:name="page107"/>
    <w:bookmarkEnd w:id="106"/>
    <w:p>
      <w:pPr>
        <w:spacing w:after="0"/>
        <w:rPr>
          <w:sz w:val="20"/>
          <w:szCs w:val="20"/>
          <w:color w:val="auto"/>
        </w:rPr>
      </w:pPr>
      <w:r>
        <w:rPr>
          <w:rFonts w:ascii="Arial" w:cs="Arial" w:eastAsia="Arial" w:hAnsi="Arial"/>
          <w:sz w:val="17"/>
          <w:szCs w:val="17"/>
          <w:b w:val="1"/>
          <w:bCs w:val="1"/>
          <w:color w:val="auto"/>
        </w:rPr>
        <w:t>Item 9. Changes in and Disagreements with Accountants on Accounting and Financial Disclosure</w:t>
      </w:r>
    </w:p>
    <w:p>
      <w:pPr>
        <w:spacing w:after="0" w:line="168" w:lineRule="exact"/>
        <w:rPr>
          <w:sz w:val="20"/>
          <w:szCs w:val="20"/>
          <w:color w:val="auto"/>
        </w:rPr>
      </w:pPr>
    </w:p>
    <w:p>
      <w:pPr>
        <w:ind w:left="620"/>
        <w:spacing w:after="0"/>
        <w:rPr>
          <w:sz w:val="20"/>
          <w:szCs w:val="20"/>
          <w:color w:val="auto"/>
        </w:rPr>
      </w:pPr>
      <w:r>
        <w:rPr>
          <w:rFonts w:ascii="Arial" w:cs="Arial" w:eastAsia="Arial" w:hAnsi="Arial"/>
          <w:sz w:val="17"/>
          <w:szCs w:val="17"/>
          <w:color w:val="auto"/>
        </w:rPr>
        <w:t>None.</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9A. Controls and Procedures</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Evaluation of Disclosure Controls and Procedures</w:t>
      </w:r>
    </w:p>
    <w:p>
      <w:pPr>
        <w:spacing w:after="0" w:line="168" w:lineRule="exact"/>
        <w:rPr>
          <w:sz w:val="20"/>
          <w:szCs w:val="20"/>
          <w:color w:val="auto"/>
        </w:rPr>
      </w:pPr>
    </w:p>
    <w:p>
      <w:pPr>
        <w:ind w:firstLine="619"/>
        <w:spacing w:after="0" w:line="257" w:lineRule="auto"/>
        <w:rPr>
          <w:sz w:val="20"/>
          <w:szCs w:val="20"/>
          <w:color w:val="auto"/>
        </w:rPr>
      </w:pPr>
      <w:r>
        <w:rPr>
          <w:rFonts w:ascii="Arial" w:cs="Arial" w:eastAsia="Arial" w:hAnsi="Arial"/>
          <w:sz w:val="17"/>
          <w:szCs w:val="17"/>
          <w:color w:val="auto"/>
        </w:rPr>
        <w:t>We maintain disclosure controls and procedures (as such term is defined in Rules 13a-15(e) and 15d-15(e) under the Exchange Act) that are designed to ensure that information required to be disclosed by us in reports that we file or submit under the Exchange Act is recorded, processed, summarized and reported within the time periods specified in SEC rules and forms and that such information is accumulated and communicated to our management, including our Chief Executive Officer and Chief Financial Officer, as appropriate, to allow timely decisions regarding required disclosure. In designing disclosure controls and procedures, our management necessarily was required to apply its judgment in evaluating the cost-benefit relationship of possible disclosure controls and procedures. The design of any disclosure controls and procedures also is based in part upon certain assumptions about the likelihood of future events, and there can be no assurance that any design will succeed in achieving its stated goals under all potential future conditions. Any controls and procedures, no matter how well designed and operated, can provide only reasonable assurance of achieving the desired objectives.</w:t>
      </w:r>
    </w:p>
    <w:p>
      <w:pPr>
        <w:spacing w:after="0" w:line="127" w:lineRule="exact"/>
        <w:rPr>
          <w:sz w:val="20"/>
          <w:szCs w:val="20"/>
          <w:color w:val="auto"/>
        </w:rPr>
      </w:pPr>
    </w:p>
    <w:p>
      <w:pPr>
        <w:ind w:right="120" w:firstLine="619"/>
        <w:spacing w:after="0" w:line="258" w:lineRule="auto"/>
        <w:rPr>
          <w:sz w:val="20"/>
          <w:szCs w:val="20"/>
          <w:color w:val="auto"/>
        </w:rPr>
      </w:pPr>
      <w:r>
        <w:rPr>
          <w:rFonts w:ascii="Arial" w:cs="Arial" w:eastAsia="Arial" w:hAnsi="Arial"/>
          <w:sz w:val="17"/>
          <w:szCs w:val="17"/>
          <w:color w:val="auto"/>
        </w:rPr>
        <w:t>Our management, including our Chief Executive Officer and Chief Financial Officer, evaluated the effectiveness of our disclosure controls and procedures pursuant to Rule 13a-15 under the Exchange Act as of the end of the period covered by this report. Based on that evaluation, our Chief Executive Officer and Chief Financial Officer have concluded that, as of the end of the period covered by this report, our disclosure controls and procedures (as defined in Rule 13a-15(e) under the Exchange Act) are effective at the reasonable assurance level to accomplish their objectives of ensuring that information we are required to disclose in reports that we file or submit under the Exchange Act is recorded, processed, summarized and reported within the time periods specified in SEC rules and forms and that such information is accumulated and communicated to our management, including our Chief Executive Officer and Chief Financial Officer, as appropriate, to allow timely decisions regarding required disclosure.</w:t>
      </w:r>
    </w:p>
    <w:p>
      <w:pPr>
        <w:spacing w:after="0" w:line="1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Changes in Internal Control Over Financial Reporting</w:t>
      </w:r>
    </w:p>
    <w:p>
      <w:pPr>
        <w:spacing w:after="0" w:line="168" w:lineRule="exact"/>
        <w:rPr>
          <w:sz w:val="20"/>
          <w:szCs w:val="20"/>
          <w:color w:val="auto"/>
        </w:rPr>
      </w:pPr>
    </w:p>
    <w:p>
      <w:pPr>
        <w:ind w:right="320" w:firstLine="619"/>
        <w:spacing w:after="0" w:line="271" w:lineRule="auto"/>
        <w:rPr>
          <w:sz w:val="20"/>
          <w:szCs w:val="20"/>
          <w:color w:val="auto"/>
        </w:rPr>
      </w:pPr>
      <w:r>
        <w:rPr>
          <w:rFonts w:ascii="Arial" w:cs="Arial" w:eastAsia="Arial" w:hAnsi="Arial"/>
          <w:sz w:val="17"/>
          <w:szCs w:val="17"/>
          <w:color w:val="auto"/>
        </w:rPr>
        <w:t>No changes in our internal control over financial reporting (as such term is defined in Rules 13a-15(f) and 15d-15(f) under the Exchange Act) occurred during our most recent quarter, that have materially affected, or are reasonably likely to materially affect, our internal control over financial reporting.</w:t>
      </w:r>
    </w:p>
    <w:p>
      <w:pPr>
        <w:spacing w:after="0" w:line="10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Management’s Report on Internal Control Over Financial Reporting</w:t>
      </w:r>
    </w:p>
    <w:p>
      <w:pPr>
        <w:spacing w:after="0" w:line="167" w:lineRule="exact"/>
        <w:rPr>
          <w:sz w:val="20"/>
          <w:szCs w:val="20"/>
          <w:color w:val="auto"/>
        </w:rPr>
      </w:pPr>
    </w:p>
    <w:p>
      <w:pPr>
        <w:ind w:right="60" w:firstLine="619"/>
        <w:spacing w:after="0" w:line="265" w:lineRule="auto"/>
        <w:rPr>
          <w:sz w:val="20"/>
          <w:szCs w:val="20"/>
          <w:color w:val="auto"/>
        </w:rPr>
      </w:pPr>
      <w:r>
        <w:rPr>
          <w:rFonts w:ascii="Arial" w:cs="Arial" w:eastAsia="Arial" w:hAnsi="Arial"/>
          <w:sz w:val="17"/>
          <w:szCs w:val="17"/>
          <w:color w:val="auto"/>
        </w:rPr>
        <w:t>Our management is responsible for establishing and maintaining adequate internal control over financial reporting. Internal control over financial reporting is a process designed under the supervision of management, including our Chief Executive Officer and Chief Financial Officer, to provide reasonable assurance regarding the reliability of financial reporting and the preparation of our consolidated financial statements for external reporting purposes in accordance with accounting principles generally accepted in the United States of America.</w:t>
      </w:r>
    </w:p>
    <w:p>
      <w:pPr>
        <w:spacing w:after="0" w:line="116" w:lineRule="exact"/>
        <w:rPr>
          <w:sz w:val="20"/>
          <w:szCs w:val="20"/>
          <w:color w:val="auto"/>
        </w:rPr>
      </w:pPr>
    </w:p>
    <w:p>
      <w:pPr>
        <w:ind w:right="140" w:firstLine="619"/>
        <w:spacing w:after="0" w:line="260" w:lineRule="auto"/>
        <w:rPr>
          <w:sz w:val="20"/>
          <w:szCs w:val="20"/>
          <w:color w:val="auto"/>
        </w:rPr>
      </w:pPr>
      <w:r>
        <w:rPr>
          <w:rFonts w:ascii="Arial" w:cs="Arial" w:eastAsia="Arial" w:hAnsi="Arial"/>
          <w:sz w:val="17"/>
          <w:szCs w:val="17"/>
          <w:color w:val="auto"/>
        </w:rPr>
        <w:t>Our internal control over financial reporting includes policies and procedures that pertain to the maintenance of records that, in reasonable detail, accurately and fairly reflect transactions and dispositions of assets; provide reasonable assurance that transactions are recorded as necessary to permit preparation of financial statements in accordance with generally accepted accounting principles, and that receipts and expenditures are being made only in accordance with authorizations of management and the directors; and provide reasonable assurance regarding prevention or timely detection of unauthorized acquisition, use or disposition of our assets that could have a material effect on our financial statements.</w:t>
      </w:r>
    </w:p>
    <w:p>
      <w:pPr>
        <w:spacing w:after="0" w:line="122" w:lineRule="exact"/>
        <w:rPr>
          <w:sz w:val="20"/>
          <w:szCs w:val="20"/>
          <w:color w:val="auto"/>
        </w:rPr>
      </w:pPr>
    </w:p>
    <w:p>
      <w:pPr>
        <w:ind w:right="280" w:firstLine="619"/>
        <w:spacing w:after="0" w:line="265" w:lineRule="auto"/>
        <w:rPr>
          <w:sz w:val="20"/>
          <w:szCs w:val="20"/>
          <w:color w:val="auto"/>
        </w:rPr>
      </w:pPr>
      <w:r>
        <w:rPr>
          <w:rFonts w:ascii="Arial" w:cs="Arial" w:eastAsia="Arial" w:hAnsi="Arial"/>
          <w:sz w:val="17"/>
          <w:szCs w:val="17"/>
          <w:color w:val="auto"/>
        </w:rPr>
        <w:t>Our management conducted an assessment of the effectiveness of our internal control over financial reporting as of December 31, 2025 based on criteria established in Internal Control—Integrated Framework 2013 issued by the Committee of Sponsoring Organizations of the Treadway Commission. Based on this assessment, management has determined that our internal control over financial reporting as of December 31, 2025 was effective.</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9B. Other Information</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sectPr>
      </w:pPr>
    </w:p>
    <w:bookmarkStart w:id="107" w:name="page108"/>
    <w:bookmarkEnd w:id="107"/>
    <w:p>
      <w:pPr>
        <w:ind w:left="620"/>
        <w:spacing w:after="0"/>
        <w:rPr>
          <w:sz w:val="20"/>
          <w:szCs w:val="20"/>
          <w:color w:val="auto"/>
        </w:rPr>
      </w:pPr>
      <w:r>
        <w:rPr>
          <w:rFonts w:ascii="Arial" w:cs="Arial" w:eastAsia="Arial" w:hAnsi="Arial"/>
          <w:sz w:val="17"/>
          <w:szCs w:val="17"/>
          <w:color w:val="auto"/>
        </w:rPr>
        <w:t>None.</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9C. Disclosure Regarding Foreign Jurisdictions that Prevent Inspections.</w:t>
      </w:r>
    </w:p>
    <w:p>
      <w:pPr>
        <w:spacing w:after="0" w:line="232" w:lineRule="exact"/>
        <w:rPr>
          <w:sz w:val="20"/>
          <w:szCs w:val="20"/>
          <w:color w:val="auto"/>
        </w:rPr>
      </w:pPr>
    </w:p>
    <w:p>
      <w:pPr>
        <w:ind w:left="620"/>
        <w:spacing w:after="0"/>
        <w:rPr>
          <w:sz w:val="20"/>
          <w:szCs w:val="20"/>
          <w:color w:val="auto"/>
        </w:rPr>
      </w:pPr>
      <w:r>
        <w:rPr>
          <w:rFonts w:ascii="Arial" w:cs="Arial" w:eastAsia="Arial" w:hAnsi="Arial"/>
          <w:sz w:val="17"/>
          <w:szCs w:val="17"/>
          <w:color w:val="auto"/>
        </w:rPr>
        <w:t>Not applicable.</w:t>
      </w:r>
    </w:p>
    <w:p>
      <w:pPr>
        <w:spacing w:after="0" w:line="39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Part III.</w:t>
      </w:r>
    </w:p>
    <w:p>
      <w:pPr>
        <w:spacing w:after="0" w:line="39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10. Directors, Executive Officers and Corporate Governance</w:t>
      </w:r>
    </w:p>
    <w:p>
      <w:pPr>
        <w:spacing w:after="0" w:line="39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Executive Officers and Directors</w:t>
      </w:r>
    </w:p>
    <w:p>
      <w:pPr>
        <w:spacing w:after="0" w:line="77" w:lineRule="exact"/>
        <w:rPr>
          <w:sz w:val="20"/>
          <w:szCs w:val="20"/>
          <w:color w:val="auto"/>
        </w:rPr>
      </w:pPr>
    </w:p>
    <w:p>
      <w:pPr>
        <w:ind w:left="500"/>
        <w:spacing w:after="0"/>
        <w:rPr>
          <w:sz w:val="20"/>
          <w:szCs w:val="20"/>
          <w:color w:val="auto"/>
        </w:rPr>
      </w:pPr>
      <w:r>
        <w:rPr>
          <w:rFonts w:ascii="Arial" w:cs="Arial" w:eastAsia="Arial" w:hAnsi="Arial"/>
          <w:sz w:val="17"/>
          <w:szCs w:val="17"/>
          <w:color w:val="auto"/>
        </w:rPr>
        <w:t>The following table sets forth information about our executive officers and directors as of March 24, 2026:</w:t>
      </w:r>
    </w:p>
    <w:p>
      <w:pPr>
        <w:spacing w:after="0" w:line="135" w:lineRule="exact"/>
        <w:rPr>
          <w:sz w:val="20"/>
          <w:szCs w:val="20"/>
          <w:color w:val="auto"/>
        </w:rPr>
      </w:pPr>
    </w:p>
    <w:tbl>
      <w:tblPr>
        <w:tblLayout w:type="fixed"/>
        <w:tblInd w:w="40" w:type="dxa"/>
        <w:tblCellMar>
          <w:top w:w="0" w:type="dxa"/>
          <w:left w:w="0" w:type="dxa"/>
          <w:bottom w:w="0" w:type="dxa"/>
          <w:right w:w="0" w:type="dxa"/>
        </w:tblCellMar>
      </w:tblPr>
      <w:tr>
        <w:trPr>
          <w:trHeight w:val="138"/>
        </w:trPr>
        <w:tc>
          <w:tcPr>
            <w:tcW w:w="3120" w:type="dxa"/>
            <w:vAlign w:val="bottom"/>
            <w:gridSpan w:val="2"/>
          </w:tcPr>
          <w:p>
            <w:pPr>
              <w:spacing w:after="0"/>
              <w:rPr>
                <w:sz w:val="20"/>
                <w:szCs w:val="20"/>
                <w:color w:val="auto"/>
              </w:rPr>
            </w:pPr>
            <w:r>
              <w:rPr>
                <w:rFonts w:ascii="Arial" w:cs="Arial" w:eastAsia="Arial" w:hAnsi="Arial"/>
                <w:sz w:val="12"/>
                <w:szCs w:val="12"/>
                <w:b w:val="1"/>
                <w:bCs w:val="1"/>
                <w:color w:val="auto"/>
              </w:rPr>
              <w:t>Name</w:t>
            </w:r>
          </w:p>
        </w:tc>
        <w:tc>
          <w:tcPr>
            <w:tcW w:w="340" w:type="dxa"/>
            <w:vAlign w:val="bottom"/>
            <w:gridSpan w:val="2"/>
          </w:tcPr>
          <w:p>
            <w:pPr>
              <w:spacing w:after="0"/>
              <w:rPr>
                <w:sz w:val="20"/>
                <w:szCs w:val="20"/>
                <w:color w:val="auto"/>
              </w:rPr>
            </w:pPr>
            <w:r>
              <w:rPr>
                <w:rFonts w:ascii="Arial" w:cs="Arial" w:eastAsia="Arial" w:hAnsi="Arial"/>
                <w:sz w:val="12"/>
                <w:szCs w:val="12"/>
                <w:b w:val="1"/>
                <w:bCs w:val="1"/>
                <w:color w:val="auto"/>
              </w:rPr>
              <w:t>Age</w:t>
            </w:r>
          </w:p>
        </w:tc>
        <w:tc>
          <w:tcPr>
            <w:tcW w:w="2920" w:type="dxa"/>
            <w:vAlign w:val="bottom"/>
            <w:gridSpan w:val="3"/>
          </w:tcPr>
          <w:p>
            <w:pPr>
              <w:ind w:left="120"/>
              <w:spacing w:after="0"/>
              <w:rPr>
                <w:sz w:val="20"/>
                <w:szCs w:val="20"/>
                <w:color w:val="auto"/>
              </w:rPr>
            </w:pPr>
            <w:r>
              <w:rPr>
                <w:rFonts w:ascii="Arial" w:cs="Arial" w:eastAsia="Arial" w:hAnsi="Arial"/>
                <w:sz w:val="12"/>
                <w:szCs w:val="12"/>
                <w:b w:val="1"/>
                <w:bCs w:val="1"/>
                <w:color w:val="auto"/>
              </w:rPr>
              <w:t>Position</w:t>
            </w:r>
          </w:p>
        </w:tc>
      </w:tr>
      <w:tr>
        <w:trPr>
          <w:trHeight w:val="20"/>
        </w:trPr>
        <w:tc>
          <w:tcPr>
            <w:tcW w:w="320" w:type="dxa"/>
            <w:vAlign w:val="bottom"/>
            <w:shd w:val="clear" w:color="auto" w:fill="000000"/>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r>
        <w:trPr>
          <w:trHeight w:val="240"/>
        </w:trPr>
        <w:tc>
          <w:tcPr>
            <w:tcW w:w="3120" w:type="dxa"/>
            <w:vAlign w:val="bottom"/>
            <w:gridSpan w:val="2"/>
          </w:tcPr>
          <w:p>
            <w:pPr>
              <w:spacing w:after="0"/>
              <w:rPr>
                <w:sz w:val="20"/>
                <w:szCs w:val="20"/>
                <w:color w:val="auto"/>
              </w:rPr>
            </w:pPr>
            <w:r>
              <w:rPr>
                <w:rFonts w:ascii="Arial" w:cs="Arial" w:eastAsia="Arial" w:hAnsi="Arial"/>
                <w:sz w:val="17"/>
                <w:szCs w:val="17"/>
                <w:color w:val="auto"/>
              </w:rPr>
              <w:t>Howard S. Marks</w:t>
            </w:r>
          </w:p>
        </w:tc>
        <w:tc>
          <w:tcPr>
            <w:tcW w:w="220" w:type="dxa"/>
            <w:vAlign w:val="bottom"/>
          </w:tcPr>
          <w:p>
            <w:pPr>
              <w:spacing w:after="0"/>
              <w:rPr>
                <w:sz w:val="20"/>
                <w:szCs w:val="20"/>
                <w:color w:val="auto"/>
              </w:rPr>
            </w:pPr>
            <w:r>
              <w:rPr>
                <w:rFonts w:ascii="Arial" w:cs="Arial" w:eastAsia="Arial" w:hAnsi="Arial"/>
                <w:sz w:val="17"/>
                <w:szCs w:val="17"/>
                <w:color w:val="auto"/>
              </w:rPr>
              <w:t>79</w:t>
            </w:r>
          </w:p>
        </w:tc>
        <w:tc>
          <w:tcPr>
            <w:tcW w:w="120" w:type="dxa"/>
            <w:vAlign w:val="bottom"/>
          </w:tcPr>
          <w:p>
            <w:pPr>
              <w:spacing w:after="0"/>
              <w:rPr>
                <w:sz w:val="20"/>
                <w:szCs w:val="20"/>
                <w:color w:val="auto"/>
              </w:rPr>
            </w:pPr>
          </w:p>
        </w:tc>
        <w:tc>
          <w:tcPr>
            <w:tcW w:w="2920" w:type="dxa"/>
            <w:vAlign w:val="bottom"/>
            <w:gridSpan w:val="3"/>
          </w:tcPr>
          <w:p>
            <w:pPr>
              <w:ind w:left="120"/>
              <w:spacing w:after="0"/>
              <w:rPr>
                <w:sz w:val="20"/>
                <w:szCs w:val="20"/>
                <w:color w:val="auto"/>
              </w:rPr>
            </w:pPr>
            <w:r>
              <w:rPr>
                <w:rFonts w:ascii="Arial" w:cs="Arial" w:eastAsia="Arial" w:hAnsi="Arial"/>
                <w:sz w:val="17"/>
                <w:szCs w:val="17"/>
                <w:color w:val="auto"/>
              </w:rPr>
              <w:t>Director and Co-Chairman</w:t>
            </w:r>
          </w:p>
        </w:tc>
      </w:tr>
      <w:tr>
        <w:trPr>
          <w:trHeight w:val="322"/>
        </w:trPr>
        <w:tc>
          <w:tcPr>
            <w:tcW w:w="3120" w:type="dxa"/>
            <w:vAlign w:val="bottom"/>
            <w:gridSpan w:val="2"/>
          </w:tcPr>
          <w:p>
            <w:pPr>
              <w:spacing w:after="0"/>
              <w:rPr>
                <w:sz w:val="20"/>
                <w:szCs w:val="20"/>
                <w:color w:val="auto"/>
              </w:rPr>
            </w:pPr>
            <w:r>
              <w:rPr>
                <w:rFonts w:ascii="Arial" w:cs="Arial" w:eastAsia="Arial" w:hAnsi="Arial"/>
                <w:sz w:val="17"/>
                <w:szCs w:val="17"/>
                <w:color w:val="auto"/>
              </w:rPr>
              <w:t>Bruce A. Karsh</w:t>
            </w:r>
          </w:p>
        </w:tc>
        <w:tc>
          <w:tcPr>
            <w:tcW w:w="220" w:type="dxa"/>
            <w:vAlign w:val="bottom"/>
          </w:tcPr>
          <w:p>
            <w:pPr>
              <w:spacing w:after="0"/>
              <w:rPr>
                <w:sz w:val="20"/>
                <w:szCs w:val="20"/>
                <w:color w:val="auto"/>
              </w:rPr>
            </w:pPr>
            <w:r>
              <w:rPr>
                <w:rFonts w:ascii="Arial" w:cs="Arial" w:eastAsia="Arial" w:hAnsi="Arial"/>
                <w:sz w:val="17"/>
                <w:szCs w:val="17"/>
                <w:color w:val="auto"/>
              </w:rPr>
              <w:t>70</w:t>
            </w:r>
          </w:p>
        </w:tc>
        <w:tc>
          <w:tcPr>
            <w:tcW w:w="120" w:type="dxa"/>
            <w:vAlign w:val="bottom"/>
          </w:tcPr>
          <w:p>
            <w:pPr>
              <w:spacing w:after="0"/>
              <w:rPr>
                <w:sz w:val="24"/>
                <w:szCs w:val="24"/>
                <w:color w:val="auto"/>
              </w:rPr>
            </w:pPr>
          </w:p>
        </w:tc>
        <w:tc>
          <w:tcPr>
            <w:tcW w:w="2920" w:type="dxa"/>
            <w:vAlign w:val="bottom"/>
            <w:gridSpan w:val="3"/>
          </w:tcPr>
          <w:p>
            <w:pPr>
              <w:ind w:left="120"/>
              <w:spacing w:after="0"/>
              <w:rPr>
                <w:sz w:val="20"/>
                <w:szCs w:val="20"/>
                <w:color w:val="auto"/>
              </w:rPr>
            </w:pPr>
            <w:r>
              <w:rPr>
                <w:rFonts w:ascii="Arial" w:cs="Arial" w:eastAsia="Arial" w:hAnsi="Arial"/>
                <w:sz w:val="17"/>
                <w:szCs w:val="17"/>
                <w:color w:val="auto"/>
              </w:rPr>
              <w:t>Director and Co-Chairman</w:t>
            </w:r>
          </w:p>
        </w:tc>
      </w:tr>
      <w:tr>
        <w:trPr>
          <w:trHeight w:val="322"/>
        </w:trPr>
        <w:tc>
          <w:tcPr>
            <w:tcW w:w="3120" w:type="dxa"/>
            <w:vAlign w:val="bottom"/>
            <w:gridSpan w:val="2"/>
          </w:tcPr>
          <w:p>
            <w:pPr>
              <w:spacing w:after="0"/>
              <w:rPr>
                <w:sz w:val="20"/>
                <w:szCs w:val="20"/>
                <w:color w:val="auto"/>
              </w:rPr>
            </w:pPr>
            <w:r>
              <w:rPr>
                <w:rFonts w:ascii="Arial" w:cs="Arial" w:eastAsia="Arial" w:hAnsi="Arial"/>
                <w:sz w:val="17"/>
                <w:szCs w:val="17"/>
                <w:color w:val="auto"/>
              </w:rPr>
              <w:t>John B. Frank</w:t>
            </w:r>
          </w:p>
        </w:tc>
        <w:tc>
          <w:tcPr>
            <w:tcW w:w="220" w:type="dxa"/>
            <w:vAlign w:val="bottom"/>
          </w:tcPr>
          <w:p>
            <w:pPr>
              <w:spacing w:after="0"/>
              <w:rPr>
                <w:sz w:val="20"/>
                <w:szCs w:val="20"/>
                <w:color w:val="auto"/>
              </w:rPr>
            </w:pPr>
            <w:r>
              <w:rPr>
                <w:rFonts w:ascii="Arial" w:cs="Arial" w:eastAsia="Arial" w:hAnsi="Arial"/>
                <w:sz w:val="17"/>
                <w:szCs w:val="17"/>
                <w:color w:val="auto"/>
              </w:rPr>
              <w:t>69</w:t>
            </w:r>
          </w:p>
        </w:tc>
        <w:tc>
          <w:tcPr>
            <w:tcW w:w="120" w:type="dxa"/>
            <w:vAlign w:val="bottom"/>
          </w:tcPr>
          <w:p>
            <w:pPr>
              <w:spacing w:after="0"/>
              <w:rPr>
                <w:sz w:val="24"/>
                <w:szCs w:val="24"/>
                <w:color w:val="auto"/>
              </w:rPr>
            </w:pPr>
          </w:p>
        </w:tc>
        <w:tc>
          <w:tcPr>
            <w:tcW w:w="2920" w:type="dxa"/>
            <w:vAlign w:val="bottom"/>
            <w:gridSpan w:val="3"/>
          </w:tcPr>
          <w:p>
            <w:pPr>
              <w:ind w:left="120"/>
              <w:spacing w:after="0"/>
              <w:rPr>
                <w:sz w:val="20"/>
                <w:szCs w:val="20"/>
                <w:color w:val="auto"/>
              </w:rPr>
            </w:pPr>
            <w:r>
              <w:rPr>
                <w:rFonts w:ascii="Arial" w:cs="Arial" w:eastAsia="Arial" w:hAnsi="Arial"/>
                <w:sz w:val="17"/>
                <w:szCs w:val="17"/>
                <w:color w:val="auto"/>
              </w:rPr>
              <w:t>Director and Vice Chairman</w:t>
            </w:r>
          </w:p>
        </w:tc>
      </w:tr>
      <w:tr>
        <w:trPr>
          <w:trHeight w:val="322"/>
        </w:trPr>
        <w:tc>
          <w:tcPr>
            <w:tcW w:w="3120" w:type="dxa"/>
            <w:vAlign w:val="bottom"/>
            <w:gridSpan w:val="2"/>
          </w:tcPr>
          <w:p>
            <w:pPr>
              <w:spacing w:after="0"/>
              <w:rPr>
                <w:sz w:val="20"/>
                <w:szCs w:val="20"/>
                <w:color w:val="auto"/>
              </w:rPr>
            </w:pPr>
            <w:r>
              <w:rPr>
                <w:rFonts w:ascii="Arial" w:cs="Arial" w:eastAsia="Arial" w:hAnsi="Arial"/>
                <w:sz w:val="17"/>
                <w:szCs w:val="17"/>
                <w:color w:val="auto"/>
              </w:rPr>
              <w:t>Nicholas H. Goodman</w:t>
            </w:r>
          </w:p>
        </w:tc>
        <w:tc>
          <w:tcPr>
            <w:tcW w:w="220" w:type="dxa"/>
            <w:vAlign w:val="bottom"/>
          </w:tcPr>
          <w:p>
            <w:pPr>
              <w:spacing w:after="0"/>
              <w:rPr>
                <w:sz w:val="20"/>
                <w:szCs w:val="20"/>
                <w:color w:val="auto"/>
              </w:rPr>
            </w:pPr>
            <w:r>
              <w:rPr>
                <w:rFonts w:ascii="Arial" w:cs="Arial" w:eastAsia="Arial" w:hAnsi="Arial"/>
                <w:sz w:val="17"/>
                <w:szCs w:val="17"/>
                <w:color w:val="auto"/>
              </w:rPr>
              <w:t>44</w:t>
            </w:r>
          </w:p>
        </w:tc>
        <w:tc>
          <w:tcPr>
            <w:tcW w:w="120" w:type="dxa"/>
            <w:vAlign w:val="bottom"/>
          </w:tcPr>
          <w:p>
            <w:pPr>
              <w:spacing w:after="0"/>
              <w:rPr>
                <w:sz w:val="24"/>
                <w:szCs w:val="24"/>
                <w:color w:val="auto"/>
              </w:rPr>
            </w:pPr>
          </w:p>
        </w:tc>
        <w:tc>
          <w:tcPr>
            <w:tcW w:w="2920" w:type="dxa"/>
            <w:vAlign w:val="bottom"/>
            <w:gridSpan w:val="3"/>
          </w:tcPr>
          <w:p>
            <w:pPr>
              <w:ind w:left="120"/>
              <w:spacing w:after="0"/>
              <w:rPr>
                <w:sz w:val="20"/>
                <w:szCs w:val="20"/>
                <w:color w:val="auto"/>
              </w:rPr>
            </w:pPr>
            <w:r>
              <w:rPr>
                <w:rFonts w:ascii="Arial" w:cs="Arial" w:eastAsia="Arial" w:hAnsi="Arial"/>
                <w:sz w:val="17"/>
                <w:szCs w:val="17"/>
                <w:color w:val="auto"/>
              </w:rPr>
              <w:t>Chief Executive Officer</w:t>
            </w:r>
          </w:p>
        </w:tc>
      </w:tr>
      <w:tr>
        <w:trPr>
          <w:trHeight w:val="309"/>
        </w:trPr>
        <w:tc>
          <w:tcPr>
            <w:tcW w:w="3120" w:type="dxa"/>
            <w:vAlign w:val="bottom"/>
            <w:gridSpan w:val="2"/>
          </w:tcPr>
          <w:p>
            <w:pPr>
              <w:spacing w:after="0"/>
              <w:rPr>
                <w:sz w:val="20"/>
                <w:szCs w:val="20"/>
                <w:color w:val="auto"/>
              </w:rPr>
            </w:pPr>
            <w:r>
              <w:rPr>
                <w:rFonts w:ascii="Arial" w:cs="Arial" w:eastAsia="Arial" w:hAnsi="Arial"/>
                <w:sz w:val="17"/>
                <w:szCs w:val="17"/>
                <w:color w:val="auto"/>
              </w:rPr>
              <w:t>Daniel D. Levin</w:t>
            </w:r>
          </w:p>
        </w:tc>
        <w:tc>
          <w:tcPr>
            <w:tcW w:w="220" w:type="dxa"/>
            <w:vAlign w:val="bottom"/>
          </w:tcPr>
          <w:p>
            <w:pPr>
              <w:spacing w:after="0"/>
              <w:rPr>
                <w:sz w:val="20"/>
                <w:szCs w:val="20"/>
                <w:color w:val="auto"/>
              </w:rPr>
            </w:pPr>
            <w:r>
              <w:rPr>
                <w:rFonts w:ascii="Arial" w:cs="Arial" w:eastAsia="Arial" w:hAnsi="Arial"/>
                <w:sz w:val="17"/>
                <w:szCs w:val="17"/>
                <w:color w:val="auto"/>
              </w:rPr>
              <w:t>47</w:t>
            </w:r>
          </w:p>
        </w:tc>
        <w:tc>
          <w:tcPr>
            <w:tcW w:w="120" w:type="dxa"/>
            <w:vAlign w:val="bottom"/>
          </w:tcPr>
          <w:p>
            <w:pPr>
              <w:spacing w:after="0"/>
              <w:rPr>
                <w:sz w:val="24"/>
                <w:szCs w:val="24"/>
                <w:color w:val="auto"/>
              </w:rPr>
            </w:pPr>
          </w:p>
        </w:tc>
        <w:tc>
          <w:tcPr>
            <w:tcW w:w="2920" w:type="dxa"/>
            <w:vAlign w:val="bottom"/>
            <w:gridSpan w:val="3"/>
          </w:tcPr>
          <w:p>
            <w:pPr>
              <w:ind w:left="120"/>
              <w:spacing w:after="0"/>
              <w:rPr>
                <w:sz w:val="20"/>
                <w:szCs w:val="20"/>
                <w:color w:val="auto"/>
              </w:rPr>
            </w:pPr>
            <w:r>
              <w:rPr>
                <w:rFonts w:ascii="Arial" w:cs="Arial" w:eastAsia="Arial" w:hAnsi="Arial"/>
                <w:sz w:val="17"/>
                <w:szCs w:val="17"/>
                <w:color w:val="auto"/>
              </w:rPr>
              <w:t>Chief Financial Officer and Secretary</w:t>
            </w:r>
          </w:p>
        </w:tc>
      </w:tr>
      <w:tr>
        <w:trPr>
          <w:trHeight w:val="322"/>
        </w:trPr>
        <w:tc>
          <w:tcPr>
            <w:tcW w:w="3120" w:type="dxa"/>
            <w:vAlign w:val="bottom"/>
            <w:gridSpan w:val="2"/>
          </w:tcPr>
          <w:p>
            <w:pPr>
              <w:spacing w:after="0"/>
              <w:rPr>
                <w:sz w:val="20"/>
                <w:szCs w:val="20"/>
                <w:color w:val="auto"/>
              </w:rPr>
            </w:pPr>
            <w:r>
              <w:rPr>
                <w:rFonts w:ascii="Arial" w:cs="Arial" w:eastAsia="Arial" w:hAnsi="Arial"/>
                <w:sz w:val="17"/>
                <w:szCs w:val="17"/>
                <w:color w:val="auto"/>
              </w:rPr>
              <w:t>Sheldon M. Stone</w:t>
            </w:r>
          </w:p>
        </w:tc>
        <w:tc>
          <w:tcPr>
            <w:tcW w:w="220" w:type="dxa"/>
            <w:vAlign w:val="bottom"/>
          </w:tcPr>
          <w:p>
            <w:pPr>
              <w:spacing w:after="0"/>
              <w:rPr>
                <w:sz w:val="20"/>
                <w:szCs w:val="20"/>
                <w:color w:val="auto"/>
              </w:rPr>
            </w:pPr>
            <w:r>
              <w:rPr>
                <w:rFonts w:ascii="Arial" w:cs="Arial" w:eastAsia="Arial" w:hAnsi="Arial"/>
                <w:sz w:val="17"/>
                <w:szCs w:val="17"/>
                <w:color w:val="auto"/>
              </w:rPr>
              <w:t>73</w:t>
            </w:r>
          </w:p>
        </w:tc>
        <w:tc>
          <w:tcPr>
            <w:tcW w:w="120" w:type="dxa"/>
            <w:vAlign w:val="bottom"/>
          </w:tcPr>
          <w:p>
            <w:pPr>
              <w:spacing w:after="0"/>
              <w:rPr>
                <w:sz w:val="24"/>
                <w:szCs w:val="24"/>
                <w:color w:val="auto"/>
              </w:rPr>
            </w:pPr>
          </w:p>
        </w:tc>
        <w:tc>
          <w:tcPr>
            <w:tcW w:w="2920" w:type="dxa"/>
            <w:vAlign w:val="bottom"/>
            <w:gridSpan w:val="3"/>
          </w:tcPr>
          <w:p>
            <w:pPr>
              <w:ind w:left="120"/>
              <w:spacing w:after="0"/>
              <w:rPr>
                <w:sz w:val="20"/>
                <w:szCs w:val="20"/>
                <w:color w:val="auto"/>
              </w:rPr>
            </w:pPr>
            <w:r>
              <w:rPr>
                <w:rFonts w:ascii="Arial" w:cs="Arial" w:eastAsia="Arial" w:hAnsi="Arial"/>
                <w:sz w:val="17"/>
                <w:szCs w:val="17"/>
                <w:color w:val="auto"/>
              </w:rPr>
              <w:t>Director</w:t>
            </w:r>
          </w:p>
        </w:tc>
      </w:tr>
      <w:tr>
        <w:trPr>
          <w:trHeight w:val="322"/>
        </w:trPr>
        <w:tc>
          <w:tcPr>
            <w:tcW w:w="3120" w:type="dxa"/>
            <w:vAlign w:val="bottom"/>
            <w:gridSpan w:val="2"/>
          </w:tcPr>
          <w:p>
            <w:pPr>
              <w:spacing w:after="0"/>
              <w:rPr>
                <w:sz w:val="20"/>
                <w:szCs w:val="20"/>
                <w:color w:val="auto"/>
              </w:rPr>
            </w:pPr>
            <w:r>
              <w:rPr>
                <w:rFonts w:ascii="Arial" w:cs="Arial" w:eastAsia="Arial" w:hAnsi="Arial"/>
                <w:sz w:val="17"/>
                <w:szCs w:val="17"/>
                <w:color w:val="auto"/>
              </w:rPr>
              <w:t>Justin B. Beber</w:t>
            </w:r>
          </w:p>
        </w:tc>
        <w:tc>
          <w:tcPr>
            <w:tcW w:w="220" w:type="dxa"/>
            <w:vAlign w:val="bottom"/>
          </w:tcPr>
          <w:p>
            <w:pPr>
              <w:spacing w:after="0"/>
              <w:rPr>
                <w:sz w:val="20"/>
                <w:szCs w:val="20"/>
                <w:color w:val="auto"/>
              </w:rPr>
            </w:pPr>
            <w:r>
              <w:rPr>
                <w:rFonts w:ascii="Arial" w:cs="Arial" w:eastAsia="Arial" w:hAnsi="Arial"/>
                <w:sz w:val="17"/>
                <w:szCs w:val="17"/>
                <w:color w:val="auto"/>
              </w:rPr>
              <w:t>56</w:t>
            </w:r>
          </w:p>
        </w:tc>
        <w:tc>
          <w:tcPr>
            <w:tcW w:w="120" w:type="dxa"/>
            <w:vAlign w:val="bottom"/>
          </w:tcPr>
          <w:p>
            <w:pPr>
              <w:spacing w:after="0"/>
              <w:rPr>
                <w:sz w:val="24"/>
                <w:szCs w:val="24"/>
                <w:color w:val="auto"/>
              </w:rPr>
            </w:pPr>
          </w:p>
        </w:tc>
        <w:tc>
          <w:tcPr>
            <w:tcW w:w="2920" w:type="dxa"/>
            <w:vAlign w:val="bottom"/>
            <w:gridSpan w:val="3"/>
          </w:tcPr>
          <w:p>
            <w:pPr>
              <w:ind w:left="120"/>
              <w:spacing w:after="0"/>
              <w:rPr>
                <w:sz w:val="20"/>
                <w:szCs w:val="20"/>
                <w:color w:val="auto"/>
              </w:rPr>
            </w:pPr>
            <w:r>
              <w:rPr>
                <w:rFonts w:ascii="Arial" w:cs="Arial" w:eastAsia="Arial" w:hAnsi="Arial"/>
                <w:sz w:val="17"/>
                <w:szCs w:val="17"/>
                <w:color w:val="auto"/>
              </w:rPr>
              <w:t>Director</w:t>
            </w:r>
          </w:p>
        </w:tc>
      </w:tr>
      <w:tr>
        <w:trPr>
          <w:trHeight w:val="322"/>
        </w:trPr>
        <w:tc>
          <w:tcPr>
            <w:tcW w:w="3120" w:type="dxa"/>
            <w:vAlign w:val="bottom"/>
            <w:gridSpan w:val="2"/>
          </w:tcPr>
          <w:p>
            <w:pPr>
              <w:spacing w:after="0"/>
              <w:rPr>
                <w:sz w:val="20"/>
                <w:szCs w:val="20"/>
                <w:color w:val="auto"/>
              </w:rPr>
            </w:pPr>
            <w:r>
              <w:rPr>
                <w:rFonts w:ascii="Arial" w:cs="Arial" w:eastAsia="Arial" w:hAnsi="Arial"/>
                <w:sz w:val="17"/>
                <w:szCs w:val="17"/>
                <w:color w:val="auto"/>
              </w:rPr>
              <w:t>Bruce Flatt</w:t>
            </w:r>
          </w:p>
        </w:tc>
        <w:tc>
          <w:tcPr>
            <w:tcW w:w="220" w:type="dxa"/>
            <w:vAlign w:val="bottom"/>
          </w:tcPr>
          <w:p>
            <w:pPr>
              <w:spacing w:after="0"/>
              <w:rPr>
                <w:sz w:val="20"/>
                <w:szCs w:val="20"/>
                <w:color w:val="auto"/>
              </w:rPr>
            </w:pPr>
            <w:r>
              <w:rPr>
                <w:rFonts w:ascii="Arial" w:cs="Arial" w:eastAsia="Arial" w:hAnsi="Arial"/>
                <w:sz w:val="17"/>
                <w:szCs w:val="17"/>
                <w:color w:val="auto"/>
              </w:rPr>
              <w:t>60</w:t>
            </w:r>
          </w:p>
        </w:tc>
        <w:tc>
          <w:tcPr>
            <w:tcW w:w="120" w:type="dxa"/>
            <w:vAlign w:val="bottom"/>
          </w:tcPr>
          <w:p>
            <w:pPr>
              <w:spacing w:after="0"/>
              <w:rPr>
                <w:sz w:val="24"/>
                <w:szCs w:val="24"/>
                <w:color w:val="auto"/>
              </w:rPr>
            </w:pPr>
          </w:p>
        </w:tc>
        <w:tc>
          <w:tcPr>
            <w:tcW w:w="2920" w:type="dxa"/>
            <w:vAlign w:val="bottom"/>
            <w:gridSpan w:val="3"/>
          </w:tcPr>
          <w:p>
            <w:pPr>
              <w:ind w:left="120"/>
              <w:spacing w:after="0"/>
              <w:rPr>
                <w:sz w:val="20"/>
                <w:szCs w:val="20"/>
                <w:color w:val="auto"/>
              </w:rPr>
            </w:pPr>
            <w:r>
              <w:rPr>
                <w:rFonts w:ascii="Arial" w:cs="Arial" w:eastAsia="Arial" w:hAnsi="Arial"/>
                <w:sz w:val="17"/>
                <w:szCs w:val="17"/>
                <w:color w:val="auto"/>
              </w:rPr>
              <w:t>Director</w:t>
            </w:r>
          </w:p>
        </w:tc>
      </w:tr>
      <w:tr>
        <w:trPr>
          <w:trHeight w:val="322"/>
        </w:trPr>
        <w:tc>
          <w:tcPr>
            <w:tcW w:w="3120" w:type="dxa"/>
            <w:vAlign w:val="bottom"/>
            <w:gridSpan w:val="2"/>
          </w:tcPr>
          <w:p>
            <w:pPr>
              <w:spacing w:after="0"/>
              <w:rPr>
                <w:sz w:val="20"/>
                <w:szCs w:val="20"/>
                <w:color w:val="auto"/>
              </w:rPr>
            </w:pPr>
            <w:r>
              <w:rPr>
                <w:rFonts w:ascii="Arial" w:cs="Arial" w:eastAsia="Arial" w:hAnsi="Arial"/>
                <w:sz w:val="17"/>
                <w:szCs w:val="17"/>
                <w:color w:val="auto"/>
              </w:rPr>
              <w:t>Steven J. Gilbert</w:t>
            </w:r>
          </w:p>
        </w:tc>
        <w:tc>
          <w:tcPr>
            <w:tcW w:w="220" w:type="dxa"/>
            <w:vAlign w:val="bottom"/>
          </w:tcPr>
          <w:p>
            <w:pPr>
              <w:spacing w:after="0"/>
              <w:rPr>
                <w:sz w:val="20"/>
                <w:szCs w:val="20"/>
                <w:color w:val="auto"/>
              </w:rPr>
            </w:pPr>
            <w:r>
              <w:rPr>
                <w:rFonts w:ascii="Arial" w:cs="Arial" w:eastAsia="Arial" w:hAnsi="Arial"/>
                <w:sz w:val="17"/>
                <w:szCs w:val="17"/>
                <w:color w:val="auto"/>
              </w:rPr>
              <w:t>78</w:t>
            </w:r>
          </w:p>
        </w:tc>
        <w:tc>
          <w:tcPr>
            <w:tcW w:w="120" w:type="dxa"/>
            <w:vAlign w:val="bottom"/>
          </w:tcPr>
          <w:p>
            <w:pPr>
              <w:spacing w:after="0"/>
              <w:rPr>
                <w:sz w:val="24"/>
                <w:szCs w:val="24"/>
                <w:color w:val="auto"/>
              </w:rPr>
            </w:pPr>
          </w:p>
        </w:tc>
        <w:tc>
          <w:tcPr>
            <w:tcW w:w="2920" w:type="dxa"/>
            <w:vAlign w:val="bottom"/>
            <w:gridSpan w:val="3"/>
          </w:tcPr>
          <w:p>
            <w:pPr>
              <w:ind w:left="120"/>
              <w:spacing w:after="0"/>
              <w:rPr>
                <w:sz w:val="20"/>
                <w:szCs w:val="20"/>
                <w:color w:val="auto"/>
              </w:rPr>
            </w:pPr>
            <w:r>
              <w:rPr>
                <w:rFonts w:ascii="Arial" w:cs="Arial" w:eastAsia="Arial" w:hAnsi="Arial"/>
                <w:sz w:val="17"/>
                <w:szCs w:val="17"/>
                <w:color w:val="auto"/>
              </w:rPr>
              <w:t>Director</w:t>
            </w:r>
          </w:p>
        </w:tc>
      </w:tr>
      <w:tr>
        <w:trPr>
          <w:trHeight w:val="322"/>
        </w:trPr>
        <w:tc>
          <w:tcPr>
            <w:tcW w:w="3120" w:type="dxa"/>
            <w:vAlign w:val="bottom"/>
            <w:gridSpan w:val="2"/>
          </w:tcPr>
          <w:p>
            <w:pPr>
              <w:spacing w:after="0"/>
              <w:rPr>
                <w:sz w:val="20"/>
                <w:szCs w:val="20"/>
                <w:color w:val="auto"/>
              </w:rPr>
            </w:pPr>
            <w:r>
              <w:rPr>
                <w:rFonts w:ascii="Arial" w:cs="Arial" w:eastAsia="Arial" w:hAnsi="Arial"/>
                <w:sz w:val="17"/>
                <w:szCs w:val="17"/>
                <w:color w:val="auto"/>
              </w:rPr>
              <w:t>Depelsha T. McGruder</w:t>
            </w:r>
          </w:p>
        </w:tc>
        <w:tc>
          <w:tcPr>
            <w:tcW w:w="220" w:type="dxa"/>
            <w:vAlign w:val="bottom"/>
          </w:tcPr>
          <w:p>
            <w:pPr>
              <w:spacing w:after="0"/>
              <w:rPr>
                <w:sz w:val="20"/>
                <w:szCs w:val="20"/>
                <w:color w:val="auto"/>
              </w:rPr>
            </w:pPr>
            <w:r>
              <w:rPr>
                <w:rFonts w:ascii="Arial" w:cs="Arial" w:eastAsia="Arial" w:hAnsi="Arial"/>
                <w:sz w:val="17"/>
                <w:szCs w:val="17"/>
                <w:color w:val="auto"/>
              </w:rPr>
              <w:t>53</w:t>
            </w:r>
          </w:p>
        </w:tc>
        <w:tc>
          <w:tcPr>
            <w:tcW w:w="120" w:type="dxa"/>
            <w:vAlign w:val="bottom"/>
          </w:tcPr>
          <w:p>
            <w:pPr>
              <w:spacing w:after="0"/>
              <w:rPr>
                <w:sz w:val="24"/>
                <w:szCs w:val="24"/>
                <w:color w:val="auto"/>
              </w:rPr>
            </w:pPr>
          </w:p>
        </w:tc>
        <w:tc>
          <w:tcPr>
            <w:tcW w:w="2920" w:type="dxa"/>
            <w:vAlign w:val="bottom"/>
            <w:gridSpan w:val="3"/>
          </w:tcPr>
          <w:p>
            <w:pPr>
              <w:ind w:left="120"/>
              <w:spacing w:after="0"/>
              <w:rPr>
                <w:sz w:val="20"/>
                <w:szCs w:val="20"/>
                <w:color w:val="auto"/>
              </w:rPr>
            </w:pPr>
            <w:r>
              <w:rPr>
                <w:rFonts w:ascii="Arial" w:cs="Arial" w:eastAsia="Arial" w:hAnsi="Arial"/>
                <w:sz w:val="17"/>
                <w:szCs w:val="17"/>
                <w:color w:val="auto"/>
              </w:rPr>
              <w:t>Director</w:t>
            </w:r>
          </w:p>
        </w:tc>
      </w:tr>
      <w:tr>
        <w:trPr>
          <w:trHeight w:val="322"/>
        </w:trPr>
        <w:tc>
          <w:tcPr>
            <w:tcW w:w="3120" w:type="dxa"/>
            <w:vAlign w:val="bottom"/>
            <w:gridSpan w:val="2"/>
          </w:tcPr>
          <w:p>
            <w:pPr>
              <w:spacing w:after="0"/>
              <w:rPr>
                <w:sz w:val="20"/>
                <w:szCs w:val="20"/>
                <w:color w:val="auto"/>
              </w:rPr>
            </w:pPr>
            <w:r>
              <w:rPr>
                <w:rFonts w:ascii="Arial" w:cs="Arial" w:eastAsia="Arial" w:hAnsi="Arial"/>
                <w:sz w:val="17"/>
                <w:szCs w:val="17"/>
                <w:color w:val="auto"/>
              </w:rPr>
              <w:t>Mansco Perry</w:t>
            </w:r>
          </w:p>
        </w:tc>
        <w:tc>
          <w:tcPr>
            <w:tcW w:w="220" w:type="dxa"/>
            <w:vAlign w:val="bottom"/>
          </w:tcPr>
          <w:p>
            <w:pPr>
              <w:spacing w:after="0"/>
              <w:rPr>
                <w:sz w:val="20"/>
                <w:szCs w:val="20"/>
                <w:color w:val="auto"/>
              </w:rPr>
            </w:pPr>
            <w:r>
              <w:rPr>
                <w:rFonts w:ascii="Arial" w:cs="Arial" w:eastAsia="Arial" w:hAnsi="Arial"/>
                <w:sz w:val="17"/>
                <w:szCs w:val="17"/>
                <w:color w:val="auto"/>
              </w:rPr>
              <w:t>72</w:t>
            </w:r>
          </w:p>
        </w:tc>
        <w:tc>
          <w:tcPr>
            <w:tcW w:w="120" w:type="dxa"/>
            <w:vAlign w:val="bottom"/>
          </w:tcPr>
          <w:p>
            <w:pPr>
              <w:spacing w:after="0"/>
              <w:rPr>
                <w:sz w:val="24"/>
                <w:szCs w:val="24"/>
                <w:color w:val="auto"/>
              </w:rPr>
            </w:pPr>
          </w:p>
        </w:tc>
        <w:tc>
          <w:tcPr>
            <w:tcW w:w="2920" w:type="dxa"/>
            <w:vAlign w:val="bottom"/>
            <w:gridSpan w:val="3"/>
          </w:tcPr>
          <w:p>
            <w:pPr>
              <w:ind w:left="120"/>
              <w:spacing w:after="0"/>
              <w:rPr>
                <w:sz w:val="20"/>
                <w:szCs w:val="20"/>
                <w:color w:val="auto"/>
              </w:rPr>
            </w:pPr>
            <w:r>
              <w:rPr>
                <w:rFonts w:ascii="Arial" w:cs="Arial" w:eastAsia="Arial" w:hAnsi="Arial"/>
                <w:sz w:val="17"/>
                <w:szCs w:val="17"/>
                <w:color w:val="auto"/>
              </w:rPr>
              <w:t>Director</w:t>
            </w:r>
          </w:p>
        </w:tc>
      </w:tr>
      <w:tr>
        <w:trPr>
          <w:trHeight w:val="271"/>
        </w:trPr>
        <w:tc>
          <w:tcPr>
            <w:tcW w:w="3120" w:type="dxa"/>
            <w:vAlign w:val="bottom"/>
            <w:gridSpan w:val="2"/>
          </w:tcPr>
          <w:p>
            <w:pPr>
              <w:spacing w:after="0"/>
              <w:rPr>
                <w:sz w:val="20"/>
                <w:szCs w:val="20"/>
                <w:color w:val="auto"/>
              </w:rPr>
            </w:pPr>
            <w:r>
              <w:rPr>
                <w:rFonts w:ascii="Arial" w:cs="Arial" w:eastAsia="Arial" w:hAnsi="Arial"/>
                <w:sz w:val="17"/>
                <w:szCs w:val="17"/>
                <w:color w:val="auto"/>
              </w:rPr>
              <w:t>Marna C. Whittington</w:t>
            </w:r>
          </w:p>
        </w:tc>
        <w:tc>
          <w:tcPr>
            <w:tcW w:w="220" w:type="dxa"/>
            <w:vAlign w:val="bottom"/>
          </w:tcPr>
          <w:p>
            <w:pPr>
              <w:spacing w:after="0"/>
              <w:rPr>
                <w:sz w:val="20"/>
                <w:szCs w:val="20"/>
                <w:color w:val="auto"/>
              </w:rPr>
            </w:pPr>
            <w:r>
              <w:rPr>
                <w:rFonts w:ascii="Arial" w:cs="Arial" w:eastAsia="Arial" w:hAnsi="Arial"/>
                <w:sz w:val="17"/>
                <w:szCs w:val="17"/>
                <w:color w:val="auto"/>
              </w:rPr>
              <w:t>78</w:t>
            </w:r>
          </w:p>
        </w:tc>
        <w:tc>
          <w:tcPr>
            <w:tcW w:w="120" w:type="dxa"/>
            <w:vAlign w:val="bottom"/>
          </w:tcPr>
          <w:p>
            <w:pPr>
              <w:spacing w:after="0"/>
              <w:rPr>
                <w:sz w:val="23"/>
                <w:szCs w:val="23"/>
                <w:color w:val="auto"/>
              </w:rPr>
            </w:pPr>
          </w:p>
        </w:tc>
        <w:tc>
          <w:tcPr>
            <w:tcW w:w="2920" w:type="dxa"/>
            <w:vAlign w:val="bottom"/>
            <w:gridSpan w:val="3"/>
          </w:tcPr>
          <w:p>
            <w:pPr>
              <w:ind w:left="120"/>
              <w:spacing w:after="0"/>
              <w:rPr>
                <w:sz w:val="20"/>
                <w:szCs w:val="20"/>
                <w:color w:val="auto"/>
              </w:rPr>
            </w:pPr>
            <w:r>
              <w:rPr>
                <w:rFonts w:ascii="Arial" w:cs="Arial" w:eastAsia="Arial" w:hAnsi="Arial"/>
                <w:sz w:val="17"/>
                <w:szCs w:val="17"/>
                <w:color w:val="auto"/>
              </w:rPr>
              <w:t>Director</w:t>
            </w:r>
          </w:p>
        </w:tc>
      </w:tr>
    </w:tbl>
    <w:p>
      <w:pPr>
        <w:spacing w:after="0" w:line="277" w:lineRule="exact"/>
        <w:rPr>
          <w:sz w:val="20"/>
          <w:szCs w:val="20"/>
          <w:color w:val="auto"/>
        </w:rPr>
      </w:pPr>
    </w:p>
    <w:p>
      <w:pPr>
        <w:ind w:firstLine="503"/>
        <w:spacing w:after="0" w:line="232" w:lineRule="auto"/>
        <w:rPr>
          <w:sz w:val="20"/>
          <w:szCs w:val="20"/>
          <w:color w:val="auto"/>
        </w:rPr>
      </w:pPr>
      <w:r>
        <w:rPr>
          <w:rFonts w:ascii="Arial" w:cs="Arial" w:eastAsia="Arial" w:hAnsi="Arial"/>
          <w:sz w:val="17"/>
          <w:szCs w:val="17"/>
          <w:b w:val="1"/>
          <w:bCs w:val="1"/>
          <w:i w:val="1"/>
          <w:iCs w:val="1"/>
          <w:color w:val="auto"/>
        </w:rPr>
        <w:t xml:space="preserve">Howard S. Marks </w:t>
      </w:r>
      <w:r>
        <w:rPr>
          <w:rFonts w:ascii="Arial" w:cs="Arial" w:eastAsia="Arial" w:hAnsi="Arial"/>
          <w:sz w:val="17"/>
          <w:szCs w:val="17"/>
          <w:color w:val="auto"/>
        </w:rPr>
        <w:t>is our Co-Chairman and one of Oaktree’s co-founders and has been a director since May 2007. Since the formation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Oaktree in 1995, Mr. Marks has been responsible for ensuring Oaktree’s adherence to its core investment philosophy; communicating closely with clients concerning products and strategies; and contributing his experience to big-picture decisions relating to investments and corporate direction. From 1985 until 1995, Mr. Marks led the groups at The TCW Group, Inc. that were responsible for investments in distressed debt, high yield bonds, and convertible securities. He was also Chief Investment Officer for Domestic Fixed Income at TCW. Previously, Mr. Marks was with Citicorp Investment Management for 16 years, where from 1978 to 1985 he was Vice President and senior portfolio manager in charge of convertible and high yield securities. Between 1969 and 1978, he was an equity research analyst and, subsequently, Citicorp’s Director of Research. Mr. Marks holds a B.S.Ec. degree </w:t>
      </w:r>
      <w:r>
        <w:rPr>
          <w:rFonts w:ascii="Arial" w:cs="Arial" w:eastAsia="Arial" w:hAnsi="Arial"/>
          <w:sz w:val="17"/>
          <w:szCs w:val="17"/>
          <w:i w:val="1"/>
          <w:iCs w:val="1"/>
          <w:color w:val="auto"/>
        </w:rPr>
        <w:t>cum laude</w:t>
      </w:r>
      <w:r>
        <w:rPr>
          <w:rFonts w:ascii="Arial" w:cs="Arial" w:eastAsia="Arial" w:hAnsi="Arial"/>
          <w:sz w:val="17"/>
          <w:szCs w:val="17"/>
          <w:color w:val="auto"/>
        </w:rPr>
        <w:t xml:space="preserve"> from the Wharton School of the University of Pennsylvania with a major in finance and an M.B.A. in accounting and marketing from the Booth School of Business of the University of Chicago, where he received the George Hay Brown Prize. He is a CFA</w:t>
      </w:r>
      <w:r>
        <w:rPr>
          <w:rFonts w:ascii="Arial" w:cs="Arial" w:eastAsia="Arial" w:hAnsi="Arial"/>
          <w:sz w:val="22"/>
          <w:szCs w:val="22"/>
          <w:color w:val="auto"/>
          <w:vertAlign w:val="superscript"/>
        </w:rPr>
        <w:t>®</w:t>
      </w:r>
      <w:r>
        <w:rPr>
          <w:rFonts w:ascii="Arial" w:cs="Arial" w:eastAsia="Arial" w:hAnsi="Arial"/>
          <w:sz w:val="17"/>
          <w:szCs w:val="17"/>
          <w:color w:val="auto"/>
        </w:rPr>
        <w:t xml:space="preserve"> charterholder. Mr. Marks is a Trustee and member of the Investment Committee at the Metropolitan Museum of Art. He is a member of the Investment Committee of the Royal Drawing School (in London). Mr. Marks serves as a director of Brookfield Corporation. He also serves on the</w:t>
      </w:r>
    </w:p>
    <w:p>
      <w:pPr>
        <w:spacing w:after="0" w:line="9" w:lineRule="exact"/>
        <w:rPr>
          <w:sz w:val="20"/>
          <w:szCs w:val="20"/>
          <w:color w:val="auto"/>
        </w:rPr>
      </w:pPr>
    </w:p>
    <w:p>
      <w:pPr>
        <w:spacing w:after="0" w:line="229" w:lineRule="auto"/>
        <w:rPr>
          <w:sz w:val="20"/>
          <w:szCs w:val="20"/>
          <w:color w:val="auto"/>
        </w:rPr>
      </w:pPr>
      <w:r>
        <w:rPr>
          <w:rFonts w:ascii="Arial" w:cs="Arial" w:eastAsia="Arial" w:hAnsi="Arial"/>
          <w:sz w:val="17"/>
          <w:szCs w:val="17"/>
          <w:color w:val="auto"/>
        </w:rPr>
        <w:t>Shanghai International Financial Advisory Council and the Advisory Board of Duke Kunshan University and is an Emeritus Trustee of the University of Pennsylvania, where from 2000 to 2010 he chaired the Investment Board. With over 40 years of investment experience, Mr. Marks’s extensive</w:t>
      </w:r>
    </w:p>
    <w:p>
      <w:pPr>
        <w:spacing w:after="0" w:line="1" w:lineRule="exact"/>
        <w:rPr>
          <w:sz w:val="20"/>
          <w:szCs w:val="20"/>
          <w:color w:val="auto"/>
        </w:rPr>
      </w:pPr>
    </w:p>
    <w:p>
      <w:pPr>
        <w:ind w:right="140"/>
        <w:spacing w:after="0" w:line="254" w:lineRule="auto"/>
        <w:rPr>
          <w:sz w:val="20"/>
          <w:szCs w:val="20"/>
          <w:color w:val="auto"/>
        </w:rPr>
      </w:pPr>
      <w:r>
        <w:rPr>
          <w:rFonts w:ascii="Arial" w:cs="Arial" w:eastAsia="Arial" w:hAnsi="Arial"/>
          <w:sz w:val="17"/>
          <w:szCs w:val="17"/>
          <w:color w:val="auto"/>
        </w:rPr>
        <w:t>expertise in the investment management industry, his perceptive market insights and his importance to Oaktree’s client development add value to our board of directors.</w:t>
      </w:r>
    </w:p>
    <w:p>
      <w:pPr>
        <w:spacing w:after="0" w:line="200" w:lineRule="exact"/>
        <w:rPr>
          <w:sz w:val="20"/>
          <w:szCs w:val="20"/>
          <w:color w:val="auto"/>
        </w:rPr>
      </w:pPr>
    </w:p>
    <w:p>
      <w:pPr>
        <w:spacing w:after="0" w:line="298"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60"/>
          </w:cols>
          <w:pgMar w:left="320" w:top="845" w:right="419" w:bottom="1440" w:gutter="0" w:footer="0" w:header="0"/>
        </w:sectPr>
      </w:pPr>
    </w:p>
    <w:bookmarkStart w:id="108" w:name="page109"/>
    <w:bookmarkEnd w:id="108"/>
    <w:p>
      <w:pPr>
        <w:ind w:firstLine="503"/>
        <w:spacing w:after="0" w:line="239" w:lineRule="auto"/>
        <w:rPr>
          <w:sz w:val="20"/>
          <w:szCs w:val="20"/>
          <w:color w:val="auto"/>
        </w:rPr>
      </w:pPr>
      <w:r>
        <w:rPr>
          <w:rFonts w:ascii="Arial" w:cs="Arial" w:eastAsia="Arial" w:hAnsi="Arial"/>
          <w:sz w:val="17"/>
          <w:szCs w:val="17"/>
          <w:b w:val="1"/>
          <w:bCs w:val="1"/>
          <w:i w:val="1"/>
          <w:iCs w:val="1"/>
          <w:color w:val="auto"/>
        </w:rPr>
        <w:t xml:space="preserve">Bruce A. Karsh </w:t>
      </w:r>
      <w:r>
        <w:rPr>
          <w:rFonts w:ascii="Arial" w:cs="Arial" w:eastAsia="Arial" w:hAnsi="Arial"/>
          <w:sz w:val="17"/>
          <w:szCs w:val="17"/>
          <w:color w:val="auto"/>
        </w:rPr>
        <w:t>is our Co-Chairman and one of Oaktree’s co-founders and has been a director since May 2007. He also serves as Chief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Investment Officer of OCM and portfolio manager for Oaktree’s Global Opportunities, Value Opportunities and Global Credit strategies. Prior to co-founding Oaktree, Mr. Karsh was a managing director of TCW Asset Management Company, and the portfolio manager of the Special Credits Funds from 1988 until 1995. Prior to joining TCW, Mr. Karsh worked as Assistant to the Chairman of SunAmerica, Inc. Prior to that, he was an attorney with the law firm of O’Melveny &amp; Myers. Before working at O’Melveny &amp; Myers, Mr. Karsh clerked for the Honorable Anthony M. Kennedy, then of the U.S. Court of Appeals for the Ninth Circuit and now retired Associate Justice of the U.S. Supreme Court. Mr. Karsh holds an A.B. degree in economics </w:t>
      </w:r>
      <w:r>
        <w:rPr>
          <w:rFonts w:ascii="Arial" w:cs="Arial" w:eastAsia="Arial" w:hAnsi="Arial"/>
          <w:sz w:val="17"/>
          <w:szCs w:val="17"/>
          <w:i w:val="1"/>
          <w:iCs w:val="1"/>
          <w:color w:val="auto"/>
        </w:rPr>
        <w:t>summa cum laude</w:t>
      </w:r>
      <w:r>
        <w:rPr>
          <w:rFonts w:ascii="Arial" w:cs="Arial" w:eastAsia="Arial" w:hAnsi="Arial"/>
          <w:sz w:val="17"/>
          <w:szCs w:val="17"/>
          <w:color w:val="auto"/>
        </w:rPr>
        <w:t xml:space="preserve"> from Duke University, where he was elected to Phi Beta Kappa. He went on to earn a J.D. from the University of Virginia School of Law, where he served as Notes Editor of the </w:t>
      </w:r>
      <w:r>
        <w:rPr>
          <w:rFonts w:ascii="Arial" w:cs="Arial" w:eastAsia="Arial" w:hAnsi="Arial"/>
          <w:sz w:val="17"/>
          <w:szCs w:val="17"/>
          <w:i w:val="1"/>
          <w:iCs w:val="1"/>
          <w:color w:val="auto"/>
        </w:rPr>
        <w:t>Virginia Law R</w:t>
      </w:r>
      <w:r>
        <w:rPr>
          <w:rFonts w:ascii="Arial" w:cs="Arial" w:eastAsia="Arial" w:hAnsi="Arial"/>
          <w:sz w:val="17"/>
          <w:szCs w:val="17"/>
          <w:color w:val="auto"/>
        </w:rPr>
        <w:t>eview and was a member of the Order of the Coif. Mr. Karsh serves on the boards of a number of privately held companies. He is a member of the investment committee of the Broad Foundations. Mr. Karsh is Trustee Emeritus of Duke University, having served as Trustee from 2003 to 2015, and as Chairman of the Board of DUMAC, LLC, the entity that</w:t>
      </w:r>
    </w:p>
    <w:p>
      <w:pPr>
        <w:spacing w:after="0" w:line="3" w:lineRule="exact"/>
        <w:rPr>
          <w:sz w:val="20"/>
          <w:szCs w:val="20"/>
          <w:color w:val="auto"/>
        </w:rPr>
      </w:pPr>
    </w:p>
    <w:p>
      <w:pPr>
        <w:jc w:val="both"/>
        <w:ind w:right="620"/>
        <w:spacing w:after="0" w:line="239" w:lineRule="auto"/>
        <w:rPr>
          <w:sz w:val="20"/>
          <w:szCs w:val="20"/>
          <w:color w:val="auto"/>
        </w:rPr>
      </w:pPr>
      <w:r>
        <w:rPr>
          <w:rFonts w:ascii="Arial" w:cs="Arial" w:eastAsia="Arial" w:hAnsi="Arial"/>
          <w:sz w:val="17"/>
          <w:szCs w:val="17"/>
          <w:color w:val="auto"/>
        </w:rPr>
        <w:t>managed Duke’s endowment, from 2005 to 2014. Additionally, Mr. Karsh’s extensive leadership and management skills, his expertise in the investment management industry and his current and past service on boards of other public companies add value to our board of directors.</w:t>
      </w:r>
    </w:p>
    <w:p>
      <w:pPr>
        <w:spacing w:after="0" w:line="97" w:lineRule="exact"/>
        <w:rPr>
          <w:sz w:val="20"/>
          <w:szCs w:val="20"/>
          <w:color w:val="auto"/>
        </w:rPr>
      </w:pPr>
    </w:p>
    <w:p>
      <w:pPr>
        <w:ind w:right="40" w:firstLine="503"/>
        <w:spacing w:after="0" w:line="247" w:lineRule="auto"/>
        <w:rPr>
          <w:sz w:val="20"/>
          <w:szCs w:val="20"/>
          <w:color w:val="auto"/>
        </w:rPr>
      </w:pPr>
      <w:r>
        <w:rPr>
          <w:rFonts w:ascii="Arial" w:cs="Arial" w:eastAsia="Arial" w:hAnsi="Arial"/>
          <w:sz w:val="17"/>
          <w:szCs w:val="17"/>
          <w:b w:val="1"/>
          <w:bCs w:val="1"/>
          <w:i w:val="1"/>
          <w:iCs w:val="1"/>
          <w:color w:val="auto"/>
        </w:rPr>
        <w:t xml:space="preserve">John B. Frank </w:t>
      </w:r>
      <w:r>
        <w:rPr>
          <w:rFonts w:ascii="Arial" w:cs="Arial" w:eastAsia="Arial" w:hAnsi="Arial"/>
          <w:sz w:val="17"/>
          <w:szCs w:val="17"/>
          <w:color w:val="auto"/>
        </w:rPr>
        <w:t>is our Vice Chairman and has been a director of the Company since May 2007. Mr. Frank joined in 2001 as General Counsel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was named Oaktree’s Managing Principal in early 2006, a position which he held for about nine years. As Managing Principal, Mr. Frank was</w:t>
      </w:r>
    </w:p>
    <w:p>
      <w:pPr>
        <w:ind w:right="140"/>
        <w:spacing w:after="0" w:line="229" w:lineRule="auto"/>
        <w:rPr>
          <w:sz w:val="20"/>
          <w:szCs w:val="20"/>
          <w:color w:val="auto"/>
        </w:rPr>
      </w:pPr>
      <w:r>
        <w:rPr>
          <w:rFonts w:ascii="Arial" w:cs="Arial" w:eastAsia="Arial" w:hAnsi="Arial"/>
          <w:sz w:val="17"/>
          <w:szCs w:val="17"/>
          <w:color w:val="auto"/>
        </w:rPr>
        <w:t>Oaktree’s principal executive officer and responsible for all aspects of Oaktree’s management. Prior to joining Oaktree, Mr. Frank was a partner of the Los Angeles law firm of Munger, Tolles &amp; Olson LLP, where he managed a number of notable merger and acquisition transactions and was</w:t>
      </w:r>
    </w:p>
    <w:p>
      <w:pPr>
        <w:spacing w:after="0" w:line="1" w:lineRule="exact"/>
        <w:rPr>
          <w:sz w:val="20"/>
          <w:szCs w:val="20"/>
          <w:color w:val="auto"/>
        </w:rPr>
      </w:pPr>
    </w:p>
    <w:p>
      <w:pPr>
        <w:ind w:right="40"/>
        <w:spacing w:after="0" w:line="239" w:lineRule="auto"/>
        <w:rPr>
          <w:sz w:val="20"/>
          <w:szCs w:val="20"/>
          <w:color w:val="auto"/>
        </w:rPr>
      </w:pPr>
      <w:r>
        <w:rPr>
          <w:rFonts w:ascii="Arial" w:cs="Arial" w:eastAsia="Arial" w:hAnsi="Arial"/>
          <w:sz w:val="17"/>
          <w:szCs w:val="17"/>
          <w:color w:val="auto"/>
        </w:rPr>
        <w:t xml:space="preserve">responsible for the firm’s financial affairs. While at that firm, he served as primary outside counsel to public- and privately-held corporations, and as special counsel to various boards of directors and special board committees. Prior to joining Munger Tolles in 1984, Mr. Frank served as a law clerk to the Honorable Frank M. Coffin of the United States Court of Appeals for the First Circuit. Prior to attending law school, Mr. Frank served as a Legislative Assistant to the Honorable Robert F. Drinan, Member of Congress. Mr. Frank holds a B.A. degree with honors in history from Wesleyan University and a J.D. </w:t>
      </w:r>
      <w:r>
        <w:rPr>
          <w:rFonts w:ascii="Arial" w:cs="Arial" w:eastAsia="Arial" w:hAnsi="Arial"/>
          <w:sz w:val="17"/>
          <w:szCs w:val="17"/>
          <w:i w:val="1"/>
          <w:iCs w:val="1"/>
          <w:color w:val="auto"/>
        </w:rPr>
        <w:t>magna cum laude</w:t>
      </w:r>
      <w:r>
        <w:rPr>
          <w:rFonts w:ascii="Arial" w:cs="Arial" w:eastAsia="Arial" w:hAnsi="Arial"/>
          <w:sz w:val="17"/>
          <w:szCs w:val="17"/>
          <w:color w:val="auto"/>
        </w:rPr>
        <w:t xml:space="preserve"> from the University of Michigan Law School, where he was Managing Editor of the Michigan Law Review and a member of the Order of the Coif. He is a member of the State Bar of California and, while in private practice, was listed in Woodward &amp; White’s Best Lawyers in America. Mr. Frank is the Chair of Oaktree Specialty Lending and a member of various of its board committees. Mr. Frank is a member of the Board of Directors of Chevron Corporation, Daily Journal Corporation and Chair of the Board of Duration Capital Partners, an investment firm specializing in transportation infrastructure that “spun-out” from Oaktree in 2024. Mr. Frank is also a Trustee of The James Irvine Foundation, the XPRIZE Foundation and the John Randolph Haynes and Dora Haynes Foundation. Mr. Frank was formerly a long-time trustee of Good Samaritan Hospital, Polytechnic School and Wesleyan University (where he served as Chair of the Board). Mr. Frank’s legal background and investment management industry knowledge add value to our board of directors.</w:t>
      </w:r>
    </w:p>
    <w:p>
      <w:pPr>
        <w:spacing w:after="0" w:line="85" w:lineRule="exact"/>
        <w:rPr>
          <w:sz w:val="20"/>
          <w:szCs w:val="20"/>
          <w:color w:val="auto"/>
        </w:rPr>
      </w:pPr>
    </w:p>
    <w:p>
      <w:pPr>
        <w:ind w:firstLine="503"/>
        <w:spacing w:after="0" w:line="243" w:lineRule="auto"/>
        <w:rPr>
          <w:sz w:val="20"/>
          <w:szCs w:val="20"/>
          <w:color w:val="auto"/>
        </w:rPr>
      </w:pPr>
      <w:r>
        <w:rPr>
          <w:rFonts w:ascii="Arial" w:cs="Arial" w:eastAsia="Arial" w:hAnsi="Arial"/>
          <w:sz w:val="17"/>
          <w:szCs w:val="17"/>
          <w:b w:val="1"/>
          <w:bCs w:val="1"/>
          <w:i w:val="1"/>
          <w:iCs w:val="1"/>
          <w:color w:val="auto"/>
        </w:rPr>
        <w:t xml:space="preserve">Nicholas H. Goodman </w:t>
      </w:r>
      <w:r>
        <w:rPr>
          <w:rFonts w:ascii="Arial" w:cs="Arial" w:eastAsia="Arial" w:hAnsi="Arial"/>
          <w:sz w:val="17"/>
          <w:szCs w:val="17"/>
          <w:color w:val="auto"/>
        </w:rPr>
        <w:t>is our Chief Executive Officer and has been in such role since March 2024. Mr. Goodman is also President and Chief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Financial Officer of Brookfield. In Mr. Goodman’s current role at Brookfield, he is responsible for allocating Brookfield’s capital across its various businesses and new business initiatives. He also has overall responsibility for global finance, tax, treasury and capital markets. Prior to becoming</w:t>
      </w:r>
    </w:p>
    <w:p>
      <w:pPr>
        <w:spacing w:after="0" w:line="2" w:lineRule="exact"/>
        <w:rPr>
          <w:sz w:val="20"/>
          <w:szCs w:val="20"/>
          <w:color w:val="auto"/>
        </w:rPr>
      </w:pPr>
    </w:p>
    <w:p>
      <w:pPr>
        <w:ind w:right="60"/>
        <w:spacing w:after="0" w:line="229" w:lineRule="auto"/>
        <w:rPr>
          <w:sz w:val="20"/>
          <w:szCs w:val="20"/>
          <w:color w:val="auto"/>
        </w:rPr>
      </w:pPr>
      <w:r>
        <w:rPr>
          <w:rFonts w:ascii="Arial" w:cs="Arial" w:eastAsia="Arial" w:hAnsi="Arial"/>
          <w:sz w:val="17"/>
          <w:szCs w:val="17"/>
          <w:color w:val="auto"/>
        </w:rPr>
        <w:t>President in 2022 and Chief Financial Officer in 2020, Mr. Goodman served as Managing Partner and Treasurer of Brookfield. Mr. Goodman joined Brookfield in 2010 and since then has held several roles, including Chief Financial Officer of Brookfield Asset Management and Chief Financial</w:t>
      </w:r>
    </w:p>
    <w:p>
      <w:pPr>
        <w:spacing w:after="0" w:line="1" w:lineRule="exact"/>
        <w:rPr>
          <w:sz w:val="20"/>
          <w:szCs w:val="20"/>
          <w:color w:val="auto"/>
        </w:rPr>
      </w:pPr>
    </w:p>
    <w:p>
      <w:pPr>
        <w:ind w:right="280"/>
        <w:spacing w:after="0" w:line="246" w:lineRule="auto"/>
        <w:rPr>
          <w:sz w:val="20"/>
          <w:szCs w:val="20"/>
          <w:color w:val="auto"/>
        </w:rPr>
      </w:pPr>
      <w:r>
        <w:rPr>
          <w:rFonts w:ascii="Arial" w:cs="Arial" w:eastAsia="Arial" w:hAnsi="Arial"/>
          <w:sz w:val="17"/>
          <w:szCs w:val="17"/>
          <w:color w:val="auto"/>
        </w:rPr>
        <w:t>Officer of Brookfield Renewable Partners. Prior to Brookfield, Mr. Goodman worked for large financial institutions in London and New York. Mr. Goodman holds a Bachelor of Arts (Hons) from the University of Strathclyde in Glasgow, Scotland, and is a member of the Institute of Chartered Accountants of Scotland.</w:t>
      </w:r>
    </w:p>
    <w:p>
      <w:pPr>
        <w:spacing w:after="0" w:line="105" w:lineRule="exact"/>
        <w:rPr>
          <w:sz w:val="20"/>
          <w:szCs w:val="20"/>
          <w:color w:val="auto"/>
        </w:rPr>
      </w:pPr>
    </w:p>
    <w:p>
      <w:pPr>
        <w:ind w:right="40" w:firstLine="503"/>
        <w:spacing w:after="0" w:line="261" w:lineRule="auto"/>
        <w:rPr>
          <w:sz w:val="20"/>
          <w:szCs w:val="20"/>
          <w:color w:val="auto"/>
        </w:rPr>
      </w:pPr>
      <w:r>
        <w:rPr>
          <w:rFonts w:ascii="Arial" w:cs="Arial" w:eastAsia="Arial" w:hAnsi="Arial"/>
          <w:sz w:val="17"/>
          <w:szCs w:val="17"/>
          <w:b w:val="1"/>
          <w:bCs w:val="1"/>
          <w:i w:val="1"/>
          <w:iCs w:val="1"/>
          <w:color w:val="auto"/>
        </w:rPr>
        <w:t xml:space="preserve">Daniel D. Levin </w:t>
      </w:r>
      <w:r>
        <w:rPr>
          <w:rFonts w:ascii="Arial" w:cs="Arial" w:eastAsia="Arial" w:hAnsi="Arial"/>
          <w:sz w:val="17"/>
          <w:szCs w:val="17"/>
          <w:color w:val="auto"/>
        </w:rPr>
        <w:t>is our Chief Financial Officer and Secretary. He was previously Oaktree’s Head of Corporate Finance and Chief Product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Officer and a senior member of the corporate development group. Prior to joining Oaktree in 2011, Mr. Levin was a vice president in the Investment Banking division at Goldman, Sachs &amp; Co., focusing on asset management firms and other financial institutions. His previous experience includes capital raising and mergers and acquisitions roles at Technoserve and Robertson Stephens, Inc. Mr. Levin received an M.B.A. with honors in finance from the Wharton School of the University of Pennsylvania and a B.A. degree with honors in economics and mathematics from Columbia University.</w:t>
      </w:r>
    </w:p>
    <w:p>
      <w:pPr>
        <w:spacing w:after="0" w:line="278" w:lineRule="exact"/>
        <w:rPr>
          <w:sz w:val="20"/>
          <w:szCs w:val="20"/>
          <w:color w:val="auto"/>
        </w:rPr>
      </w:pPr>
    </w:p>
    <w:p>
      <w:pPr>
        <w:jc w:val="both"/>
        <w:ind w:right="160" w:firstLine="503"/>
        <w:spacing w:after="0" w:line="242" w:lineRule="auto"/>
        <w:rPr>
          <w:sz w:val="20"/>
          <w:szCs w:val="20"/>
          <w:color w:val="auto"/>
        </w:rPr>
      </w:pPr>
      <w:r>
        <w:rPr>
          <w:rFonts w:ascii="Arial" w:cs="Arial" w:eastAsia="Arial" w:hAnsi="Arial"/>
          <w:sz w:val="17"/>
          <w:szCs w:val="17"/>
          <w:b w:val="1"/>
          <w:bCs w:val="1"/>
          <w:i w:val="1"/>
          <w:iCs w:val="1"/>
          <w:color w:val="auto"/>
        </w:rPr>
        <w:t xml:space="preserve">Sheldon M. Stone </w:t>
      </w:r>
      <w:r>
        <w:rPr>
          <w:rFonts w:ascii="Arial" w:cs="Arial" w:eastAsia="Arial" w:hAnsi="Arial"/>
          <w:sz w:val="17"/>
          <w:szCs w:val="17"/>
          <w:color w:val="auto"/>
        </w:rPr>
        <w:t>is a co-founder of Oaktree and has been a director of the Company since May 2007. Mr. Stone is founding Principal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Oaktree and the creator and head of Oaktree’s high yield bond area. In this capacity, he serves as a co-portfolio manager of Oaktree’s U.S. High Yield Bond and Global High Yield Bond strategies. Mr. Stone established TCW’s High Yield Bond department with Mr. Marks in 1985 and ran the department for ten years. Prior to joining TCW, Mr. Stone worked with Mr. Marks for two years at Citibank where he performed credit analysis and</w:t>
      </w:r>
    </w:p>
    <w:p>
      <w:pPr>
        <w:spacing w:after="0" w:line="1" w:lineRule="exact"/>
        <w:rPr>
          <w:sz w:val="20"/>
          <w:szCs w:val="20"/>
          <w:color w:val="auto"/>
        </w:rPr>
      </w:pPr>
    </w:p>
    <w:p>
      <w:pPr>
        <w:ind w:right="540"/>
        <w:spacing w:after="0" w:line="239" w:lineRule="auto"/>
        <w:rPr>
          <w:sz w:val="20"/>
          <w:szCs w:val="20"/>
          <w:color w:val="auto"/>
        </w:rPr>
      </w:pPr>
      <w:r>
        <w:rPr>
          <w:rFonts w:ascii="Arial" w:cs="Arial" w:eastAsia="Arial" w:hAnsi="Arial"/>
          <w:sz w:val="17"/>
          <w:szCs w:val="17"/>
          <w:color w:val="auto"/>
        </w:rPr>
        <w:t>managed high yield bond portfolios. From 1978 to 1983, Mr. Stone worked at The Prudential Insurance Company where he was a director of corporate finance, managing a private debt portfolio exceeding $1 billion. Mr.</w:t>
      </w:r>
    </w:p>
    <w:p>
      <w:pPr>
        <w:spacing w:after="0" w:line="200" w:lineRule="exact"/>
        <w:rPr>
          <w:sz w:val="20"/>
          <w:szCs w:val="20"/>
          <w:color w:val="auto"/>
        </w:rPr>
      </w:pPr>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961" w:right="379" w:bottom="1440" w:gutter="0" w:footer="0" w:header="0"/>
        </w:sectPr>
      </w:pPr>
    </w:p>
    <w:bookmarkStart w:id="109" w:name="page110"/>
    <w:bookmarkEnd w:id="109"/>
    <w:p>
      <w:pPr>
        <w:ind w:right="80"/>
        <w:spacing w:after="0" w:line="246" w:lineRule="auto"/>
        <w:rPr>
          <w:sz w:val="20"/>
          <w:szCs w:val="20"/>
          <w:color w:val="auto"/>
        </w:rPr>
      </w:pPr>
      <w:r>
        <w:rPr>
          <w:rFonts w:ascii="Arial" w:cs="Arial" w:eastAsia="Arial" w:hAnsi="Arial"/>
          <w:sz w:val="17"/>
          <w:szCs w:val="17"/>
          <w:color w:val="auto"/>
        </w:rPr>
        <w:t>Stone holds a B.A. degree from Bowdoin College and an M.B.A. in accounting and finance from Columbia University. In addition, he is a Trustee of the Colonial Williamsburg Foundation, an Adjunct Professor at the University of Southern California and serves on the investment committee of Bowdoin College. With over 35 years of experience in the fixed income markets, Mr. Stone brings a wealth of knowledge to the board of directors. As one of Oaktree’s co-founders, he is also closely familiar with Oaktree’s business. His investment background and insights into the fixed income markets add value to our board of directors.</w:t>
      </w:r>
    </w:p>
    <w:p>
      <w:pPr>
        <w:spacing w:after="0" w:line="81" w:lineRule="exact"/>
        <w:rPr>
          <w:sz w:val="20"/>
          <w:szCs w:val="20"/>
          <w:color w:val="auto"/>
        </w:rPr>
      </w:pPr>
    </w:p>
    <w:p>
      <w:pPr>
        <w:ind w:right="40" w:firstLine="503"/>
        <w:spacing w:after="0" w:line="249" w:lineRule="auto"/>
        <w:rPr>
          <w:sz w:val="20"/>
          <w:szCs w:val="20"/>
          <w:color w:val="auto"/>
        </w:rPr>
      </w:pPr>
      <w:r>
        <w:rPr>
          <w:rFonts w:ascii="Arial" w:cs="Arial" w:eastAsia="Arial" w:hAnsi="Arial"/>
          <w:sz w:val="17"/>
          <w:szCs w:val="17"/>
          <w:b w:val="1"/>
          <w:bCs w:val="1"/>
          <w:i w:val="1"/>
          <w:iCs w:val="1"/>
          <w:color w:val="auto"/>
        </w:rPr>
        <w:t xml:space="preserve">Justin B. Beber </w:t>
      </w:r>
      <w:r>
        <w:rPr>
          <w:rFonts w:ascii="Arial" w:cs="Arial" w:eastAsia="Arial" w:hAnsi="Arial"/>
          <w:sz w:val="17"/>
          <w:szCs w:val="17"/>
          <w:color w:val="auto"/>
        </w:rPr>
        <w:t>is Chief Operating Officer of Brookfield and has been a director since October 2019. In this role, he has primary oversight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Brookfield’s corporate operations, including corporate strategy, human resources, risk management, technology, legal, compliance, and internal audit activities. Mr. Beber is a member of Brookfield’s Executive Committee. Mr. Beber joined Brookfield in 2007 and has held a variety of senior roles including Head of Strategic Initiatives for Brookfield’s Infrastructure Group with overall responsibility for corporate operations and transaction</w:t>
      </w:r>
    </w:p>
    <w:p>
      <w:pPr>
        <w:spacing w:after="0" w:line="1" w:lineRule="exact"/>
        <w:rPr>
          <w:sz w:val="20"/>
          <w:szCs w:val="20"/>
          <w:color w:val="auto"/>
        </w:rPr>
      </w:pPr>
    </w:p>
    <w:p>
      <w:pPr>
        <w:ind w:right="20"/>
        <w:spacing w:after="0" w:line="249" w:lineRule="auto"/>
        <w:rPr>
          <w:sz w:val="20"/>
          <w:szCs w:val="20"/>
          <w:color w:val="auto"/>
        </w:rPr>
      </w:pPr>
      <w:r>
        <w:rPr>
          <w:rFonts w:ascii="Arial" w:cs="Arial" w:eastAsia="Arial" w:hAnsi="Arial"/>
          <w:sz w:val="17"/>
          <w:szCs w:val="17"/>
          <w:color w:val="auto"/>
        </w:rPr>
        <w:t>execution. Prior to joining Brookfield in 2007, Mr. Beber was a partner with a leading Toronto-based law firm, where his practice focused on corporate finance, mergers and acquisitions and private equity. Mr. Beber earned his combined MBA/LLB from the Schulich School of Business and Osgoode Hall Law School at York University in Canada and holds a Bachelor of Economics from McGill University. Mr. Beber’s legal background and expertise in the investment management industry add value to our board of directors.</w:t>
      </w:r>
    </w:p>
    <w:p>
      <w:pPr>
        <w:spacing w:after="0" w:line="78" w:lineRule="exact"/>
        <w:rPr>
          <w:sz w:val="20"/>
          <w:szCs w:val="20"/>
          <w:color w:val="auto"/>
        </w:rPr>
      </w:pPr>
    </w:p>
    <w:p>
      <w:pPr>
        <w:ind w:right="160" w:firstLine="503"/>
        <w:spacing w:after="0" w:line="246" w:lineRule="auto"/>
        <w:rPr>
          <w:sz w:val="20"/>
          <w:szCs w:val="20"/>
          <w:color w:val="auto"/>
        </w:rPr>
      </w:pPr>
      <w:r>
        <w:rPr>
          <w:rFonts w:ascii="Arial" w:cs="Arial" w:eastAsia="Arial" w:hAnsi="Arial"/>
          <w:sz w:val="17"/>
          <w:szCs w:val="17"/>
          <w:b w:val="1"/>
          <w:bCs w:val="1"/>
          <w:i w:val="1"/>
          <w:iCs w:val="1"/>
          <w:color w:val="auto"/>
        </w:rPr>
        <w:t xml:space="preserve">Bruce Flatt </w:t>
      </w:r>
      <w:r>
        <w:rPr>
          <w:rFonts w:ascii="Arial" w:cs="Arial" w:eastAsia="Arial" w:hAnsi="Arial"/>
          <w:sz w:val="17"/>
          <w:szCs w:val="17"/>
          <w:color w:val="auto"/>
        </w:rPr>
        <w:t>is Chief Executive Officer of Brookfield and Chair of the Board of Directors of Brookfield Asset Management, a leading global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alternative asset manager, and has been a director since October 2019. Mr. Flatt joined Brookfield in 1990 and became CEO in 2002. Under his leadership, Brookfield has developed a global operating presence in more than 50 countries. Mr. Flatt has served on numerous public company boards over the past three decades. Mr. Flatt’s extensive leadership and management skills, his expertise in the investment management industry and his current and past service on boards of other public companies add value to our board of directors.</w:t>
      </w:r>
    </w:p>
    <w:p>
      <w:pPr>
        <w:spacing w:after="0" w:line="81" w:lineRule="exact"/>
        <w:rPr>
          <w:sz w:val="20"/>
          <w:szCs w:val="20"/>
          <w:color w:val="auto"/>
        </w:rPr>
      </w:pPr>
    </w:p>
    <w:p>
      <w:pPr>
        <w:ind w:firstLine="503"/>
        <w:spacing w:after="0" w:line="241" w:lineRule="auto"/>
        <w:rPr>
          <w:sz w:val="20"/>
          <w:szCs w:val="20"/>
          <w:color w:val="auto"/>
        </w:rPr>
      </w:pPr>
      <w:r>
        <w:rPr>
          <w:rFonts w:ascii="Arial" w:cs="Arial" w:eastAsia="Arial" w:hAnsi="Arial"/>
          <w:sz w:val="17"/>
          <w:szCs w:val="17"/>
          <w:b w:val="1"/>
          <w:bCs w:val="1"/>
          <w:i w:val="1"/>
          <w:iCs w:val="1"/>
          <w:color w:val="auto"/>
        </w:rPr>
        <w:t xml:space="preserve">Steven J. Gilbert </w:t>
      </w:r>
      <w:r>
        <w:rPr>
          <w:rFonts w:ascii="Arial" w:cs="Arial" w:eastAsia="Arial" w:hAnsi="Arial"/>
          <w:sz w:val="17"/>
          <w:szCs w:val="17"/>
          <w:color w:val="auto"/>
        </w:rPr>
        <w:t>has been a director since October 2016. He is the founder and Chairman of the Board of Gilbert Global Equity Partners,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L.P., an institutional investment firm established in 1997. In addition, Mr. Gilbert also founded Soros Capital, Commonwealth Capital Partners, and Chemical Venture Partners. He currently serves as Vice Chairman of the Executive Board of MidOcean Equity Partners, LP, Chairman of TRI Pointe Homes, Inc., independent director on the Board of Directors of Empire State Realty Trust, Inc., Chairman of the Board of MBIA Inc. and Chair of the audit committee of Fairholme Funds, Inc. Mr. Gilbert had recently served as a director of SDCL Edge Acquisition Corp. and Birch Grove Capital and</w:t>
      </w:r>
    </w:p>
    <w:p>
      <w:pPr>
        <w:spacing w:after="0" w:line="1" w:lineRule="exact"/>
        <w:rPr>
          <w:sz w:val="20"/>
          <w:szCs w:val="20"/>
          <w:color w:val="auto"/>
        </w:rPr>
      </w:pPr>
    </w:p>
    <w:p>
      <w:pPr>
        <w:ind w:right="20"/>
        <w:spacing w:after="0" w:line="229" w:lineRule="auto"/>
        <w:rPr>
          <w:sz w:val="20"/>
          <w:szCs w:val="20"/>
          <w:color w:val="auto"/>
        </w:rPr>
      </w:pPr>
      <w:r>
        <w:rPr>
          <w:rFonts w:ascii="Arial" w:cs="Arial" w:eastAsia="Arial" w:hAnsi="Arial"/>
          <w:sz w:val="17"/>
          <w:szCs w:val="17"/>
          <w:color w:val="auto"/>
        </w:rPr>
        <w:t>has served on the boards of more than 25 other companies over the span of his career. Mr. Gilbert received a J.D. degree from Harvard Law School, an M.B.A. from Harvard Business School, and a B.S. in economics from the Wharton School of the University of Pennsylvania. Mr. Gilbert’s</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investment and finance expertise add value to our board of directors.</w:t>
      </w:r>
    </w:p>
    <w:p>
      <w:pPr>
        <w:spacing w:after="0" w:line="149" w:lineRule="exact"/>
        <w:rPr>
          <w:sz w:val="20"/>
          <w:szCs w:val="20"/>
          <w:color w:val="auto"/>
        </w:rPr>
      </w:pPr>
    </w:p>
    <w:p>
      <w:pPr>
        <w:ind w:right="60" w:firstLine="503"/>
        <w:spacing w:after="0" w:line="257" w:lineRule="auto"/>
        <w:rPr>
          <w:sz w:val="20"/>
          <w:szCs w:val="20"/>
          <w:color w:val="auto"/>
        </w:rPr>
      </w:pPr>
      <w:r>
        <w:rPr>
          <w:rFonts w:ascii="Arial" w:cs="Arial" w:eastAsia="Arial" w:hAnsi="Arial"/>
          <w:sz w:val="17"/>
          <w:szCs w:val="17"/>
          <w:b w:val="1"/>
          <w:bCs w:val="1"/>
          <w:i w:val="1"/>
          <w:iCs w:val="1"/>
          <w:color w:val="auto"/>
        </w:rPr>
        <w:t xml:space="preserve">Depelsha T. McGruder </w:t>
      </w:r>
      <w:r>
        <w:rPr>
          <w:rFonts w:ascii="Arial" w:cs="Arial" w:eastAsia="Arial" w:hAnsi="Arial"/>
          <w:sz w:val="17"/>
          <w:szCs w:val="17"/>
          <w:color w:val="auto"/>
        </w:rPr>
        <w:t>has been a director since February 2021. Ms. McGruder is the chief operating officer and treasurer for the Ford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Foundation, overseeing Finance, Information Technology and Information Management, International Operations, Facilities and Property Management, Grants Management and Event Strategy &amp; Production across 11 offices in the US, Africa, Asia and Latin America. Prior to joining the foundation in 2020, she served as COO of New York Public Radio (NYPR), overseeing internal operations and strategic planning for WNYC, WQXR, Gothamist.com, The Greene Space, and New Jersey Public Radio since 2018. Before her tenure at NYPR, Ms. McGruder spent 17 years at Viacom in senior leadership positions at both MTV and BET Networks, launching and operating multiple new businesses and networks. She started her career as a broadcast journalist, working as an on-air reporter, anchor, and producer for two commercial television stations in Georgia and subsequently spent time as a strategy consultant at Accenture in the media, telecommunications and high technology practice. She holds a B.A. from Howard University and an M.B.A. from Harvard Business School. Ms. McGruder’s finance, strategy and operations expertise adds value to our board of directors.</w:t>
      </w: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961" w:right="359" w:bottom="1440" w:gutter="0" w:footer="0" w:header="0"/>
        </w:sectPr>
      </w:pPr>
    </w:p>
    <w:bookmarkStart w:id="110" w:name="page111"/>
    <w:bookmarkEnd w:id="110"/>
    <w:p>
      <w:pPr>
        <w:ind w:firstLine="503"/>
        <w:spacing w:after="0" w:line="256" w:lineRule="auto"/>
        <w:rPr>
          <w:sz w:val="20"/>
          <w:szCs w:val="20"/>
          <w:color w:val="auto"/>
        </w:rPr>
      </w:pPr>
      <w:r>
        <w:rPr>
          <w:rFonts w:ascii="Arial" w:cs="Arial" w:eastAsia="Arial" w:hAnsi="Arial"/>
          <w:sz w:val="17"/>
          <w:szCs w:val="17"/>
          <w:b w:val="1"/>
          <w:bCs w:val="1"/>
          <w:i w:val="1"/>
          <w:iCs w:val="1"/>
          <w:color w:val="auto"/>
        </w:rPr>
        <w:t xml:space="preserve">Mansco Perry </w:t>
      </w:r>
      <w:r>
        <w:rPr>
          <w:rFonts w:ascii="Arial" w:cs="Arial" w:eastAsia="Arial" w:hAnsi="Arial"/>
          <w:sz w:val="17"/>
          <w:szCs w:val="17"/>
          <w:color w:val="1D1C21"/>
        </w:rPr>
        <w:t>h</w:t>
      </w:r>
      <w:r>
        <w:rPr>
          <w:rFonts w:ascii="Arial" w:cs="Arial" w:eastAsia="Arial" w:hAnsi="Arial"/>
          <w:sz w:val="17"/>
          <w:szCs w:val="17"/>
          <w:color w:val="auto"/>
        </w:rPr>
        <w:t>as been a director since February 2023. Mr. Perry was the Executive Director and Chief Investment Officer of the Minnesota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State Board of Investment from October 2013 until his retirement in October 2022. He previously served as the Chief Investment Officer of Macalester College from 2010 to 2013; Chief Investment Officer of the Maryland State Retirement and Pension System from 2008 to 2010; and Assistant Executive Director and Deputy Chief Investment Officer of the Minnesota State Board of Investment from 1998 to 2008. He currently serves on the Investment Committee of Lawrence University. He has also served as a member of various investment committees, including the Investment Advisory Council of the New York State Teachers Retirement System. Additionally, throughout his career, he has served on the board of directors or the board of trustees of a number of private colleges, councils and foundations, including the Council of Institutional Investors where he was Treasurer from 2021 to 2022. In 2017, Mr. Perry received the Richard L. Stoddard Award in Recognition of His Outstanding Contributions to the Investment of Public Funds by the National Association of State Investment Officers. Mr. Perry holds a B.A. from Carleton College, an M.B.A. from the University of Chicago, and a J.D. from the William Mitchell School of Law. He was awarded the Chartered Financial Analyst, the Chartered Alternative Investment Analyst, and the Certificate in Investment Performance Measurement designations. Mr. Perry’s investment and finance expertise add value to our board of directors.</w:t>
      </w:r>
    </w:p>
    <w:p>
      <w:pPr>
        <w:spacing w:after="0" w:line="128" w:lineRule="exact"/>
        <w:rPr>
          <w:sz w:val="20"/>
          <w:szCs w:val="20"/>
          <w:color w:val="auto"/>
        </w:rPr>
      </w:pPr>
    </w:p>
    <w:p>
      <w:pPr>
        <w:ind w:right="40" w:firstLine="503"/>
        <w:spacing w:after="0" w:line="258" w:lineRule="auto"/>
        <w:rPr>
          <w:sz w:val="20"/>
          <w:szCs w:val="20"/>
          <w:color w:val="auto"/>
        </w:rPr>
      </w:pPr>
      <w:r>
        <w:rPr>
          <w:rFonts w:ascii="Arial" w:cs="Arial" w:eastAsia="Arial" w:hAnsi="Arial"/>
          <w:sz w:val="17"/>
          <w:szCs w:val="17"/>
          <w:b w:val="1"/>
          <w:bCs w:val="1"/>
          <w:i w:val="1"/>
          <w:iCs w:val="1"/>
          <w:color w:val="auto"/>
        </w:rPr>
        <w:t>Marna C. Whittington</w:t>
      </w:r>
      <w:r>
        <w:rPr>
          <w:rFonts w:ascii="Arial" w:cs="Arial" w:eastAsia="Arial" w:hAnsi="Arial"/>
          <w:sz w:val="17"/>
          <w:szCs w:val="17"/>
          <w:color w:val="auto"/>
        </w:rPr>
        <w:t>, Ph.D., has been a director since June 2012. Ms. Whittington was the Chief Executive Officer of Allianz Global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Investors Capital from 2001 until her retirement in January 2012. From 2002 to 2011, she was Chief Operating Officer of Allianz Global Investors, the parent company of Allianz Global Investors Capital. Prior to that, she was Managing Director and Chief Operating Officer of Morgan Stanley Investment Management. Ms. Whittington started in the investment management industry in 1992, joining Philadelphia-based Miller Anderson &amp; Sherrerd. Previously, she was Executive Vice President and CFO of the University of Pennsylvania, and earlier, Secretary of Finance for the State of Delaware. Ms. Whittington currently serves as a director and audit committee member of Phillips 66. She holds an M.S. degree and a Ph.D. from the University of Pittsburgh, both in quantitative methods, and a B.A. degree in mathematics from the University of Delaware. Ms. Whittington’s investment and finance expertise and her familiarity with our company add value to our board of directors.</w:t>
      </w:r>
    </w:p>
    <w:p>
      <w:pPr>
        <w:spacing w:after="0" w:line="124" w:lineRule="exact"/>
        <w:rPr>
          <w:sz w:val="20"/>
          <w:szCs w:val="20"/>
          <w:color w:val="auto"/>
        </w:rPr>
      </w:pPr>
    </w:p>
    <w:p>
      <w:pPr>
        <w:ind w:left="500"/>
        <w:spacing w:after="0"/>
        <w:rPr>
          <w:sz w:val="20"/>
          <w:szCs w:val="20"/>
          <w:color w:val="auto"/>
        </w:rPr>
      </w:pPr>
      <w:r>
        <w:rPr>
          <w:rFonts w:ascii="Arial" w:cs="Arial" w:eastAsia="Arial" w:hAnsi="Arial"/>
          <w:sz w:val="17"/>
          <w:szCs w:val="17"/>
          <w:color w:val="auto"/>
        </w:rPr>
        <w:t>There are no family relationships among any of our executive officers and directors.</w:t>
      </w: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012" w:right="359" w:bottom="1440" w:gutter="0" w:footer="0" w:header="0"/>
        </w:sectPr>
      </w:pPr>
    </w:p>
    <w:bookmarkStart w:id="111" w:name="page112"/>
    <w:bookmarkEnd w:id="111"/>
    <w:p>
      <w:pPr>
        <w:spacing w:after="0"/>
        <w:rPr>
          <w:sz w:val="20"/>
          <w:szCs w:val="20"/>
          <w:color w:val="auto"/>
        </w:rPr>
      </w:pPr>
      <w:r>
        <w:rPr>
          <w:rFonts w:ascii="Arial" w:cs="Arial" w:eastAsia="Arial" w:hAnsi="Arial"/>
          <w:sz w:val="17"/>
          <w:szCs w:val="17"/>
          <w:b w:val="1"/>
          <w:bCs w:val="1"/>
          <w:color w:val="auto"/>
        </w:rPr>
        <w:t>Board Structure and Governance</w:t>
      </w:r>
    </w:p>
    <w:p>
      <w:pPr>
        <w:spacing w:after="0" w:line="11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Composition of Our Board of Directors</w:t>
      </w:r>
    </w:p>
    <w:p>
      <w:pPr>
        <w:spacing w:after="0" w:line="101" w:lineRule="exact"/>
        <w:rPr>
          <w:sz w:val="20"/>
          <w:szCs w:val="20"/>
          <w:color w:val="auto"/>
        </w:rPr>
      </w:pPr>
    </w:p>
    <w:p>
      <w:pPr>
        <w:ind w:right="40" w:firstLine="503"/>
        <w:spacing w:after="0"/>
        <w:rPr>
          <w:sz w:val="20"/>
          <w:szCs w:val="20"/>
          <w:color w:val="auto"/>
        </w:rPr>
      </w:pPr>
      <w:r>
        <w:rPr>
          <w:rFonts w:ascii="Arial" w:cs="Arial" w:eastAsia="Arial" w:hAnsi="Arial"/>
          <w:sz w:val="17"/>
          <w:szCs w:val="17"/>
          <w:color w:val="auto"/>
        </w:rPr>
        <w:t>Our operating agreement establishes a board of directors responsible for the oversight of our business and operations. Our operating agreement provides that until the earliest to occur of (a) Messrs. Howard Marks and Bruce Karsh, collectively, ceasing to beneficially own at least 42% of the equity in the Oaktree Operating Group they owned as of September 30, 2019, (b) Messrs. Howard Marks and Bruce Karsh both ceasing to be actively and substantially involved in the oversight of the affairs of the Oaktree Operating Group business, (c) the incapacitation of both Messrs. Howard Marks and Bruce Karsh, (d) either Messrs. Howard Marks or Bruce Karsh becoming incapacitated, and the other ceasing to be actively and substantially involved in the oversight of the affairs of the Oaktree Operating Group business for a period of at least 90 consecutive</w:t>
      </w:r>
    </w:p>
    <w:p>
      <w:pPr>
        <w:spacing w:after="0" w:line="3" w:lineRule="exact"/>
        <w:rPr>
          <w:sz w:val="20"/>
          <w:szCs w:val="20"/>
          <w:color w:val="auto"/>
        </w:rPr>
      </w:pPr>
    </w:p>
    <w:p>
      <w:pPr>
        <w:ind w:right="420"/>
        <w:spacing w:after="0" w:line="229" w:lineRule="auto"/>
        <w:rPr>
          <w:sz w:val="20"/>
          <w:szCs w:val="20"/>
          <w:color w:val="auto"/>
        </w:rPr>
      </w:pPr>
      <w:r>
        <w:rPr>
          <w:rFonts w:ascii="Arial" w:cs="Arial" w:eastAsia="Arial" w:hAnsi="Arial"/>
          <w:sz w:val="17"/>
          <w:szCs w:val="17"/>
          <w:color w:val="auto"/>
        </w:rPr>
        <w:t>days or an aggregate of 180 calendar days in any 360-day period, except as a result of incapacitation, or (e) September 30, 2026, the board of directors will be comprised of no less than five individuals and, without Brookfield’s consent, no more than 10 individuals, with two selected by</w:t>
      </w:r>
    </w:p>
    <w:p>
      <w:pPr>
        <w:spacing w:after="0" w:line="1" w:lineRule="exact"/>
        <w:rPr>
          <w:sz w:val="20"/>
          <w:szCs w:val="20"/>
          <w:color w:val="auto"/>
        </w:rPr>
      </w:pPr>
    </w:p>
    <w:p>
      <w:pPr>
        <w:ind w:right="80"/>
        <w:spacing w:after="0" w:line="239" w:lineRule="auto"/>
        <w:rPr>
          <w:sz w:val="20"/>
          <w:szCs w:val="20"/>
          <w:color w:val="auto"/>
        </w:rPr>
      </w:pPr>
      <w:r>
        <w:rPr>
          <w:rFonts w:ascii="Arial" w:cs="Arial" w:eastAsia="Arial" w:hAnsi="Arial"/>
          <w:sz w:val="17"/>
          <w:szCs w:val="17"/>
          <w:color w:val="auto"/>
        </w:rPr>
        <w:t>OCGH and two selected by Brookfield. The remaining directors will be nominated by OCGH and be subject to joint written appointment by each of OCGH and Brookfield. As of March 24, 2026, there are 10 directors on the board of directors. Upon the occurrence of any events described in clauses (a) through (e) above, for so long as the holders of OCGH units as of September 30, 2019 and certain related parties and certain permitted transferees (the “Permitted OCGH Holders”) continue to beneficially own at least 15% of the equity in the Oaktree Operating Group beneficially owned by them immediately after the closing of the mergers on September 30, 2019, OCGH will be entitled to appoint a number of directors equal to the greater of (i) a number of directors proportionate to such equity ownership and (ii) two directors. Otherwise, for so long as the Permitted OCGH Holders continue to beneficially own at least 5% (but less than 15%) of the equity of the Oaktree Operating Group beneficially owned by them immediately after the closing of the mergers on September 30, 2019, OCGH will be entitled to appoint one director. Brookfield will appoint the remaining directors to the board of directors. Our board of directors consists of Messrs. Marks, Karsh, Frank, Stone, Beber, Flatt, Gilbert, Perry and Mss. McGruder and Whittington (for a total of 10 directors). Subject to our operating agreement, actions by our board of directors must be taken with the approval of at least a majority of its members.</w:t>
      </w:r>
    </w:p>
    <w:p>
      <w:pPr>
        <w:spacing w:after="0" w:line="8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Audit Committee</w:t>
      </w:r>
    </w:p>
    <w:p>
      <w:pPr>
        <w:spacing w:after="0" w:line="88" w:lineRule="exact"/>
        <w:rPr>
          <w:sz w:val="20"/>
          <w:szCs w:val="20"/>
          <w:color w:val="auto"/>
        </w:rPr>
      </w:pPr>
    </w:p>
    <w:p>
      <w:pPr>
        <w:ind w:right="120" w:firstLine="503"/>
        <w:spacing w:after="0" w:line="271" w:lineRule="auto"/>
        <w:rPr>
          <w:sz w:val="20"/>
          <w:szCs w:val="20"/>
          <w:color w:val="auto"/>
        </w:rPr>
      </w:pPr>
      <w:r>
        <w:rPr>
          <w:rFonts w:ascii="Arial" w:cs="Arial" w:eastAsia="Arial" w:hAnsi="Arial"/>
          <w:sz w:val="17"/>
          <w:szCs w:val="17"/>
          <w:color w:val="auto"/>
        </w:rPr>
        <w:t>Because our preferred equity, but not our common equity, is listed on the NYSE, the corporate governance standards of the NYSE do not generally apply to us, other than the requirement to maintain an audit committee that satisfies the requirements of Rule 10A-3 under the Exchange Act, and related certification requirements.</w:t>
      </w:r>
    </w:p>
    <w:p>
      <w:pPr>
        <w:spacing w:after="0" w:line="34" w:lineRule="exact"/>
        <w:rPr>
          <w:sz w:val="20"/>
          <w:szCs w:val="20"/>
          <w:color w:val="auto"/>
        </w:rPr>
      </w:pPr>
    </w:p>
    <w:p>
      <w:pPr>
        <w:ind w:firstLine="503"/>
        <w:spacing w:after="0" w:line="257" w:lineRule="auto"/>
        <w:rPr>
          <w:sz w:val="20"/>
          <w:szCs w:val="20"/>
          <w:color w:val="auto"/>
        </w:rPr>
      </w:pPr>
      <w:r>
        <w:rPr>
          <w:rFonts w:ascii="Arial" w:cs="Arial" w:eastAsia="Arial" w:hAnsi="Arial"/>
          <w:sz w:val="17"/>
          <w:szCs w:val="17"/>
          <w:color w:val="auto"/>
        </w:rPr>
        <w:t>The purpose of the audit committee is to assist our board of directors in overseeing and monitoring the quality and integrity of our financial statements, our compliance with legal and regulatory requirements, the performance of our internal audit function and our independent registered public accounting firm’s qualifications, independence and performance. Our audit committee is comprised of Messrs. Gilbert and Perry and Mss. McGruder and Whittington. Our board of directors has determined that Messrs. Gilbert and Perry and Mss. McGruder and Whittington meet the independence standards and financial literacy requirements for service on an audit committee of a board of directors under Rule 10A-3 promulgated under the Exchange Act and the NYSE rules. In addition, our board of directors has determined that each of Messrs. Gilbert and Perry and Mss. McGruder and Whittington is an “audit committee financial expert” within the meaning of Item 407(d)(5) of Regulation S-K and has “accounting or related financial management expertise” under applicable NYSE rules. The audit committee has a charter that is available on Oaktree’s website at www.oaktreecapital.com under the “Unitholders – Investor Relations” section.</w:t>
      </w:r>
    </w:p>
    <w:p>
      <w:pPr>
        <w:spacing w:after="0" w:line="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Code of Ethics</w:t>
      </w:r>
    </w:p>
    <w:p>
      <w:pPr>
        <w:spacing w:after="0" w:line="116" w:lineRule="exact"/>
        <w:rPr>
          <w:sz w:val="20"/>
          <w:szCs w:val="20"/>
          <w:color w:val="auto"/>
        </w:rPr>
      </w:pPr>
    </w:p>
    <w:p>
      <w:pPr>
        <w:ind w:right="220" w:firstLine="619"/>
        <w:spacing w:after="0" w:line="265" w:lineRule="auto"/>
        <w:rPr>
          <w:sz w:val="20"/>
          <w:szCs w:val="20"/>
          <w:color w:val="auto"/>
        </w:rPr>
      </w:pPr>
      <w:r>
        <w:rPr>
          <w:rFonts w:ascii="Arial" w:cs="Arial" w:eastAsia="Arial" w:hAnsi="Arial"/>
          <w:sz w:val="17"/>
          <w:szCs w:val="17"/>
          <w:color w:val="auto"/>
        </w:rPr>
        <w:t>We have a Code of Ethics, which applies to our principal executive officer, principal financial officer and principal accounting officer and is available on our website at https://www.brookfieldoaktreeholdings.com/ under the “Corporate Governance” section. We intend to disclose any amendment to or waiver of the Code of Ethics on behalf of a principal executive officer, principal financial officer or principal accounting officer, either on our website or in a Current Report on Form 8-K filing.</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Securities Trading Policies and Procedures</w:t>
      </w:r>
    </w:p>
    <w:p>
      <w:pPr>
        <w:spacing w:after="0" w:line="116" w:lineRule="exact"/>
        <w:rPr>
          <w:sz w:val="20"/>
          <w:szCs w:val="20"/>
          <w:color w:val="auto"/>
        </w:rPr>
      </w:pPr>
    </w:p>
    <w:p>
      <w:pPr>
        <w:ind w:right="60" w:firstLine="619"/>
        <w:spacing w:after="0" w:line="265" w:lineRule="auto"/>
        <w:rPr>
          <w:sz w:val="20"/>
          <w:szCs w:val="20"/>
          <w:color w:val="auto"/>
        </w:rPr>
      </w:pPr>
      <w:r>
        <w:rPr>
          <w:rFonts w:ascii="Arial" w:cs="Arial" w:eastAsia="Arial" w:hAnsi="Arial"/>
          <w:sz w:val="17"/>
          <w:szCs w:val="17"/>
          <w:color w:val="auto"/>
        </w:rPr>
        <w:t>We have adopted policies and procedures governing the purchase, sale and/or other dispositions of our securities by directors, officers and employees and by us and Oaktree that are reasonably designed to promote compliance with insider trading laws, rules and regulations, and the listing standards of the New York Stock Exchange. A copy of our Securities Trading Policy is filed as Exhibit 19.1 to this Annual Report on Form 10-K.</w:t>
      </w: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88" w:right="339" w:bottom="1440" w:gutter="0" w:footer="0" w:header="0"/>
        </w:sectPr>
      </w:pPr>
    </w:p>
    <w:bookmarkStart w:id="112" w:name="page113"/>
    <w:bookmarkEnd w:id="112"/>
    <w:p>
      <w:pPr>
        <w:spacing w:after="0"/>
        <w:rPr>
          <w:sz w:val="20"/>
          <w:szCs w:val="20"/>
          <w:color w:val="auto"/>
        </w:rPr>
      </w:pPr>
      <w:r>
        <w:rPr>
          <w:rFonts w:ascii="Arial" w:cs="Arial" w:eastAsia="Arial" w:hAnsi="Arial"/>
          <w:sz w:val="17"/>
          <w:szCs w:val="17"/>
          <w:b w:val="1"/>
          <w:bCs w:val="1"/>
          <w:color w:val="auto"/>
        </w:rPr>
        <w:t>Communications to the Board of Directors</w:t>
      </w:r>
    </w:p>
    <w:p>
      <w:pPr>
        <w:spacing w:after="0" w:line="103" w:lineRule="exact"/>
        <w:rPr>
          <w:sz w:val="20"/>
          <w:szCs w:val="20"/>
          <w:color w:val="auto"/>
        </w:rPr>
      </w:pPr>
    </w:p>
    <w:p>
      <w:pPr>
        <w:ind w:right="40" w:firstLine="619"/>
        <w:spacing w:after="0" w:line="249" w:lineRule="auto"/>
        <w:rPr>
          <w:sz w:val="20"/>
          <w:szCs w:val="20"/>
          <w:color w:val="auto"/>
        </w:rPr>
      </w:pPr>
      <w:r>
        <w:rPr>
          <w:rFonts w:ascii="Arial" w:cs="Arial" w:eastAsia="Arial" w:hAnsi="Arial"/>
          <w:sz w:val="17"/>
          <w:szCs w:val="17"/>
          <w:color w:val="auto"/>
        </w:rPr>
        <w:t>The non-management members of our board of directors meet quarterly. The non-management directors have selected Mr. Gilbert, one of our non-management directors, to lead these meetings for 2026. All interested parties, including any employee or unitholder, may send communications to the non-management members of our board of directors by writing to: Brookfield Oaktree Holdings, LLC, Attn: Chief Financial Officer and Secretary, 333 South Grand Avenue, 28th Floor, Los Angeles, CA 90071.</w:t>
      </w:r>
    </w:p>
    <w:p>
      <w:pPr>
        <w:spacing w:after="0" w:line="12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Section 16(a) Beneficial Ownership Reporting Compliance</w:t>
      </w:r>
    </w:p>
    <w:p>
      <w:pPr>
        <w:spacing w:after="0" w:line="245" w:lineRule="exact"/>
        <w:rPr>
          <w:sz w:val="20"/>
          <w:szCs w:val="20"/>
          <w:color w:val="auto"/>
        </w:rPr>
      </w:pPr>
    </w:p>
    <w:p>
      <w:pPr>
        <w:ind w:firstLine="619"/>
        <w:spacing w:after="0" w:line="262" w:lineRule="auto"/>
        <w:rPr>
          <w:sz w:val="20"/>
          <w:szCs w:val="20"/>
          <w:color w:val="auto"/>
        </w:rPr>
      </w:pPr>
      <w:r>
        <w:rPr>
          <w:rFonts w:ascii="Arial" w:cs="Arial" w:eastAsia="Arial" w:hAnsi="Arial"/>
          <w:sz w:val="17"/>
          <w:szCs w:val="17"/>
          <w:color w:val="auto"/>
        </w:rPr>
        <w:t>Section 16(a) of the Exchange Act requires our executive officers and directors and persons who beneficially own more than ten percent of a registered class of our equity securities to file initial reports of ownership and reports of changes in ownership with the SEC and furnish us with copies of all Section 16(a) forms they file. To our knowledge, based solely on our review of the copies of such reports furnished to us or written representations from such persons that they were not required to file a Form 5 to report previously unreported ownership or changes in ownership, we believe that, with respect to the year ended December 31, 2025, such persons complied with all such filing requirements.</w:t>
      </w:r>
    </w:p>
    <w:p>
      <w:pPr>
        <w:spacing w:after="0" w:line="200" w:lineRule="exact"/>
        <w:rPr>
          <w:sz w:val="20"/>
          <w:szCs w:val="20"/>
          <w:color w:val="auto"/>
        </w:rPr>
      </w:pPr>
    </w:p>
    <w:p>
      <w:pPr>
        <w:spacing w:after="0" w:line="293"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40"/>
          </w:cols>
          <w:pgMar w:left="320" w:top="959" w:right="439" w:bottom="1440" w:gutter="0" w:footer="0" w:header="0"/>
        </w:sectPr>
      </w:pPr>
    </w:p>
    <w:bookmarkStart w:id="113" w:name="page114"/>
    <w:bookmarkEnd w:id="113"/>
    <w:p>
      <w:pPr>
        <w:spacing w:after="0"/>
        <w:rPr>
          <w:sz w:val="20"/>
          <w:szCs w:val="20"/>
          <w:color w:val="auto"/>
        </w:rPr>
      </w:pPr>
      <w:r>
        <w:rPr>
          <w:rFonts w:ascii="Arial" w:cs="Arial" w:eastAsia="Arial" w:hAnsi="Arial"/>
          <w:sz w:val="17"/>
          <w:szCs w:val="17"/>
          <w:b w:val="1"/>
          <w:bCs w:val="1"/>
          <w:color w:val="auto"/>
        </w:rPr>
        <w:t>Item 11. Executive Compensation</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Compensation Discussion and Analysis</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i w:val="1"/>
          <w:iCs w:val="1"/>
          <w:u w:val="single" w:color="auto"/>
          <w:color w:val="auto"/>
        </w:rPr>
        <w:t>Overview of Compensation Philosophy and Program</w:t>
      </w:r>
    </w:p>
    <w:p>
      <w:pPr>
        <w:spacing w:after="0" w:line="99" w:lineRule="exact"/>
        <w:rPr>
          <w:sz w:val="20"/>
          <w:szCs w:val="20"/>
          <w:color w:val="auto"/>
        </w:rPr>
      </w:pPr>
    </w:p>
    <w:p>
      <w:pPr>
        <w:ind w:right="40" w:firstLine="619"/>
        <w:spacing w:after="0" w:line="243" w:lineRule="auto"/>
        <w:rPr>
          <w:sz w:val="20"/>
          <w:szCs w:val="20"/>
          <w:color w:val="auto"/>
        </w:rPr>
      </w:pPr>
      <w:r>
        <w:rPr>
          <w:rFonts w:ascii="Arial" w:cs="Arial" w:eastAsia="Arial" w:hAnsi="Arial"/>
          <w:sz w:val="17"/>
          <w:szCs w:val="17"/>
          <w:color w:val="auto"/>
        </w:rPr>
        <w:t>Following the 2024 Restructuring, our Named Executive Officers (“NEOs”) do not receive compensation from us for their services. Brookfield compensates Nicholas H. Goodman, including for the duties that he performs for us. As Mr. Goodman’s compensation is set and paid by Brookfield, the Summary Compensation Table includes only the amount of the compensation that is allocated to us for accounting purposes in connection with the services that Mr. Goodman provides as our Chief Executive Officer. With respect to our other NEOs, we pay a service fee to OCM pursuant to the Services Agreement, as described under “Certain Relationships and Related Transactions, and Director Independence—BOH Services Agreement with OCM,” and OCM compensates its officers and other employees that perform duties for us. Their compensation is set by OCM.</w:t>
      </w:r>
    </w:p>
    <w:p>
      <w:pPr>
        <w:spacing w:after="0" w:line="398" w:lineRule="exact"/>
        <w:rPr>
          <w:sz w:val="20"/>
          <w:szCs w:val="20"/>
          <w:color w:val="auto"/>
        </w:rPr>
      </w:pPr>
    </w:p>
    <w:p>
      <w:pPr>
        <w:ind w:right="60" w:firstLine="619"/>
        <w:spacing w:after="0" w:line="274" w:lineRule="auto"/>
        <w:rPr>
          <w:sz w:val="20"/>
          <w:szCs w:val="20"/>
          <w:color w:val="auto"/>
        </w:rPr>
      </w:pPr>
      <w:r>
        <w:rPr>
          <w:rFonts w:ascii="Arial" w:cs="Arial" w:eastAsia="Arial" w:hAnsi="Arial"/>
          <w:sz w:val="17"/>
          <w:szCs w:val="17"/>
          <w:color w:val="auto"/>
        </w:rPr>
        <w:t>Nicholas H. Goodman, our Chief Executive Officer, and Daniel D. Levin, our Chief Financial Officer, were our NEOs for 2025. We only have two NEOs for 2025 because none of our other executive officers receive compensation from us or our subsidiaries.</w:t>
      </w:r>
    </w:p>
    <w:p>
      <w:pPr>
        <w:spacing w:after="0" w:line="11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Summary Compensation Table for 2025</w:t>
      </w:r>
    </w:p>
    <w:p>
      <w:pPr>
        <w:spacing w:after="0" w:line="163" w:lineRule="exact"/>
        <w:rPr>
          <w:sz w:val="20"/>
          <w:szCs w:val="20"/>
          <w:color w:val="auto"/>
        </w:rPr>
      </w:pPr>
    </w:p>
    <w:p>
      <w:pPr>
        <w:ind w:firstLine="619"/>
        <w:spacing w:after="0" w:line="271" w:lineRule="auto"/>
        <w:rPr>
          <w:sz w:val="20"/>
          <w:szCs w:val="20"/>
          <w:color w:val="auto"/>
        </w:rPr>
      </w:pPr>
      <w:r>
        <w:rPr>
          <w:rFonts w:ascii="Arial" w:cs="Arial" w:eastAsia="Arial" w:hAnsi="Arial"/>
          <w:sz w:val="17"/>
          <w:szCs w:val="17"/>
          <w:color w:val="auto"/>
        </w:rPr>
        <w:t>The following table provides summary information concerning the compensation of Nicholas H. Goodman, our principal executive officer and Daniel D. Levin, our chief financial officer, as of December 31, 2025, for services rendered to us during 2025. As explained above, we only have two NEOs for 2025 because none of our other executive officers receive compensation from us or our subsidiaries.</w:t>
      </w:r>
    </w:p>
    <w:p>
      <w:pPr>
        <w:spacing w:after="0" w:line="60" w:lineRule="exact"/>
        <w:rPr>
          <w:sz w:val="20"/>
          <w:szCs w:val="20"/>
          <w:color w:val="auto"/>
        </w:rPr>
      </w:pPr>
    </w:p>
    <w:p>
      <w:pPr>
        <w:ind w:right="180" w:firstLine="619"/>
        <w:spacing w:after="0" w:line="265" w:lineRule="auto"/>
        <w:rPr>
          <w:sz w:val="20"/>
          <w:szCs w:val="20"/>
          <w:color w:val="auto"/>
        </w:rPr>
      </w:pPr>
      <w:r>
        <w:rPr>
          <w:rFonts w:ascii="Arial" w:cs="Arial" w:eastAsia="Arial" w:hAnsi="Arial"/>
          <w:sz w:val="17"/>
          <w:szCs w:val="17"/>
          <w:color w:val="auto"/>
        </w:rPr>
        <w:t>Following the 2024 Restructuring, our executive officers do not receive compensation or perquisites from us for their services. Rather, we pay a service fee to OCM pursuant to the Services Agreement, as described under “Certain Relationships and Related Transactions, and Director Independence— BOH Services Agreement with OCM,” and OCM compensates its officers and other employees that perform duties for us. Their compensation is set by OCM.</w:t>
      </w:r>
    </w:p>
    <w:p>
      <w:pPr>
        <w:spacing w:after="0" w:line="97" w:lineRule="exact"/>
        <w:rPr>
          <w:sz w:val="20"/>
          <w:szCs w:val="20"/>
          <w:color w:val="auto"/>
        </w:rPr>
      </w:pPr>
    </w:p>
    <w:tbl>
      <w:tblPr>
        <w:tblLayout w:type="fixed"/>
        <w:tblInd w:w="20" w:type="dxa"/>
        <w:tblCellMar>
          <w:top w:w="0" w:type="dxa"/>
          <w:left w:w="0" w:type="dxa"/>
          <w:bottom w:w="0" w:type="dxa"/>
          <w:right w:w="0" w:type="dxa"/>
        </w:tblCellMar>
      </w:tblPr>
      <w:tr>
        <w:trPr>
          <w:trHeight w:val="126"/>
        </w:trPr>
        <w:tc>
          <w:tcPr>
            <w:tcW w:w="3560" w:type="dxa"/>
            <w:vAlign w:val="bottom"/>
            <w:vMerge w:val="restart"/>
          </w:tcPr>
          <w:p>
            <w:pPr>
              <w:spacing w:after="0"/>
              <w:rPr>
                <w:sz w:val="20"/>
                <w:szCs w:val="20"/>
                <w:color w:val="auto"/>
              </w:rPr>
            </w:pPr>
            <w:r>
              <w:rPr>
                <w:rFonts w:ascii="Arial" w:cs="Arial" w:eastAsia="Arial" w:hAnsi="Arial"/>
                <w:sz w:val="11"/>
                <w:szCs w:val="11"/>
                <w:b w:val="1"/>
                <w:bCs w:val="1"/>
                <w:color w:val="auto"/>
              </w:rPr>
              <w:t>Name and Principal Position</w:t>
            </w:r>
          </w:p>
        </w:tc>
        <w:tc>
          <w:tcPr>
            <w:tcW w:w="660" w:type="dxa"/>
            <w:vAlign w:val="bottom"/>
            <w:vMerge w:val="restart"/>
          </w:tcPr>
          <w:p>
            <w:pPr>
              <w:jc w:val="center"/>
              <w:spacing w:after="0"/>
              <w:rPr>
                <w:sz w:val="20"/>
                <w:szCs w:val="20"/>
                <w:color w:val="auto"/>
              </w:rPr>
            </w:pPr>
            <w:r>
              <w:rPr>
                <w:rFonts w:ascii="Arial" w:cs="Arial" w:eastAsia="Arial" w:hAnsi="Arial"/>
                <w:sz w:val="11"/>
                <w:szCs w:val="11"/>
                <w:b w:val="1"/>
                <w:bCs w:val="1"/>
                <w:color w:val="auto"/>
                <w:w w:val="92"/>
              </w:rPr>
              <w:t>Year</w:t>
            </w:r>
          </w:p>
        </w:tc>
        <w:tc>
          <w:tcPr>
            <w:tcW w:w="280" w:type="dxa"/>
            <w:vAlign w:val="bottom"/>
            <w:vMerge w:val="restart"/>
          </w:tcPr>
          <w:p>
            <w:pPr>
              <w:spacing w:after="0"/>
              <w:rPr>
                <w:sz w:val="10"/>
                <w:szCs w:val="10"/>
                <w:color w:val="auto"/>
              </w:rPr>
            </w:pPr>
          </w:p>
        </w:tc>
        <w:tc>
          <w:tcPr>
            <w:tcW w:w="220" w:type="dxa"/>
            <w:vAlign w:val="bottom"/>
          </w:tcPr>
          <w:p>
            <w:pPr>
              <w:spacing w:after="0"/>
              <w:rPr>
                <w:sz w:val="10"/>
                <w:szCs w:val="10"/>
                <w:color w:val="auto"/>
              </w:rPr>
            </w:pPr>
          </w:p>
        </w:tc>
        <w:tc>
          <w:tcPr>
            <w:tcW w:w="940" w:type="dxa"/>
            <w:vAlign w:val="bottom"/>
            <w:vMerge w:val="restart"/>
          </w:tcPr>
          <w:p>
            <w:pPr>
              <w:ind w:left="120"/>
              <w:spacing w:after="0"/>
              <w:rPr>
                <w:sz w:val="20"/>
                <w:szCs w:val="20"/>
                <w:color w:val="auto"/>
              </w:rPr>
            </w:pPr>
            <w:r>
              <w:rPr>
                <w:rFonts w:ascii="Arial" w:cs="Arial" w:eastAsia="Arial" w:hAnsi="Arial"/>
                <w:sz w:val="11"/>
                <w:szCs w:val="11"/>
                <w:b w:val="1"/>
                <w:bCs w:val="1"/>
                <w:color w:val="auto"/>
              </w:rPr>
              <w:t>Salary ($)</w:t>
            </w:r>
          </w:p>
        </w:tc>
        <w:tc>
          <w:tcPr>
            <w:tcW w:w="160" w:type="dxa"/>
            <w:vAlign w:val="bottom"/>
            <w:vMerge w:val="restart"/>
          </w:tcPr>
          <w:p>
            <w:pPr>
              <w:spacing w:after="0"/>
              <w:rPr>
                <w:sz w:val="10"/>
                <w:szCs w:val="10"/>
                <w:color w:val="auto"/>
              </w:rPr>
            </w:pPr>
          </w:p>
        </w:tc>
        <w:tc>
          <w:tcPr>
            <w:tcW w:w="220" w:type="dxa"/>
            <w:vAlign w:val="bottom"/>
          </w:tcPr>
          <w:p>
            <w:pPr>
              <w:spacing w:after="0"/>
              <w:rPr>
                <w:sz w:val="10"/>
                <w:szCs w:val="10"/>
                <w:color w:val="auto"/>
              </w:rPr>
            </w:pPr>
          </w:p>
        </w:tc>
        <w:tc>
          <w:tcPr>
            <w:tcW w:w="960" w:type="dxa"/>
            <w:vAlign w:val="bottom"/>
            <w:vMerge w:val="restart"/>
          </w:tcPr>
          <w:p>
            <w:pPr>
              <w:ind w:left="120"/>
              <w:spacing w:after="0"/>
              <w:rPr>
                <w:sz w:val="20"/>
                <w:szCs w:val="20"/>
                <w:color w:val="auto"/>
              </w:rPr>
            </w:pPr>
            <w:r>
              <w:rPr>
                <w:rFonts w:ascii="Arial" w:cs="Arial" w:eastAsia="Arial" w:hAnsi="Arial"/>
                <w:sz w:val="11"/>
                <w:szCs w:val="11"/>
                <w:b w:val="1"/>
                <w:bCs w:val="1"/>
                <w:color w:val="auto"/>
              </w:rPr>
              <w:t>Bonus ($)</w:t>
            </w:r>
          </w:p>
        </w:tc>
        <w:tc>
          <w:tcPr>
            <w:tcW w:w="160" w:type="dxa"/>
            <w:vAlign w:val="bottom"/>
            <w:vMerge w:val="restart"/>
          </w:tcPr>
          <w:p>
            <w:pPr>
              <w:spacing w:after="0"/>
              <w:rPr>
                <w:sz w:val="10"/>
                <w:szCs w:val="10"/>
                <w:color w:val="auto"/>
              </w:rPr>
            </w:pPr>
          </w:p>
        </w:tc>
        <w:tc>
          <w:tcPr>
            <w:tcW w:w="160" w:type="dxa"/>
            <w:vAlign w:val="bottom"/>
          </w:tcPr>
          <w:p>
            <w:pPr>
              <w:spacing w:after="0"/>
              <w:rPr>
                <w:sz w:val="10"/>
                <w:szCs w:val="10"/>
                <w:color w:val="auto"/>
              </w:rPr>
            </w:pPr>
          </w:p>
        </w:tc>
        <w:tc>
          <w:tcPr>
            <w:tcW w:w="12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Stock Awards ($)</w:t>
            </w:r>
          </w:p>
        </w:tc>
        <w:tc>
          <w:tcPr>
            <w:tcW w:w="160" w:type="dxa"/>
            <w:vAlign w:val="bottom"/>
            <w:vMerge w:val="restart"/>
          </w:tcPr>
          <w:p>
            <w:pPr>
              <w:spacing w:after="0"/>
              <w:rPr>
                <w:sz w:val="10"/>
                <w:szCs w:val="10"/>
                <w:color w:val="auto"/>
              </w:rPr>
            </w:pPr>
          </w:p>
        </w:tc>
        <w:tc>
          <w:tcPr>
            <w:tcW w:w="120" w:type="dxa"/>
            <w:vAlign w:val="bottom"/>
          </w:tcPr>
          <w:p>
            <w:pPr>
              <w:spacing w:after="0"/>
              <w:rPr>
                <w:sz w:val="10"/>
                <w:szCs w:val="10"/>
                <w:color w:val="auto"/>
              </w:rPr>
            </w:pPr>
          </w:p>
        </w:tc>
        <w:tc>
          <w:tcPr>
            <w:tcW w:w="1220" w:type="dxa"/>
            <w:vAlign w:val="bottom"/>
            <w:gridSpan w:val="2"/>
          </w:tcPr>
          <w:p>
            <w:pPr>
              <w:ind w:left="240"/>
              <w:spacing w:after="0"/>
              <w:rPr>
                <w:sz w:val="20"/>
                <w:szCs w:val="20"/>
                <w:color w:val="auto"/>
              </w:rPr>
            </w:pPr>
            <w:r>
              <w:rPr>
                <w:rFonts w:ascii="Arial" w:cs="Arial" w:eastAsia="Arial" w:hAnsi="Arial"/>
                <w:sz w:val="11"/>
                <w:szCs w:val="11"/>
                <w:b w:val="1"/>
                <w:bCs w:val="1"/>
                <w:color w:val="auto"/>
              </w:rPr>
              <w:t>All Other</w:t>
            </w:r>
          </w:p>
        </w:tc>
        <w:tc>
          <w:tcPr>
            <w:tcW w:w="240" w:type="dxa"/>
            <w:vAlign w:val="bottom"/>
          </w:tcPr>
          <w:p>
            <w:pPr>
              <w:spacing w:after="0"/>
              <w:rPr>
                <w:sz w:val="10"/>
                <w:szCs w:val="10"/>
                <w:color w:val="auto"/>
              </w:rPr>
            </w:pPr>
          </w:p>
        </w:tc>
        <w:tc>
          <w:tcPr>
            <w:tcW w:w="960" w:type="dxa"/>
            <w:vAlign w:val="bottom"/>
            <w:vMerge w:val="restart"/>
          </w:tcPr>
          <w:p>
            <w:pPr>
              <w:jc w:val="right"/>
              <w:ind w:right="313"/>
              <w:spacing w:after="0"/>
              <w:rPr>
                <w:sz w:val="20"/>
                <w:szCs w:val="20"/>
                <w:color w:val="auto"/>
              </w:rPr>
            </w:pPr>
            <w:r>
              <w:rPr>
                <w:rFonts w:ascii="Arial" w:cs="Arial" w:eastAsia="Arial" w:hAnsi="Arial"/>
                <w:sz w:val="11"/>
                <w:szCs w:val="11"/>
                <w:b w:val="1"/>
                <w:bCs w:val="1"/>
                <w:color w:val="auto"/>
              </w:rPr>
              <w:t>Total ($)</w:t>
            </w:r>
          </w:p>
        </w:tc>
        <w:tc>
          <w:tcPr>
            <w:tcW w:w="0" w:type="dxa"/>
            <w:vAlign w:val="bottom"/>
          </w:tcPr>
          <w:p>
            <w:pPr>
              <w:spacing w:after="0"/>
              <w:rPr>
                <w:sz w:val="1"/>
                <w:szCs w:val="1"/>
                <w:color w:val="auto"/>
              </w:rPr>
            </w:pPr>
          </w:p>
        </w:tc>
      </w:tr>
      <w:tr>
        <w:trPr>
          <w:trHeight w:val="151"/>
        </w:trPr>
        <w:tc>
          <w:tcPr>
            <w:tcW w:w="3560" w:type="dxa"/>
            <w:vAlign w:val="bottom"/>
            <w:vMerge w:val="continue"/>
          </w:tcPr>
          <w:p>
            <w:pPr>
              <w:spacing w:after="0"/>
              <w:rPr>
                <w:sz w:val="13"/>
                <w:szCs w:val="13"/>
                <w:color w:val="auto"/>
              </w:rPr>
            </w:pPr>
          </w:p>
        </w:tc>
        <w:tc>
          <w:tcPr>
            <w:tcW w:w="660" w:type="dxa"/>
            <w:vAlign w:val="bottom"/>
            <w:tcBorders>
              <w:bottom w:val="single" w:sz="8" w:color="auto"/>
            </w:tcBorders>
            <w:vMerge w:val="continue"/>
          </w:tcPr>
          <w:p>
            <w:pPr>
              <w:spacing w:after="0"/>
              <w:rPr>
                <w:sz w:val="13"/>
                <w:szCs w:val="13"/>
                <w:color w:val="auto"/>
              </w:rPr>
            </w:pPr>
          </w:p>
        </w:tc>
        <w:tc>
          <w:tcPr>
            <w:tcW w:w="280" w:type="dxa"/>
            <w:vAlign w:val="bottom"/>
            <w:vMerge w:val="continue"/>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vMerge w:val="continue"/>
          </w:tcPr>
          <w:p>
            <w:pPr>
              <w:spacing w:after="0"/>
              <w:rPr>
                <w:sz w:val="13"/>
                <w:szCs w:val="13"/>
                <w:color w:val="auto"/>
              </w:rPr>
            </w:pPr>
          </w:p>
        </w:tc>
        <w:tc>
          <w:tcPr>
            <w:tcW w:w="160" w:type="dxa"/>
            <w:vAlign w:val="bottom"/>
            <w:vMerge w:val="continue"/>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vMerge w:val="continue"/>
          </w:tcPr>
          <w:p>
            <w:pPr>
              <w:spacing w:after="0"/>
              <w:rPr>
                <w:sz w:val="13"/>
                <w:szCs w:val="13"/>
                <w:color w:val="auto"/>
              </w:rPr>
            </w:pPr>
          </w:p>
        </w:tc>
        <w:tc>
          <w:tcPr>
            <w:tcW w:w="160" w:type="dxa"/>
            <w:vAlign w:val="bottom"/>
            <w:vMerge w:val="continue"/>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vMerge w:val="continue"/>
          </w:tcPr>
          <w:p>
            <w:pPr>
              <w:spacing w:after="0"/>
              <w:rPr>
                <w:sz w:val="13"/>
                <w:szCs w:val="13"/>
                <w:color w:val="auto"/>
              </w:rPr>
            </w:pPr>
          </w:p>
        </w:tc>
        <w:tc>
          <w:tcPr>
            <w:tcW w:w="160" w:type="dxa"/>
            <w:vAlign w:val="bottom"/>
            <w:vMerge w:val="continue"/>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55"/>
              <w:spacing w:after="0"/>
              <w:rPr>
                <w:sz w:val="20"/>
                <w:szCs w:val="20"/>
                <w:color w:val="auto"/>
              </w:rPr>
            </w:pPr>
            <w:r>
              <w:rPr>
                <w:rFonts w:ascii="Arial" w:cs="Arial" w:eastAsia="Arial" w:hAnsi="Arial"/>
                <w:sz w:val="11"/>
                <w:szCs w:val="11"/>
                <w:b w:val="1"/>
                <w:bCs w:val="1"/>
                <w:color w:val="auto"/>
              </w:rPr>
              <w:t>Compensation ($)</w:t>
            </w:r>
          </w:p>
        </w:tc>
        <w:tc>
          <w:tcPr>
            <w:tcW w:w="14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5"/>
        </w:trPr>
        <w:tc>
          <w:tcPr>
            <w:tcW w:w="3560" w:type="dxa"/>
            <w:vAlign w:val="bottom"/>
          </w:tcPr>
          <w:p>
            <w:pPr>
              <w:spacing w:after="0" w:line="126" w:lineRule="exact"/>
              <w:rPr>
                <w:sz w:val="20"/>
                <w:szCs w:val="20"/>
                <w:color w:val="auto"/>
              </w:rPr>
            </w:pPr>
            <w:r>
              <w:rPr>
                <w:rFonts w:ascii="Arial" w:cs="Arial" w:eastAsia="Arial" w:hAnsi="Arial"/>
                <w:sz w:val="14"/>
                <w:szCs w:val="14"/>
                <w:color w:val="auto"/>
              </w:rPr>
              <w:t>Nicolas H. Goodman</w:t>
            </w:r>
          </w:p>
        </w:tc>
        <w:tc>
          <w:tcPr>
            <w:tcW w:w="660" w:type="dxa"/>
            <w:vAlign w:val="bottom"/>
            <w:vMerge w:val="restart"/>
          </w:tcPr>
          <w:p>
            <w:pPr>
              <w:jc w:val="center"/>
              <w:spacing w:after="0"/>
              <w:rPr>
                <w:sz w:val="20"/>
                <w:szCs w:val="20"/>
                <w:color w:val="auto"/>
              </w:rPr>
            </w:pPr>
            <w:r>
              <w:rPr>
                <w:rFonts w:ascii="Arial" w:cs="Arial" w:eastAsia="Arial" w:hAnsi="Arial"/>
                <w:sz w:val="14"/>
                <w:szCs w:val="14"/>
                <w:color w:val="auto"/>
                <w:w w:val="96"/>
              </w:rPr>
              <w:t>2025</w:t>
            </w:r>
          </w:p>
        </w:tc>
        <w:tc>
          <w:tcPr>
            <w:tcW w:w="280" w:type="dxa"/>
            <w:vAlign w:val="bottom"/>
          </w:tcPr>
          <w:p>
            <w:pPr>
              <w:spacing w:after="0"/>
              <w:rPr>
                <w:sz w:val="10"/>
                <w:szCs w:val="10"/>
                <w:color w:val="auto"/>
              </w:rPr>
            </w:pPr>
          </w:p>
        </w:tc>
        <w:tc>
          <w:tcPr>
            <w:tcW w:w="220" w:type="dxa"/>
            <w:vAlign w:val="bottom"/>
            <w:vMerge w:val="restart"/>
          </w:tcPr>
          <w:p>
            <w:pPr>
              <w:jc w:val="right"/>
              <w:ind w:right="51"/>
              <w:spacing w:after="0"/>
              <w:rPr>
                <w:sz w:val="20"/>
                <w:szCs w:val="20"/>
                <w:color w:val="auto"/>
              </w:rPr>
            </w:pPr>
            <w:r>
              <w:rPr>
                <w:rFonts w:ascii="Arial" w:cs="Arial" w:eastAsia="Arial" w:hAnsi="Arial"/>
                <w:sz w:val="14"/>
                <w:szCs w:val="14"/>
                <w:color w:val="auto"/>
              </w:rPr>
              <w:t>$</w:t>
            </w:r>
          </w:p>
        </w:tc>
        <w:tc>
          <w:tcPr>
            <w:tcW w:w="1100" w:type="dxa"/>
            <w:vAlign w:val="bottom"/>
            <w:gridSpan w:val="2"/>
            <w:vMerge w:val="restart"/>
          </w:tcPr>
          <w:p>
            <w:pPr>
              <w:ind w:left="740"/>
              <w:spacing w:after="0"/>
              <w:rPr>
                <w:sz w:val="20"/>
                <w:szCs w:val="20"/>
                <w:color w:val="auto"/>
              </w:rPr>
            </w:pPr>
            <w:r>
              <w:rPr>
                <w:rFonts w:ascii="Arial" w:cs="Arial" w:eastAsia="Arial" w:hAnsi="Arial"/>
                <w:sz w:val="14"/>
                <w:szCs w:val="14"/>
                <w:color w:val="auto"/>
              </w:rPr>
              <w:t>—</w:t>
            </w:r>
          </w:p>
        </w:tc>
        <w:tc>
          <w:tcPr>
            <w:tcW w:w="220" w:type="dxa"/>
            <w:vAlign w:val="bottom"/>
            <w:vMerge w:val="restart"/>
          </w:tcPr>
          <w:p>
            <w:pPr>
              <w:jc w:val="right"/>
              <w:ind w:right="51"/>
              <w:spacing w:after="0"/>
              <w:rPr>
                <w:sz w:val="20"/>
                <w:szCs w:val="20"/>
                <w:color w:val="auto"/>
              </w:rPr>
            </w:pPr>
            <w:r>
              <w:rPr>
                <w:rFonts w:ascii="Arial" w:cs="Arial" w:eastAsia="Arial" w:hAnsi="Arial"/>
                <w:sz w:val="14"/>
                <w:szCs w:val="14"/>
                <w:color w:val="auto"/>
              </w:rPr>
              <w:t>$</w:t>
            </w:r>
          </w:p>
        </w:tc>
        <w:tc>
          <w:tcPr>
            <w:tcW w:w="1120" w:type="dxa"/>
            <w:vAlign w:val="bottom"/>
            <w:gridSpan w:val="2"/>
            <w:vMerge w:val="restart"/>
          </w:tcPr>
          <w:p>
            <w:pPr>
              <w:ind w:left="760"/>
              <w:spacing w:after="0"/>
              <w:rPr>
                <w:sz w:val="20"/>
                <w:szCs w:val="20"/>
                <w:color w:val="auto"/>
              </w:rPr>
            </w:pPr>
            <w:r>
              <w:rPr>
                <w:rFonts w:ascii="Arial" w:cs="Arial" w:eastAsia="Arial" w:hAnsi="Arial"/>
                <w:sz w:val="14"/>
                <w:szCs w:val="14"/>
                <w:color w:val="auto"/>
              </w:rPr>
              <w:t>—</w:t>
            </w: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360" w:type="dxa"/>
            <w:vAlign w:val="bottom"/>
            <w:gridSpan w:val="2"/>
            <w:vMerge w:val="restart"/>
          </w:tcPr>
          <w:p>
            <w:pPr>
              <w:ind w:left="1000"/>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75,000</w:t>
            </w:r>
          </w:p>
        </w:tc>
        <w:tc>
          <w:tcPr>
            <w:tcW w:w="140" w:type="dxa"/>
            <w:vAlign w:val="bottom"/>
          </w:tcPr>
          <w:p>
            <w:pPr>
              <w:spacing w:after="0"/>
              <w:rPr>
                <w:sz w:val="10"/>
                <w:szCs w:val="10"/>
                <w:color w:val="auto"/>
              </w:rPr>
            </w:pPr>
          </w:p>
        </w:tc>
        <w:tc>
          <w:tcPr>
            <w:tcW w:w="240" w:type="dxa"/>
            <w:vAlign w:val="bottom"/>
            <w:vMerge w:val="restart"/>
          </w:tcPr>
          <w:p>
            <w:pPr>
              <w:jc w:val="right"/>
              <w:ind w:right="71"/>
              <w:spacing w:after="0"/>
              <w:rPr>
                <w:sz w:val="20"/>
                <w:szCs w:val="20"/>
                <w:color w:val="auto"/>
              </w:rPr>
            </w:pPr>
            <w:r>
              <w:rPr>
                <w:rFonts w:ascii="Arial" w:cs="Arial" w:eastAsia="Arial" w:hAnsi="Arial"/>
                <w:sz w:val="14"/>
                <w:szCs w:val="14"/>
                <w:color w:val="auto"/>
              </w:rPr>
              <w:t>$</w:t>
            </w: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75,000</w:t>
            </w:r>
          </w:p>
        </w:tc>
        <w:tc>
          <w:tcPr>
            <w:tcW w:w="0" w:type="dxa"/>
            <w:vAlign w:val="bottom"/>
          </w:tcPr>
          <w:p>
            <w:pPr>
              <w:spacing w:after="0"/>
              <w:rPr>
                <w:sz w:val="1"/>
                <w:szCs w:val="1"/>
                <w:color w:val="auto"/>
              </w:rPr>
            </w:pPr>
          </w:p>
        </w:tc>
      </w:tr>
      <w:tr>
        <w:trPr>
          <w:trHeight w:val="186"/>
        </w:trPr>
        <w:tc>
          <w:tcPr>
            <w:tcW w:w="3560" w:type="dxa"/>
            <w:vAlign w:val="bottom"/>
          </w:tcPr>
          <w:p>
            <w:pPr>
              <w:ind w:left="160"/>
              <w:spacing w:after="0"/>
              <w:rPr>
                <w:sz w:val="20"/>
                <w:szCs w:val="20"/>
                <w:color w:val="auto"/>
              </w:rPr>
            </w:pPr>
            <w:r>
              <w:rPr>
                <w:rFonts w:ascii="Arial" w:cs="Arial" w:eastAsia="Arial" w:hAnsi="Arial"/>
                <w:sz w:val="14"/>
                <w:szCs w:val="14"/>
                <w:color w:val="auto"/>
              </w:rPr>
              <w:t xml:space="preserve">Chief Executive Officer </w:t>
            </w:r>
            <w:r>
              <w:rPr>
                <w:rFonts w:ascii="Arial" w:cs="Arial" w:eastAsia="Arial" w:hAnsi="Arial"/>
                <w:sz w:val="8"/>
                <w:szCs w:val="8"/>
                <w:color w:val="auto"/>
              </w:rPr>
              <w:t>(1)</w:t>
            </w:r>
          </w:p>
        </w:tc>
        <w:tc>
          <w:tcPr>
            <w:tcW w:w="66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vMerge w:val="continue"/>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220" w:type="dxa"/>
            <w:vAlign w:val="bottom"/>
            <w:vMerge w:val="continue"/>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60" w:type="dxa"/>
            <w:vAlign w:val="bottom"/>
            <w:vMerge w:val="continue"/>
          </w:tcPr>
          <w:p>
            <w:pPr>
              <w:spacing w:after="0"/>
              <w:rPr>
                <w:sz w:val="16"/>
                <w:szCs w:val="16"/>
                <w:color w:val="auto"/>
              </w:rPr>
            </w:pPr>
          </w:p>
        </w:tc>
        <w:tc>
          <w:tcPr>
            <w:tcW w:w="1360" w:type="dxa"/>
            <w:vAlign w:val="bottom"/>
            <w:gridSpan w:val="2"/>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08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vMerge w:val="continue"/>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3560" w:type="dxa"/>
            <w:vAlign w:val="bottom"/>
          </w:tcPr>
          <w:p>
            <w:pPr>
              <w:spacing w:after="0"/>
              <w:rPr>
                <w:sz w:val="16"/>
                <w:szCs w:val="16"/>
                <w:color w:val="auto"/>
              </w:rPr>
            </w:pPr>
          </w:p>
        </w:tc>
        <w:tc>
          <w:tcPr>
            <w:tcW w:w="660" w:type="dxa"/>
            <w:vAlign w:val="bottom"/>
          </w:tcPr>
          <w:p>
            <w:pPr>
              <w:jc w:val="center"/>
              <w:spacing w:after="0"/>
              <w:rPr>
                <w:sz w:val="20"/>
                <w:szCs w:val="20"/>
                <w:color w:val="auto"/>
              </w:rPr>
            </w:pPr>
            <w:r>
              <w:rPr>
                <w:rFonts w:ascii="Arial" w:cs="Arial" w:eastAsia="Arial" w:hAnsi="Arial"/>
                <w:sz w:val="14"/>
                <w:szCs w:val="14"/>
                <w:color w:val="auto"/>
                <w:w w:val="96"/>
              </w:rPr>
              <w:t>2024</w:t>
            </w:r>
          </w:p>
        </w:tc>
        <w:tc>
          <w:tcPr>
            <w:tcW w:w="280" w:type="dxa"/>
            <w:vAlign w:val="bottom"/>
          </w:tcPr>
          <w:p>
            <w:pPr>
              <w:spacing w:after="0"/>
              <w:rPr>
                <w:sz w:val="16"/>
                <w:szCs w:val="16"/>
                <w:color w:val="auto"/>
              </w:rPr>
            </w:pPr>
          </w:p>
        </w:tc>
        <w:tc>
          <w:tcPr>
            <w:tcW w:w="220" w:type="dxa"/>
            <w:vAlign w:val="bottom"/>
          </w:tcPr>
          <w:p>
            <w:pPr>
              <w:jc w:val="right"/>
              <w:ind w:right="51"/>
              <w:spacing w:after="0"/>
              <w:rPr>
                <w:sz w:val="20"/>
                <w:szCs w:val="20"/>
                <w:color w:val="auto"/>
              </w:rPr>
            </w:pPr>
            <w:r>
              <w:rPr>
                <w:rFonts w:ascii="Arial" w:cs="Arial" w:eastAsia="Arial" w:hAnsi="Arial"/>
                <w:sz w:val="14"/>
                <w:szCs w:val="14"/>
                <w:color w:val="auto"/>
              </w:rPr>
              <w:t>$</w:t>
            </w:r>
          </w:p>
        </w:tc>
        <w:tc>
          <w:tcPr>
            <w:tcW w:w="1100" w:type="dxa"/>
            <w:vAlign w:val="bottom"/>
            <w:gridSpan w:val="2"/>
          </w:tcPr>
          <w:p>
            <w:pPr>
              <w:ind w:left="740"/>
              <w:spacing w:after="0"/>
              <w:rPr>
                <w:sz w:val="20"/>
                <w:szCs w:val="20"/>
                <w:color w:val="auto"/>
              </w:rPr>
            </w:pPr>
            <w:r>
              <w:rPr>
                <w:rFonts w:ascii="Arial" w:cs="Arial" w:eastAsia="Arial" w:hAnsi="Arial"/>
                <w:sz w:val="14"/>
                <w:szCs w:val="14"/>
                <w:color w:val="auto"/>
              </w:rPr>
              <w:t>—</w:t>
            </w:r>
          </w:p>
        </w:tc>
        <w:tc>
          <w:tcPr>
            <w:tcW w:w="220" w:type="dxa"/>
            <w:vAlign w:val="bottom"/>
          </w:tcPr>
          <w:p>
            <w:pPr>
              <w:jc w:val="right"/>
              <w:ind w:right="51"/>
              <w:spacing w:after="0"/>
              <w:rPr>
                <w:sz w:val="20"/>
                <w:szCs w:val="20"/>
                <w:color w:val="auto"/>
              </w:rPr>
            </w:pPr>
            <w:r>
              <w:rPr>
                <w:rFonts w:ascii="Arial" w:cs="Arial" w:eastAsia="Arial" w:hAnsi="Arial"/>
                <w:sz w:val="14"/>
                <w:szCs w:val="14"/>
                <w:color w:val="auto"/>
              </w:rPr>
              <w:t>$</w:t>
            </w:r>
          </w:p>
        </w:tc>
        <w:tc>
          <w:tcPr>
            <w:tcW w:w="1120" w:type="dxa"/>
            <w:vAlign w:val="bottom"/>
            <w:gridSpan w:val="2"/>
          </w:tcPr>
          <w:p>
            <w:pPr>
              <w:ind w:left="760"/>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360" w:type="dxa"/>
            <w:vAlign w:val="bottom"/>
            <w:gridSpan w:val="2"/>
          </w:tcPr>
          <w:p>
            <w:pPr>
              <w:ind w:left="100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75,000</w:t>
            </w:r>
          </w:p>
        </w:tc>
        <w:tc>
          <w:tcPr>
            <w:tcW w:w="140" w:type="dxa"/>
            <w:vAlign w:val="bottom"/>
          </w:tcPr>
          <w:p>
            <w:pPr>
              <w:spacing w:after="0"/>
              <w:rPr>
                <w:sz w:val="16"/>
                <w:szCs w:val="16"/>
                <w:color w:val="auto"/>
              </w:rPr>
            </w:pPr>
          </w:p>
        </w:tc>
        <w:tc>
          <w:tcPr>
            <w:tcW w:w="240" w:type="dxa"/>
            <w:vAlign w:val="bottom"/>
          </w:tcPr>
          <w:p>
            <w:pPr>
              <w:jc w:val="right"/>
              <w:ind w:right="71"/>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75,000</w:t>
            </w:r>
          </w:p>
        </w:tc>
        <w:tc>
          <w:tcPr>
            <w:tcW w:w="0" w:type="dxa"/>
            <w:vAlign w:val="bottom"/>
          </w:tcPr>
          <w:p>
            <w:pPr>
              <w:spacing w:after="0"/>
              <w:rPr>
                <w:sz w:val="1"/>
                <w:szCs w:val="1"/>
                <w:color w:val="auto"/>
              </w:rPr>
            </w:pPr>
          </w:p>
        </w:tc>
      </w:tr>
      <w:tr>
        <w:trPr>
          <w:trHeight w:val="149"/>
        </w:trPr>
        <w:tc>
          <w:tcPr>
            <w:tcW w:w="3560" w:type="dxa"/>
            <w:vAlign w:val="bottom"/>
          </w:tcPr>
          <w:p>
            <w:pPr>
              <w:spacing w:after="0" w:line="149" w:lineRule="exact"/>
              <w:rPr>
                <w:sz w:val="20"/>
                <w:szCs w:val="20"/>
                <w:color w:val="auto"/>
              </w:rPr>
            </w:pPr>
            <w:r>
              <w:rPr>
                <w:rFonts w:ascii="Arial" w:cs="Arial" w:eastAsia="Arial" w:hAnsi="Arial"/>
                <w:sz w:val="14"/>
                <w:szCs w:val="14"/>
                <w:color w:val="auto"/>
              </w:rPr>
              <w:t>Daniel D. Levin,</w:t>
            </w:r>
          </w:p>
        </w:tc>
        <w:tc>
          <w:tcPr>
            <w:tcW w:w="660" w:type="dxa"/>
            <w:vAlign w:val="bottom"/>
            <w:vMerge w:val="restart"/>
          </w:tcPr>
          <w:p>
            <w:pPr>
              <w:jc w:val="center"/>
              <w:spacing w:after="0"/>
              <w:rPr>
                <w:sz w:val="20"/>
                <w:szCs w:val="20"/>
                <w:color w:val="auto"/>
              </w:rPr>
            </w:pPr>
            <w:r>
              <w:rPr>
                <w:rFonts w:ascii="Arial" w:cs="Arial" w:eastAsia="Arial" w:hAnsi="Arial"/>
                <w:sz w:val="14"/>
                <w:szCs w:val="14"/>
                <w:color w:val="auto"/>
                <w:w w:val="96"/>
              </w:rPr>
              <w:t>2025</w:t>
            </w:r>
          </w:p>
        </w:tc>
        <w:tc>
          <w:tcPr>
            <w:tcW w:w="280" w:type="dxa"/>
            <w:vAlign w:val="bottom"/>
          </w:tcPr>
          <w:p>
            <w:pPr>
              <w:spacing w:after="0"/>
              <w:rPr>
                <w:sz w:val="12"/>
                <w:szCs w:val="12"/>
                <w:color w:val="auto"/>
              </w:rPr>
            </w:pPr>
          </w:p>
        </w:tc>
        <w:tc>
          <w:tcPr>
            <w:tcW w:w="220" w:type="dxa"/>
            <w:vAlign w:val="bottom"/>
            <w:vMerge w:val="restart"/>
          </w:tcPr>
          <w:p>
            <w:pPr>
              <w:jc w:val="right"/>
              <w:ind w:right="51"/>
              <w:spacing w:after="0"/>
              <w:rPr>
                <w:sz w:val="20"/>
                <w:szCs w:val="20"/>
                <w:color w:val="auto"/>
              </w:rPr>
            </w:pPr>
            <w:r>
              <w:rPr>
                <w:rFonts w:ascii="Arial" w:cs="Arial" w:eastAsia="Arial" w:hAnsi="Arial"/>
                <w:sz w:val="14"/>
                <w:szCs w:val="14"/>
                <w:color w:val="auto"/>
              </w:rPr>
              <w:t>$</w:t>
            </w:r>
          </w:p>
        </w:tc>
        <w:tc>
          <w:tcPr>
            <w:tcW w:w="1100" w:type="dxa"/>
            <w:vAlign w:val="bottom"/>
            <w:gridSpan w:val="2"/>
            <w:vMerge w:val="restart"/>
          </w:tcPr>
          <w:p>
            <w:pPr>
              <w:ind w:left="740"/>
              <w:spacing w:after="0"/>
              <w:rPr>
                <w:sz w:val="20"/>
                <w:szCs w:val="20"/>
                <w:color w:val="auto"/>
              </w:rPr>
            </w:pPr>
            <w:r>
              <w:rPr>
                <w:rFonts w:ascii="Arial" w:cs="Arial" w:eastAsia="Arial" w:hAnsi="Arial"/>
                <w:sz w:val="14"/>
                <w:szCs w:val="14"/>
                <w:color w:val="auto"/>
              </w:rPr>
              <w:t>—</w:t>
            </w:r>
          </w:p>
        </w:tc>
        <w:tc>
          <w:tcPr>
            <w:tcW w:w="220" w:type="dxa"/>
            <w:vAlign w:val="bottom"/>
            <w:vMerge w:val="restart"/>
          </w:tcPr>
          <w:p>
            <w:pPr>
              <w:jc w:val="right"/>
              <w:ind w:right="51"/>
              <w:spacing w:after="0"/>
              <w:rPr>
                <w:sz w:val="20"/>
                <w:szCs w:val="20"/>
                <w:color w:val="auto"/>
              </w:rPr>
            </w:pPr>
            <w:r>
              <w:rPr>
                <w:rFonts w:ascii="Arial" w:cs="Arial" w:eastAsia="Arial" w:hAnsi="Arial"/>
                <w:sz w:val="14"/>
                <w:szCs w:val="14"/>
                <w:color w:val="auto"/>
              </w:rPr>
              <w:t>$</w:t>
            </w:r>
          </w:p>
        </w:tc>
        <w:tc>
          <w:tcPr>
            <w:tcW w:w="1120" w:type="dxa"/>
            <w:vAlign w:val="bottom"/>
            <w:gridSpan w:val="2"/>
            <w:vMerge w:val="restart"/>
          </w:tcPr>
          <w:p>
            <w:pPr>
              <w:ind w:left="760"/>
              <w:spacing w:after="0"/>
              <w:rPr>
                <w:sz w:val="20"/>
                <w:szCs w:val="20"/>
                <w:color w:val="auto"/>
              </w:rPr>
            </w:pPr>
            <w:r>
              <w:rPr>
                <w:rFonts w:ascii="Arial" w:cs="Arial" w:eastAsia="Arial" w:hAnsi="Arial"/>
                <w:sz w:val="14"/>
                <w:szCs w:val="14"/>
                <w:color w:val="auto"/>
              </w:rPr>
              <w:t>—</w:t>
            </w: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360" w:type="dxa"/>
            <w:vAlign w:val="bottom"/>
            <w:gridSpan w:val="2"/>
            <w:vMerge w:val="restart"/>
          </w:tcPr>
          <w:p>
            <w:pPr>
              <w:ind w:left="1000"/>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22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vMerge w:val="restart"/>
          </w:tcPr>
          <w:p>
            <w:pPr>
              <w:jc w:val="right"/>
              <w:ind w:right="71"/>
              <w:spacing w:after="0"/>
              <w:rPr>
                <w:sz w:val="20"/>
                <w:szCs w:val="20"/>
                <w:color w:val="auto"/>
              </w:rPr>
            </w:pPr>
            <w:r>
              <w:rPr>
                <w:rFonts w:ascii="Arial" w:cs="Arial" w:eastAsia="Arial" w:hAnsi="Arial"/>
                <w:sz w:val="14"/>
                <w:szCs w:val="14"/>
                <w:color w:val="auto"/>
              </w:rPr>
              <w:t>$</w:t>
            </w: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3560" w:type="dxa"/>
            <w:vAlign w:val="bottom"/>
          </w:tcPr>
          <w:p>
            <w:pPr>
              <w:ind w:left="160"/>
              <w:spacing w:after="0"/>
              <w:rPr>
                <w:sz w:val="20"/>
                <w:szCs w:val="20"/>
                <w:color w:val="auto"/>
              </w:rPr>
            </w:pPr>
            <w:r>
              <w:rPr>
                <w:rFonts w:ascii="Arial" w:cs="Arial" w:eastAsia="Arial" w:hAnsi="Arial"/>
                <w:sz w:val="14"/>
                <w:szCs w:val="14"/>
                <w:color w:val="auto"/>
              </w:rPr>
              <w:t>Chief Financial Officer</w:t>
            </w:r>
          </w:p>
        </w:tc>
        <w:tc>
          <w:tcPr>
            <w:tcW w:w="66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vMerge w:val="continue"/>
          </w:tcPr>
          <w:p>
            <w:pPr>
              <w:spacing w:after="0"/>
              <w:rPr>
                <w:sz w:val="15"/>
                <w:szCs w:val="15"/>
                <w:color w:val="auto"/>
              </w:rPr>
            </w:pPr>
          </w:p>
        </w:tc>
        <w:tc>
          <w:tcPr>
            <w:tcW w:w="1100" w:type="dxa"/>
            <w:vAlign w:val="bottom"/>
            <w:gridSpan w:val="2"/>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160" w:type="dxa"/>
            <w:vAlign w:val="bottom"/>
            <w:vMerge w:val="continue"/>
          </w:tcPr>
          <w:p>
            <w:pPr>
              <w:spacing w:after="0"/>
              <w:rPr>
                <w:sz w:val="15"/>
                <w:szCs w:val="15"/>
                <w:color w:val="auto"/>
              </w:rPr>
            </w:pPr>
          </w:p>
        </w:tc>
        <w:tc>
          <w:tcPr>
            <w:tcW w:w="1360" w:type="dxa"/>
            <w:vAlign w:val="bottom"/>
            <w:gridSpan w:val="2"/>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1220" w:type="dxa"/>
            <w:vAlign w:val="bottom"/>
            <w:gridSpan w:val="2"/>
            <w:vMerge w:val="continue"/>
          </w:tcPr>
          <w:p>
            <w:pPr>
              <w:spacing w:after="0"/>
              <w:rPr>
                <w:sz w:val="15"/>
                <w:szCs w:val="15"/>
                <w:color w:val="auto"/>
              </w:rPr>
            </w:pPr>
          </w:p>
        </w:tc>
        <w:tc>
          <w:tcPr>
            <w:tcW w:w="240" w:type="dxa"/>
            <w:vAlign w:val="bottom"/>
            <w:vMerge w:val="continue"/>
          </w:tcPr>
          <w:p>
            <w:pPr>
              <w:spacing w:after="0"/>
              <w:rPr>
                <w:sz w:val="15"/>
                <w:szCs w:val="15"/>
                <w:color w:val="auto"/>
              </w:rPr>
            </w:pPr>
          </w:p>
        </w:tc>
        <w:tc>
          <w:tcPr>
            <w:tcW w:w="9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3560" w:type="dxa"/>
            <w:vAlign w:val="bottom"/>
          </w:tcPr>
          <w:p>
            <w:pPr>
              <w:spacing w:after="0"/>
              <w:rPr>
                <w:sz w:val="16"/>
                <w:szCs w:val="16"/>
                <w:color w:val="auto"/>
              </w:rPr>
            </w:pPr>
          </w:p>
        </w:tc>
        <w:tc>
          <w:tcPr>
            <w:tcW w:w="660" w:type="dxa"/>
            <w:vAlign w:val="bottom"/>
          </w:tcPr>
          <w:p>
            <w:pPr>
              <w:jc w:val="center"/>
              <w:spacing w:after="0"/>
              <w:rPr>
                <w:sz w:val="20"/>
                <w:szCs w:val="20"/>
                <w:color w:val="auto"/>
              </w:rPr>
            </w:pPr>
            <w:r>
              <w:rPr>
                <w:rFonts w:ascii="Arial" w:cs="Arial" w:eastAsia="Arial" w:hAnsi="Arial"/>
                <w:sz w:val="14"/>
                <w:szCs w:val="14"/>
                <w:color w:val="auto"/>
                <w:w w:val="96"/>
              </w:rPr>
              <w:t>2024</w:t>
            </w:r>
          </w:p>
        </w:tc>
        <w:tc>
          <w:tcPr>
            <w:tcW w:w="280" w:type="dxa"/>
            <w:vAlign w:val="bottom"/>
          </w:tcPr>
          <w:p>
            <w:pPr>
              <w:spacing w:after="0"/>
              <w:rPr>
                <w:sz w:val="16"/>
                <w:szCs w:val="16"/>
                <w:color w:val="auto"/>
              </w:rPr>
            </w:pPr>
          </w:p>
        </w:tc>
        <w:tc>
          <w:tcPr>
            <w:tcW w:w="220" w:type="dxa"/>
            <w:vAlign w:val="bottom"/>
          </w:tcPr>
          <w:p>
            <w:pPr>
              <w:jc w:val="right"/>
              <w:ind w:right="51"/>
              <w:spacing w:after="0"/>
              <w:rPr>
                <w:sz w:val="20"/>
                <w:szCs w:val="20"/>
                <w:color w:val="auto"/>
              </w:rPr>
            </w:pPr>
            <w:r>
              <w:rPr>
                <w:rFonts w:ascii="Arial" w:cs="Arial" w:eastAsia="Arial" w:hAnsi="Arial"/>
                <w:sz w:val="14"/>
                <w:szCs w:val="14"/>
                <w:color w:val="auto"/>
              </w:rPr>
              <w:t>$</w:t>
            </w:r>
          </w:p>
        </w:tc>
        <w:tc>
          <w:tcPr>
            <w:tcW w:w="1100" w:type="dxa"/>
            <w:vAlign w:val="bottom"/>
            <w:gridSpan w:val="2"/>
          </w:tcPr>
          <w:p>
            <w:pPr>
              <w:ind w:left="740"/>
              <w:spacing w:after="0"/>
              <w:rPr>
                <w:sz w:val="20"/>
                <w:szCs w:val="20"/>
                <w:color w:val="auto"/>
              </w:rPr>
            </w:pPr>
            <w:r>
              <w:rPr>
                <w:rFonts w:ascii="Arial" w:cs="Arial" w:eastAsia="Arial" w:hAnsi="Arial"/>
                <w:sz w:val="14"/>
                <w:szCs w:val="14"/>
                <w:color w:val="auto"/>
              </w:rPr>
              <w:t>—</w:t>
            </w:r>
          </w:p>
        </w:tc>
        <w:tc>
          <w:tcPr>
            <w:tcW w:w="220" w:type="dxa"/>
            <w:vAlign w:val="bottom"/>
          </w:tcPr>
          <w:p>
            <w:pPr>
              <w:jc w:val="right"/>
              <w:ind w:right="51"/>
              <w:spacing w:after="0"/>
              <w:rPr>
                <w:sz w:val="20"/>
                <w:szCs w:val="20"/>
                <w:color w:val="auto"/>
              </w:rPr>
            </w:pPr>
            <w:r>
              <w:rPr>
                <w:rFonts w:ascii="Arial" w:cs="Arial" w:eastAsia="Arial" w:hAnsi="Arial"/>
                <w:sz w:val="14"/>
                <w:szCs w:val="14"/>
                <w:color w:val="auto"/>
              </w:rPr>
              <w:t>$</w:t>
            </w:r>
          </w:p>
        </w:tc>
        <w:tc>
          <w:tcPr>
            <w:tcW w:w="1120" w:type="dxa"/>
            <w:vAlign w:val="bottom"/>
            <w:gridSpan w:val="2"/>
          </w:tcPr>
          <w:p>
            <w:pPr>
              <w:ind w:left="760"/>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360" w:type="dxa"/>
            <w:vAlign w:val="bottom"/>
            <w:gridSpan w:val="2"/>
          </w:tcPr>
          <w:p>
            <w:pPr>
              <w:ind w:left="100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2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tcPr>
          <w:p>
            <w:pPr>
              <w:jc w:val="right"/>
              <w:ind w:right="71"/>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3"/>
        </w:trPr>
        <w:tc>
          <w:tcPr>
            <w:tcW w:w="3560" w:type="dxa"/>
            <w:vAlign w:val="bottom"/>
          </w:tcPr>
          <w:p>
            <w:pPr>
              <w:spacing w:after="0"/>
              <w:rPr>
                <w:sz w:val="16"/>
                <w:szCs w:val="16"/>
                <w:color w:val="auto"/>
              </w:rPr>
            </w:pPr>
          </w:p>
        </w:tc>
        <w:tc>
          <w:tcPr>
            <w:tcW w:w="660" w:type="dxa"/>
            <w:vAlign w:val="bottom"/>
          </w:tcPr>
          <w:p>
            <w:pPr>
              <w:jc w:val="center"/>
              <w:spacing w:after="0"/>
              <w:rPr>
                <w:sz w:val="20"/>
                <w:szCs w:val="20"/>
                <w:color w:val="auto"/>
              </w:rPr>
            </w:pPr>
            <w:r>
              <w:rPr>
                <w:rFonts w:ascii="Arial" w:cs="Arial" w:eastAsia="Arial" w:hAnsi="Arial"/>
                <w:sz w:val="14"/>
                <w:szCs w:val="14"/>
                <w:color w:val="auto"/>
                <w:w w:val="96"/>
              </w:rPr>
              <w:t>2023</w:t>
            </w:r>
          </w:p>
        </w:tc>
        <w:tc>
          <w:tcPr>
            <w:tcW w:w="280" w:type="dxa"/>
            <w:vAlign w:val="bottom"/>
          </w:tcPr>
          <w:p>
            <w:pPr>
              <w:spacing w:after="0"/>
              <w:rPr>
                <w:sz w:val="16"/>
                <w:szCs w:val="16"/>
                <w:color w:val="auto"/>
              </w:rPr>
            </w:pPr>
          </w:p>
        </w:tc>
        <w:tc>
          <w:tcPr>
            <w:tcW w:w="220" w:type="dxa"/>
            <w:vAlign w:val="bottom"/>
          </w:tcPr>
          <w:p>
            <w:pPr>
              <w:jc w:val="right"/>
              <w:ind w:right="51"/>
              <w:spacing w:after="0"/>
              <w:rPr>
                <w:sz w:val="20"/>
                <w:szCs w:val="20"/>
                <w:color w:val="auto"/>
              </w:rPr>
            </w:pPr>
            <w:r>
              <w:rPr>
                <w:rFonts w:ascii="Arial" w:cs="Arial" w:eastAsia="Arial" w:hAnsi="Arial"/>
                <w:sz w:val="14"/>
                <w:szCs w:val="14"/>
                <w:color w:val="auto"/>
              </w:rPr>
              <w:t>$</w:t>
            </w:r>
          </w:p>
        </w:tc>
        <w:tc>
          <w:tcPr>
            <w:tcW w:w="1100" w:type="dxa"/>
            <w:vAlign w:val="bottom"/>
            <w:gridSpan w:val="2"/>
          </w:tcPr>
          <w:p>
            <w:pPr>
              <w:ind w:left="740"/>
              <w:spacing w:after="0"/>
              <w:rPr>
                <w:sz w:val="20"/>
                <w:szCs w:val="20"/>
                <w:color w:val="auto"/>
              </w:rPr>
            </w:pPr>
            <w:r>
              <w:rPr>
                <w:rFonts w:ascii="Arial" w:cs="Arial" w:eastAsia="Arial" w:hAnsi="Arial"/>
                <w:sz w:val="14"/>
                <w:szCs w:val="14"/>
                <w:color w:val="auto"/>
              </w:rPr>
              <w:t>—</w:t>
            </w:r>
          </w:p>
        </w:tc>
        <w:tc>
          <w:tcPr>
            <w:tcW w:w="220" w:type="dxa"/>
            <w:vAlign w:val="bottom"/>
          </w:tcPr>
          <w:p>
            <w:pPr>
              <w:jc w:val="right"/>
              <w:ind w:right="51"/>
              <w:spacing w:after="0"/>
              <w:rPr>
                <w:sz w:val="20"/>
                <w:szCs w:val="20"/>
                <w:color w:val="auto"/>
              </w:rPr>
            </w:pPr>
            <w:r>
              <w:rPr>
                <w:rFonts w:ascii="Arial" w:cs="Arial" w:eastAsia="Arial" w:hAnsi="Arial"/>
                <w:sz w:val="14"/>
                <w:szCs w:val="14"/>
                <w:color w:val="auto"/>
              </w:rPr>
              <w:t>$</w:t>
            </w:r>
          </w:p>
        </w:tc>
        <w:tc>
          <w:tcPr>
            <w:tcW w:w="1120" w:type="dxa"/>
            <w:vAlign w:val="bottom"/>
            <w:gridSpan w:val="2"/>
          </w:tcPr>
          <w:p>
            <w:pPr>
              <w:ind w:left="760"/>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360" w:type="dxa"/>
            <w:vAlign w:val="bottom"/>
            <w:gridSpan w:val="2"/>
          </w:tcPr>
          <w:p>
            <w:pPr>
              <w:ind w:left="100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2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tcPr>
          <w:p>
            <w:pPr>
              <w:jc w:val="right"/>
              <w:ind w:right="71"/>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201295</wp:posOffset>
            </wp:positionV>
            <wp:extent cx="134239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342390" cy="8255"/>
                    </a:xfrm>
                    <a:prstGeom prst="rect">
                      <a:avLst/>
                    </a:prstGeom>
                    <a:noFill/>
                  </pic:spPr>
                </pic:pic>
              </a:graphicData>
            </a:graphic>
          </wp:anchor>
        </w:drawing>
      </w:r>
    </w:p>
    <w:p>
      <w:pPr>
        <w:spacing w:after="0" w:line="380" w:lineRule="exact"/>
        <w:rPr>
          <w:sz w:val="20"/>
          <w:szCs w:val="20"/>
          <w:color w:val="auto"/>
        </w:rPr>
      </w:pPr>
    </w:p>
    <w:p>
      <w:pPr>
        <w:ind w:left="320" w:hanging="317"/>
        <w:spacing w:after="0"/>
        <w:tabs>
          <w:tab w:leader="none" w:pos="320" w:val="left"/>
        </w:tabs>
        <w:numPr>
          <w:ilvl w:val="0"/>
          <w:numId w:val="43"/>
        </w:numPr>
        <w:rPr>
          <w:rFonts w:ascii="Arial" w:cs="Arial" w:eastAsia="Arial" w:hAnsi="Arial"/>
          <w:sz w:val="14"/>
          <w:szCs w:val="14"/>
          <w:color w:val="auto"/>
        </w:rPr>
      </w:pPr>
      <w:r>
        <w:rPr>
          <w:rFonts w:ascii="Arial" w:cs="Arial" w:eastAsia="Arial" w:hAnsi="Arial"/>
          <w:sz w:val="14"/>
          <w:szCs w:val="14"/>
          <w:color w:val="auto"/>
        </w:rPr>
        <w:t>Amount represents a portion of his compensation paid by Brookfield (in his capacity as President and CFO of that entity) allocated for his services as CEO of BOH.</w:t>
      </w:r>
    </w:p>
    <w:p>
      <w:pPr>
        <w:spacing w:after="0" w:line="39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Non-competition, Non-solicitation and Confidentiality Restrictions</w:t>
      </w:r>
    </w:p>
    <w:p>
      <w:pPr>
        <w:spacing w:after="0" w:line="206" w:lineRule="exact"/>
        <w:rPr>
          <w:sz w:val="20"/>
          <w:szCs w:val="20"/>
          <w:color w:val="auto"/>
        </w:rPr>
      </w:pPr>
    </w:p>
    <w:p>
      <w:pPr>
        <w:ind w:right="260" w:firstLine="619"/>
        <w:spacing w:after="0" w:line="247" w:lineRule="auto"/>
        <w:rPr>
          <w:sz w:val="20"/>
          <w:szCs w:val="20"/>
          <w:color w:val="auto"/>
        </w:rPr>
      </w:pPr>
      <w:r>
        <w:rPr>
          <w:rFonts w:ascii="Arial" w:cs="Arial" w:eastAsia="Arial" w:hAnsi="Arial"/>
          <w:sz w:val="17"/>
          <w:szCs w:val="17"/>
          <w:color w:val="auto"/>
        </w:rPr>
        <w:t>Pursuant to the terms of OCGH’s partnership agreement or applicable equity grant agreements, our executive officers (other than Mr. Goodman, who is subject to separate obligations to Brookfield) are subject to customary provisions regarding non-solicitation of Oaktree’s clients</w:t>
      </w:r>
    </w:p>
    <w:p>
      <w:pPr>
        <w:ind w:right="100"/>
        <w:spacing w:after="0" w:line="229" w:lineRule="auto"/>
        <w:rPr>
          <w:sz w:val="20"/>
          <w:szCs w:val="20"/>
          <w:color w:val="auto"/>
        </w:rPr>
      </w:pPr>
      <w:r>
        <w:rPr>
          <w:rFonts w:ascii="Arial" w:cs="Arial" w:eastAsia="Arial" w:hAnsi="Arial"/>
          <w:sz w:val="17"/>
          <w:szCs w:val="17"/>
          <w:color w:val="auto"/>
        </w:rPr>
        <w:t>and employees, confidentiality, assignment of intellectual property and non-disparagement obligations. In addition, during their term of employment with Oaktree and for a period up to one year immediately following the resignation or termination of employment (other than a termination by us</w:t>
      </w:r>
    </w:p>
    <w:p>
      <w:pPr>
        <w:spacing w:after="0" w:line="1" w:lineRule="exact"/>
        <w:rPr>
          <w:sz w:val="20"/>
          <w:szCs w:val="20"/>
          <w:color w:val="auto"/>
        </w:rPr>
      </w:pPr>
    </w:p>
    <w:p>
      <w:pPr>
        <w:ind w:right="40"/>
        <w:spacing w:after="0" w:line="246" w:lineRule="auto"/>
        <w:rPr>
          <w:sz w:val="20"/>
          <w:szCs w:val="20"/>
          <w:color w:val="auto"/>
        </w:rPr>
      </w:pPr>
      <w:r>
        <w:rPr>
          <w:rFonts w:ascii="Arial" w:cs="Arial" w:eastAsia="Arial" w:hAnsi="Arial"/>
          <w:sz w:val="17"/>
          <w:szCs w:val="17"/>
          <w:color w:val="auto"/>
        </w:rPr>
        <w:t>without cause), unless they, their family members and related entities have not held any OCGH units, OEP units or OEP II units in the twelve-month period immediately preceding the last day of their employment, our executive officers other than Mr. Goodman (who is subject to separate obligations to Brookfield) may not, directly or indirectly:</w:t>
      </w:r>
    </w:p>
    <w:p>
      <w:pPr>
        <w:spacing w:after="0" w:line="79" w:lineRule="exact"/>
        <w:rPr>
          <w:sz w:val="20"/>
          <w:szCs w:val="20"/>
          <w:color w:val="auto"/>
        </w:rPr>
      </w:pPr>
    </w:p>
    <w:p>
      <w:pPr>
        <w:ind w:left="620" w:hanging="307"/>
        <w:spacing w:after="0"/>
        <w:tabs>
          <w:tab w:leader="none" w:pos="620" w:val="left"/>
        </w:tabs>
        <w:numPr>
          <w:ilvl w:val="0"/>
          <w:numId w:val="44"/>
        </w:numPr>
        <w:rPr>
          <w:rFonts w:ascii="Arial" w:cs="Arial" w:eastAsia="Arial" w:hAnsi="Arial"/>
          <w:sz w:val="17"/>
          <w:szCs w:val="17"/>
          <w:color w:val="auto"/>
        </w:rPr>
      </w:pPr>
      <w:r>
        <w:rPr>
          <w:rFonts w:ascii="Arial" w:cs="Arial" w:eastAsia="Arial" w:hAnsi="Arial"/>
          <w:sz w:val="17"/>
          <w:szCs w:val="17"/>
          <w:color w:val="auto"/>
        </w:rPr>
        <w:t>engage in any business activity in which Oaktree operates, including any Competitive Business (as defined below);</w:t>
      </w:r>
    </w:p>
    <w:p>
      <w:pPr>
        <w:spacing w:after="0" w:line="113" w:lineRule="exact"/>
        <w:rPr>
          <w:rFonts w:ascii="Arial" w:cs="Arial" w:eastAsia="Arial" w:hAnsi="Arial"/>
          <w:sz w:val="17"/>
          <w:szCs w:val="17"/>
          <w:color w:val="auto"/>
        </w:rPr>
      </w:pPr>
    </w:p>
    <w:p>
      <w:pPr>
        <w:ind w:left="620" w:hanging="307"/>
        <w:spacing w:after="0"/>
        <w:tabs>
          <w:tab w:leader="none" w:pos="620" w:val="left"/>
        </w:tabs>
        <w:numPr>
          <w:ilvl w:val="0"/>
          <w:numId w:val="44"/>
        </w:numPr>
        <w:rPr>
          <w:rFonts w:ascii="Arial" w:cs="Arial" w:eastAsia="Arial" w:hAnsi="Arial"/>
          <w:sz w:val="17"/>
          <w:szCs w:val="17"/>
          <w:color w:val="auto"/>
        </w:rPr>
      </w:pPr>
      <w:r>
        <w:rPr>
          <w:rFonts w:ascii="Arial" w:cs="Arial" w:eastAsia="Arial" w:hAnsi="Arial"/>
          <w:sz w:val="17"/>
          <w:szCs w:val="17"/>
          <w:color w:val="auto"/>
        </w:rPr>
        <w:t>render any services to any Competitive Business; or</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sectPr>
      </w:pPr>
    </w:p>
    <w:bookmarkStart w:id="114" w:name="page115"/>
    <w:bookmarkEnd w:id="114"/>
    <w:p>
      <w:pPr>
        <w:ind w:left="620" w:right="540" w:hanging="307"/>
        <w:spacing w:after="0" w:line="290" w:lineRule="auto"/>
        <w:tabs>
          <w:tab w:leader="none" w:pos="616" w:val="left"/>
        </w:tabs>
        <w:numPr>
          <w:ilvl w:val="0"/>
          <w:numId w:val="45"/>
        </w:numPr>
        <w:rPr>
          <w:rFonts w:ascii="Arial" w:cs="Arial" w:eastAsia="Arial" w:hAnsi="Arial"/>
          <w:sz w:val="17"/>
          <w:szCs w:val="17"/>
          <w:color w:val="auto"/>
        </w:rPr>
      </w:pPr>
      <w:r>
        <w:rPr>
          <w:rFonts w:ascii="Arial" w:cs="Arial" w:eastAsia="Arial" w:hAnsi="Arial"/>
          <w:sz w:val="17"/>
          <w:szCs w:val="17"/>
          <w:color w:val="auto"/>
        </w:rPr>
        <w:t>acquire a financial interest in or become actively involved with any Competitive Business (other than as a passive investor holding a minimal percentage of the stock of a public company).</w:t>
      </w:r>
    </w:p>
    <w:p>
      <w:pPr>
        <w:spacing w:after="0" w:line="30" w:lineRule="exact"/>
        <w:rPr>
          <w:sz w:val="20"/>
          <w:szCs w:val="20"/>
          <w:color w:val="auto"/>
        </w:rPr>
      </w:pPr>
    </w:p>
    <w:p>
      <w:pPr>
        <w:ind w:right="80" w:firstLine="619"/>
        <w:spacing w:after="0" w:line="249" w:lineRule="auto"/>
        <w:rPr>
          <w:sz w:val="20"/>
          <w:szCs w:val="20"/>
          <w:color w:val="auto"/>
        </w:rPr>
      </w:pPr>
      <w:r>
        <w:rPr>
          <w:rFonts w:ascii="Arial" w:cs="Arial" w:eastAsia="Arial" w:hAnsi="Arial"/>
          <w:sz w:val="17"/>
          <w:szCs w:val="17"/>
          <w:color w:val="auto"/>
        </w:rPr>
        <w:t>Under the terms of OCGH’s partnership agreement or applicable equity grant agreements, and during the term of employment and for the two-year period immediately following the earlier of (a) resignation or termination of employment for any reason or (b) the executive officer, their family members and related entities ceasing to hold any OCGH units, OEP units or OEP II units, our executive officers may not solicit Oaktree’s customers or clients for a Competitive Business or induce any employee to leave Oaktree’s employ.</w:t>
      </w:r>
    </w:p>
    <w:p>
      <w:pPr>
        <w:spacing w:after="0" w:line="78" w:lineRule="exact"/>
        <w:rPr>
          <w:sz w:val="20"/>
          <w:szCs w:val="20"/>
          <w:color w:val="auto"/>
        </w:rPr>
      </w:pPr>
    </w:p>
    <w:p>
      <w:pPr>
        <w:ind w:right="20" w:firstLine="619"/>
        <w:spacing w:after="0" w:line="265" w:lineRule="auto"/>
        <w:rPr>
          <w:sz w:val="20"/>
          <w:szCs w:val="20"/>
          <w:color w:val="auto"/>
        </w:rPr>
      </w:pPr>
      <w:r>
        <w:rPr>
          <w:rFonts w:ascii="Arial" w:cs="Arial" w:eastAsia="Arial" w:hAnsi="Arial"/>
          <w:sz w:val="17"/>
          <w:szCs w:val="17"/>
          <w:color w:val="auto"/>
        </w:rPr>
        <w:t>“Competitive Business” means any business which is competitive with the business of any member of the Oaktree Operating Group or any of its affiliates (including raising, organizing, managing or advising any fund having an investment strategy in any way competitive with any of the funds managed by any member of the Oaktree Operating Group or any of its affiliates) anywhere in the United States or any other country where a member of the Oaktree Operating Group or any of its affiliates conducts business.</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Grants of Plan-Based Awards in 2025</w:t>
      </w:r>
    </w:p>
    <w:p>
      <w:pPr>
        <w:spacing w:after="0" w:line="103" w:lineRule="exact"/>
        <w:rPr>
          <w:sz w:val="20"/>
          <w:szCs w:val="20"/>
          <w:color w:val="auto"/>
        </w:rPr>
      </w:pPr>
    </w:p>
    <w:p>
      <w:pPr>
        <w:ind w:left="620"/>
        <w:spacing w:after="0"/>
        <w:rPr>
          <w:sz w:val="20"/>
          <w:szCs w:val="20"/>
          <w:color w:val="auto"/>
        </w:rPr>
      </w:pPr>
      <w:r>
        <w:rPr>
          <w:rFonts w:ascii="Arial" w:cs="Arial" w:eastAsia="Arial" w:hAnsi="Arial"/>
          <w:sz w:val="17"/>
          <w:szCs w:val="17"/>
          <w:color w:val="auto"/>
        </w:rPr>
        <w:t>No grants of equity-based awards or long-term incentive awards were made to our NEOs during 2025.</w:t>
      </w:r>
    </w:p>
    <w:p>
      <w:pPr>
        <w:spacing w:after="0" w:line="26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Potential Payments upon Termination of Employment or Change in Control at 2026 Year End</w:t>
      </w:r>
    </w:p>
    <w:p>
      <w:pPr>
        <w:spacing w:after="0" w:line="168"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We do not have any formal cash-based severance or change of control plans or agreements in place for any of our NEOs.</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CEO Median Employee Pay Ratio</w:t>
      </w:r>
    </w:p>
    <w:p>
      <w:pPr>
        <w:spacing w:after="0" w:line="155" w:lineRule="exact"/>
        <w:rPr>
          <w:sz w:val="20"/>
          <w:szCs w:val="20"/>
          <w:color w:val="auto"/>
        </w:rPr>
      </w:pPr>
    </w:p>
    <w:p>
      <w:pPr>
        <w:ind w:left="620"/>
        <w:spacing w:after="0"/>
        <w:rPr>
          <w:sz w:val="20"/>
          <w:szCs w:val="20"/>
          <w:color w:val="auto"/>
        </w:rPr>
      </w:pPr>
      <w:r>
        <w:rPr>
          <w:rFonts w:ascii="Arial" w:cs="Arial" w:eastAsia="Arial" w:hAnsi="Arial"/>
          <w:sz w:val="17"/>
          <w:szCs w:val="17"/>
          <w:color w:val="auto"/>
        </w:rPr>
        <w:t>In August 2015, the SEC issued final rules implementing the provision of the Dodd-Frank Wall Street Reform and Consumer Protection Act</w:t>
      </w:r>
    </w:p>
    <w:p>
      <w:pPr>
        <w:spacing w:after="0" w:line="238" w:lineRule="auto"/>
        <w:rPr>
          <w:sz w:val="20"/>
          <w:szCs w:val="20"/>
          <w:color w:val="auto"/>
        </w:rPr>
      </w:pPr>
      <w:r>
        <w:rPr>
          <w:rFonts w:ascii="Arial" w:cs="Arial" w:eastAsia="Arial" w:hAnsi="Arial"/>
          <w:sz w:val="17"/>
          <w:szCs w:val="17"/>
          <w:color w:val="auto"/>
        </w:rPr>
        <w:t>that require U.S. publicly-traded companies to disclose the ratio of their Chief Executive Officer’s compensation to that of their median employee.</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Disclosure pursuant to such rules is not included herein because we do not have any employees.</w:t>
      </w:r>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Director Compensation Table for 2025</w:t>
      </w:r>
    </w:p>
    <w:p>
      <w:pPr>
        <w:spacing w:after="0" w:line="168"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following table sets forth the cash and long-term incentive compensation paid to our outside directors listed below for the year ended</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color w:val="auto"/>
        </w:rPr>
        <w:t>December 31, 2025:</w:t>
      </w:r>
    </w:p>
    <w:p>
      <w:pPr>
        <w:spacing w:after="0" w:line="15"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60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Name</w:t>
            </w:r>
          </w:p>
        </w:tc>
        <w:tc>
          <w:tcPr>
            <w:tcW w:w="1760" w:type="dxa"/>
            <w:vAlign w:val="bottom"/>
            <w:gridSpan w:val="3"/>
          </w:tcPr>
          <w:p>
            <w:pPr>
              <w:jc w:val="right"/>
              <w:ind w:right="400"/>
              <w:spacing w:after="0"/>
              <w:rPr>
                <w:sz w:val="20"/>
                <w:szCs w:val="20"/>
                <w:color w:val="auto"/>
              </w:rPr>
            </w:pPr>
            <w:r>
              <w:rPr>
                <w:rFonts w:ascii="Arial" w:cs="Arial" w:eastAsia="Arial" w:hAnsi="Arial"/>
                <w:sz w:val="12"/>
                <w:szCs w:val="12"/>
                <w:b w:val="1"/>
                <w:bCs w:val="1"/>
                <w:color w:val="auto"/>
              </w:rPr>
              <w:t>Fees Earned or Paid in</w:t>
            </w:r>
          </w:p>
        </w:tc>
        <w:tc>
          <w:tcPr>
            <w:tcW w:w="1780" w:type="dxa"/>
            <w:vAlign w:val="bottom"/>
            <w:gridSpan w:val="3"/>
            <w:vMerge w:val="restart"/>
          </w:tcPr>
          <w:p>
            <w:pPr>
              <w:jc w:val="right"/>
              <w:ind w:right="400"/>
              <w:spacing w:after="0"/>
              <w:rPr>
                <w:sz w:val="20"/>
                <w:szCs w:val="20"/>
                <w:color w:val="auto"/>
              </w:rPr>
            </w:pPr>
            <w:r>
              <w:rPr>
                <w:rFonts w:ascii="Arial" w:cs="Arial" w:eastAsia="Arial" w:hAnsi="Arial"/>
                <w:sz w:val="12"/>
                <w:szCs w:val="12"/>
                <w:b w:val="1"/>
                <w:bCs w:val="1"/>
                <w:color w:val="auto"/>
              </w:rPr>
              <w:t xml:space="preserve">Other Compensation </w:t>
            </w:r>
            <w:r>
              <w:rPr>
                <w:rFonts w:ascii="Arial" w:cs="Arial" w:eastAsia="Arial" w:hAnsi="Arial"/>
                <w:sz w:val="15"/>
                <w:szCs w:val="15"/>
                <w:b w:val="1"/>
                <w:bCs w:val="1"/>
                <w:color w:val="auto"/>
                <w:vertAlign w:val="superscript"/>
              </w:rPr>
              <w:t>(2)</w:t>
            </w:r>
          </w:p>
        </w:tc>
        <w:tc>
          <w:tcPr>
            <w:tcW w:w="360" w:type="dxa"/>
            <w:vAlign w:val="bottom"/>
          </w:tcPr>
          <w:p>
            <w:pPr>
              <w:spacing w:after="0"/>
              <w:rPr>
                <w:sz w:val="12"/>
                <w:szCs w:val="12"/>
                <w:color w:val="auto"/>
              </w:rPr>
            </w:pPr>
          </w:p>
        </w:tc>
        <w:tc>
          <w:tcPr>
            <w:tcW w:w="1100" w:type="dxa"/>
            <w:vAlign w:val="bottom"/>
            <w:vMerge w:val="restart"/>
          </w:tcPr>
          <w:p>
            <w:pPr>
              <w:jc w:val="right"/>
              <w:ind w:right="526"/>
              <w:spacing w:after="0"/>
              <w:rPr>
                <w:sz w:val="20"/>
                <w:szCs w:val="20"/>
                <w:color w:val="auto"/>
              </w:rPr>
            </w:pPr>
            <w:r>
              <w:rPr>
                <w:rFonts w:ascii="Arial" w:cs="Arial" w:eastAsia="Arial" w:hAnsi="Arial"/>
                <w:sz w:val="12"/>
                <w:szCs w:val="12"/>
                <w:b w:val="1"/>
                <w:bCs w:val="1"/>
                <w:color w:val="auto"/>
              </w:rPr>
              <w:t>Total</w:t>
            </w:r>
          </w:p>
        </w:tc>
        <w:tc>
          <w:tcPr>
            <w:tcW w:w="0" w:type="dxa"/>
            <w:vAlign w:val="bottom"/>
          </w:tcPr>
          <w:p>
            <w:pPr>
              <w:spacing w:after="0"/>
              <w:rPr>
                <w:sz w:val="1"/>
                <w:szCs w:val="1"/>
                <w:color w:val="auto"/>
              </w:rPr>
            </w:pPr>
          </w:p>
        </w:tc>
      </w:tr>
      <w:tr>
        <w:trPr>
          <w:trHeight w:val="142"/>
        </w:trPr>
        <w:tc>
          <w:tcPr>
            <w:tcW w:w="604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1460" w:type="dxa"/>
            <w:vAlign w:val="bottom"/>
            <w:gridSpan w:val="2"/>
          </w:tcPr>
          <w:p>
            <w:pPr>
              <w:ind w:left="200"/>
              <w:spacing w:after="0" w:line="142" w:lineRule="exact"/>
              <w:rPr>
                <w:sz w:val="20"/>
                <w:szCs w:val="20"/>
                <w:color w:val="auto"/>
              </w:rPr>
            </w:pPr>
            <w:r>
              <w:rPr>
                <w:rFonts w:ascii="Arial" w:cs="Arial" w:eastAsia="Arial" w:hAnsi="Arial"/>
                <w:sz w:val="12"/>
                <w:szCs w:val="12"/>
                <w:b w:val="1"/>
                <w:bCs w:val="1"/>
                <w:color w:val="auto"/>
              </w:rPr>
              <w:t xml:space="preserve">Cash </w:t>
            </w:r>
            <w:r>
              <w:rPr>
                <w:rFonts w:ascii="Arial" w:cs="Arial" w:eastAsia="Arial" w:hAnsi="Arial"/>
                <w:sz w:val="15"/>
                <w:szCs w:val="15"/>
                <w:b w:val="1"/>
                <w:bCs w:val="1"/>
                <w:color w:val="auto"/>
                <w:vertAlign w:val="superscript"/>
              </w:rPr>
              <w:t>(1)</w:t>
            </w:r>
          </w:p>
        </w:tc>
        <w:tc>
          <w:tcPr>
            <w:tcW w:w="1780" w:type="dxa"/>
            <w:vAlign w:val="bottom"/>
            <w:gridSpan w:val="3"/>
            <w:vMerge w:val="continue"/>
          </w:tcPr>
          <w:p>
            <w:pPr>
              <w:spacing w:after="0"/>
              <w:rPr>
                <w:sz w:val="12"/>
                <w:szCs w:val="12"/>
                <w:color w:val="auto"/>
              </w:rPr>
            </w:pPr>
          </w:p>
        </w:tc>
        <w:tc>
          <w:tcPr>
            <w:tcW w:w="36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20" w:type="dxa"/>
            <w:vAlign w:val="bottom"/>
            <w:shd w:val="clear" w:color="auto" w:fill="000000"/>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6040" w:type="dxa"/>
            <w:vAlign w:val="bottom"/>
            <w:gridSpan w:val="2"/>
            <w:vMerge w:val="restart"/>
          </w:tcPr>
          <w:p>
            <w:pPr>
              <w:spacing w:after="0"/>
              <w:rPr>
                <w:sz w:val="20"/>
                <w:szCs w:val="20"/>
                <w:color w:val="auto"/>
              </w:rPr>
            </w:pPr>
            <w:r>
              <w:rPr>
                <w:rFonts w:ascii="Arial" w:cs="Arial" w:eastAsia="Arial" w:hAnsi="Arial"/>
                <w:sz w:val="15"/>
                <w:szCs w:val="15"/>
                <w:color w:val="auto"/>
              </w:rPr>
              <w:t>Steven J. Gilbert</w:t>
            </w: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40" w:type="dxa"/>
            <w:vAlign w:val="bottom"/>
            <w:gridSpan w:val="2"/>
            <w:vMerge w:val="continue"/>
          </w:tcPr>
          <w:p>
            <w:pPr>
              <w:spacing w:after="0"/>
              <w:rPr>
                <w:sz w:val="17"/>
                <w:szCs w:val="17"/>
                <w:color w:val="auto"/>
              </w:rPr>
            </w:pPr>
          </w:p>
        </w:tc>
        <w:tc>
          <w:tcPr>
            <w:tcW w:w="300" w:type="dxa"/>
            <w:vAlign w:val="bottom"/>
          </w:tcPr>
          <w:p>
            <w:pPr>
              <w:jc w:val="right"/>
              <w:ind w:right="126"/>
              <w:spacing w:after="0"/>
              <w:rPr>
                <w:sz w:val="20"/>
                <w:szCs w:val="20"/>
                <w:color w:val="auto"/>
              </w:rPr>
            </w:pPr>
            <w:r>
              <w:rPr>
                <w:rFonts w:ascii="Arial" w:cs="Arial" w:eastAsia="Arial" w:hAnsi="Arial"/>
                <w:sz w:val="15"/>
                <w:szCs w:val="15"/>
                <w:color w:val="auto"/>
                <w:w w:val="95"/>
              </w:rPr>
              <w:t>$</w:t>
            </w:r>
          </w:p>
        </w:tc>
        <w:tc>
          <w:tcPr>
            <w:tcW w:w="1140" w:type="dxa"/>
            <w:vAlign w:val="bottom"/>
          </w:tcPr>
          <w:p>
            <w:pPr>
              <w:jc w:val="right"/>
              <w:ind w:right="6"/>
              <w:spacing w:after="0"/>
              <w:rPr>
                <w:sz w:val="20"/>
                <w:szCs w:val="20"/>
                <w:color w:val="auto"/>
              </w:rPr>
            </w:pPr>
            <w:r>
              <w:rPr>
                <w:rFonts w:ascii="Arial" w:cs="Arial" w:eastAsia="Arial" w:hAnsi="Arial"/>
                <w:sz w:val="15"/>
                <w:szCs w:val="15"/>
                <w:color w:val="auto"/>
              </w:rPr>
              <w:t>225,000</w:t>
            </w:r>
          </w:p>
        </w:tc>
        <w:tc>
          <w:tcPr>
            <w:tcW w:w="320" w:type="dxa"/>
            <w:vAlign w:val="bottom"/>
          </w:tcPr>
          <w:p>
            <w:pPr>
              <w:spacing w:after="0"/>
              <w:rPr>
                <w:sz w:val="17"/>
                <w:szCs w:val="17"/>
                <w:color w:val="auto"/>
              </w:rPr>
            </w:pPr>
          </w:p>
        </w:tc>
        <w:tc>
          <w:tcPr>
            <w:tcW w:w="460" w:type="dxa"/>
            <w:vAlign w:val="bottom"/>
          </w:tcPr>
          <w:p>
            <w:pPr>
              <w:jc w:val="right"/>
              <w:ind w:right="266"/>
              <w:spacing w:after="0"/>
              <w:rPr>
                <w:sz w:val="20"/>
                <w:szCs w:val="20"/>
                <w:color w:val="auto"/>
              </w:rPr>
            </w:pPr>
            <w:r>
              <w:rPr>
                <w:rFonts w:ascii="Arial" w:cs="Arial" w:eastAsia="Arial" w:hAnsi="Arial"/>
                <w:sz w:val="15"/>
                <w:szCs w:val="15"/>
                <w:color w:val="auto"/>
              </w:rPr>
              <w:t>$</w:t>
            </w:r>
          </w:p>
        </w:tc>
        <w:tc>
          <w:tcPr>
            <w:tcW w:w="1000" w:type="dxa"/>
            <w:vAlign w:val="bottom"/>
          </w:tcPr>
          <w:p>
            <w:pPr>
              <w:jc w:val="right"/>
              <w:ind w:right="3"/>
              <w:spacing w:after="0"/>
              <w:rPr>
                <w:sz w:val="20"/>
                <w:szCs w:val="20"/>
                <w:color w:val="auto"/>
              </w:rPr>
            </w:pPr>
            <w:r>
              <w:rPr>
                <w:rFonts w:ascii="Arial" w:cs="Arial" w:eastAsia="Arial" w:hAnsi="Arial"/>
                <w:sz w:val="15"/>
                <w:szCs w:val="15"/>
                <w:color w:val="auto"/>
              </w:rPr>
              <w:t>100,000</w:t>
            </w:r>
          </w:p>
        </w:tc>
        <w:tc>
          <w:tcPr>
            <w:tcW w:w="320" w:type="dxa"/>
            <w:vAlign w:val="bottom"/>
          </w:tcPr>
          <w:p>
            <w:pPr>
              <w:spacing w:after="0"/>
              <w:rPr>
                <w:sz w:val="17"/>
                <w:szCs w:val="17"/>
                <w:color w:val="auto"/>
              </w:rPr>
            </w:pPr>
          </w:p>
        </w:tc>
        <w:tc>
          <w:tcPr>
            <w:tcW w:w="360" w:type="dxa"/>
            <w:vAlign w:val="bottom"/>
          </w:tcPr>
          <w:p>
            <w:pPr>
              <w:jc w:val="right"/>
              <w:ind w:right="163"/>
              <w:spacing w:after="0"/>
              <w:rPr>
                <w:sz w:val="20"/>
                <w:szCs w:val="20"/>
                <w:color w:val="auto"/>
              </w:rPr>
            </w:pPr>
            <w:r>
              <w:rPr>
                <w:rFonts w:ascii="Arial" w:cs="Arial" w:eastAsia="Arial" w:hAnsi="Arial"/>
                <w:sz w:val="15"/>
                <w:szCs w:val="15"/>
                <w:color w:val="auto"/>
              </w:rPr>
              <w:t>$</w:t>
            </w:r>
          </w:p>
        </w:tc>
        <w:tc>
          <w:tcPr>
            <w:tcW w:w="1100" w:type="dxa"/>
            <w:vAlign w:val="bottom"/>
          </w:tcPr>
          <w:p>
            <w:pPr>
              <w:jc w:val="right"/>
              <w:ind w:right="6"/>
              <w:spacing w:after="0"/>
              <w:rPr>
                <w:sz w:val="20"/>
                <w:szCs w:val="20"/>
                <w:color w:val="auto"/>
              </w:rPr>
            </w:pPr>
            <w:r>
              <w:rPr>
                <w:rFonts w:ascii="Arial" w:cs="Arial" w:eastAsia="Arial" w:hAnsi="Arial"/>
                <w:sz w:val="15"/>
                <w:szCs w:val="15"/>
                <w:color w:val="auto"/>
              </w:rPr>
              <w:t>325,000</w:t>
            </w:r>
          </w:p>
        </w:tc>
        <w:tc>
          <w:tcPr>
            <w:tcW w:w="0" w:type="dxa"/>
            <w:vAlign w:val="bottom"/>
          </w:tcPr>
          <w:p>
            <w:pPr>
              <w:spacing w:after="0"/>
              <w:rPr>
                <w:sz w:val="1"/>
                <w:szCs w:val="1"/>
                <w:color w:val="auto"/>
              </w:rPr>
            </w:pPr>
          </w:p>
        </w:tc>
      </w:tr>
      <w:tr>
        <w:trPr>
          <w:trHeight w:val="206"/>
        </w:trPr>
        <w:tc>
          <w:tcPr>
            <w:tcW w:w="6040" w:type="dxa"/>
            <w:vAlign w:val="bottom"/>
            <w:gridSpan w:val="2"/>
          </w:tcPr>
          <w:p>
            <w:pPr>
              <w:spacing w:after="0"/>
              <w:rPr>
                <w:sz w:val="20"/>
                <w:szCs w:val="20"/>
                <w:color w:val="auto"/>
              </w:rPr>
            </w:pPr>
            <w:r>
              <w:rPr>
                <w:rFonts w:ascii="Arial" w:cs="Arial" w:eastAsia="Arial" w:hAnsi="Arial"/>
                <w:sz w:val="15"/>
                <w:szCs w:val="15"/>
                <w:color w:val="auto"/>
              </w:rPr>
              <w:t>Depelsha T. McGruder</w:t>
            </w:r>
          </w:p>
        </w:tc>
        <w:tc>
          <w:tcPr>
            <w:tcW w:w="300" w:type="dxa"/>
            <w:vAlign w:val="bottom"/>
          </w:tcPr>
          <w:p>
            <w:pPr>
              <w:jc w:val="right"/>
              <w:ind w:right="126"/>
              <w:spacing w:after="0"/>
              <w:rPr>
                <w:sz w:val="20"/>
                <w:szCs w:val="20"/>
                <w:color w:val="auto"/>
              </w:rPr>
            </w:pPr>
            <w:r>
              <w:rPr>
                <w:rFonts w:ascii="Arial" w:cs="Arial" w:eastAsia="Arial" w:hAnsi="Arial"/>
                <w:sz w:val="15"/>
                <w:szCs w:val="15"/>
                <w:color w:val="auto"/>
                <w:w w:val="95"/>
              </w:rPr>
              <w:t>$</w:t>
            </w:r>
          </w:p>
        </w:tc>
        <w:tc>
          <w:tcPr>
            <w:tcW w:w="1140" w:type="dxa"/>
            <w:vAlign w:val="bottom"/>
          </w:tcPr>
          <w:p>
            <w:pPr>
              <w:jc w:val="right"/>
              <w:ind w:right="6"/>
              <w:spacing w:after="0"/>
              <w:rPr>
                <w:sz w:val="20"/>
                <w:szCs w:val="20"/>
                <w:color w:val="auto"/>
              </w:rPr>
            </w:pPr>
            <w:r>
              <w:rPr>
                <w:rFonts w:ascii="Arial" w:cs="Arial" w:eastAsia="Arial" w:hAnsi="Arial"/>
                <w:sz w:val="15"/>
                <w:szCs w:val="15"/>
                <w:color w:val="auto"/>
              </w:rPr>
              <w:t>125,000</w:t>
            </w:r>
          </w:p>
        </w:tc>
        <w:tc>
          <w:tcPr>
            <w:tcW w:w="320" w:type="dxa"/>
            <w:vAlign w:val="bottom"/>
          </w:tcPr>
          <w:p>
            <w:pPr>
              <w:spacing w:after="0"/>
              <w:rPr>
                <w:sz w:val="17"/>
                <w:szCs w:val="17"/>
                <w:color w:val="auto"/>
              </w:rPr>
            </w:pPr>
          </w:p>
        </w:tc>
        <w:tc>
          <w:tcPr>
            <w:tcW w:w="460" w:type="dxa"/>
            <w:vAlign w:val="bottom"/>
          </w:tcPr>
          <w:p>
            <w:pPr>
              <w:jc w:val="right"/>
              <w:ind w:right="266"/>
              <w:spacing w:after="0"/>
              <w:rPr>
                <w:sz w:val="20"/>
                <w:szCs w:val="20"/>
                <w:color w:val="auto"/>
              </w:rPr>
            </w:pPr>
            <w:r>
              <w:rPr>
                <w:rFonts w:ascii="Arial" w:cs="Arial" w:eastAsia="Arial" w:hAnsi="Arial"/>
                <w:sz w:val="15"/>
                <w:szCs w:val="15"/>
                <w:color w:val="auto"/>
              </w:rPr>
              <w:t>$</w:t>
            </w:r>
          </w:p>
        </w:tc>
        <w:tc>
          <w:tcPr>
            <w:tcW w:w="1000" w:type="dxa"/>
            <w:vAlign w:val="bottom"/>
          </w:tcPr>
          <w:p>
            <w:pPr>
              <w:jc w:val="right"/>
              <w:ind w:right="3"/>
              <w:spacing w:after="0"/>
              <w:rPr>
                <w:sz w:val="20"/>
                <w:szCs w:val="20"/>
                <w:color w:val="auto"/>
              </w:rPr>
            </w:pPr>
            <w:r>
              <w:rPr>
                <w:rFonts w:ascii="Arial" w:cs="Arial" w:eastAsia="Arial" w:hAnsi="Arial"/>
                <w:sz w:val="15"/>
                <w:szCs w:val="15"/>
                <w:color w:val="auto"/>
              </w:rPr>
              <w:t>100,000</w:t>
            </w:r>
          </w:p>
        </w:tc>
        <w:tc>
          <w:tcPr>
            <w:tcW w:w="320" w:type="dxa"/>
            <w:vAlign w:val="bottom"/>
          </w:tcPr>
          <w:p>
            <w:pPr>
              <w:spacing w:after="0"/>
              <w:rPr>
                <w:sz w:val="17"/>
                <w:szCs w:val="17"/>
                <w:color w:val="auto"/>
              </w:rPr>
            </w:pPr>
          </w:p>
        </w:tc>
        <w:tc>
          <w:tcPr>
            <w:tcW w:w="360" w:type="dxa"/>
            <w:vAlign w:val="bottom"/>
          </w:tcPr>
          <w:p>
            <w:pPr>
              <w:jc w:val="right"/>
              <w:ind w:right="163"/>
              <w:spacing w:after="0"/>
              <w:rPr>
                <w:sz w:val="20"/>
                <w:szCs w:val="20"/>
                <w:color w:val="auto"/>
              </w:rPr>
            </w:pPr>
            <w:r>
              <w:rPr>
                <w:rFonts w:ascii="Arial" w:cs="Arial" w:eastAsia="Arial" w:hAnsi="Arial"/>
                <w:sz w:val="15"/>
                <w:szCs w:val="15"/>
                <w:color w:val="auto"/>
              </w:rPr>
              <w:t>$</w:t>
            </w:r>
          </w:p>
        </w:tc>
        <w:tc>
          <w:tcPr>
            <w:tcW w:w="1100" w:type="dxa"/>
            <w:vAlign w:val="bottom"/>
          </w:tcPr>
          <w:p>
            <w:pPr>
              <w:jc w:val="right"/>
              <w:ind w:right="6"/>
              <w:spacing w:after="0"/>
              <w:rPr>
                <w:sz w:val="20"/>
                <w:szCs w:val="20"/>
                <w:color w:val="auto"/>
              </w:rPr>
            </w:pPr>
            <w:r>
              <w:rPr>
                <w:rFonts w:ascii="Arial" w:cs="Arial" w:eastAsia="Arial" w:hAnsi="Arial"/>
                <w:sz w:val="15"/>
                <w:szCs w:val="15"/>
                <w:color w:val="auto"/>
              </w:rPr>
              <w:t>225,000</w:t>
            </w:r>
          </w:p>
        </w:tc>
        <w:tc>
          <w:tcPr>
            <w:tcW w:w="0" w:type="dxa"/>
            <w:vAlign w:val="bottom"/>
          </w:tcPr>
          <w:p>
            <w:pPr>
              <w:spacing w:after="0"/>
              <w:rPr>
                <w:sz w:val="1"/>
                <w:szCs w:val="1"/>
                <w:color w:val="auto"/>
              </w:rPr>
            </w:pPr>
          </w:p>
        </w:tc>
      </w:tr>
      <w:tr>
        <w:trPr>
          <w:trHeight w:val="206"/>
        </w:trPr>
        <w:tc>
          <w:tcPr>
            <w:tcW w:w="6040" w:type="dxa"/>
            <w:vAlign w:val="bottom"/>
            <w:gridSpan w:val="2"/>
          </w:tcPr>
          <w:p>
            <w:pPr>
              <w:spacing w:after="0"/>
              <w:rPr>
                <w:sz w:val="20"/>
                <w:szCs w:val="20"/>
                <w:color w:val="auto"/>
              </w:rPr>
            </w:pPr>
            <w:r>
              <w:rPr>
                <w:rFonts w:ascii="Arial" w:cs="Arial" w:eastAsia="Arial" w:hAnsi="Arial"/>
                <w:sz w:val="15"/>
                <w:szCs w:val="15"/>
                <w:color w:val="auto"/>
              </w:rPr>
              <w:t>Mansco Perry</w:t>
            </w:r>
          </w:p>
        </w:tc>
        <w:tc>
          <w:tcPr>
            <w:tcW w:w="300" w:type="dxa"/>
            <w:vAlign w:val="bottom"/>
          </w:tcPr>
          <w:p>
            <w:pPr>
              <w:jc w:val="right"/>
              <w:ind w:right="126"/>
              <w:spacing w:after="0"/>
              <w:rPr>
                <w:sz w:val="20"/>
                <w:szCs w:val="20"/>
                <w:color w:val="auto"/>
              </w:rPr>
            </w:pPr>
            <w:r>
              <w:rPr>
                <w:rFonts w:ascii="Arial" w:cs="Arial" w:eastAsia="Arial" w:hAnsi="Arial"/>
                <w:sz w:val="15"/>
                <w:szCs w:val="15"/>
                <w:color w:val="auto"/>
                <w:w w:val="95"/>
              </w:rPr>
              <w:t>$</w:t>
            </w:r>
          </w:p>
        </w:tc>
        <w:tc>
          <w:tcPr>
            <w:tcW w:w="1140" w:type="dxa"/>
            <w:vAlign w:val="bottom"/>
          </w:tcPr>
          <w:p>
            <w:pPr>
              <w:jc w:val="right"/>
              <w:ind w:right="6"/>
              <w:spacing w:after="0"/>
              <w:rPr>
                <w:sz w:val="20"/>
                <w:szCs w:val="20"/>
                <w:color w:val="auto"/>
              </w:rPr>
            </w:pPr>
            <w:r>
              <w:rPr>
                <w:rFonts w:ascii="Arial" w:cs="Arial" w:eastAsia="Arial" w:hAnsi="Arial"/>
                <w:sz w:val="15"/>
                <w:szCs w:val="15"/>
                <w:color w:val="auto"/>
              </w:rPr>
              <w:t>125,000</w:t>
            </w:r>
          </w:p>
        </w:tc>
        <w:tc>
          <w:tcPr>
            <w:tcW w:w="320" w:type="dxa"/>
            <w:vAlign w:val="bottom"/>
          </w:tcPr>
          <w:p>
            <w:pPr>
              <w:spacing w:after="0"/>
              <w:rPr>
                <w:sz w:val="17"/>
                <w:szCs w:val="17"/>
                <w:color w:val="auto"/>
              </w:rPr>
            </w:pPr>
          </w:p>
        </w:tc>
        <w:tc>
          <w:tcPr>
            <w:tcW w:w="460" w:type="dxa"/>
            <w:vAlign w:val="bottom"/>
          </w:tcPr>
          <w:p>
            <w:pPr>
              <w:jc w:val="right"/>
              <w:ind w:right="266"/>
              <w:spacing w:after="0"/>
              <w:rPr>
                <w:sz w:val="20"/>
                <w:szCs w:val="20"/>
                <w:color w:val="auto"/>
              </w:rPr>
            </w:pPr>
            <w:r>
              <w:rPr>
                <w:rFonts w:ascii="Arial" w:cs="Arial" w:eastAsia="Arial" w:hAnsi="Arial"/>
                <w:sz w:val="15"/>
                <w:szCs w:val="15"/>
                <w:color w:val="auto"/>
              </w:rPr>
              <w:t>$</w:t>
            </w:r>
          </w:p>
        </w:tc>
        <w:tc>
          <w:tcPr>
            <w:tcW w:w="1000" w:type="dxa"/>
            <w:vAlign w:val="bottom"/>
          </w:tcPr>
          <w:p>
            <w:pPr>
              <w:jc w:val="right"/>
              <w:ind w:right="3"/>
              <w:spacing w:after="0"/>
              <w:rPr>
                <w:sz w:val="20"/>
                <w:szCs w:val="20"/>
                <w:color w:val="auto"/>
              </w:rPr>
            </w:pPr>
            <w:r>
              <w:rPr>
                <w:rFonts w:ascii="Arial" w:cs="Arial" w:eastAsia="Arial" w:hAnsi="Arial"/>
                <w:sz w:val="15"/>
                <w:szCs w:val="15"/>
                <w:color w:val="auto"/>
              </w:rPr>
              <w:t>100,000</w:t>
            </w:r>
          </w:p>
        </w:tc>
        <w:tc>
          <w:tcPr>
            <w:tcW w:w="320" w:type="dxa"/>
            <w:vAlign w:val="bottom"/>
          </w:tcPr>
          <w:p>
            <w:pPr>
              <w:spacing w:after="0"/>
              <w:rPr>
                <w:sz w:val="17"/>
                <w:szCs w:val="17"/>
                <w:color w:val="auto"/>
              </w:rPr>
            </w:pPr>
          </w:p>
        </w:tc>
        <w:tc>
          <w:tcPr>
            <w:tcW w:w="360" w:type="dxa"/>
            <w:vAlign w:val="bottom"/>
          </w:tcPr>
          <w:p>
            <w:pPr>
              <w:jc w:val="right"/>
              <w:ind w:right="163"/>
              <w:spacing w:after="0"/>
              <w:rPr>
                <w:sz w:val="20"/>
                <w:szCs w:val="20"/>
                <w:color w:val="auto"/>
              </w:rPr>
            </w:pPr>
            <w:r>
              <w:rPr>
                <w:rFonts w:ascii="Arial" w:cs="Arial" w:eastAsia="Arial" w:hAnsi="Arial"/>
                <w:sz w:val="15"/>
                <w:szCs w:val="15"/>
                <w:color w:val="auto"/>
              </w:rPr>
              <w:t>$</w:t>
            </w:r>
          </w:p>
        </w:tc>
        <w:tc>
          <w:tcPr>
            <w:tcW w:w="1100" w:type="dxa"/>
            <w:vAlign w:val="bottom"/>
          </w:tcPr>
          <w:p>
            <w:pPr>
              <w:jc w:val="right"/>
              <w:ind w:right="6"/>
              <w:spacing w:after="0"/>
              <w:rPr>
                <w:sz w:val="20"/>
                <w:szCs w:val="20"/>
                <w:color w:val="auto"/>
              </w:rPr>
            </w:pPr>
            <w:r>
              <w:rPr>
                <w:rFonts w:ascii="Arial" w:cs="Arial" w:eastAsia="Arial" w:hAnsi="Arial"/>
                <w:sz w:val="15"/>
                <w:szCs w:val="15"/>
                <w:color w:val="auto"/>
              </w:rPr>
              <w:t>225,000</w:t>
            </w:r>
          </w:p>
        </w:tc>
        <w:tc>
          <w:tcPr>
            <w:tcW w:w="0" w:type="dxa"/>
            <w:vAlign w:val="bottom"/>
          </w:tcPr>
          <w:p>
            <w:pPr>
              <w:spacing w:after="0"/>
              <w:rPr>
                <w:sz w:val="1"/>
                <w:szCs w:val="1"/>
                <w:color w:val="auto"/>
              </w:rPr>
            </w:pPr>
          </w:p>
        </w:tc>
      </w:tr>
      <w:tr>
        <w:trPr>
          <w:trHeight w:val="206"/>
        </w:trPr>
        <w:tc>
          <w:tcPr>
            <w:tcW w:w="6040" w:type="dxa"/>
            <w:vAlign w:val="bottom"/>
            <w:gridSpan w:val="2"/>
          </w:tcPr>
          <w:p>
            <w:pPr>
              <w:spacing w:after="0"/>
              <w:rPr>
                <w:sz w:val="20"/>
                <w:szCs w:val="20"/>
                <w:color w:val="auto"/>
              </w:rPr>
            </w:pPr>
            <w:r>
              <w:rPr>
                <w:rFonts w:ascii="Arial" w:cs="Arial" w:eastAsia="Arial" w:hAnsi="Arial"/>
                <w:sz w:val="15"/>
                <w:szCs w:val="15"/>
                <w:color w:val="auto"/>
              </w:rPr>
              <w:t>Marna C. Whittington</w:t>
            </w:r>
          </w:p>
        </w:tc>
        <w:tc>
          <w:tcPr>
            <w:tcW w:w="300" w:type="dxa"/>
            <w:vAlign w:val="bottom"/>
          </w:tcPr>
          <w:p>
            <w:pPr>
              <w:jc w:val="right"/>
              <w:ind w:right="126"/>
              <w:spacing w:after="0"/>
              <w:rPr>
                <w:sz w:val="20"/>
                <w:szCs w:val="20"/>
                <w:color w:val="auto"/>
              </w:rPr>
            </w:pPr>
            <w:r>
              <w:rPr>
                <w:rFonts w:ascii="Arial" w:cs="Arial" w:eastAsia="Arial" w:hAnsi="Arial"/>
                <w:sz w:val="15"/>
                <w:szCs w:val="15"/>
                <w:color w:val="auto"/>
                <w:w w:val="95"/>
              </w:rPr>
              <w:t>$</w:t>
            </w:r>
          </w:p>
        </w:tc>
        <w:tc>
          <w:tcPr>
            <w:tcW w:w="1140" w:type="dxa"/>
            <w:vAlign w:val="bottom"/>
          </w:tcPr>
          <w:p>
            <w:pPr>
              <w:jc w:val="right"/>
              <w:ind w:right="6"/>
              <w:spacing w:after="0"/>
              <w:rPr>
                <w:sz w:val="20"/>
                <w:szCs w:val="20"/>
                <w:color w:val="auto"/>
              </w:rPr>
            </w:pPr>
            <w:r>
              <w:rPr>
                <w:rFonts w:ascii="Arial" w:cs="Arial" w:eastAsia="Arial" w:hAnsi="Arial"/>
                <w:sz w:val="15"/>
                <w:szCs w:val="15"/>
                <w:color w:val="auto"/>
              </w:rPr>
              <w:t>140,000</w:t>
            </w:r>
          </w:p>
        </w:tc>
        <w:tc>
          <w:tcPr>
            <w:tcW w:w="320" w:type="dxa"/>
            <w:vAlign w:val="bottom"/>
          </w:tcPr>
          <w:p>
            <w:pPr>
              <w:spacing w:after="0"/>
              <w:rPr>
                <w:sz w:val="17"/>
                <w:szCs w:val="17"/>
                <w:color w:val="auto"/>
              </w:rPr>
            </w:pPr>
          </w:p>
        </w:tc>
        <w:tc>
          <w:tcPr>
            <w:tcW w:w="460" w:type="dxa"/>
            <w:vAlign w:val="bottom"/>
          </w:tcPr>
          <w:p>
            <w:pPr>
              <w:jc w:val="right"/>
              <w:ind w:right="266"/>
              <w:spacing w:after="0"/>
              <w:rPr>
                <w:sz w:val="20"/>
                <w:szCs w:val="20"/>
                <w:color w:val="auto"/>
              </w:rPr>
            </w:pPr>
            <w:r>
              <w:rPr>
                <w:rFonts w:ascii="Arial" w:cs="Arial" w:eastAsia="Arial" w:hAnsi="Arial"/>
                <w:sz w:val="15"/>
                <w:szCs w:val="15"/>
                <w:color w:val="auto"/>
              </w:rPr>
              <w:t>$</w:t>
            </w:r>
          </w:p>
        </w:tc>
        <w:tc>
          <w:tcPr>
            <w:tcW w:w="1000" w:type="dxa"/>
            <w:vAlign w:val="bottom"/>
          </w:tcPr>
          <w:p>
            <w:pPr>
              <w:jc w:val="right"/>
              <w:ind w:right="3"/>
              <w:spacing w:after="0"/>
              <w:rPr>
                <w:sz w:val="20"/>
                <w:szCs w:val="20"/>
                <w:color w:val="auto"/>
              </w:rPr>
            </w:pPr>
            <w:r>
              <w:rPr>
                <w:rFonts w:ascii="Arial" w:cs="Arial" w:eastAsia="Arial" w:hAnsi="Arial"/>
                <w:sz w:val="15"/>
                <w:szCs w:val="15"/>
                <w:color w:val="auto"/>
              </w:rPr>
              <w:t>100,000</w:t>
            </w:r>
          </w:p>
        </w:tc>
        <w:tc>
          <w:tcPr>
            <w:tcW w:w="320" w:type="dxa"/>
            <w:vAlign w:val="bottom"/>
          </w:tcPr>
          <w:p>
            <w:pPr>
              <w:spacing w:after="0"/>
              <w:rPr>
                <w:sz w:val="17"/>
                <w:szCs w:val="17"/>
                <w:color w:val="auto"/>
              </w:rPr>
            </w:pPr>
          </w:p>
        </w:tc>
        <w:tc>
          <w:tcPr>
            <w:tcW w:w="360" w:type="dxa"/>
            <w:vAlign w:val="bottom"/>
          </w:tcPr>
          <w:p>
            <w:pPr>
              <w:jc w:val="right"/>
              <w:ind w:right="163"/>
              <w:spacing w:after="0"/>
              <w:rPr>
                <w:sz w:val="20"/>
                <w:szCs w:val="20"/>
                <w:color w:val="auto"/>
              </w:rPr>
            </w:pPr>
            <w:r>
              <w:rPr>
                <w:rFonts w:ascii="Arial" w:cs="Arial" w:eastAsia="Arial" w:hAnsi="Arial"/>
                <w:sz w:val="15"/>
                <w:szCs w:val="15"/>
                <w:color w:val="auto"/>
              </w:rPr>
              <w:t>$</w:t>
            </w:r>
          </w:p>
        </w:tc>
        <w:tc>
          <w:tcPr>
            <w:tcW w:w="1100" w:type="dxa"/>
            <w:vAlign w:val="bottom"/>
          </w:tcPr>
          <w:p>
            <w:pPr>
              <w:jc w:val="right"/>
              <w:ind w:right="6"/>
              <w:spacing w:after="0"/>
              <w:rPr>
                <w:sz w:val="20"/>
                <w:szCs w:val="20"/>
                <w:color w:val="auto"/>
              </w:rPr>
            </w:pPr>
            <w:r>
              <w:rPr>
                <w:rFonts w:ascii="Arial" w:cs="Arial" w:eastAsia="Arial" w:hAnsi="Arial"/>
                <w:sz w:val="15"/>
                <w:szCs w:val="15"/>
                <w:color w:val="auto"/>
              </w:rPr>
              <w:t>240,000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107315</wp:posOffset>
            </wp:positionV>
            <wp:extent cx="138366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383665" cy="8255"/>
                    </a:xfrm>
                    <a:prstGeom prst="rect">
                      <a:avLst/>
                    </a:prstGeom>
                    <a:noFill/>
                  </pic:spPr>
                </pic:pic>
              </a:graphicData>
            </a:graphic>
          </wp:anchor>
        </w:drawing>
      </w:r>
    </w:p>
    <w:p>
      <w:pPr>
        <w:spacing w:after="0" w:line="227" w:lineRule="exact"/>
        <w:rPr>
          <w:sz w:val="20"/>
          <w:szCs w:val="20"/>
          <w:color w:val="auto"/>
        </w:rPr>
      </w:pPr>
    </w:p>
    <w:p>
      <w:pPr>
        <w:ind w:left="360" w:hanging="357"/>
        <w:spacing w:after="0" w:line="245" w:lineRule="auto"/>
        <w:tabs>
          <w:tab w:leader="none" w:pos="364" w:val="left"/>
        </w:tabs>
        <w:numPr>
          <w:ilvl w:val="0"/>
          <w:numId w:val="46"/>
        </w:numPr>
        <w:rPr>
          <w:rFonts w:ascii="Arial" w:cs="Arial" w:eastAsia="Arial" w:hAnsi="Arial"/>
          <w:sz w:val="15"/>
          <w:szCs w:val="15"/>
          <w:color w:val="auto"/>
        </w:rPr>
      </w:pPr>
      <w:r>
        <w:rPr>
          <w:rFonts w:ascii="Arial" w:cs="Arial" w:eastAsia="Arial" w:hAnsi="Arial"/>
          <w:sz w:val="15"/>
          <w:szCs w:val="15"/>
          <w:color w:val="auto"/>
        </w:rPr>
        <w:t>Annual cash retainer and fees for serving on our board of directors and for serving on the Audit Committee of our Board. Mr. Gilbert also receives an annual cash retainer of $100,000 for serving as our lead outside director. The members of our board of directors also serve on the board of Oaktree Capital Holdings, LLC for no additional compensation.</w:t>
      </w:r>
    </w:p>
    <w:p>
      <w:pPr>
        <w:spacing w:after="0" w:line="1" w:lineRule="exact"/>
        <w:rPr>
          <w:rFonts w:ascii="Arial" w:cs="Arial" w:eastAsia="Arial" w:hAnsi="Arial"/>
          <w:sz w:val="15"/>
          <w:szCs w:val="15"/>
          <w:color w:val="auto"/>
        </w:rPr>
      </w:pPr>
    </w:p>
    <w:p>
      <w:pPr>
        <w:ind w:left="360" w:right="280" w:hanging="357"/>
        <w:spacing w:after="0" w:line="257" w:lineRule="auto"/>
        <w:tabs>
          <w:tab w:leader="none" w:pos="373" w:val="left"/>
        </w:tabs>
        <w:numPr>
          <w:ilvl w:val="0"/>
          <w:numId w:val="46"/>
        </w:numPr>
        <w:rPr>
          <w:rFonts w:ascii="Arial" w:cs="Arial" w:eastAsia="Arial" w:hAnsi="Arial"/>
          <w:sz w:val="15"/>
          <w:szCs w:val="15"/>
          <w:color w:val="auto"/>
        </w:rPr>
      </w:pPr>
      <w:r>
        <w:rPr>
          <w:rFonts w:ascii="Arial" w:cs="Arial" w:eastAsia="Arial" w:hAnsi="Arial"/>
          <w:sz w:val="15"/>
          <w:szCs w:val="15"/>
          <w:color w:val="auto"/>
        </w:rPr>
        <w:t>Initial value of long-term incentive awards granted in 2025 under the Brookfield Oaktree Holdings, LLC Amended and Restated Long-Term Incentive Plan, subject to four-year vesting.</w:t>
      </w:r>
    </w:p>
    <w:p>
      <w:pPr>
        <w:spacing w:after="0" w:line="76" w:lineRule="exact"/>
        <w:rPr>
          <w:sz w:val="20"/>
          <w:szCs w:val="20"/>
          <w:color w:val="auto"/>
        </w:rPr>
      </w:pPr>
    </w:p>
    <w:p>
      <w:pPr>
        <w:ind w:right="40" w:firstLine="619"/>
        <w:spacing w:after="0" w:line="262" w:lineRule="auto"/>
        <w:rPr>
          <w:sz w:val="20"/>
          <w:szCs w:val="20"/>
          <w:color w:val="auto"/>
        </w:rPr>
      </w:pPr>
      <w:r>
        <w:rPr>
          <w:rFonts w:ascii="Arial" w:cs="Arial" w:eastAsia="Arial" w:hAnsi="Arial"/>
          <w:sz w:val="17"/>
          <w:szCs w:val="17"/>
          <w:color w:val="auto"/>
        </w:rPr>
        <w:t>During 2025, we compensated our outside directors named above through an annual cash retainer of $100,000 and the grant of long-term incentive awards. Directors who were also employees of Oaktree or Brookfield during any portion of 2025 do not receive any additional compensation for serving on our board of directors. Members of our audit committee received an additional annual retainer of $25,000, and the chair of the audit committee received an additional annual retainer of $15,000. The lead outside director received an additional annual retainer of $100,000. All members of the board of directors are reimbursed for their reasonable out-of-pocket expenses incurred in attending board meetings.</w:t>
      </w:r>
    </w:p>
    <w:p>
      <w:pPr>
        <w:spacing w:after="0" w:line="68" w:lineRule="exact"/>
        <w:rPr>
          <w:sz w:val="20"/>
          <w:szCs w:val="20"/>
          <w:color w:val="auto"/>
        </w:rPr>
      </w:pPr>
    </w:p>
    <w:p>
      <w:pPr>
        <w:ind w:right="220" w:firstLine="619"/>
        <w:spacing w:after="0" w:line="290" w:lineRule="auto"/>
        <w:rPr>
          <w:sz w:val="20"/>
          <w:szCs w:val="20"/>
          <w:color w:val="auto"/>
        </w:rPr>
      </w:pPr>
      <w:r>
        <w:rPr>
          <w:rFonts w:ascii="Arial" w:cs="Arial" w:eastAsia="Arial" w:hAnsi="Arial"/>
          <w:sz w:val="17"/>
          <w:szCs w:val="17"/>
          <w:color w:val="auto"/>
        </w:rPr>
        <w:t>The long-term incentive awards granted in 2025 for Messrs. Gilbert and Perry, and Mss. McGruder and Whittington under the Brookfield Oaktree Holdings, LLC Amended and Restated Long-Term Incentive Plan had an initial value equal to $100,000.</w:t>
      </w:r>
    </w:p>
    <w:p>
      <w:pPr>
        <w:spacing w:after="0" w:line="200" w:lineRule="exact"/>
        <w:rPr>
          <w:sz w:val="20"/>
          <w:szCs w:val="20"/>
          <w:color w:val="auto"/>
        </w:rPr>
      </w:pPr>
    </w:p>
    <w:p>
      <w:pPr>
        <w:spacing w:after="0" w:line="372"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40"/>
          </w:cols>
          <w:pgMar w:left="320" w:top="961" w:right="439" w:bottom="1440" w:gutter="0" w:footer="0" w:header="0"/>
        </w:sectPr>
      </w:pPr>
    </w:p>
    <w:bookmarkStart w:id="115" w:name="page116"/>
    <w:bookmarkEnd w:id="115"/>
    <w:p>
      <w:pPr>
        <w:spacing w:after="0"/>
        <w:rPr>
          <w:sz w:val="20"/>
          <w:szCs w:val="20"/>
          <w:color w:val="auto"/>
        </w:rPr>
      </w:pPr>
      <w:r>
        <w:rPr>
          <w:rFonts w:ascii="Arial" w:cs="Arial" w:eastAsia="Arial" w:hAnsi="Arial"/>
          <w:sz w:val="17"/>
          <w:szCs w:val="17"/>
          <w:b w:val="1"/>
          <w:bCs w:val="1"/>
          <w:color w:val="auto"/>
        </w:rPr>
        <w:t>Compensation Committee Interlocks and Insider Participation</w:t>
      </w:r>
    </w:p>
    <w:p>
      <w:pPr>
        <w:spacing w:after="0" w:line="168" w:lineRule="exact"/>
        <w:rPr>
          <w:sz w:val="20"/>
          <w:szCs w:val="20"/>
          <w:color w:val="auto"/>
        </w:rPr>
      </w:pPr>
    </w:p>
    <w:p>
      <w:pPr>
        <w:ind w:firstLine="619"/>
        <w:spacing w:after="0" w:line="265" w:lineRule="auto"/>
        <w:rPr>
          <w:sz w:val="20"/>
          <w:szCs w:val="20"/>
          <w:color w:val="auto"/>
        </w:rPr>
      </w:pPr>
      <w:r>
        <w:rPr>
          <w:rFonts w:ascii="Arial" w:cs="Arial" w:eastAsia="Arial" w:hAnsi="Arial"/>
          <w:sz w:val="17"/>
          <w:szCs w:val="17"/>
          <w:color w:val="auto"/>
        </w:rPr>
        <w:t>As described under “Directors, Executive Officers and Corporate Governance—Board Structure and Governance—Controlled Company Exemption,” we are a “controlled company” within the meaning of the NYSE corporate governance standards and do not have a compensation committee. For a description of certain transactions involving us and our directors and executive officers, please see “Certain Relationships and Related Transactions, and Director Independence.”</w:t>
      </w:r>
    </w:p>
    <w:p>
      <w:pPr>
        <w:spacing w:after="0" w:line="200" w:lineRule="exact"/>
        <w:rPr>
          <w:sz w:val="20"/>
          <w:szCs w:val="20"/>
          <w:color w:val="auto"/>
        </w:rPr>
      </w:pPr>
    </w:p>
    <w:p>
      <w:pPr>
        <w:spacing w:after="0" w:line="393" w:lineRule="exact"/>
        <w:rPr>
          <w:sz w:val="20"/>
          <w:szCs w:val="20"/>
          <w:color w:val="auto"/>
        </w:rPr>
      </w:pPr>
    </w:p>
    <w:p>
      <w:pPr>
        <w:jc w:val="center"/>
        <w:ind w:right="-319"/>
        <w:spacing w:after="0"/>
        <w:rPr>
          <w:sz w:val="20"/>
          <w:szCs w:val="20"/>
          <w:color w:val="auto"/>
        </w:rPr>
      </w:pPr>
      <w:r>
        <w:rPr>
          <w:rFonts w:ascii="Arial" w:cs="Arial" w:eastAsia="Arial" w:hAnsi="Arial"/>
          <w:sz w:val="17"/>
          <w:szCs w:val="17"/>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0940"/>
          </w:cols>
          <w:pgMar w:left="320" w:top="1010" w:right="639" w:bottom="1440" w:gutter="0" w:footer="0" w:header="0"/>
        </w:sectPr>
      </w:pPr>
    </w:p>
    <w:bookmarkStart w:id="116" w:name="page117"/>
    <w:bookmarkEnd w:id="116"/>
    <w:p>
      <w:pPr>
        <w:spacing w:after="0"/>
        <w:rPr>
          <w:sz w:val="20"/>
          <w:szCs w:val="20"/>
          <w:color w:val="auto"/>
        </w:rPr>
      </w:pPr>
      <w:r>
        <w:rPr>
          <w:rFonts w:ascii="Arial" w:cs="Arial" w:eastAsia="Arial" w:hAnsi="Arial"/>
          <w:sz w:val="17"/>
          <w:szCs w:val="17"/>
          <w:b w:val="1"/>
          <w:bCs w:val="1"/>
          <w:color w:val="auto"/>
        </w:rPr>
        <w:t>Compensation Committee Report</w:t>
      </w:r>
    </w:p>
    <w:p>
      <w:pPr>
        <w:spacing w:after="0" w:line="155" w:lineRule="exact"/>
        <w:rPr>
          <w:sz w:val="20"/>
          <w:szCs w:val="20"/>
          <w:color w:val="auto"/>
        </w:rPr>
      </w:pPr>
    </w:p>
    <w:p>
      <w:pPr>
        <w:ind w:firstLine="619"/>
        <w:spacing w:after="0" w:line="255" w:lineRule="auto"/>
        <w:rPr>
          <w:sz w:val="20"/>
          <w:szCs w:val="20"/>
          <w:color w:val="auto"/>
        </w:rPr>
      </w:pPr>
      <w:r>
        <w:rPr>
          <w:rFonts w:ascii="Arial" w:cs="Arial" w:eastAsia="Arial" w:hAnsi="Arial"/>
          <w:sz w:val="17"/>
          <w:szCs w:val="17"/>
          <w:color w:val="auto"/>
        </w:rPr>
        <w:t>As described above, our board of directors does not have a compensation committee. The directors listed below have reviewed and discussed with management the foregoing Compensation Discussion and Analysis and, based on such review and discussion have determined that the Compensation Discussion and Analysis should be included in this annual report.</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Howard S. Marks</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color w:val="auto"/>
        </w:rPr>
        <w:t>Bruce A. Karsh</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John B. Frank</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Sheldon M. Stone</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Bruce Flatt</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Justin B. Beber</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Steven J. Gilbert</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Marna C. Whittington</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Depelsha T. McGruder</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Mansco Perry</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010" w:right="359" w:bottom="1440" w:gutter="0" w:footer="0" w:header="0"/>
        </w:sectPr>
      </w:pPr>
    </w:p>
    <w:bookmarkStart w:id="117" w:name="page118"/>
    <w:bookmarkEnd w:id="117"/>
    <w:p>
      <w:pPr>
        <w:spacing w:after="0"/>
        <w:rPr>
          <w:sz w:val="20"/>
          <w:szCs w:val="20"/>
          <w:color w:val="auto"/>
        </w:rPr>
      </w:pPr>
      <w:r>
        <w:rPr>
          <w:rFonts w:ascii="Arial" w:cs="Arial" w:eastAsia="Arial" w:hAnsi="Arial"/>
          <w:sz w:val="17"/>
          <w:szCs w:val="17"/>
          <w:b w:val="1"/>
          <w:bCs w:val="1"/>
          <w:color w:val="auto"/>
        </w:rPr>
        <w:t>Item 12. Security Ownership of Certain Beneficial Owners and Management and Related Stockholder Matters</w:t>
      </w:r>
    </w:p>
    <w:p>
      <w:pPr>
        <w:spacing w:after="0" w:line="16" w:lineRule="exact"/>
        <w:rPr>
          <w:sz w:val="20"/>
          <w:szCs w:val="20"/>
          <w:color w:val="auto"/>
        </w:rPr>
      </w:pPr>
    </w:p>
    <w:p>
      <w:pPr>
        <w:ind w:right="260" w:firstLine="503"/>
        <w:spacing w:after="0" w:line="237" w:lineRule="auto"/>
        <w:rPr>
          <w:sz w:val="20"/>
          <w:szCs w:val="20"/>
          <w:color w:val="auto"/>
        </w:rPr>
      </w:pPr>
      <w:r>
        <w:rPr>
          <w:rFonts w:ascii="Arial" w:cs="Arial" w:eastAsia="Arial" w:hAnsi="Arial"/>
          <w:sz w:val="17"/>
          <w:szCs w:val="17"/>
          <w:color w:val="auto"/>
        </w:rPr>
        <w:t>The following table sets forth information regarding the current beneficial ownership of our Class A units, Class B units, Series A preferred units, Series B preferred units and of OCGH units, OEP units and OEP II units by:</w:t>
      </w:r>
    </w:p>
    <w:p>
      <w:pPr>
        <w:spacing w:after="0" w:line="1" w:lineRule="exact"/>
        <w:rPr>
          <w:sz w:val="20"/>
          <w:szCs w:val="20"/>
          <w:color w:val="auto"/>
        </w:rPr>
      </w:pPr>
    </w:p>
    <w:p>
      <w:pPr>
        <w:ind w:left="780" w:right="660" w:hanging="235"/>
        <w:spacing w:after="0" w:line="254" w:lineRule="auto"/>
        <w:tabs>
          <w:tab w:leader="none" w:pos="776" w:val="left"/>
        </w:tabs>
        <w:numPr>
          <w:ilvl w:val="0"/>
          <w:numId w:val="47"/>
        </w:numPr>
        <w:rPr>
          <w:rFonts w:ascii="Arial" w:cs="Arial" w:eastAsia="Arial" w:hAnsi="Arial"/>
          <w:sz w:val="17"/>
          <w:szCs w:val="17"/>
          <w:color w:val="auto"/>
        </w:rPr>
      </w:pPr>
      <w:r>
        <w:rPr>
          <w:rFonts w:ascii="Arial" w:cs="Arial" w:eastAsia="Arial" w:hAnsi="Arial"/>
          <w:sz w:val="17"/>
          <w:szCs w:val="17"/>
          <w:color w:val="auto"/>
        </w:rPr>
        <w:t>each person known to us to beneficially own more than 5% of any class of the outstanding voting securities of Brookfield Oaktree Holdings, LLC;</w:t>
      </w:r>
    </w:p>
    <w:p>
      <w:pPr>
        <w:spacing w:after="0" w:line="47" w:lineRule="exact"/>
        <w:rPr>
          <w:rFonts w:ascii="Arial" w:cs="Arial" w:eastAsia="Arial" w:hAnsi="Arial"/>
          <w:sz w:val="17"/>
          <w:szCs w:val="17"/>
          <w:color w:val="auto"/>
        </w:rPr>
      </w:pPr>
    </w:p>
    <w:p>
      <w:pPr>
        <w:ind w:left="780" w:hanging="235"/>
        <w:spacing w:after="0"/>
        <w:tabs>
          <w:tab w:leader="none" w:pos="780" w:val="left"/>
        </w:tabs>
        <w:numPr>
          <w:ilvl w:val="0"/>
          <w:numId w:val="47"/>
        </w:numPr>
        <w:rPr>
          <w:rFonts w:ascii="Arial" w:cs="Arial" w:eastAsia="Arial" w:hAnsi="Arial"/>
          <w:sz w:val="17"/>
          <w:szCs w:val="17"/>
          <w:color w:val="auto"/>
        </w:rPr>
      </w:pPr>
      <w:r>
        <w:rPr>
          <w:rFonts w:ascii="Arial" w:cs="Arial" w:eastAsia="Arial" w:hAnsi="Arial"/>
          <w:sz w:val="17"/>
          <w:szCs w:val="17"/>
          <w:color w:val="auto"/>
        </w:rPr>
        <w:t>each of our directors;</w:t>
      </w:r>
    </w:p>
    <w:p>
      <w:pPr>
        <w:spacing w:after="0" w:line="88" w:lineRule="exact"/>
        <w:rPr>
          <w:rFonts w:ascii="Arial" w:cs="Arial" w:eastAsia="Arial" w:hAnsi="Arial"/>
          <w:sz w:val="17"/>
          <w:szCs w:val="17"/>
          <w:color w:val="auto"/>
        </w:rPr>
      </w:pPr>
    </w:p>
    <w:p>
      <w:pPr>
        <w:ind w:left="780" w:hanging="235"/>
        <w:spacing w:after="0"/>
        <w:tabs>
          <w:tab w:leader="none" w:pos="780" w:val="left"/>
        </w:tabs>
        <w:numPr>
          <w:ilvl w:val="0"/>
          <w:numId w:val="47"/>
        </w:numPr>
        <w:rPr>
          <w:rFonts w:ascii="Arial" w:cs="Arial" w:eastAsia="Arial" w:hAnsi="Arial"/>
          <w:sz w:val="17"/>
          <w:szCs w:val="17"/>
          <w:color w:val="auto"/>
        </w:rPr>
      </w:pPr>
      <w:r>
        <w:rPr>
          <w:rFonts w:ascii="Arial" w:cs="Arial" w:eastAsia="Arial" w:hAnsi="Arial"/>
          <w:sz w:val="17"/>
          <w:szCs w:val="17"/>
          <w:color w:val="auto"/>
        </w:rPr>
        <w:t>each of our named executive officers; and</w:t>
      </w:r>
    </w:p>
    <w:p>
      <w:pPr>
        <w:spacing w:after="0" w:line="88" w:lineRule="exact"/>
        <w:rPr>
          <w:rFonts w:ascii="Arial" w:cs="Arial" w:eastAsia="Arial" w:hAnsi="Arial"/>
          <w:sz w:val="17"/>
          <w:szCs w:val="17"/>
          <w:color w:val="auto"/>
        </w:rPr>
      </w:pPr>
    </w:p>
    <w:p>
      <w:pPr>
        <w:ind w:left="780" w:hanging="235"/>
        <w:spacing w:after="0"/>
        <w:tabs>
          <w:tab w:leader="none" w:pos="780" w:val="left"/>
        </w:tabs>
        <w:numPr>
          <w:ilvl w:val="0"/>
          <w:numId w:val="47"/>
        </w:numPr>
        <w:rPr>
          <w:rFonts w:ascii="Arial" w:cs="Arial" w:eastAsia="Arial" w:hAnsi="Arial"/>
          <w:sz w:val="17"/>
          <w:szCs w:val="17"/>
          <w:color w:val="auto"/>
        </w:rPr>
      </w:pPr>
      <w:r>
        <w:rPr>
          <w:rFonts w:ascii="Arial" w:cs="Arial" w:eastAsia="Arial" w:hAnsi="Arial"/>
          <w:sz w:val="17"/>
          <w:szCs w:val="17"/>
          <w:color w:val="auto"/>
        </w:rPr>
        <w:t>all directors and executive officers as a group.</w:t>
      </w:r>
    </w:p>
    <w:p>
      <w:pPr>
        <w:spacing w:after="0" w:line="165" w:lineRule="exact"/>
        <w:rPr>
          <w:sz w:val="20"/>
          <w:szCs w:val="20"/>
          <w:color w:val="auto"/>
        </w:rPr>
      </w:pPr>
    </w:p>
    <w:p>
      <w:pPr>
        <w:ind w:firstLine="503"/>
        <w:spacing w:after="0" w:line="260" w:lineRule="auto"/>
        <w:rPr>
          <w:sz w:val="20"/>
          <w:szCs w:val="20"/>
          <w:color w:val="auto"/>
        </w:rPr>
      </w:pPr>
      <w:r>
        <w:rPr>
          <w:rFonts w:ascii="Arial" w:cs="Arial" w:eastAsia="Arial" w:hAnsi="Arial"/>
          <w:sz w:val="17"/>
          <w:szCs w:val="17"/>
          <w:color w:val="auto"/>
        </w:rPr>
        <w:t>In the following table, the applicable percentage ownership with respect to the Class A units and the Class B units beneficially owned represents the applicable unitholder’s holdings of Class A units and Class B units, respectively, as a percentage of 118,832,320 Class A units outstanding and 41,558,979 Class B units outstanding, respectively, as of March 24, 2026. The applicable percentage ownership with respect to the OCGH or OEP units beneficially owned represents the applicable unitholder’s holdings of OCGH or OEP units as a percentage of the 160,391,299 Oaktree Operating Group units outstanding as of March 24, 2026. The applicable unitholder’s aggregate holdings of Class A units, OCGH units and OEP units represents such unitholder’s aggregate economic interest in the Oaktree Operating Group.</w:t>
      </w:r>
    </w:p>
    <w:p>
      <w:pPr>
        <w:spacing w:after="0" w:line="109" w:lineRule="exact"/>
        <w:rPr>
          <w:sz w:val="20"/>
          <w:szCs w:val="20"/>
          <w:color w:val="auto"/>
        </w:rPr>
      </w:pPr>
    </w:p>
    <w:p>
      <w:pPr>
        <w:ind w:right="100" w:firstLine="503"/>
        <w:spacing w:after="0" w:line="247" w:lineRule="auto"/>
        <w:rPr>
          <w:sz w:val="20"/>
          <w:szCs w:val="20"/>
          <w:color w:val="auto"/>
        </w:rPr>
      </w:pPr>
      <w:r>
        <w:rPr>
          <w:rFonts w:ascii="Arial" w:cs="Arial" w:eastAsia="Arial" w:hAnsi="Arial"/>
          <w:sz w:val="17"/>
          <w:szCs w:val="17"/>
          <w:color w:val="auto"/>
        </w:rPr>
        <w:t>Beneficial ownership is determined in accordance with the rules of the SEC. Under these rules, more than one person may be deemed a beneficial owner of the same securities, and a person may be deemed a beneficial owner of securities as to which he has no economic interest. To</w:t>
      </w:r>
    </w:p>
    <w:p>
      <w:pPr>
        <w:ind w:right="360"/>
        <w:spacing w:after="0" w:line="229" w:lineRule="auto"/>
        <w:rPr>
          <w:sz w:val="20"/>
          <w:szCs w:val="20"/>
          <w:color w:val="auto"/>
        </w:rPr>
      </w:pPr>
      <w:r>
        <w:rPr>
          <w:rFonts w:ascii="Arial" w:cs="Arial" w:eastAsia="Arial" w:hAnsi="Arial"/>
          <w:sz w:val="17"/>
          <w:szCs w:val="17"/>
          <w:color w:val="auto"/>
        </w:rPr>
        <w:t>our knowledge, except as otherwise set forth in the notes to the following table, each person named in the table has sole voting and investment power with respect to all of the interests shown as beneficially owned by such person, subject to applicable community property laws. Unless</w:t>
      </w:r>
    </w:p>
    <w:p>
      <w:pPr>
        <w:spacing w:after="0" w:line="1" w:lineRule="exact"/>
        <w:rPr>
          <w:sz w:val="20"/>
          <w:szCs w:val="20"/>
          <w:color w:val="auto"/>
        </w:rPr>
      </w:pPr>
    </w:p>
    <w:p>
      <w:pPr>
        <w:ind w:right="140"/>
        <w:spacing w:after="0" w:line="254" w:lineRule="auto"/>
        <w:rPr>
          <w:sz w:val="20"/>
          <w:szCs w:val="20"/>
          <w:color w:val="auto"/>
        </w:rPr>
      </w:pPr>
      <w:r>
        <w:rPr>
          <w:rFonts w:ascii="Arial" w:cs="Arial" w:eastAsia="Arial" w:hAnsi="Arial"/>
          <w:sz w:val="17"/>
          <w:szCs w:val="17"/>
          <w:color w:val="auto"/>
        </w:rPr>
        <w:t>otherwise specified, the address of each person named in the table is c/o Brookfield Oaktree Holdings, LLC, 333 South Grand Avenue, 28th Floor, Los Angeles, CA 90071.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010" w:right="359" w:bottom="1440" w:gutter="0" w:footer="0" w:header="0"/>
        </w:sectPr>
      </w:pPr>
    </w:p>
    <w:bookmarkStart w:id="118" w:name="page119"/>
    <w:bookmarkEnd w:id="118"/>
    <w:p>
      <w:pPr>
        <w:spacing w:after="0" w:line="116" w:lineRule="exact"/>
        <w:rPr>
          <w:sz w:val="20"/>
          <w:szCs w:val="20"/>
          <w:color w:val="auto"/>
        </w:rPr>
      </w:pPr>
    </w:p>
    <w:tbl>
      <w:tblPr>
        <w:tblLayout w:type="fixed"/>
        <w:tblInd w:w="737" w:type="dxa"/>
        <w:tblCellMar>
          <w:top w:w="0" w:type="dxa"/>
          <w:left w:w="0" w:type="dxa"/>
          <w:bottom w:w="0" w:type="dxa"/>
          <w:right w:w="0" w:type="dxa"/>
        </w:tblCellMar>
      </w:tblPr>
      <w:tr>
        <w:trPr>
          <w:trHeight w:val="138"/>
        </w:trPr>
        <w:tc>
          <w:tcPr>
            <w:tcW w:w="10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00" w:type="dxa"/>
            <w:vAlign w:val="bottom"/>
            <w:gridSpan w:val="4"/>
          </w:tcPr>
          <w:p>
            <w:pPr>
              <w:ind w:left="420"/>
              <w:spacing w:after="0"/>
              <w:rPr>
                <w:sz w:val="20"/>
                <w:szCs w:val="20"/>
                <w:color w:val="auto"/>
              </w:rPr>
            </w:pPr>
            <w:r>
              <w:rPr>
                <w:rFonts w:ascii="Arial" w:cs="Arial" w:eastAsia="Arial" w:hAnsi="Arial"/>
                <w:sz w:val="12"/>
                <w:szCs w:val="12"/>
                <w:b w:val="1"/>
                <w:bCs w:val="1"/>
                <w:color w:val="auto"/>
              </w:rPr>
              <w:t>Class A Units</w:t>
            </w:r>
          </w:p>
        </w:tc>
        <w:tc>
          <w:tcPr>
            <w:tcW w:w="1760" w:type="dxa"/>
            <w:vAlign w:val="bottom"/>
            <w:gridSpan w:val="3"/>
          </w:tcPr>
          <w:p>
            <w:pPr>
              <w:jc w:val="right"/>
              <w:ind w:right="432"/>
              <w:spacing w:after="0"/>
              <w:rPr>
                <w:sz w:val="20"/>
                <w:szCs w:val="20"/>
                <w:color w:val="auto"/>
              </w:rPr>
            </w:pPr>
            <w:r>
              <w:rPr>
                <w:rFonts w:ascii="Arial" w:cs="Arial" w:eastAsia="Arial" w:hAnsi="Arial"/>
                <w:sz w:val="12"/>
                <w:szCs w:val="12"/>
                <w:b w:val="1"/>
                <w:bCs w:val="1"/>
                <w:color w:val="auto"/>
              </w:rPr>
              <w:t>Class B Units</w:t>
            </w:r>
          </w:p>
        </w:tc>
        <w:tc>
          <w:tcPr>
            <w:tcW w:w="0" w:type="dxa"/>
            <w:vAlign w:val="bottom"/>
          </w:tcPr>
          <w:p>
            <w:pPr>
              <w:spacing w:after="0"/>
              <w:rPr>
                <w:sz w:val="1"/>
                <w:szCs w:val="1"/>
                <w:color w:val="auto"/>
              </w:rPr>
            </w:pPr>
          </w:p>
        </w:tc>
      </w:tr>
      <w:tr>
        <w:trPr>
          <w:trHeight w:val="173"/>
        </w:trPr>
        <w:tc>
          <w:tcPr>
            <w:tcW w:w="10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20" w:type="dxa"/>
            <w:vAlign w:val="bottom"/>
            <w:tcBorders>
              <w:bottom w:val="single" w:sz="8" w:color="auto"/>
            </w:tcBorders>
            <w:gridSpan w:val="3"/>
          </w:tcPr>
          <w:p>
            <w:pPr>
              <w:jc w:val="right"/>
              <w:ind w:right="192"/>
              <w:spacing w:after="0"/>
              <w:rPr>
                <w:sz w:val="20"/>
                <w:szCs w:val="20"/>
                <w:color w:val="auto"/>
              </w:rPr>
            </w:pPr>
            <w:r>
              <w:rPr>
                <w:rFonts w:ascii="Arial" w:cs="Arial" w:eastAsia="Arial" w:hAnsi="Arial"/>
                <w:sz w:val="12"/>
                <w:szCs w:val="12"/>
                <w:b w:val="1"/>
                <w:bCs w:val="1"/>
                <w:color w:val="auto"/>
              </w:rPr>
              <w:t>Beneficially Owned</w:t>
            </w:r>
          </w:p>
        </w:tc>
        <w:tc>
          <w:tcPr>
            <w:tcW w:w="80" w:type="dxa"/>
            <w:vAlign w:val="bottom"/>
          </w:tcPr>
          <w:p>
            <w:pPr>
              <w:spacing w:after="0"/>
              <w:rPr>
                <w:sz w:val="15"/>
                <w:szCs w:val="15"/>
                <w:color w:val="auto"/>
              </w:rPr>
            </w:pPr>
          </w:p>
        </w:tc>
        <w:tc>
          <w:tcPr>
            <w:tcW w:w="1760" w:type="dxa"/>
            <w:vAlign w:val="bottom"/>
            <w:tcBorders>
              <w:bottom w:val="single" w:sz="8" w:color="auto"/>
            </w:tcBorders>
            <w:gridSpan w:val="3"/>
          </w:tcPr>
          <w:p>
            <w:pPr>
              <w:jc w:val="right"/>
              <w:ind w:right="272"/>
              <w:spacing w:after="0"/>
              <w:rPr>
                <w:sz w:val="20"/>
                <w:szCs w:val="20"/>
                <w:color w:val="auto"/>
              </w:rPr>
            </w:pPr>
            <w:r>
              <w:rPr>
                <w:rFonts w:ascii="Arial" w:cs="Arial" w:eastAsia="Arial" w:hAnsi="Arial"/>
                <w:sz w:val="12"/>
                <w:szCs w:val="12"/>
                <w:b w:val="1"/>
                <w:bCs w:val="1"/>
                <w:color w:val="auto"/>
              </w:rPr>
              <w:t>Beneficially Owned</w:t>
            </w:r>
          </w:p>
        </w:tc>
        <w:tc>
          <w:tcPr>
            <w:tcW w:w="0" w:type="dxa"/>
            <w:vAlign w:val="bottom"/>
          </w:tcPr>
          <w:p>
            <w:pPr>
              <w:spacing w:after="0"/>
              <w:rPr>
                <w:sz w:val="1"/>
                <w:szCs w:val="1"/>
                <w:color w:val="auto"/>
              </w:rPr>
            </w:pPr>
          </w:p>
        </w:tc>
      </w:tr>
      <w:tr>
        <w:trPr>
          <w:trHeight w:val="103"/>
        </w:trPr>
        <w:tc>
          <w:tcPr>
            <w:tcW w:w="1500" w:type="dxa"/>
            <w:vAlign w:val="bottom"/>
            <w:gridSpan w:val="3"/>
          </w:tcPr>
          <w:p>
            <w:pPr>
              <w:spacing w:after="0" w:line="103" w:lineRule="exact"/>
              <w:rPr>
                <w:sz w:val="20"/>
                <w:szCs w:val="20"/>
                <w:color w:val="auto"/>
              </w:rPr>
            </w:pPr>
            <w:r>
              <w:rPr>
                <w:rFonts w:ascii="Arial" w:cs="Arial" w:eastAsia="Arial" w:hAnsi="Arial"/>
                <w:sz w:val="11"/>
                <w:szCs w:val="11"/>
                <w:b w:val="1"/>
                <w:bCs w:val="1"/>
                <w:color w:val="auto"/>
              </w:rPr>
              <w:t>Named Executive</w:t>
            </w:r>
          </w:p>
        </w:tc>
        <w:tc>
          <w:tcPr>
            <w:tcW w:w="880" w:type="dxa"/>
            <w:vAlign w:val="bottom"/>
            <w:vMerge w:val="restart"/>
          </w:tcPr>
          <w:p>
            <w:pPr>
              <w:jc w:val="right"/>
              <w:ind w:right="153"/>
              <w:spacing w:after="0"/>
              <w:rPr>
                <w:sz w:val="20"/>
                <w:szCs w:val="20"/>
                <w:color w:val="auto"/>
              </w:rPr>
            </w:pPr>
            <w:r>
              <w:rPr>
                <w:rFonts w:ascii="Arial" w:cs="Arial" w:eastAsia="Arial" w:hAnsi="Arial"/>
                <w:sz w:val="12"/>
                <w:szCs w:val="12"/>
                <w:b w:val="1"/>
                <w:bCs w:val="1"/>
                <w:color w:val="auto"/>
              </w:rPr>
              <w:t>Number</w:t>
            </w:r>
          </w:p>
        </w:tc>
        <w:tc>
          <w:tcPr>
            <w:tcW w:w="100" w:type="dxa"/>
            <w:vAlign w:val="bottom"/>
            <w:vMerge w:val="restart"/>
          </w:tcPr>
          <w:p>
            <w:pPr>
              <w:spacing w:after="0"/>
              <w:rPr>
                <w:sz w:val="8"/>
                <w:szCs w:val="8"/>
                <w:color w:val="auto"/>
              </w:rPr>
            </w:pPr>
          </w:p>
        </w:tc>
        <w:tc>
          <w:tcPr>
            <w:tcW w:w="640" w:type="dxa"/>
            <w:vAlign w:val="bottom"/>
            <w:vMerge w:val="restart"/>
          </w:tcPr>
          <w:p>
            <w:pPr>
              <w:jc w:val="right"/>
              <w:ind w:right="52"/>
              <w:spacing w:after="0"/>
              <w:rPr>
                <w:sz w:val="20"/>
                <w:szCs w:val="20"/>
                <w:color w:val="auto"/>
              </w:rPr>
            </w:pPr>
            <w:r>
              <w:rPr>
                <w:rFonts w:ascii="Arial" w:cs="Arial" w:eastAsia="Arial" w:hAnsi="Arial"/>
                <w:sz w:val="12"/>
                <w:szCs w:val="12"/>
                <w:b w:val="1"/>
                <w:bCs w:val="1"/>
                <w:color w:val="auto"/>
              </w:rPr>
              <w:t>Percent</w:t>
            </w:r>
          </w:p>
        </w:tc>
        <w:tc>
          <w:tcPr>
            <w:tcW w:w="80" w:type="dxa"/>
            <w:vAlign w:val="bottom"/>
            <w:vMerge w:val="restart"/>
          </w:tcPr>
          <w:p>
            <w:pPr>
              <w:spacing w:after="0"/>
              <w:rPr>
                <w:sz w:val="8"/>
                <w:szCs w:val="8"/>
                <w:color w:val="auto"/>
              </w:rPr>
            </w:pPr>
          </w:p>
        </w:tc>
        <w:tc>
          <w:tcPr>
            <w:tcW w:w="8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Number</w:t>
            </w:r>
          </w:p>
        </w:tc>
        <w:tc>
          <w:tcPr>
            <w:tcW w:w="260" w:type="dxa"/>
            <w:vAlign w:val="bottom"/>
            <w:vMerge w:val="restart"/>
          </w:tcPr>
          <w:p>
            <w:pPr>
              <w:spacing w:after="0"/>
              <w:rPr>
                <w:sz w:val="8"/>
                <w:szCs w:val="8"/>
                <w:color w:val="auto"/>
              </w:rPr>
            </w:pPr>
          </w:p>
        </w:tc>
        <w:tc>
          <w:tcPr>
            <w:tcW w:w="640" w:type="dxa"/>
            <w:vAlign w:val="bottom"/>
            <w:vMerge w:val="restart"/>
          </w:tcPr>
          <w:p>
            <w:pPr>
              <w:jc w:val="right"/>
              <w:ind w:right="32"/>
              <w:spacing w:after="0"/>
              <w:rPr>
                <w:sz w:val="20"/>
                <w:szCs w:val="20"/>
                <w:color w:val="auto"/>
              </w:rPr>
            </w:pPr>
            <w:r>
              <w:rPr>
                <w:rFonts w:ascii="Arial" w:cs="Arial" w:eastAsia="Arial" w:hAnsi="Arial"/>
                <w:sz w:val="12"/>
                <w:szCs w:val="12"/>
                <w:b w:val="1"/>
                <w:bCs w:val="1"/>
                <w:color w:val="auto"/>
              </w:rPr>
              <w:t>Percent</w:t>
            </w:r>
          </w:p>
        </w:tc>
        <w:tc>
          <w:tcPr>
            <w:tcW w:w="0" w:type="dxa"/>
            <w:vAlign w:val="bottom"/>
          </w:tcPr>
          <w:p>
            <w:pPr>
              <w:spacing w:after="0"/>
              <w:rPr>
                <w:sz w:val="1"/>
                <w:szCs w:val="1"/>
                <w:color w:val="auto"/>
              </w:rPr>
            </w:pPr>
          </w:p>
        </w:tc>
      </w:tr>
      <w:tr>
        <w:trPr>
          <w:trHeight w:val="177"/>
        </w:trPr>
        <w:tc>
          <w:tcPr>
            <w:tcW w:w="1420" w:type="dxa"/>
            <w:vAlign w:val="bottom"/>
            <w:tcBorders>
              <w:bottom w:val="single" w:sz="8" w:color="auto"/>
            </w:tcBorders>
            <w:gridSpan w:val="2"/>
          </w:tcPr>
          <w:p>
            <w:pPr>
              <w:spacing w:after="0"/>
              <w:rPr>
                <w:sz w:val="20"/>
                <w:szCs w:val="20"/>
                <w:color w:val="auto"/>
              </w:rPr>
            </w:pPr>
            <w:r>
              <w:rPr>
                <w:rFonts w:ascii="Arial" w:cs="Arial" w:eastAsia="Arial" w:hAnsi="Arial"/>
                <w:sz w:val="12"/>
                <w:szCs w:val="12"/>
                <w:b w:val="1"/>
                <w:bCs w:val="1"/>
                <w:color w:val="auto"/>
              </w:rPr>
              <w:t>Officers and Directors</w:t>
            </w:r>
          </w:p>
        </w:tc>
        <w:tc>
          <w:tcPr>
            <w:tcW w:w="80" w:type="dxa"/>
            <w:vAlign w:val="bottom"/>
          </w:tcPr>
          <w:p>
            <w:pPr>
              <w:spacing w:after="0"/>
              <w:rPr>
                <w:sz w:val="15"/>
                <w:szCs w:val="15"/>
                <w:color w:val="auto"/>
              </w:rPr>
            </w:pPr>
          </w:p>
        </w:tc>
        <w:tc>
          <w:tcPr>
            <w:tcW w:w="88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640" w:type="dxa"/>
            <w:vAlign w:val="bottom"/>
            <w:tcBorders>
              <w:bottom w:val="single" w:sz="8" w:color="auto"/>
            </w:tcBorders>
            <w:vMerge w:val="continue"/>
          </w:tcPr>
          <w:p>
            <w:pPr>
              <w:spacing w:after="0"/>
              <w:rPr>
                <w:sz w:val="15"/>
                <w:szCs w:val="15"/>
                <w:color w:val="auto"/>
              </w:rPr>
            </w:pPr>
          </w:p>
        </w:tc>
        <w:tc>
          <w:tcPr>
            <w:tcW w:w="80" w:type="dxa"/>
            <w:vAlign w:val="bottom"/>
            <w:vMerge w:val="continue"/>
          </w:tcPr>
          <w:p>
            <w:pPr>
              <w:spacing w:after="0"/>
              <w:rPr>
                <w:sz w:val="15"/>
                <w:szCs w:val="15"/>
                <w:color w:val="auto"/>
              </w:rPr>
            </w:pPr>
          </w:p>
        </w:tc>
        <w:tc>
          <w:tcPr>
            <w:tcW w:w="860" w:type="dxa"/>
            <w:vAlign w:val="bottom"/>
            <w:tcBorders>
              <w:bottom w:val="single" w:sz="8" w:color="auto"/>
            </w:tcBorders>
            <w:vMerge w:val="continue"/>
          </w:tcPr>
          <w:p>
            <w:pPr>
              <w:spacing w:after="0"/>
              <w:rPr>
                <w:sz w:val="15"/>
                <w:szCs w:val="15"/>
                <w:color w:val="auto"/>
              </w:rPr>
            </w:pPr>
          </w:p>
        </w:tc>
        <w:tc>
          <w:tcPr>
            <w:tcW w:w="260" w:type="dxa"/>
            <w:vAlign w:val="bottom"/>
            <w:vMerge w:val="continue"/>
          </w:tcPr>
          <w:p>
            <w:pPr>
              <w:spacing w:after="0"/>
              <w:rPr>
                <w:sz w:val="15"/>
                <w:szCs w:val="15"/>
                <w:color w:val="auto"/>
              </w:rPr>
            </w:pPr>
          </w:p>
        </w:tc>
        <w:tc>
          <w:tcPr>
            <w:tcW w:w="6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1500" w:type="dxa"/>
            <w:vAlign w:val="bottom"/>
            <w:gridSpan w:val="3"/>
          </w:tcPr>
          <w:p>
            <w:pPr>
              <w:spacing w:after="0"/>
              <w:rPr>
                <w:sz w:val="20"/>
                <w:szCs w:val="20"/>
                <w:color w:val="auto"/>
              </w:rPr>
            </w:pPr>
            <w:r>
              <w:rPr>
                <w:rFonts w:ascii="Arial" w:cs="Arial" w:eastAsia="Arial" w:hAnsi="Arial"/>
                <w:sz w:val="14"/>
                <w:szCs w:val="14"/>
                <w:color w:val="auto"/>
              </w:rPr>
              <w:t>Howard S. Marks</w:t>
            </w: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120" w:type="dxa"/>
            <w:vAlign w:val="bottom"/>
            <w:gridSpan w:val="2"/>
          </w:tcPr>
          <w:p>
            <w:pPr>
              <w:ind w:left="660"/>
              <w:spacing w:after="0" w:line="191" w:lineRule="exact"/>
              <w:rPr>
                <w:sz w:val="20"/>
                <w:szCs w:val="20"/>
                <w:color w:val="auto"/>
              </w:rPr>
            </w:pPr>
            <w:r>
              <w:rPr>
                <w:rFonts w:ascii="Arial" w:cs="Arial" w:eastAsia="Arial" w:hAnsi="Arial"/>
                <w:sz w:val="22"/>
                <w:szCs w:val="22"/>
                <w:color w:val="auto"/>
                <w:vertAlign w:val="subscript"/>
              </w:rPr>
              <w:t>—</w:t>
            </w:r>
            <w:r>
              <w:rPr>
                <w:rFonts w:ascii="Arial" w:cs="Arial" w:eastAsia="Arial" w:hAnsi="Arial"/>
                <w:sz w:val="8"/>
                <w:szCs w:val="8"/>
                <w:color w:val="auto"/>
              </w:rPr>
              <w:t xml:space="preserve"> </w:t>
            </w:r>
            <w:r>
              <w:rPr>
                <w:rFonts w:ascii="Arial" w:cs="Arial" w:eastAsia="Arial" w:hAnsi="Arial"/>
                <w:sz w:val="22"/>
                <w:szCs w:val="22"/>
                <w:color w:val="FFFFFF"/>
                <w:vertAlign w:val="subscript"/>
              </w:rPr>
              <w:t>.</w:t>
            </w:r>
            <w:r>
              <w:rPr>
                <w:rFonts w:ascii="Arial" w:cs="Arial" w:eastAsia="Arial" w:hAnsi="Arial"/>
                <w:sz w:val="8"/>
                <w:szCs w:val="8"/>
                <w:color w:val="auto"/>
              </w:rPr>
              <w:t>(2)</w:t>
            </w:r>
          </w:p>
        </w:tc>
        <w:tc>
          <w:tcPr>
            <w:tcW w:w="640" w:type="dxa"/>
            <w:vAlign w:val="bottom"/>
          </w:tcPr>
          <w:p>
            <w:pPr>
              <w:jc w:val="right"/>
              <w:ind w:right="112"/>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7"/>
        </w:trPr>
        <w:tc>
          <w:tcPr>
            <w:tcW w:w="1500" w:type="dxa"/>
            <w:vAlign w:val="bottom"/>
            <w:gridSpan w:val="3"/>
          </w:tcPr>
          <w:p>
            <w:pPr>
              <w:spacing w:after="0"/>
              <w:rPr>
                <w:sz w:val="20"/>
                <w:szCs w:val="20"/>
                <w:color w:val="auto"/>
              </w:rPr>
            </w:pPr>
            <w:r>
              <w:rPr>
                <w:rFonts w:ascii="Arial" w:cs="Arial" w:eastAsia="Arial" w:hAnsi="Arial"/>
                <w:sz w:val="14"/>
                <w:szCs w:val="14"/>
                <w:color w:val="auto"/>
              </w:rPr>
              <w:t>Bruce A. Karsh</w:t>
            </w: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120" w:type="dxa"/>
            <w:vAlign w:val="bottom"/>
            <w:gridSpan w:val="2"/>
          </w:tcPr>
          <w:p>
            <w:pPr>
              <w:ind w:left="660"/>
              <w:spacing w:after="0" w:line="198" w:lineRule="exact"/>
              <w:rPr>
                <w:sz w:val="20"/>
                <w:szCs w:val="20"/>
                <w:color w:val="auto"/>
              </w:rPr>
            </w:pPr>
            <w:r>
              <w:rPr>
                <w:rFonts w:ascii="Arial" w:cs="Arial" w:eastAsia="Arial" w:hAnsi="Arial"/>
                <w:sz w:val="22"/>
                <w:szCs w:val="22"/>
                <w:color w:val="auto"/>
                <w:vertAlign w:val="subscript"/>
              </w:rPr>
              <w:t>—</w:t>
            </w:r>
            <w:r>
              <w:rPr>
                <w:rFonts w:ascii="Arial" w:cs="Arial" w:eastAsia="Arial" w:hAnsi="Arial"/>
                <w:sz w:val="8"/>
                <w:szCs w:val="8"/>
                <w:color w:val="auto"/>
              </w:rPr>
              <w:t xml:space="preserve"> </w:t>
            </w:r>
            <w:r>
              <w:rPr>
                <w:rFonts w:ascii="Arial" w:cs="Arial" w:eastAsia="Arial" w:hAnsi="Arial"/>
                <w:sz w:val="22"/>
                <w:szCs w:val="22"/>
                <w:color w:val="FFFFFF"/>
                <w:vertAlign w:val="subscript"/>
              </w:rPr>
              <w:t>.</w:t>
            </w:r>
            <w:r>
              <w:rPr>
                <w:rFonts w:ascii="Arial" w:cs="Arial" w:eastAsia="Arial" w:hAnsi="Arial"/>
                <w:sz w:val="8"/>
                <w:szCs w:val="8"/>
                <w:color w:val="auto"/>
              </w:rPr>
              <w:t>(2)</w:t>
            </w:r>
          </w:p>
        </w:tc>
        <w:tc>
          <w:tcPr>
            <w:tcW w:w="640" w:type="dxa"/>
            <w:vAlign w:val="bottom"/>
          </w:tcPr>
          <w:p>
            <w:pPr>
              <w:jc w:val="right"/>
              <w:ind w:right="112"/>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1500" w:type="dxa"/>
            <w:vAlign w:val="bottom"/>
            <w:gridSpan w:val="3"/>
          </w:tcPr>
          <w:p>
            <w:pPr>
              <w:spacing w:after="0"/>
              <w:rPr>
                <w:sz w:val="20"/>
                <w:szCs w:val="20"/>
                <w:color w:val="auto"/>
              </w:rPr>
            </w:pPr>
            <w:r>
              <w:rPr>
                <w:rFonts w:ascii="Arial" w:cs="Arial" w:eastAsia="Arial" w:hAnsi="Arial"/>
                <w:sz w:val="14"/>
                <w:szCs w:val="14"/>
                <w:color w:val="auto"/>
              </w:rPr>
              <w:t>John B. Frank</w:t>
            </w: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120" w:type="dxa"/>
            <w:vAlign w:val="bottom"/>
            <w:gridSpan w:val="2"/>
          </w:tcPr>
          <w:p>
            <w:pPr>
              <w:ind w:left="660"/>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112"/>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3"/>
        </w:trPr>
        <w:tc>
          <w:tcPr>
            <w:tcW w:w="1500" w:type="dxa"/>
            <w:vAlign w:val="bottom"/>
            <w:gridSpan w:val="3"/>
          </w:tcPr>
          <w:p>
            <w:pPr>
              <w:spacing w:after="0"/>
              <w:rPr>
                <w:sz w:val="20"/>
                <w:szCs w:val="20"/>
                <w:color w:val="auto"/>
              </w:rPr>
            </w:pPr>
            <w:r>
              <w:rPr>
                <w:rFonts w:ascii="Arial" w:cs="Arial" w:eastAsia="Arial" w:hAnsi="Arial"/>
                <w:sz w:val="14"/>
                <w:szCs w:val="14"/>
                <w:color w:val="auto"/>
              </w:rPr>
              <w:t>Nicholas H. Goodman</w:t>
            </w: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120" w:type="dxa"/>
            <w:vAlign w:val="bottom"/>
            <w:gridSpan w:val="2"/>
          </w:tcPr>
          <w:p>
            <w:pPr>
              <w:ind w:left="660"/>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112"/>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3"/>
        </w:trPr>
        <w:tc>
          <w:tcPr>
            <w:tcW w:w="1500" w:type="dxa"/>
            <w:vAlign w:val="bottom"/>
            <w:gridSpan w:val="3"/>
          </w:tcPr>
          <w:p>
            <w:pPr>
              <w:spacing w:after="0"/>
              <w:rPr>
                <w:sz w:val="20"/>
                <w:szCs w:val="20"/>
                <w:color w:val="auto"/>
              </w:rPr>
            </w:pPr>
            <w:r>
              <w:rPr>
                <w:rFonts w:ascii="Arial" w:cs="Arial" w:eastAsia="Arial" w:hAnsi="Arial"/>
                <w:sz w:val="14"/>
                <w:szCs w:val="14"/>
                <w:color w:val="auto"/>
              </w:rPr>
              <w:t>Daniel D. Levin</w:t>
            </w: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120" w:type="dxa"/>
            <w:vAlign w:val="bottom"/>
            <w:gridSpan w:val="2"/>
          </w:tcPr>
          <w:p>
            <w:pPr>
              <w:ind w:left="660"/>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112"/>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3"/>
        </w:trPr>
        <w:tc>
          <w:tcPr>
            <w:tcW w:w="1500" w:type="dxa"/>
            <w:vAlign w:val="bottom"/>
            <w:gridSpan w:val="3"/>
          </w:tcPr>
          <w:p>
            <w:pPr>
              <w:spacing w:after="0"/>
              <w:rPr>
                <w:sz w:val="20"/>
                <w:szCs w:val="20"/>
                <w:color w:val="auto"/>
              </w:rPr>
            </w:pPr>
            <w:r>
              <w:rPr>
                <w:rFonts w:ascii="Arial" w:cs="Arial" w:eastAsia="Arial" w:hAnsi="Arial"/>
                <w:sz w:val="14"/>
                <w:szCs w:val="14"/>
                <w:color w:val="auto"/>
              </w:rPr>
              <w:t>Sheldon M. Stone</w:t>
            </w: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120" w:type="dxa"/>
            <w:vAlign w:val="bottom"/>
            <w:gridSpan w:val="2"/>
          </w:tcPr>
          <w:p>
            <w:pPr>
              <w:ind w:left="660"/>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112"/>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3"/>
        </w:trPr>
        <w:tc>
          <w:tcPr>
            <w:tcW w:w="1500" w:type="dxa"/>
            <w:vAlign w:val="bottom"/>
            <w:gridSpan w:val="3"/>
          </w:tcPr>
          <w:p>
            <w:pPr>
              <w:spacing w:after="0"/>
              <w:rPr>
                <w:sz w:val="20"/>
                <w:szCs w:val="20"/>
                <w:color w:val="auto"/>
              </w:rPr>
            </w:pPr>
            <w:r>
              <w:rPr>
                <w:rFonts w:ascii="Arial" w:cs="Arial" w:eastAsia="Arial" w:hAnsi="Arial"/>
                <w:sz w:val="14"/>
                <w:szCs w:val="14"/>
                <w:color w:val="auto"/>
              </w:rPr>
              <w:t>Justin B. Beber</w:t>
            </w: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120" w:type="dxa"/>
            <w:vAlign w:val="bottom"/>
            <w:gridSpan w:val="2"/>
          </w:tcPr>
          <w:p>
            <w:pPr>
              <w:ind w:left="660"/>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112"/>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3"/>
        </w:trPr>
        <w:tc>
          <w:tcPr>
            <w:tcW w:w="1500" w:type="dxa"/>
            <w:vAlign w:val="bottom"/>
            <w:gridSpan w:val="3"/>
          </w:tcPr>
          <w:p>
            <w:pPr>
              <w:spacing w:after="0"/>
              <w:rPr>
                <w:sz w:val="20"/>
                <w:szCs w:val="20"/>
                <w:color w:val="auto"/>
              </w:rPr>
            </w:pPr>
            <w:r>
              <w:rPr>
                <w:rFonts w:ascii="Arial" w:cs="Arial" w:eastAsia="Arial" w:hAnsi="Arial"/>
                <w:sz w:val="14"/>
                <w:szCs w:val="14"/>
                <w:color w:val="auto"/>
              </w:rPr>
              <w:t>Bruce Flatt</w:t>
            </w: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120" w:type="dxa"/>
            <w:vAlign w:val="bottom"/>
            <w:gridSpan w:val="2"/>
          </w:tcPr>
          <w:p>
            <w:pPr>
              <w:ind w:left="660"/>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112"/>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3"/>
        </w:trPr>
        <w:tc>
          <w:tcPr>
            <w:tcW w:w="1500" w:type="dxa"/>
            <w:vAlign w:val="bottom"/>
            <w:gridSpan w:val="3"/>
          </w:tcPr>
          <w:p>
            <w:pPr>
              <w:spacing w:after="0"/>
              <w:rPr>
                <w:sz w:val="20"/>
                <w:szCs w:val="20"/>
                <w:color w:val="auto"/>
              </w:rPr>
            </w:pPr>
            <w:r>
              <w:rPr>
                <w:rFonts w:ascii="Arial" w:cs="Arial" w:eastAsia="Arial" w:hAnsi="Arial"/>
                <w:sz w:val="14"/>
                <w:szCs w:val="14"/>
                <w:color w:val="auto"/>
              </w:rPr>
              <w:t>Steven J. Gilbert</w:t>
            </w: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120" w:type="dxa"/>
            <w:vAlign w:val="bottom"/>
            <w:gridSpan w:val="2"/>
          </w:tcPr>
          <w:p>
            <w:pPr>
              <w:ind w:left="660"/>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112"/>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3"/>
        </w:trPr>
        <w:tc>
          <w:tcPr>
            <w:tcW w:w="1500" w:type="dxa"/>
            <w:vAlign w:val="bottom"/>
            <w:gridSpan w:val="3"/>
          </w:tcPr>
          <w:p>
            <w:pPr>
              <w:spacing w:after="0"/>
              <w:rPr>
                <w:sz w:val="20"/>
                <w:szCs w:val="20"/>
                <w:color w:val="auto"/>
              </w:rPr>
            </w:pPr>
            <w:r>
              <w:rPr>
                <w:rFonts w:ascii="Arial" w:cs="Arial" w:eastAsia="Arial" w:hAnsi="Arial"/>
                <w:sz w:val="14"/>
                <w:szCs w:val="14"/>
                <w:color w:val="auto"/>
              </w:rPr>
              <w:t>Depelsha T. McGruder</w:t>
            </w: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120" w:type="dxa"/>
            <w:vAlign w:val="bottom"/>
            <w:gridSpan w:val="2"/>
          </w:tcPr>
          <w:p>
            <w:pPr>
              <w:ind w:left="660"/>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112"/>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3"/>
        </w:trPr>
        <w:tc>
          <w:tcPr>
            <w:tcW w:w="1500" w:type="dxa"/>
            <w:vAlign w:val="bottom"/>
            <w:gridSpan w:val="3"/>
          </w:tcPr>
          <w:p>
            <w:pPr>
              <w:spacing w:after="0"/>
              <w:rPr>
                <w:sz w:val="20"/>
                <w:szCs w:val="20"/>
                <w:color w:val="auto"/>
              </w:rPr>
            </w:pPr>
            <w:r>
              <w:rPr>
                <w:rFonts w:ascii="Arial" w:cs="Arial" w:eastAsia="Arial" w:hAnsi="Arial"/>
                <w:sz w:val="14"/>
                <w:szCs w:val="14"/>
                <w:color w:val="auto"/>
              </w:rPr>
              <w:t>Mansco Perry</w:t>
            </w: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120" w:type="dxa"/>
            <w:vAlign w:val="bottom"/>
            <w:gridSpan w:val="2"/>
          </w:tcPr>
          <w:p>
            <w:pPr>
              <w:ind w:left="660"/>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112"/>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3"/>
        </w:trPr>
        <w:tc>
          <w:tcPr>
            <w:tcW w:w="1500" w:type="dxa"/>
            <w:vAlign w:val="bottom"/>
            <w:gridSpan w:val="3"/>
          </w:tcPr>
          <w:p>
            <w:pPr>
              <w:spacing w:after="0"/>
              <w:rPr>
                <w:sz w:val="20"/>
                <w:szCs w:val="20"/>
                <w:color w:val="auto"/>
              </w:rPr>
            </w:pPr>
            <w:r>
              <w:rPr>
                <w:rFonts w:ascii="Arial" w:cs="Arial" w:eastAsia="Arial" w:hAnsi="Arial"/>
                <w:sz w:val="14"/>
                <w:szCs w:val="14"/>
                <w:color w:val="auto"/>
              </w:rPr>
              <w:t>Marna C. Whittington</w:t>
            </w: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120" w:type="dxa"/>
            <w:vAlign w:val="bottom"/>
            <w:gridSpan w:val="2"/>
          </w:tcPr>
          <w:p>
            <w:pPr>
              <w:ind w:left="660"/>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112"/>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1500" w:type="dxa"/>
            <w:vAlign w:val="bottom"/>
            <w:gridSpan w:val="3"/>
          </w:tcPr>
          <w:p>
            <w:pPr>
              <w:ind w:left="160"/>
              <w:spacing w:after="0" w:line="149" w:lineRule="exact"/>
              <w:rPr>
                <w:sz w:val="20"/>
                <w:szCs w:val="20"/>
                <w:color w:val="auto"/>
              </w:rPr>
            </w:pPr>
            <w:r>
              <w:rPr>
                <w:rFonts w:ascii="Arial" w:cs="Arial" w:eastAsia="Arial" w:hAnsi="Arial"/>
                <w:sz w:val="14"/>
                <w:szCs w:val="14"/>
                <w:color w:val="auto"/>
              </w:rPr>
              <w:t>All executive</w:t>
            </w: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1500" w:type="dxa"/>
            <w:vAlign w:val="bottom"/>
            <w:gridSpan w:val="3"/>
          </w:tcPr>
          <w:p>
            <w:pPr>
              <w:ind w:left="160"/>
              <w:spacing w:after="0" w:line="135" w:lineRule="exact"/>
              <w:rPr>
                <w:sz w:val="20"/>
                <w:szCs w:val="20"/>
                <w:color w:val="auto"/>
              </w:rPr>
            </w:pPr>
            <w:r>
              <w:rPr>
                <w:rFonts w:ascii="Arial" w:cs="Arial" w:eastAsia="Arial" w:hAnsi="Arial"/>
                <w:sz w:val="14"/>
                <w:szCs w:val="14"/>
                <w:color w:val="auto"/>
              </w:rPr>
              <w:t>officers and</w:t>
            </w: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1500" w:type="dxa"/>
            <w:vAlign w:val="bottom"/>
            <w:gridSpan w:val="3"/>
          </w:tcPr>
          <w:p>
            <w:pPr>
              <w:ind w:left="160"/>
              <w:spacing w:after="0" w:line="142" w:lineRule="exact"/>
              <w:rPr>
                <w:sz w:val="20"/>
                <w:szCs w:val="20"/>
                <w:color w:val="auto"/>
              </w:rPr>
            </w:pPr>
            <w:r>
              <w:rPr>
                <w:rFonts w:ascii="Arial" w:cs="Arial" w:eastAsia="Arial" w:hAnsi="Arial"/>
                <w:sz w:val="14"/>
                <w:szCs w:val="14"/>
                <w:color w:val="auto"/>
              </w:rPr>
              <w:t>directors as a group</w:t>
            </w:r>
          </w:p>
        </w:tc>
        <w:tc>
          <w:tcPr>
            <w:tcW w:w="9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720" w:type="dxa"/>
            <w:vAlign w:val="bottom"/>
            <w:gridSpan w:val="2"/>
            <w:vMerge w:val="restart"/>
          </w:tcPr>
          <w:p>
            <w:pPr>
              <w:jc w:val="right"/>
              <w:ind w:right="260"/>
              <w:spacing w:after="0"/>
              <w:rPr>
                <w:sz w:val="20"/>
                <w:szCs w:val="20"/>
                <w:color w:val="auto"/>
              </w:rPr>
            </w:pPr>
            <w:r>
              <w:rPr>
                <w:rFonts w:ascii="Arial" w:cs="Arial" w:eastAsia="Arial" w:hAnsi="Arial"/>
                <w:sz w:val="14"/>
                <w:szCs w:val="14"/>
                <w:color w:val="auto"/>
              </w:rPr>
              <w:t>—</w:t>
            </w:r>
          </w:p>
        </w:tc>
        <w:tc>
          <w:tcPr>
            <w:tcW w:w="1120" w:type="dxa"/>
            <w:vAlign w:val="bottom"/>
            <w:gridSpan w:val="2"/>
            <w:vMerge w:val="restart"/>
          </w:tcPr>
          <w:p>
            <w:pPr>
              <w:ind w:left="660"/>
              <w:spacing w:after="0"/>
              <w:rPr>
                <w:sz w:val="20"/>
                <w:szCs w:val="20"/>
                <w:color w:val="auto"/>
              </w:rPr>
            </w:pPr>
            <w:r>
              <w:rPr>
                <w:rFonts w:ascii="Arial" w:cs="Arial" w:eastAsia="Arial" w:hAnsi="Arial"/>
                <w:sz w:val="14"/>
                <w:szCs w:val="14"/>
                <w:color w:val="auto"/>
              </w:rPr>
              <w:t>—</w:t>
            </w:r>
          </w:p>
        </w:tc>
        <w:tc>
          <w:tcPr>
            <w:tcW w:w="640" w:type="dxa"/>
            <w:vAlign w:val="bottom"/>
            <w:vMerge w:val="restart"/>
          </w:tcPr>
          <w:p>
            <w:pPr>
              <w:jc w:val="right"/>
              <w:ind w:right="112"/>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1500" w:type="dxa"/>
            <w:vAlign w:val="bottom"/>
            <w:gridSpan w:val="3"/>
          </w:tcPr>
          <w:p>
            <w:pPr>
              <w:ind w:left="160"/>
              <w:spacing w:after="0"/>
              <w:rPr>
                <w:sz w:val="20"/>
                <w:szCs w:val="20"/>
                <w:color w:val="auto"/>
              </w:rPr>
            </w:pPr>
            <w:r>
              <w:rPr>
                <w:rFonts w:ascii="Arial" w:cs="Arial" w:eastAsia="Arial" w:hAnsi="Arial"/>
                <w:sz w:val="14"/>
                <w:szCs w:val="14"/>
                <w:color w:val="auto"/>
              </w:rPr>
              <w:t>(12 persons)</w:t>
            </w:r>
          </w:p>
        </w:tc>
        <w:tc>
          <w:tcPr>
            <w:tcW w:w="980" w:type="dxa"/>
            <w:vAlign w:val="bottom"/>
            <w:gridSpan w:val="2"/>
            <w:vMerge w:val="continue"/>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6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500" w:type="dxa"/>
            <w:vAlign w:val="bottom"/>
            <w:gridSpan w:val="3"/>
          </w:tcPr>
          <w:p>
            <w:pPr>
              <w:spacing w:after="0"/>
              <w:rPr>
                <w:sz w:val="20"/>
                <w:szCs w:val="20"/>
                <w:color w:val="auto"/>
              </w:rPr>
            </w:pPr>
            <w:r>
              <w:rPr>
                <w:rFonts w:ascii="Arial" w:cs="Arial" w:eastAsia="Arial" w:hAnsi="Arial"/>
                <w:sz w:val="14"/>
                <w:szCs w:val="14"/>
                <w:b w:val="1"/>
                <w:bCs w:val="1"/>
                <w:color w:val="auto"/>
              </w:rPr>
              <w:t>5% Unitholders</w:t>
            </w: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00" w:type="dxa"/>
            <w:vAlign w:val="bottom"/>
            <w:shd w:val="clear" w:color="auto" w:fill="000000"/>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1500" w:type="dxa"/>
            <w:vAlign w:val="bottom"/>
            <w:gridSpan w:val="3"/>
          </w:tcPr>
          <w:p>
            <w:pPr>
              <w:ind w:left="160"/>
              <w:spacing w:after="0"/>
              <w:rPr>
                <w:sz w:val="20"/>
                <w:szCs w:val="20"/>
                <w:color w:val="auto"/>
              </w:rPr>
            </w:pPr>
            <w:r>
              <w:rPr>
                <w:rFonts w:ascii="Arial" w:cs="Arial" w:eastAsia="Arial" w:hAnsi="Arial"/>
                <w:sz w:val="14"/>
                <w:szCs w:val="14"/>
                <w:color w:val="auto"/>
              </w:rPr>
              <w:t>Oaktree Capital</w:t>
            </w: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4"/>
        </w:trPr>
        <w:tc>
          <w:tcPr>
            <w:tcW w:w="1500" w:type="dxa"/>
            <w:vAlign w:val="bottom"/>
            <w:gridSpan w:val="3"/>
          </w:tcPr>
          <w:p>
            <w:pPr>
              <w:ind w:left="160"/>
              <w:spacing w:after="0" w:line="135" w:lineRule="exact"/>
              <w:rPr>
                <w:sz w:val="20"/>
                <w:szCs w:val="20"/>
                <w:color w:val="auto"/>
              </w:rPr>
            </w:pPr>
            <w:r>
              <w:rPr>
                <w:rFonts w:ascii="Arial" w:cs="Arial" w:eastAsia="Arial" w:hAnsi="Arial"/>
                <w:sz w:val="14"/>
                <w:szCs w:val="14"/>
                <w:color w:val="auto"/>
              </w:rPr>
              <w:t>Group Holdings,</w:t>
            </w:r>
          </w:p>
        </w:tc>
        <w:tc>
          <w:tcPr>
            <w:tcW w:w="9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720" w:type="dxa"/>
            <w:vAlign w:val="bottom"/>
            <w:gridSpan w:val="2"/>
            <w:vMerge w:val="restart"/>
          </w:tcPr>
          <w:p>
            <w:pPr>
              <w:jc w:val="right"/>
              <w:ind w:right="260"/>
              <w:spacing w:after="0"/>
              <w:rPr>
                <w:sz w:val="20"/>
                <w:szCs w:val="20"/>
                <w:color w:val="auto"/>
              </w:rPr>
            </w:pPr>
            <w:r>
              <w:rPr>
                <w:rFonts w:ascii="Arial" w:cs="Arial" w:eastAsia="Arial" w:hAnsi="Arial"/>
                <w:sz w:val="14"/>
                <w:szCs w:val="14"/>
                <w:color w:val="auto"/>
              </w:rPr>
              <w:t>—</w:t>
            </w:r>
          </w:p>
        </w:tc>
        <w:tc>
          <w:tcPr>
            <w:tcW w:w="860" w:type="dxa"/>
            <w:vAlign w:val="bottom"/>
            <w:vMerge w:val="restart"/>
          </w:tcPr>
          <w:p>
            <w:pPr>
              <w:ind w:left="100"/>
              <w:spacing w:after="0"/>
              <w:rPr>
                <w:sz w:val="20"/>
                <w:szCs w:val="20"/>
                <w:color w:val="auto"/>
              </w:rPr>
            </w:pPr>
            <w:r>
              <w:rPr>
                <w:rFonts w:ascii="Arial" w:cs="Arial" w:eastAsia="Arial" w:hAnsi="Arial"/>
                <w:sz w:val="14"/>
                <w:szCs w:val="14"/>
                <w:color w:val="auto"/>
              </w:rPr>
              <w:t>41,558,979</w:t>
            </w:r>
          </w:p>
        </w:tc>
        <w:tc>
          <w:tcPr>
            <w:tcW w:w="260" w:type="dxa"/>
            <w:vAlign w:val="bottom"/>
          </w:tcPr>
          <w:p>
            <w:pPr>
              <w:spacing w:after="0"/>
              <w:rPr>
                <w:sz w:val="11"/>
                <w:szCs w:val="11"/>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100 %</w:t>
            </w:r>
          </w:p>
        </w:tc>
        <w:tc>
          <w:tcPr>
            <w:tcW w:w="0" w:type="dxa"/>
            <w:vAlign w:val="bottom"/>
          </w:tcPr>
          <w:p>
            <w:pPr>
              <w:spacing w:after="0"/>
              <w:rPr>
                <w:sz w:val="1"/>
                <w:szCs w:val="1"/>
                <w:color w:val="auto"/>
              </w:rPr>
            </w:pPr>
          </w:p>
        </w:tc>
      </w:tr>
      <w:tr>
        <w:trPr>
          <w:trHeight w:val="180"/>
        </w:trPr>
        <w:tc>
          <w:tcPr>
            <w:tcW w:w="1500" w:type="dxa"/>
            <w:vAlign w:val="bottom"/>
            <w:gridSpan w:val="3"/>
          </w:tcPr>
          <w:p>
            <w:pPr>
              <w:ind w:left="160"/>
              <w:spacing w:after="0"/>
              <w:rPr>
                <w:sz w:val="20"/>
                <w:szCs w:val="20"/>
                <w:color w:val="auto"/>
              </w:rPr>
            </w:pPr>
            <w:r>
              <w:rPr>
                <w:rFonts w:ascii="Arial" w:cs="Arial" w:eastAsia="Arial" w:hAnsi="Arial"/>
                <w:sz w:val="14"/>
                <w:szCs w:val="14"/>
                <w:color w:val="auto"/>
              </w:rPr>
              <w:t>L.P.</w:t>
            </w:r>
          </w:p>
        </w:tc>
        <w:tc>
          <w:tcPr>
            <w:tcW w:w="980" w:type="dxa"/>
            <w:vAlign w:val="bottom"/>
            <w:gridSpan w:val="2"/>
            <w:vMerge w:val="continue"/>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86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1500" w:type="dxa"/>
            <w:vAlign w:val="bottom"/>
            <w:gridSpan w:val="3"/>
          </w:tcPr>
          <w:p>
            <w:pPr>
              <w:ind w:left="160"/>
              <w:spacing w:after="0" w:line="149" w:lineRule="exact"/>
              <w:rPr>
                <w:sz w:val="20"/>
                <w:szCs w:val="20"/>
                <w:color w:val="auto"/>
              </w:rPr>
            </w:pPr>
            <w:r>
              <w:rPr>
                <w:rFonts w:ascii="Arial" w:cs="Arial" w:eastAsia="Arial" w:hAnsi="Arial"/>
                <w:sz w:val="14"/>
                <w:szCs w:val="14"/>
                <w:color w:val="auto"/>
              </w:rPr>
              <w:t>Brookfield Oaktree</w:t>
            </w: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1500" w:type="dxa"/>
            <w:vAlign w:val="bottom"/>
            <w:gridSpan w:val="3"/>
          </w:tcPr>
          <w:p>
            <w:pPr>
              <w:ind w:left="160"/>
              <w:spacing w:after="0" w:line="135" w:lineRule="exact"/>
              <w:rPr>
                <w:sz w:val="20"/>
                <w:szCs w:val="20"/>
                <w:color w:val="auto"/>
              </w:rPr>
            </w:pPr>
            <w:r>
              <w:rPr>
                <w:rFonts w:ascii="Arial" w:cs="Arial" w:eastAsia="Arial" w:hAnsi="Arial"/>
                <w:sz w:val="14"/>
                <w:szCs w:val="14"/>
                <w:color w:val="auto"/>
              </w:rPr>
              <w:t>Holdings Canada</w:t>
            </w: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118,832,320</w:t>
            </w:r>
          </w:p>
        </w:tc>
        <w:tc>
          <w:tcPr>
            <w:tcW w:w="100" w:type="dxa"/>
            <w:vAlign w:val="bottom"/>
          </w:tcPr>
          <w:p>
            <w:pPr>
              <w:spacing w:after="0"/>
              <w:rPr>
                <w:sz w:val="11"/>
                <w:szCs w:val="11"/>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100 %</w:t>
            </w:r>
          </w:p>
        </w:tc>
        <w:tc>
          <w:tcPr>
            <w:tcW w:w="80" w:type="dxa"/>
            <w:vAlign w:val="bottom"/>
          </w:tcPr>
          <w:p>
            <w:pPr>
              <w:spacing w:after="0"/>
              <w:rPr>
                <w:sz w:val="11"/>
                <w:szCs w:val="11"/>
                <w:color w:val="auto"/>
              </w:rPr>
            </w:pPr>
          </w:p>
        </w:tc>
        <w:tc>
          <w:tcPr>
            <w:tcW w:w="1120" w:type="dxa"/>
            <w:vAlign w:val="bottom"/>
            <w:gridSpan w:val="2"/>
            <w:vMerge w:val="restart"/>
          </w:tcPr>
          <w:p>
            <w:pPr>
              <w:ind w:left="660"/>
              <w:spacing w:after="0"/>
              <w:rPr>
                <w:sz w:val="20"/>
                <w:szCs w:val="20"/>
                <w:color w:val="auto"/>
              </w:rPr>
            </w:pPr>
            <w:r>
              <w:rPr>
                <w:rFonts w:ascii="Arial" w:cs="Arial" w:eastAsia="Arial" w:hAnsi="Arial"/>
                <w:sz w:val="14"/>
                <w:szCs w:val="14"/>
                <w:color w:val="auto"/>
              </w:rPr>
              <w:t>—</w:t>
            </w:r>
          </w:p>
        </w:tc>
        <w:tc>
          <w:tcPr>
            <w:tcW w:w="640" w:type="dxa"/>
            <w:vAlign w:val="bottom"/>
            <w:vMerge w:val="restart"/>
          </w:tcPr>
          <w:p>
            <w:pPr>
              <w:jc w:val="right"/>
              <w:ind w:right="112"/>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1500" w:type="dxa"/>
            <w:vAlign w:val="bottom"/>
            <w:gridSpan w:val="3"/>
          </w:tcPr>
          <w:p>
            <w:pPr>
              <w:ind w:left="160"/>
              <w:spacing w:after="0"/>
              <w:rPr>
                <w:sz w:val="20"/>
                <w:szCs w:val="20"/>
                <w:color w:val="auto"/>
              </w:rPr>
            </w:pPr>
            <w:r>
              <w:rPr>
                <w:rFonts w:ascii="Arial" w:cs="Arial" w:eastAsia="Arial" w:hAnsi="Arial"/>
                <w:sz w:val="14"/>
                <w:szCs w:val="14"/>
                <w:color w:val="auto"/>
              </w:rPr>
              <w:t>Inc.</w:t>
            </w:r>
          </w:p>
        </w:tc>
        <w:tc>
          <w:tcPr>
            <w:tcW w:w="8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6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102870</wp:posOffset>
            </wp:positionV>
            <wp:extent cx="28638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28638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8"/>
        </w:trPr>
        <w:tc>
          <w:tcPr>
            <w:tcW w:w="1740" w:type="dxa"/>
            <w:vAlign w:val="bottom"/>
            <w:gridSpan w:val="4"/>
            <w:vMerge w:val="restart"/>
          </w:tcPr>
          <w:p>
            <w:pPr>
              <w:ind w:left="80"/>
              <w:spacing w:after="0"/>
              <w:rPr>
                <w:sz w:val="20"/>
                <w:szCs w:val="20"/>
                <w:color w:val="auto"/>
              </w:rPr>
            </w:pPr>
            <w:r>
              <w:rPr>
                <w:rFonts w:ascii="Arial" w:cs="Arial" w:eastAsia="Arial" w:hAnsi="Arial"/>
                <w:sz w:val="12"/>
                <w:szCs w:val="12"/>
                <w:b w:val="1"/>
                <w:bCs w:val="1"/>
                <w:color w:val="auto"/>
              </w:rPr>
              <w:t>OCGH/ OEP/ OEP II Units</w:t>
            </w:r>
          </w:p>
        </w:tc>
        <w:tc>
          <w:tcPr>
            <w:tcW w:w="1520" w:type="dxa"/>
            <w:vAlign w:val="bottom"/>
            <w:gridSpan w:val="4"/>
          </w:tcPr>
          <w:p>
            <w:pPr>
              <w:ind w:left="160"/>
              <w:spacing w:after="0"/>
              <w:rPr>
                <w:sz w:val="20"/>
                <w:szCs w:val="20"/>
                <w:color w:val="auto"/>
              </w:rPr>
            </w:pPr>
            <w:r>
              <w:rPr>
                <w:rFonts w:ascii="Arial" w:cs="Arial" w:eastAsia="Arial" w:hAnsi="Arial"/>
                <w:sz w:val="12"/>
                <w:szCs w:val="12"/>
                <w:b w:val="1"/>
                <w:bCs w:val="1"/>
                <w:color w:val="auto"/>
              </w:rPr>
              <w:t>Series A Preferred</w:t>
            </w:r>
          </w:p>
        </w:tc>
        <w:tc>
          <w:tcPr>
            <w:tcW w:w="1440" w:type="dxa"/>
            <w:vAlign w:val="bottom"/>
            <w:gridSpan w:val="3"/>
            <w:vMerge w:val="restart"/>
          </w:tcPr>
          <w:p>
            <w:pPr>
              <w:ind w:left="20"/>
              <w:spacing w:after="0"/>
              <w:rPr>
                <w:sz w:val="20"/>
                <w:szCs w:val="20"/>
                <w:color w:val="auto"/>
              </w:rPr>
            </w:pPr>
            <w:r>
              <w:rPr>
                <w:rFonts w:ascii="Arial" w:cs="Arial" w:eastAsia="Arial" w:hAnsi="Arial"/>
                <w:sz w:val="12"/>
                <w:szCs w:val="12"/>
                <w:b w:val="1"/>
                <w:bCs w:val="1"/>
                <w:color w:val="auto"/>
              </w:rPr>
              <w:t>Series B Preferred Units</w:t>
            </w:r>
          </w:p>
        </w:tc>
        <w:tc>
          <w:tcPr>
            <w:tcW w:w="0" w:type="dxa"/>
            <w:vAlign w:val="bottom"/>
          </w:tcPr>
          <w:p>
            <w:pPr>
              <w:spacing w:after="0"/>
              <w:rPr>
                <w:sz w:val="1"/>
                <w:szCs w:val="1"/>
                <w:color w:val="auto"/>
              </w:rPr>
            </w:pPr>
          </w:p>
        </w:tc>
      </w:tr>
      <w:tr>
        <w:trPr>
          <w:trHeight w:val="116"/>
        </w:trPr>
        <w:tc>
          <w:tcPr>
            <w:tcW w:w="1740" w:type="dxa"/>
            <w:vAlign w:val="bottom"/>
            <w:gridSpan w:val="4"/>
            <w:vMerge w:val="continue"/>
          </w:tcPr>
          <w:p>
            <w:pPr>
              <w:spacing w:after="0"/>
              <w:rPr>
                <w:sz w:val="10"/>
                <w:szCs w:val="10"/>
                <w:color w:val="auto"/>
              </w:rPr>
            </w:pPr>
          </w:p>
        </w:tc>
        <w:tc>
          <w:tcPr>
            <w:tcW w:w="880" w:type="dxa"/>
            <w:vAlign w:val="bottom"/>
            <w:gridSpan w:val="2"/>
          </w:tcPr>
          <w:p>
            <w:pPr>
              <w:ind w:left="540"/>
              <w:spacing w:after="0" w:line="116" w:lineRule="exact"/>
              <w:rPr>
                <w:sz w:val="20"/>
                <w:szCs w:val="20"/>
                <w:color w:val="auto"/>
              </w:rPr>
            </w:pPr>
            <w:r>
              <w:rPr>
                <w:rFonts w:ascii="Arial" w:cs="Arial" w:eastAsia="Arial" w:hAnsi="Arial"/>
                <w:sz w:val="12"/>
                <w:szCs w:val="12"/>
                <w:b w:val="1"/>
                <w:bCs w:val="1"/>
                <w:color w:val="auto"/>
              </w:rPr>
              <w:t>Units</w:t>
            </w: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1620" w:type="dxa"/>
            <w:vAlign w:val="bottom"/>
            <w:tcBorders>
              <w:bottom w:val="single" w:sz="8" w:color="auto"/>
            </w:tcBorders>
            <w:gridSpan w:val="3"/>
          </w:tcPr>
          <w:p>
            <w:pPr>
              <w:jc w:val="right"/>
              <w:ind w:right="132"/>
              <w:spacing w:after="0"/>
              <w:rPr>
                <w:sz w:val="20"/>
                <w:szCs w:val="20"/>
                <w:color w:val="auto"/>
              </w:rPr>
            </w:pPr>
            <w:r>
              <w:rPr>
                <w:rFonts w:ascii="Arial" w:cs="Arial" w:eastAsia="Arial" w:hAnsi="Arial"/>
                <w:sz w:val="12"/>
                <w:szCs w:val="12"/>
                <w:b w:val="1"/>
                <w:bCs w:val="1"/>
                <w:color w:val="auto"/>
              </w:rPr>
              <w:t xml:space="preserve">Beneficially Owned </w:t>
            </w:r>
            <w:r>
              <w:rPr>
                <w:rFonts w:ascii="Arial" w:cs="Arial" w:eastAsia="Arial" w:hAnsi="Arial"/>
                <w:sz w:val="15"/>
                <w:szCs w:val="15"/>
                <w:b w:val="1"/>
                <w:bCs w:val="1"/>
                <w:color w:val="auto"/>
                <w:vertAlign w:val="superscript"/>
              </w:rPr>
              <w:t>(1)</w:t>
            </w:r>
          </w:p>
        </w:tc>
        <w:tc>
          <w:tcPr>
            <w:tcW w:w="120" w:type="dxa"/>
            <w:vAlign w:val="bottom"/>
          </w:tcPr>
          <w:p>
            <w:pPr>
              <w:spacing w:after="0"/>
              <w:rPr>
                <w:sz w:val="15"/>
                <w:szCs w:val="15"/>
                <w:color w:val="auto"/>
              </w:rPr>
            </w:pPr>
          </w:p>
        </w:tc>
        <w:tc>
          <w:tcPr>
            <w:tcW w:w="1400" w:type="dxa"/>
            <w:vAlign w:val="bottom"/>
            <w:tcBorders>
              <w:bottom w:val="single" w:sz="8" w:color="auto"/>
            </w:tcBorders>
            <w:gridSpan w:val="3"/>
          </w:tcPr>
          <w:p>
            <w:pPr>
              <w:ind w:left="140"/>
              <w:spacing w:after="0"/>
              <w:rPr>
                <w:sz w:val="20"/>
                <w:szCs w:val="20"/>
                <w:color w:val="auto"/>
              </w:rPr>
            </w:pPr>
            <w:r>
              <w:rPr>
                <w:rFonts w:ascii="Arial" w:cs="Arial" w:eastAsia="Arial" w:hAnsi="Arial"/>
                <w:sz w:val="12"/>
                <w:szCs w:val="12"/>
                <w:b w:val="1"/>
                <w:bCs w:val="1"/>
                <w:color w:val="auto"/>
              </w:rPr>
              <w:t>Beneficially Owned</w:t>
            </w:r>
          </w:p>
        </w:tc>
        <w:tc>
          <w:tcPr>
            <w:tcW w:w="120" w:type="dxa"/>
            <w:vAlign w:val="bottom"/>
          </w:tcPr>
          <w:p>
            <w:pPr>
              <w:spacing w:after="0"/>
              <w:rPr>
                <w:sz w:val="15"/>
                <w:szCs w:val="15"/>
                <w:color w:val="auto"/>
              </w:rPr>
            </w:pPr>
          </w:p>
        </w:tc>
        <w:tc>
          <w:tcPr>
            <w:tcW w:w="1440" w:type="dxa"/>
            <w:vAlign w:val="bottom"/>
            <w:tcBorders>
              <w:bottom w:val="single" w:sz="8" w:color="auto"/>
            </w:tcBorders>
            <w:gridSpan w:val="3"/>
          </w:tcPr>
          <w:p>
            <w:pPr>
              <w:ind w:left="160"/>
              <w:spacing w:after="0"/>
              <w:rPr>
                <w:sz w:val="20"/>
                <w:szCs w:val="20"/>
                <w:color w:val="auto"/>
              </w:rPr>
            </w:pPr>
            <w:r>
              <w:rPr>
                <w:rFonts w:ascii="Arial" w:cs="Arial" w:eastAsia="Arial" w:hAnsi="Arial"/>
                <w:sz w:val="12"/>
                <w:szCs w:val="12"/>
                <w:b w:val="1"/>
                <w:bCs w:val="1"/>
                <w:color w:val="auto"/>
              </w:rPr>
              <w:t>Beneficially Owned</w:t>
            </w:r>
          </w:p>
        </w:tc>
        <w:tc>
          <w:tcPr>
            <w:tcW w:w="0" w:type="dxa"/>
            <w:vAlign w:val="bottom"/>
          </w:tcPr>
          <w:p>
            <w:pPr>
              <w:spacing w:after="0"/>
              <w:rPr>
                <w:sz w:val="1"/>
                <w:szCs w:val="1"/>
                <w:color w:val="auto"/>
              </w:rPr>
            </w:pPr>
          </w:p>
        </w:tc>
      </w:tr>
      <w:tr>
        <w:trPr>
          <w:trHeight w:val="273"/>
        </w:trPr>
        <w:tc>
          <w:tcPr>
            <w:tcW w:w="860" w:type="dxa"/>
            <w:vAlign w:val="bottom"/>
            <w:tcBorders>
              <w:bottom w:val="single" w:sz="8" w:color="auto"/>
            </w:tcBorders>
          </w:tcPr>
          <w:p>
            <w:pPr>
              <w:jc w:val="right"/>
              <w:ind w:right="133"/>
              <w:spacing w:after="0"/>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23"/>
                <w:szCs w:val="23"/>
                <w:color w:val="auto"/>
              </w:rPr>
            </w:pPr>
          </w:p>
        </w:tc>
        <w:tc>
          <w:tcPr>
            <w:tcW w:w="640" w:type="dxa"/>
            <w:vAlign w:val="bottom"/>
            <w:tcBorders>
              <w:bottom w:val="single" w:sz="8" w:color="auto"/>
            </w:tcBorders>
          </w:tcPr>
          <w:p>
            <w:pPr>
              <w:jc w:val="right"/>
              <w:ind w:right="32"/>
              <w:spacing w:after="0"/>
              <w:rPr>
                <w:sz w:val="20"/>
                <w:szCs w:val="20"/>
                <w:color w:val="auto"/>
              </w:rPr>
            </w:pPr>
            <w:r>
              <w:rPr>
                <w:rFonts w:ascii="Arial" w:cs="Arial" w:eastAsia="Arial" w:hAnsi="Arial"/>
                <w:sz w:val="12"/>
                <w:szCs w:val="12"/>
                <w:b w:val="1"/>
                <w:bCs w:val="1"/>
                <w:color w:val="auto"/>
              </w:rPr>
              <w:t>Percent</w:t>
            </w:r>
          </w:p>
        </w:tc>
        <w:tc>
          <w:tcPr>
            <w:tcW w:w="120" w:type="dxa"/>
            <w:vAlign w:val="bottom"/>
          </w:tcPr>
          <w:p>
            <w:pPr>
              <w:spacing w:after="0"/>
              <w:rPr>
                <w:sz w:val="23"/>
                <w:szCs w:val="23"/>
                <w:color w:val="auto"/>
              </w:rPr>
            </w:pPr>
          </w:p>
        </w:tc>
        <w:tc>
          <w:tcPr>
            <w:tcW w:w="780" w:type="dxa"/>
            <w:vAlign w:val="bottom"/>
            <w:tcBorders>
              <w:bottom w:val="single" w:sz="8" w:color="auto"/>
            </w:tcBorders>
          </w:tcPr>
          <w:p>
            <w:pPr>
              <w:ind w:left="160"/>
              <w:spacing w:after="0"/>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23"/>
                <w:szCs w:val="23"/>
                <w:color w:val="auto"/>
              </w:rPr>
            </w:pPr>
          </w:p>
        </w:tc>
        <w:tc>
          <w:tcPr>
            <w:tcW w:w="520" w:type="dxa"/>
            <w:vAlign w:val="bottom"/>
            <w:tcBorders>
              <w:bottom w:val="single" w:sz="8" w:color="auto"/>
            </w:tcBorders>
          </w:tcPr>
          <w:p>
            <w:pPr>
              <w:ind w:left="40"/>
              <w:spacing w:after="0"/>
              <w:rPr>
                <w:sz w:val="20"/>
                <w:szCs w:val="20"/>
                <w:color w:val="auto"/>
              </w:rPr>
            </w:pPr>
            <w:r>
              <w:rPr>
                <w:rFonts w:ascii="Arial" w:cs="Arial" w:eastAsia="Arial" w:hAnsi="Arial"/>
                <w:sz w:val="12"/>
                <w:szCs w:val="12"/>
                <w:b w:val="1"/>
                <w:bCs w:val="1"/>
                <w:color w:val="auto"/>
              </w:rPr>
              <w:t>Percent</w:t>
            </w:r>
          </w:p>
        </w:tc>
        <w:tc>
          <w:tcPr>
            <w:tcW w:w="120" w:type="dxa"/>
            <w:vAlign w:val="bottom"/>
          </w:tcPr>
          <w:p>
            <w:pPr>
              <w:spacing w:after="0"/>
              <w:rPr>
                <w:sz w:val="23"/>
                <w:szCs w:val="23"/>
                <w:color w:val="auto"/>
              </w:rPr>
            </w:pPr>
          </w:p>
        </w:tc>
        <w:tc>
          <w:tcPr>
            <w:tcW w:w="800" w:type="dxa"/>
            <w:vAlign w:val="bottom"/>
            <w:tcBorders>
              <w:bottom w:val="single" w:sz="8" w:color="auto"/>
            </w:tcBorders>
          </w:tcPr>
          <w:p>
            <w:pPr>
              <w:ind w:left="160"/>
              <w:spacing w:after="0"/>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23"/>
                <w:szCs w:val="23"/>
                <w:color w:val="auto"/>
              </w:rPr>
            </w:pPr>
          </w:p>
        </w:tc>
        <w:tc>
          <w:tcPr>
            <w:tcW w:w="520" w:type="dxa"/>
            <w:vAlign w:val="bottom"/>
            <w:tcBorders>
              <w:bottom w:val="single" w:sz="8" w:color="auto"/>
            </w:tcBorders>
          </w:tcPr>
          <w:p>
            <w:pPr>
              <w:ind w:left="40"/>
              <w:spacing w:after="0"/>
              <w:rPr>
                <w:sz w:val="20"/>
                <w:szCs w:val="20"/>
                <w:color w:val="auto"/>
              </w:rPr>
            </w:pPr>
            <w:r>
              <w:rPr>
                <w:rFonts w:ascii="Arial" w:cs="Arial" w:eastAsia="Arial" w:hAnsi="Arial"/>
                <w:sz w:val="12"/>
                <w:szCs w:val="12"/>
                <w:b w:val="1"/>
                <w:bCs w:val="1"/>
                <w:color w:val="auto"/>
              </w:rPr>
              <w:t>Percent</w:t>
            </w:r>
          </w:p>
        </w:tc>
        <w:tc>
          <w:tcPr>
            <w:tcW w:w="0" w:type="dxa"/>
            <w:vAlign w:val="bottom"/>
          </w:tcPr>
          <w:p>
            <w:pPr>
              <w:spacing w:after="0"/>
              <w:rPr>
                <w:sz w:val="1"/>
                <w:szCs w:val="1"/>
                <w:color w:val="auto"/>
              </w:rPr>
            </w:pPr>
          </w:p>
        </w:tc>
      </w:tr>
      <w:tr>
        <w:trPr>
          <w:trHeight w:val="182"/>
        </w:trPr>
        <w:tc>
          <w:tcPr>
            <w:tcW w:w="860" w:type="dxa"/>
            <w:vAlign w:val="bottom"/>
          </w:tcPr>
          <w:p>
            <w:pPr>
              <w:jc w:val="right"/>
              <w:spacing w:after="0"/>
              <w:rPr>
                <w:sz w:val="20"/>
                <w:szCs w:val="20"/>
                <w:color w:val="auto"/>
              </w:rPr>
            </w:pPr>
            <w:r>
              <w:rPr>
                <w:rFonts w:ascii="Arial" w:cs="Arial" w:eastAsia="Arial" w:hAnsi="Arial"/>
                <w:sz w:val="14"/>
                <w:szCs w:val="14"/>
                <w:color w:val="auto"/>
              </w:rPr>
              <w:t>10,549,454</w:t>
            </w:r>
          </w:p>
        </w:tc>
        <w:tc>
          <w:tcPr>
            <w:tcW w:w="1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6.6 %</w:t>
            </w:r>
          </w:p>
        </w:tc>
        <w:tc>
          <w:tcPr>
            <w:tcW w:w="120" w:type="dxa"/>
            <w:vAlign w:val="bottom"/>
          </w:tcPr>
          <w:p>
            <w:pPr>
              <w:spacing w:after="0"/>
              <w:rPr>
                <w:sz w:val="15"/>
                <w:szCs w:val="15"/>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640" w:type="dxa"/>
            <w:vAlign w:val="bottom"/>
            <w:gridSpan w:val="2"/>
          </w:tcPr>
          <w:p>
            <w:pPr>
              <w:ind w:left="32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520" w:type="dxa"/>
            <w:vAlign w:val="bottom"/>
          </w:tcPr>
          <w:p>
            <w:pPr>
              <w:ind w:left="3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3"/>
        </w:trPr>
        <w:tc>
          <w:tcPr>
            <w:tcW w:w="860" w:type="dxa"/>
            <w:vAlign w:val="bottom"/>
          </w:tcPr>
          <w:p>
            <w:pPr>
              <w:jc w:val="right"/>
              <w:spacing w:after="0"/>
              <w:rPr>
                <w:sz w:val="20"/>
                <w:szCs w:val="20"/>
                <w:color w:val="auto"/>
              </w:rPr>
            </w:pPr>
            <w:r>
              <w:rPr>
                <w:rFonts w:ascii="Arial" w:cs="Arial" w:eastAsia="Arial" w:hAnsi="Arial"/>
                <w:sz w:val="14"/>
                <w:szCs w:val="14"/>
                <w:color w:val="auto"/>
              </w:rPr>
              <w:t>6,755,178</w:t>
            </w:r>
          </w:p>
        </w:tc>
        <w:tc>
          <w:tcPr>
            <w:tcW w:w="120" w:type="dxa"/>
            <w:vAlign w:val="bottom"/>
          </w:tcPr>
          <w:p>
            <w:pPr>
              <w:spacing w:after="0"/>
              <w:rPr>
                <w:sz w:val="16"/>
                <w:szCs w:val="16"/>
                <w:color w:val="auto"/>
              </w:rPr>
            </w:pPr>
          </w:p>
        </w:tc>
        <w:tc>
          <w:tcPr>
            <w:tcW w:w="640" w:type="dxa"/>
            <w:vAlign w:val="bottom"/>
          </w:tcPr>
          <w:p>
            <w:pPr>
              <w:jc w:val="right"/>
              <w:ind w:right="112"/>
              <w:spacing w:after="0"/>
              <w:rPr>
                <w:sz w:val="20"/>
                <w:szCs w:val="20"/>
                <w:color w:val="auto"/>
              </w:rPr>
            </w:pPr>
            <w:r>
              <w:rPr>
                <w:rFonts w:ascii="Arial" w:cs="Arial" w:eastAsia="Arial" w:hAnsi="Arial"/>
                <w:sz w:val="14"/>
                <w:szCs w:val="14"/>
                <w:color w:val="auto"/>
              </w:rPr>
              <w:t>4.2</w:t>
            </w:r>
          </w:p>
        </w:tc>
        <w:tc>
          <w:tcPr>
            <w:tcW w:w="12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640" w:type="dxa"/>
            <w:vAlign w:val="bottom"/>
            <w:gridSpan w:val="2"/>
          </w:tcPr>
          <w:p>
            <w:pPr>
              <w:ind w:left="32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520" w:type="dxa"/>
            <w:vAlign w:val="bottom"/>
          </w:tcPr>
          <w:p>
            <w:pPr>
              <w:ind w:left="3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3"/>
        </w:trPr>
        <w:tc>
          <w:tcPr>
            <w:tcW w:w="860" w:type="dxa"/>
            <w:vAlign w:val="bottom"/>
          </w:tcPr>
          <w:p>
            <w:pPr>
              <w:jc w:val="right"/>
              <w:spacing w:after="0"/>
              <w:rPr>
                <w:sz w:val="20"/>
                <w:szCs w:val="20"/>
                <w:color w:val="auto"/>
              </w:rPr>
            </w:pPr>
            <w:r>
              <w:rPr>
                <w:rFonts w:ascii="Arial" w:cs="Arial" w:eastAsia="Arial" w:hAnsi="Arial"/>
                <w:sz w:val="14"/>
                <w:szCs w:val="14"/>
                <w:color w:val="auto"/>
              </w:rPr>
              <w:t>1,256,901</w:t>
            </w:r>
          </w:p>
        </w:tc>
        <w:tc>
          <w:tcPr>
            <w:tcW w:w="120" w:type="dxa"/>
            <w:vAlign w:val="bottom"/>
          </w:tcPr>
          <w:p>
            <w:pPr>
              <w:spacing w:after="0"/>
              <w:rPr>
                <w:sz w:val="16"/>
                <w:szCs w:val="16"/>
                <w:color w:val="auto"/>
              </w:rPr>
            </w:pPr>
          </w:p>
        </w:tc>
        <w:tc>
          <w:tcPr>
            <w:tcW w:w="640" w:type="dxa"/>
            <w:vAlign w:val="bottom"/>
          </w:tcPr>
          <w:p>
            <w:pPr>
              <w:jc w:val="right"/>
              <w:ind w:right="232"/>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640" w:type="dxa"/>
            <w:vAlign w:val="bottom"/>
            <w:gridSpan w:val="2"/>
          </w:tcPr>
          <w:p>
            <w:pPr>
              <w:ind w:left="32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520" w:type="dxa"/>
            <w:vAlign w:val="bottom"/>
          </w:tcPr>
          <w:p>
            <w:pPr>
              <w:ind w:left="3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3"/>
        </w:trPr>
        <w:tc>
          <w:tcPr>
            <w:tcW w:w="9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640" w:type="dxa"/>
            <w:vAlign w:val="bottom"/>
            <w:gridSpan w:val="2"/>
          </w:tcPr>
          <w:p>
            <w:pPr>
              <w:ind w:left="32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520" w:type="dxa"/>
            <w:vAlign w:val="bottom"/>
          </w:tcPr>
          <w:p>
            <w:pPr>
              <w:ind w:left="3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3"/>
        </w:trPr>
        <w:tc>
          <w:tcPr>
            <w:tcW w:w="860" w:type="dxa"/>
            <w:vAlign w:val="bottom"/>
          </w:tcPr>
          <w:p>
            <w:pPr>
              <w:jc w:val="right"/>
              <w:spacing w:after="0"/>
              <w:rPr>
                <w:sz w:val="20"/>
                <w:szCs w:val="20"/>
                <w:color w:val="auto"/>
              </w:rPr>
            </w:pPr>
            <w:r>
              <w:rPr>
                <w:rFonts w:ascii="Arial" w:cs="Arial" w:eastAsia="Arial" w:hAnsi="Arial"/>
                <w:sz w:val="14"/>
                <w:szCs w:val="14"/>
                <w:color w:val="auto"/>
              </w:rPr>
              <w:t>250,418</w:t>
            </w:r>
          </w:p>
        </w:tc>
        <w:tc>
          <w:tcPr>
            <w:tcW w:w="120" w:type="dxa"/>
            <w:vAlign w:val="bottom"/>
          </w:tcPr>
          <w:p>
            <w:pPr>
              <w:spacing w:after="0"/>
              <w:rPr>
                <w:sz w:val="16"/>
                <w:szCs w:val="16"/>
                <w:color w:val="auto"/>
              </w:rPr>
            </w:pPr>
          </w:p>
        </w:tc>
        <w:tc>
          <w:tcPr>
            <w:tcW w:w="640" w:type="dxa"/>
            <w:vAlign w:val="bottom"/>
          </w:tcPr>
          <w:p>
            <w:pPr>
              <w:jc w:val="right"/>
              <w:ind w:right="232"/>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640" w:type="dxa"/>
            <w:vAlign w:val="bottom"/>
            <w:gridSpan w:val="2"/>
          </w:tcPr>
          <w:p>
            <w:pPr>
              <w:ind w:left="32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520" w:type="dxa"/>
            <w:vAlign w:val="bottom"/>
          </w:tcPr>
          <w:p>
            <w:pPr>
              <w:ind w:left="3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3"/>
        </w:trPr>
        <w:tc>
          <w:tcPr>
            <w:tcW w:w="860" w:type="dxa"/>
            <w:vAlign w:val="bottom"/>
          </w:tcPr>
          <w:p>
            <w:pPr>
              <w:jc w:val="right"/>
              <w:spacing w:after="0"/>
              <w:rPr>
                <w:sz w:val="20"/>
                <w:szCs w:val="20"/>
                <w:color w:val="auto"/>
              </w:rPr>
            </w:pPr>
            <w:r>
              <w:rPr>
                <w:rFonts w:ascii="Arial" w:cs="Arial" w:eastAsia="Arial" w:hAnsi="Arial"/>
                <w:sz w:val="14"/>
                <w:szCs w:val="14"/>
                <w:color w:val="auto"/>
              </w:rPr>
              <w:t>6,493,406</w:t>
            </w:r>
          </w:p>
        </w:tc>
        <w:tc>
          <w:tcPr>
            <w:tcW w:w="120" w:type="dxa"/>
            <w:vAlign w:val="bottom"/>
          </w:tcPr>
          <w:p>
            <w:pPr>
              <w:spacing w:after="0"/>
              <w:rPr>
                <w:sz w:val="16"/>
                <w:szCs w:val="16"/>
                <w:color w:val="auto"/>
              </w:rPr>
            </w:pPr>
          </w:p>
        </w:tc>
        <w:tc>
          <w:tcPr>
            <w:tcW w:w="640" w:type="dxa"/>
            <w:vAlign w:val="bottom"/>
          </w:tcPr>
          <w:p>
            <w:pPr>
              <w:jc w:val="right"/>
              <w:ind w:right="112"/>
              <w:spacing w:after="0"/>
              <w:rPr>
                <w:sz w:val="20"/>
                <w:szCs w:val="20"/>
                <w:color w:val="auto"/>
              </w:rPr>
            </w:pPr>
            <w:r>
              <w:rPr>
                <w:rFonts w:ascii="Arial" w:cs="Arial" w:eastAsia="Arial" w:hAnsi="Arial"/>
                <w:sz w:val="14"/>
                <w:szCs w:val="14"/>
                <w:color w:val="auto"/>
              </w:rPr>
              <w:t>4.1</w:t>
            </w:r>
          </w:p>
        </w:tc>
        <w:tc>
          <w:tcPr>
            <w:tcW w:w="12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640" w:type="dxa"/>
            <w:vAlign w:val="bottom"/>
            <w:gridSpan w:val="2"/>
          </w:tcPr>
          <w:p>
            <w:pPr>
              <w:ind w:left="32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520" w:type="dxa"/>
            <w:vAlign w:val="bottom"/>
          </w:tcPr>
          <w:p>
            <w:pPr>
              <w:ind w:left="3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3"/>
        </w:trPr>
        <w:tc>
          <w:tcPr>
            <w:tcW w:w="9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640" w:type="dxa"/>
            <w:vAlign w:val="bottom"/>
            <w:gridSpan w:val="2"/>
          </w:tcPr>
          <w:p>
            <w:pPr>
              <w:ind w:left="32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520" w:type="dxa"/>
            <w:vAlign w:val="bottom"/>
          </w:tcPr>
          <w:p>
            <w:pPr>
              <w:ind w:left="3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3"/>
        </w:trPr>
        <w:tc>
          <w:tcPr>
            <w:tcW w:w="9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640" w:type="dxa"/>
            <w:vAlign w:val="bottom"/>
            <w:gridSpan w:val="2"/>
          </w:tcPr>
          <w:p>
            <w:pPr>
              <w:ind w:left="32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520" w:type="dxa"/>
            <w:vAlign w:val="bottom"/>
          </w:tcPr>
          <w:p>
            <w:pPr>
              <w:ind w:left="3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3"/>
        </w:trPr>
        <w:tc>
          <w:tcPr>
            <w:tcW w:w="9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232"/>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19,211</w:t>
            </w:r>
          </w:p>
        </w:tc>
        <w:tc>
          <w:tcPr>
            <w:tcW w:w="100" w:type="dxa"/>
            <w:vAlign w:val="bottom"/>
          </w:tcPr>
          <w:p>
            <w:pPr>
              <w:spacing w:after="0"/>
              <w:rPr>
                <w:sz w:val="16"/>
                <w:szCs w:val="16"/>
                <w:color w:val="auto"/>
              </w:rPr>
            </w:pPr>
          </w:p>
        </w:tc>
        <w:tc>
          <w:tcPr>
            <w:tcW w:w="520" w:type="dxa"/>
            <w:vAlign w:val="bottom"/>
          </w:tcPr>
          <w:p>
            <w:pPr>
              <w:ind w:lef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00" w:type="dxa"/>
            <w:vAlign w:val="bottom"/>
          </w:tcPr>
          <w:p>
            <w:pPr>
              <w:jc w:val="right"/>
              <w:ind w:right="13"/>
              <w:spacing w:after="0"/>
              <w:rPr>
                <w:sz w:val="20"/>
                <w:szCs w:val="20"/>
                <w:color w:val="auto"/>
              </w:rPr>
            </w:pPr>
            <w:r>
              <w:rPr>
                <w:rFonts w:ascii="Arial" w:cs="Arial" w:eastAsia="Arial" w:hAnsi="Arial"/>
                <w:sz w:val="14"/>
                <w:szCs w:val="14"/>
                <w:color w:val="auto"/>
              </w:rPr>
              <w:t>30,000</w:t>
            </w:r>
          </w:p>
        </w:tc>
        <w:tc>
          <w:tcPr>
            <w:tcW w:w="120" w:type="dxa"/>
            <w:vAlign w:val="bottom"/>
          </w:tcPr>
          <w:p>
            <w:pPr>
              <w:spacing w:after="0"/>
              <w:rPr>
                <w:sz w:val="16"/>
                <w:szCs w:val="16"/>
                <w:color w:val="auto"/>
              </w:rPr>
            </w:pPr>
          </w:p>
        </w:tc>
        <w:tc>
          <w:tcPr>
            <w:tcW w:w="520" w:type="dxa"/>
            <w:vAlign w:val="bottom"/>
          </w:tcPr>
          <w:p>
            <w:pPr>
              <w:ind w:left="2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3"/>
        </w:trPr>
        <w:tc>
          <w:tcPr>
            <w:tcW w:w="9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640" w:type="dxa"/>
            <w:vAlign w:val="bottom"/>
            <w:gridSpan w:val="2"/>
          </w:tcPr>
          <w:p>
            <w:pPr>
              <w:ind w:left="32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520" w:type="dxa"/>
            <w:vAlign w:val="bottom"/>
          </w:tcPr>
          <w:p>
            <w:pPr>
              <w:ind w:left="3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3"/>
        </w:trPr>
        <w:tc>
          <w:tcPr>
            <w:tcW w:w="9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640" w:type="dxa"/>
            <w:vAlign w:val="bottom"/>
            <w:gridSpan w:val="2"/>
          </w:tcPr>
          <w:p>
            <w:pPr>
              <w:ind w:left="32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520" w:type="dxa"/>
            <w:vAlign w:val="bottom"/>
          </w:tcPr>
          <w:p>
            <w:pPr>
              <w:ind w:left="2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3"/>
        </w:trPr>
        <w:tc>
          <w:tcPr>
            <w:tcW w:w="860" w:type="dxa"/>
            <w:vAlign w:val="bottom"/>
          </w:tcPr>
          <w:p>
            <w:pPr>
              <w:jc w:val="right"/>
              <w:spacing w:after="0"/>
              <w:rPr>
                <w:sz w:val="20"/>
                <w:szCs w:val="20"/>
                <w:color w:val="auto"/>
              </w:rPr>
            </w:pPr>
            <w:r>
              <w:rPr>
                <w:rFonts w:ascii="Arial" w:cs="Arial" w:eastAsia="Arial" w:hAnsi="Arial"/>
                <w:sz w:val="14"/>
                <w:szCs w:val="14"/>
                <w:color w:val="auto"/>
              </w:rPr>
              <w:t>1,770</w:t>
            </w:r>
          </w:p>
        </w:tc>
        <w:tc>
          <w:tcPr>
            <w:tcW w:w="120" w:type="dxa"/>
            <w:vAlign w:val="bottom"/>
          </w:tcPr>
          <w:p>
            <w:pPr>
              <w:spacing w:after="0"/>
              <w:rPr>
                <w:sz w:val="16"/>
                <w:szCs w:val="16"/>
                <w:color w:val="auto"/>
              </w:rPr>
            </w:pPr>
          </w:p>
        </w:tc>
        <w:tc>
          <w:tcPr>
            <w:tcW w:w="640" w:type="dxa"/>
            <w:vAlign w:val="bottom"/>
          </w:tcPr>
          <w:p>
            <w:pPr>
              <w:jc w:val="right"/>
              <w:ind w:right="232"/>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640" w:type="dxa"/>
            <w:vAlign w:val="bottom"/>
            <w:gridSpan w:val="2"/>
          </w:tcPr>
          <w:p>
            <w:pPr>
              <w:ind w:left="32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520" w:type="dxa"/>
            <w:vAlign w:val="bottom"/>
          </w:tcPr>
          <w:p>
            <w:pPr>
              <w:ind w:left="3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606"/>
        </w:trPr>
        <w:tc>
          <w:tcPr>
            <w:tcW w:w="860" w:type="dxa"/>
            <w:vAlign w:val="bottom"/>
          </w:tcPr>
          <w:p>
            <w:pPr>
              <w:jc w:val="right"/>
              <w:spacing w:after="0"/>
              <w:rPr>
                <w:sz w:val="20"/>
                <w:szCs w:val="20"/>
                <w:color w:val="auto"/>
              </w:rPr>
            </w:pPr>
            <w:r>
              <w:rPr>
                <w:rFonts w:ascii="Arial" w:cs="Arial" w:eastAsia="Arial" w:hAnsi="Arial"/>
                <w:sz w:val="14"/>
                <w:szCs w:val="14"/>
                <w:color w:val="auto"/>
              </w:rPr>
              <w:t>25,307,127</w:t>
            </w:r>
          </w:p>
        </w:tc>
        <w:tc>
          <w:tcPr>
            <w:tcW w:w="120" w:type="dxa"/>
            <w:vAlign w:val="bottom"/>
          </w:tcPr>
          <w:p>
            <w:pPr>
              <w:spacing w:after="0"/>
              <w:rPr>
                <w:sz w:val="24"/>
                <w:szCs w:val="24"/>
                <w:color w:val="auto"/>
              </w:rPr>
            </w:pPr>
          </w:p>
        </w:tc>
        <w:tc>
          <w:tcPr>
            <w:tcW w:w="640" w:type="dxa"/>
            <w:vAlign w:val="bottom"/>
          </w:tcPr>
          <w:p>
            <w:pPr>
              <w:jc w:val="right"/>
              <w:ind w:right="112"/>
              <w:spacing w:after="0"/>
              <w:rPr>
                <w:sz w:val="20"/>
                <w:szCs w:val="20"/>
                <w:color w:val="auto"/>
              </w:rPr>
            </w:pPr>
            <w:r>
              <w:rPr>
                <w:rFonts w:ascii="Arial" w:cs="Arial" w:eastAsia="Arial" w:hAnsi="Arial"/>
                <w:sz w:val="14"/>
                <w:szCs w:val="14"/>
                <w:color w:val="auto"/>
              </w:rPr>
              <w:t>15.8</w:t>
            </w:r>
          </w:p>
        </w:tc>
        <w:tc>
          <w:tcPr>
            <w:tcW w:w="1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19,211</w:t>
            </w:r>
          </w:p>
        </w:tc>
        <w:tc>
          <w:tcPr>
            <w:tcW w:w="100" w:type="dxa"/>
            <w:vAlign w:val="bottom"/>
          </w:tcPr>
          <w:p>
            <w:pPr>
              <w:spacing w:after="0"/>
              <w:rPr>
                <w:sz w:val="24"/>
                <w:szCs w:val="24"/>
                <w:color w:val="auto"/>
              </w:rPr>
            </w:pPr>
          </w:p>
        </w:tc>
        <w:tc>
          <w:tcPr>
            <w:tcW w:w="520" w:type="dxa"/>
            <w:vAlign w:val="bottom"/>
          </w:tcPr>
          <w:p>
            <w:pPr>
              <w:ind w:lef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800" w:type="dxa"/>
            <w:vAlign w:val="bottom"/>
          </w:tcPr>
          <w:p>
            <w:pPr>
              <w:jc w:val="right"/>
              <w:ind w:right="13"/>
              <w:spacing w:after="0"/>
              <w:rPr>
                <w:sz w:val="20"/>
                <w:szCs w:val="20"/>
                <w:color w:val="auto"/>
              </w:rPr>
            </w:pPr>
            <w:r>
              <w:rPr>
                <w:rFonts w:ascii="Arial" w:cs="Arial" w:eastAsia="Arial" w:hAnsi="Arial"/>
                <w:sz w:val="14"/>
                <w:szCs w:val="14"/>
                <w:color w:val="auto"/>
              </w:rPr>
              <w:t>30,000</w:t>
            </w:r>
          </w:p>
        </w:tc>
        <w:tc>
          <w:tcPr>
            <w:tcW w:w="120" w:type="dxa"/>
            <w:vAlign w:val="bottom"/>
          </w:tcPr>
          <w:p>
            <w:pPr>
              <w:spacing w:after="0"/>
              <w:rPr>
                <w:sz w:val="24"/>
                <w:szCs w:val="24"/>
                <w:color w:val="auto"/>
              </w:rPr>
            </w:pPr>
          </w:p>
        </w:tc>
        <w:tc>
          <w:tcPr>
            <w:tcW w:w="520" w:type="dxa"/>
            <w:vAlign w:val="bottom"/>
          </w:tcPr>
          <w:p>
            <w:pPr>
              <w:ind w:left="2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657"/>
        </w:trPr>
        <w:tc>
          <w:tcPr>
            <w:tcW w:w="9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640" w:type="dxa"/>
            <w:vAlign w:val="bottom"/>
            <w:gridSpan w:val="2"/>
          </w:tcPr>
          <w:p>
            <w:pPr>
              <w:ind w:left="32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520" w:type="dxa"/>
            <w:vAlign w:val="bottom"/>
          </w:tcPr>
          <w:p>
            <w:pPr>
              <w:ind w:left="3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464"/>
        </w:trPr>
        <w:tc>
          <w:tcPr>
            <w:tcW w:w="9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640" w:type="dxa"/>
            <w:vAlign w:val="bottom"/>
            <w:gridSpan w:val="2"/>
          </w:tcPr>
          <w:p>
            <w:pPr>
              <w:ind w:left="32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520" w:type="dxa"/>
            <w:vAlign w:val="bottom"/>
          </w:tcPr>
          <w:p>
            <w:pPr>
              <w:ind w:left="3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5697" w:space="120"/>
            <w:col w:w="5300"/>
          </w:cols>
          <w:pgMar w:left="323" w:top="968" w:right="459" w:bottom="1440" w:gutter="0" w:footer="0" w:header="0"/>
        </w:sectPr>
      </w:pPr>
    </w:p>
    <w:p>
      <w:pPr>
        <w:spacing w:after="0" w:line="105" w:lineRule="exact"/>
        <w:rPr>
          <w:sz w:val="20"/>
          <w:szCs w:val="20"/>
          <w:color w:val="auto"/>
        </w:rPr>
      </w:pPr>
    </w:p>
    <w:p>
      <w:pPr>
        <w:ind w:left="237" w:hanging="237"/>
        <w:spacing w:after="0"/>
        <w:tabs>
          <w:tab w:leader="none" w:pos="237" w:val="left"/>
        </w:tabs>
        <w:numPr>
          <w:ilvl w:val="0"/>
          <w:numId w:val="48"/>
        </w:numPr>
        <w:rPr>
          <w:rFonts w:ascii="Arial" w:cs="Arial" w:eastAsia="Arial" w:hAnsi="Arial"/>
          <w:sz w:val="15"/>
          <w:szCs w:val="15"/>
          <w:color w:val="auto"/>
        </w:rPr>
      </w:pPr>
      <w:r>
        <w:rPr>
          <w:rFonts w:ascii="Arial" w:cs="Arial" w:eastAsia="Arial" w:hAnsi="Arial"/>
          <w:sz w:val="15"/>
          <w:szCs w:val="15"/>
          <w:color w:val="auto"/>
        </w:rPr>
        <w:t>Represents less than 1%.</w:t>
      </w:r>
    </w:p>
    <w:p>
      <w:pPr>
        <w:spacing w:after="0" w:line="9" w:lineRule="exact"/>
        <w:rPr>
          <w:sz w:val="20"/>
          <w:szCs w:val="20"/>
          <w:color w:val="auto"/>
        </w:rPr>
      </w:pPr>
    </w:p>
    <w:p>
      <w:pPr>
        <w:ind w:left="377" w:hanging="377"/>
        <w:spacing w:after="0" w:line="246" w:lineRule="auto"/>
        <w:tabs>
          <w:tab w:leader="none" w:pos="351" w:val="left"/>
        </w:tabs>
        <w:numPr>
          <w:ilvl w:val="0"/>
          <w:numId w:val="49"/>
        </w:numPr>
        <w:rPr>
          <w:rFonts w:ascii="Arial" w:cs="Arial" w:eastAsia="Arial" w:hAnsi="Arial"/>
          <w:sz w:val="15"/>
          <w:szCs w:val="15"/>
          <w:color w:val="auto"/>
        </w:rPr>
      </w:pPr>
      <w:r>
        <w:rPr>
          <w:rFonts w:ascii="Arial" w:cs="Arial" w:eastAsia="Arial" w:hAnsi="Arial"/>
          <w:sz w:val="15"/>
          <w:szCs w:val="15"/>
          <w:color w:val="auto"/>
        </w:rPr>
        <w:t>Subject to certain restrictions, each OCGH unitholder, OEP unitholder and OEP II unitholder has the right to exchange his or her vested units for cash and/or Brookfield Class A shares. Exchange consideration for OCGH units may also include notes issued by a Brookfield subsidiary and/or equity interests in a subsidiary of OCGH that will entitle such unitholder to the proceeds from a note. The form of the consideration in an exchange is generally in the discretion of Brookfield, subject to certain limitations.</w:t>
      </w:r>
    </w:p>
    <w:p>
      <w:pPr>
        <w:spacing w:after="0" w:line="1" w:lineRule="exact"/>
        <w:rPr>
          <w:rFonts w:ascii="Arial" w:cs="Arial" w:eastAsia="Arial" w:hAnsi="Arial"/>
          <w:sz w:val="15"/>
          <w:szCs w:val="15"/>
          <w:color w:val="auto"/>
        </w:rPr>
      </w:pPr>
    </w:p>
    <w:p>
      <w:pPr>
        <w:ind w:left="377" w:hanging="377"/>
        <w:spacing w:after="0" w:line="265" w:lineRule="auto"/>
        <w:tabs>
          <w:tab w:leader="none" w:pos="351" w:val="left"/>
        </w:tabs>
        <w:numPr>
          <w:ilvl w:val="0"/>
          <w:numId w:val="49"/>
        </w:numPr>
        <w:rPr>
          <w:rFonts w:ascii="Arial" w:cs="Arial" w:eastAsia="Arial" w:hAnsi="Arial"/>
          <w:sz w:val="15"/>
          <w:szCs w:val="15"/>
          <w:color w:val="auto"/>
        </w:rPr>
      </w:pPr>
      <w:r>
        <w:rPr>
          <w:rFonts w:ascii="Arial" w:cs="Arial" w:eastAsia="Arial" w:hAnsi="Arial"/>
          <w:sz w:val="15"/>
          <w:szCs w:val="15"/>
          <w:color w:val="auto"/>
        </w:rPr>
        <w:t>Excludes 41,558,979 Class B units held by OCGH. The general partner of OCGH is Oaktree Capital Group Holdings GP, LLC. In their capacities as members of the executive committee of Oaktree Capital Group Holdings GP, LLC holding more than 50% of the aggregate number of OCGH units held by all of the members of the executive committee as a group, Mr. Marks and Mr. Karsh may be deemed to be beneficial owners of the securities held by OCGH. Each of Mr. Marks and Mr. Karsh disclaims beneficial ownership of such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16"/>
        <w:spacing w:after="0"/>
        <w:rPr>
          <w:sz w:val="20"/>
          <w:szCs w:val="20"/>
          <w:color w:val="auto"/>
        </w:rPr>
      </w:pPr>
      <w:r>
        <w:rPr>
          <w:rFonts w:ascii="Arial" w:cs="Arial" w:eastAsia="Arial" w:hAnsi="Arial"/>
          <w:sz w:val="17"/>
          <w:szCs w:val="17"/>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70485</wp:posOffset>
            </wp:positionV>
            <wp:extent cx="7164070" cy="4191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17"/>
          </w:cols>
          <w:pgMar w:left="323" w:top="968" w:right="459" w:bottom="1440" w:gutter="0" w:footer="0" w:header="0"/>
          <w:type w:val="continuous"/>
        </w:sectPr>
      </w:pPr>
    </w:p>
    <w:bookmarkStart w:id="119" w:name="page120"/>
    <w:bookmarkEnd w:id="119"/>
    <w:p>
      <w:pPr>
        <w:ind w:right="4340"/>
        <w:spacing w:after="0" w:line="373" w:lineRule="auto"/>
        <w:rPr>
          <w:sz w:val="20"/>
          <w:szCs w:val="20"/>
          <w:color w:val="auto"/>
        </w:rPr>
      </w:pPr>
      <w:r>
        <w:rPr>
          <w:rFonts w:ascii="Arial" w:cs="Arial" w:eastAsia="Arial" w:hAnsi="Arial"/>
          <w:sz w:val="17"/>
          <w:szCs w:val="17"/>
          <w:b w:val="1"/>
          <w:bCs w:val="1"/>
          <w:color w:val="auto"/>
        </w:rPr>
        <w:t>Item 13. Certain Relationships and Related Transactions, and Director Independence Exchange Agreement</w:t>
      </w:r>
    </w:p>
    <w:p>
      <w:pPr>
        <w:ind w:firstLine="503"/>
        <w:spacing w:after="0"/>
        <w:rPr>
          <w:sz w:val="20"/>
          <w:szCs w:val="20"/>
          <w:color w:val="auto"/>
        </w:rPr>
      </w:pPr>
      <w:r>
        <w:rPr>
          <w:rFonts w:ascii="Arial" w:cs="Arial" w:eastAsia="Arial" w:hAnsi="Arial"/>
          <w:sz w:val="17"/>
          <w:szCs w:val="17"/>
          <w:color w:val="auto"/>
        </w:rPr>
        <w:t>The Fifth Amended and Restated Exchange Agreement allows, among other things, limited partners of OCGH to exchange their OCGH units that have vested for cash, Brookfield Class A Shares, Brookfield Asset Management Ltd. Class A Shares, notes issued by a Brookfield subsidiary or equity interests in a subsidiary of OCGH that will entitle such limited partners to the proceeds from a note. Either of such notes will have a three-year maturity and will accrue interest at the then-current 5-year treasury note rate plus 3%. Only Converted OCGH Units (each “Converted OCGH Unit” being an OCGH Unit that was converted from one unvested Class A Unit held by a current, or in certain cases former, employee, officer or director of Oaktree or its subsidiaries at the closing of the Mergers), OCGH Units issued and outstanding at the time of the closing of the Mergers,</w:t>
      </w:r>
    </w:p>
    <w:p>
      <w:pPr>
        <w:spacing w:after="0" w:line="3" w:lineRule="exact"/>
        <w:rPr>
          <w:sz w:val="20"/>
          <w:szCs w:val="20"/>
          <w:color w:val="auto"/>
        </w:rPr>
      </w:pPr>
    </w:p>
    <w:p>
      <w:pPr>
        <w:ind w:right="220"/>
        <w:spacing w:after="0" w:line="229" w:lineRule="auto"/>
        <w:rPr>
          <w:sz w:val="20"/>
          <w:szCs w:val="20"/>
          <w:color w:val="auto"/>
        </w:rPr>
      </w:pPr>
      <w:r>
        <w:rPr>
          <w:rFonts w:ascii="Arial" w:cs="Arial" w:eastAsia="Arial" w:hAnsi="Arial"/>
          <w:sz w:val="17"/>
          <w:szCs w:val="17"/>
          <w:color w:val="auto"/>
        </w:rPr>
        <w:t>OCGH Units issued after the closing of the Mergers pursuant to agreements in effect on March 13, 2019, OCGH Units issuable upon vesting of certain phantom equity awards (“Phantom Units”) and other OCGH Units consented to by Brookfield will, when vested, be eligible to participate in</w:t>
      </w:r>
    </w:p>
    <w:p>
      <w:pPr>
        <w:spacing w:after="0" w:line="1" w:lineRule="exact"/>
        <w:rPr>
          <w:sz w:val="20"/>
          <w:szCs w:val="20"/>
          <w:color w:val="auto"/>
        </w:rPr>
      </w:pPr>
    </w:p>
    <w:p>
      <w:pPr>
        <w:ind w:right="160"/>
        <w:spacing w:after="0" w:line="243" w:lineRule="auto"/>
        <w:rPr>
          <w:sz w:val="20"/>
          <w:szCs w:val="20"/>
          <w:color w:val="auto"/>
        </w:rPr>
      </w:pPr>
      <w:r>
        <w:rPr>
          <w:rFonts w:ascii="Arial" w:cs="Arial" w:eastAsia="Arial" w:hAnsi="Arial"/>
          <w:sz w:val="17"/>
          <w:szCs w:val="17"/>
          <w:color w:val="auto"/>
        </w:rPr>
        <w:t>an exchange. The form of the consideration in an exchange is generally in the discretion of Brookfield, subject to certain limitations. On May 14, 2024, Oaktree entered into the Fifth Amended and Restated Exchange Agreement to, among other things, add Brookfield Asset Management Ltd. (“BAM”), a subsidiary of Brookfield, to the agreement, and allow Brookfield to elect and deliver the BAM Class A Shares as consideration for a portion of the exchange completed therein.</w:t>
      </w:r>
    </w:p>
    <w:p>
      <w:pPr>
        <w:spacing w:after="0" w:line="82" w:lineRule="exact"/>
        <w:rPr>
          <w:sz w:val="20"/>
          <w:szCs w:val="20"/>
          <w:color w:val="auto"/>
        </w:rPr>
      </w:pPr>
    </w:p>
    <w:p>
      <w:pPr>
        <w:ind w:right="300" w:firstLine="503"/>
        <w:spacing w:after="0" w:line="271" w:lineRule="auto"/>
        <w:rPr>
          <w:sz w:val="20"/>
          <w:szCs w:val="20"/>
          <w:color w:val="auto"/>
        </w:rPr>
      </w:pPr>
      <w:r>
        <w:rPr>
          <w:rFonts w:ascii="Arial" w:cs="Arial" w:eastAsia="Arial" w:hAnsi="Arial"/>
          <w:sz w:val="17"/>
          <w:szCs w:val="17"/>
          <w:color w:val="auto"/>
        </w:rPr>
        <w:t>In general, OCGH limited partners are entitled to provide an election notice to participate in an exchange with respect to eligible vested OCGH Units during the first 60 calendar days of each year. Each exchange will be consummated within the first 155 days of such calendar year, subject to extension in certain circumstances.</w:t>
      </w:r>
    </w:p>
    <w:p>
      <w:pPr>
        <w:spacing w:after="0" w:line="5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2022 Restructuring</w:t>
      </w:r>
    </w:p>
    <w:p>
      <w:pPr>
        <w:spacing w:after="0" w:line="103" w:lineRule="exact"/>
        <w:rPr>
          <w:sz w:val="20"/>
          <w:szCs w:val="20"/>
          <w:color w:val="auto"/>
        </w:rPr>
      </w:pPr>
    </w:p>
    <w:p>
      <w:pPr>
        <w:ind w:firstLine="464"/>
        <w:spacing w:after="0"/>
        <w:rPr>
          <w:sz w:val="20"/>
          <w:szCs w:val="20"/>
          <w:color w:val="auto"/>
        </w:rPr>
      </w:pPr>
      <w:r>
        <w:rPr>
          <w:rFonts w:ascii="Arial" w:cs="Arial" w:eastAsia="Arial" w:hAnsi="Arial"/>
          <w:sz w:val="17"/>
          <w:szCs w:val="17"/>
          <w:color w:val="auto"/>
        </w:rPr>
        <w:t>On November 30, 2022, in connection with an internal Oaktree reorganization to facilitate the separation of Brookfield’s capital business and asset management business, we and certain other entities entered into a restructuring agreement related to the 2022 Restructuring. As a result of the 2022 Restructuring, we (i) distributed all of our interests in the economic shares of Oaktree Holdings, Ltd., the parent entity of OCM Cayman, to our sole Class A unitholder and (ii) transferred all of our interests in the voting shares of Oaktree Holdings, Ltd. to Oaktree Capital Holdings, LLC, which is a non-subsidiary affiliate of ours. Accordingly, subsequent to the 2022 Restructuring, the Company’s operations were conducted through an indirect economic interest in only one of the Oaktree Operating Group entities, specifically Oaktree Capital I, and because we no longer hold an economic interest in OCM Cayman or a voting interest in its general partner, OCM Cayman was deconsolidated as of the effective date of the 2022</w:t>
      </w:r>
    </w:p>
    <w:p>
      <w:pPr>
        <w:spacing w:after="0" w:line="1" w:lineRule="exact"/>
        <w:rPr>
          <w:sz w:val="20"/>
          <w:szCs w:val="20"/>
          <w:color w:val="auto"/>
        </w:rPr>
      </w:pPr>
    </w:p>
    <w:p>
      <w:pPr>
        <w:ind w:right="40"/>
        <w:spacing w:after="0" w:line="229" w:lineRule="auto"/>
        <w:rPr>
          <w:sz w:val="20"/>
          <w:szCs w:val="20"/>
          <w:color w:val="auto"/>
        </w:rPr>
      </w:pPr>
      <w:r>
        <w:rPr>
          <w:rFonts w:ascii="Arial" w:cs="Arial" w:eastAsia="Arial" w:hAnsi="Arial"/>
          <w:sz w:val="17"/>
          <w:szCs w:val="17"/>
          <w:color w:val="auto"/>
        </w:rPr>
        <w:t>Restructuring. Further, we concluded that we were no longer the primary beneficiary for CLOs as their direct ownership interests were held by OCM Cayman. Additionally, subsequent to the 2022 Restructuring, we no longer earned management fees or subadvisory fees from Oaktree’s funds or</w:t>
      </w:r>
    </w:p>
    <w:p>
      <w:pPr>
        <w:spacing w:after="0" w:line="1" w:lineRule="exact"/>
        <w:rPr>
          <w:sz w:val="20"/>
          <w:szCs w:val="20"/>
          <w:color w:val="auto"/>
        </w:rPr>
      </w:pPr>
    </w:p>
    <w:p>
      <w:pPr>
        <w:jc w:val="both"/>
        <w:ind w:right="140"/>
        <w:spacing w:after="0" w:line="246" w:lineRule="auto"/>
        <w:rPr>
          <w:sz w:val="20"/>
          <w:szCs w:val="20"/>
          <w:color w:val="auto"/>
        </w:rPr>
      </w:pPr>
      <w:r>
        <w:rPr>
          <w:rFonts w:ascii="Arial" w:cs="Arial" w:eastAsia="Arial" w:hAnsi="Arial"/>
          <w:sz w:val="17"/>
          <w:szCs w:val="17"/>
          <w:color w:val="auto"/>
        </w:rPr>
        <w:t>their affiliates, and we were generally only entitled to earn one-third of the incentive income attributable to Oaktree Capital I in respect of Oaktree’s closed-end funds established in 2022 or later and in respect of incentive income from Oaktree’s evergreen funds earned subsequent to January 1, 2023.</w:t>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2024 Restructuring</w:t>
      </w:r>
    </w:p>
    <w:p>
      <w:pPr>
        <w:spacing w:after="0" w:line="232" w:lineRule="exact"/>
        <w:rPr>
          <w:sz w:val="20"/>
          <w:szCs w:val="20"/>
          <w:color w:val="auto"/>
        </w:rPr>
      </w:pPr>
    </w:p>
    <w:p>
      <w:pPr>
        <w:ind w:right="320" w:firstLine="619"/>
        <w:spacing w:after="0" w:line="246" w:lineRule="auto"/>
        <w:rPr>
          <w:sz w:val="20"/>
          <w:szCs w:val="20"/>
          <w:color w:val="auto"/>
        </w:rPr>
      </w:pPr>
      <w:r>
        <w:rPr>
          <w:rFonts w:ascii="Arial" w:cs="Arial" w:eastAsia="Arial" w:hAnsi="Arial"/>
          <w:sz w:val="17"/>
          <w:szCs w:val="17"/>
          <w:color w:val="auto"/>
        </w:rPr>
        <w:t>On July 1, 2024, an internal Oaktree reorganization was effected whereby, among other things, the General Partner of Oaktree Capital I was changed from Brookfield OCM Holdings II, LLC to Oaktree Capital I GP, LLC, a newly formed subsidiary of Oaktree Capital Holdings, LLC. Brookfield OCM Holdings II, LLC remained a limited partner of Oaktree Capital I and retained its economic interest therein (the “2024 Restructuring”). See Item 8.01 of the Company’s Current Report on Form 8-K filed with the SEC on July 1, 2024 for more information about the 2024 Restructuring.</w:t>
      </w:r>
    </w:p>
    <w:p>
      <w:pPr>
        <w:spacing w:after="0" w:line="19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Letter Agreement with OCH</w:t>
      </w:r>
    </w:p>
    <w:p>
      <w:pPr>
        <w:spacing w:after="0" w:line="232" w:lineRule="exact"/>
        <w:rPr>
          <w:sz w:val="20"/>
          <w:szCs w:val="20"/>
          <w:color w:val="auto"/>
        </w:rPr>
      </w:pPr>
    </w:p>
    <w:p>
      <w:pPr>
        <w:ind w:left="620"/>
        <w:spacing w:after="0"/>
        <w:rPr>
          <w:sz w:val="20"/>
          <w:szCs w:val="20"/>
          <w:color w:val="auto"/>
        </w:rPr>
      </w:pPr>
      <w:r>
        <w:rPr>
          <w:rFonts w:ascii="Arial" w:cs="Arial" w:eastAsia="Arial" w:hAnsi="Arial"/>
          <w:sz w:val="17"/>
          <w:szCs w:val="17"/>
          <w:color w:val="auto"/>
        </w:rPr>
        <w:t>On March 20, 2024, the Company entered into a letter agreement (the “Letter Agreement”) with OCH whereby OCH agreed that, so long as</w:t>
      </w:r>
    </w:p>
    <w:p>
      <w:pPr>
        <w:spacing w:after="0" w:line="14" w:lineRule="exact"/>
        <w:rPr>
          <w:sz w:val="20"/>
          <w:szCs w:val="20"/>
          <w:color w:val="auto"/>
        </w:rPr>
      </w:pPr>
    </w:p>
    <w:p>
      <w:pPr>
        <w:ind w:right="340"/>
        <w:spacing w:after="0" w:line="229" w:lineRule="auto"/>
        <w:rPr>
          <w:sz w:val="20"/>
          <w:szCs w:val="20"/>
          <w:color w:val="auto"/>
        </w:rPr>
      </w:pPr>
      <w:r>
        <w:rPr>
          <w:rFonts w:ascii="Arial" w:cs="Arial" w:eastAsia="Arial" w:hAnsi="Arial"/>
          <w:sz w:val="17"/>
          <w:szCs w:val="17"/>
          <w:color w:val="auto"/>
        </w:rPr>
        <w:t>any (i) of the preferred units or (ii) the Series A Preferred Mirror Units or the Series B Preferred Mirror Units of Oaktree Capital I (collectively, the “Preferred Mirror Units”) are outstanding, for any then-current quarterly distribution period, unless distributions have been declared and paid or</w:t>
      </w:r>
    </w:p>
    <w:p>
      <w:pPr>
        <w:spacing w:after="0" w:line="1" w:lineRule="exact"/>
        <w:rPr>
          <w:sz w:val="20"/>
          <w:szCs w:val="20"/>
          <w:color w:val="auto"/>
        </w:rPr>
      </w:pPr>
    </w:p>
    <w:p>
      <w:pPr>
        <w:ind w:right="80"/>
        <w:spacing w:after="0" w:line="241" w:lineRule="auto"/>
        <w:rPr>
          <w:sz w:val="20"/>
          <w:szCs w:val="20"/>
          <w:color w:val="auto"/>
        </w:rPr>
      </w:pPr>
      <w:r>
        <w:rPr>
          <w:rFonts w:ascii="Arial" w:cs="Arial" w:eastAsia="Arial" w:hAnsi="Arial"/>
          <w:sz w:val="17"/>
          <w:szCs w:val="17"/>
          <w:color w:val="auto"/>
        </w:rPr>
        <w:t>declared and set apart for payment on the preferred units or the Preferred Mirror Units, then, in each case for such then-current quarterly distribution period only, OCH (a) shall not cause or permit any of its operating subsidiaries to repurchase such operating subsidiary’s common units or other junior units and (b) shall not cause or permit any of its operating subsidiaries to declare or pay or set apart payment for distributions on any of such operating subsidiary’s common units or other junior units, other than, in the case of each of clauses (a) and (b), certain permitted distributions, or repurchases or distributions the proceeds of which are used, directly or indirectly, to effect any permitted distribution.</w:t>
      </w: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959" w:right="339" w:bottom="1440" w:gutter="0" w:footer="0" w:header="0"/>
        </w:sectPr>
      </w:pPr>
    </w:p>
    <w:bookmarkStart w:id="120" w:name="page121"/>
    <w:bookmarkEnd w:id="120"/>
    <w:p>
      <w:pPr>
        <w:spacing w:after="0"/>
        <w:rPr>
          <w:sz w:val="20"/>
          <w:szCs w:val="20"/>
          <w:color w:val="auto"/>
        </w:rPr>
      </w:pPr>
      <w:r>
        <w:rPr>
          <w:rFonts w:ascii="Arial" w:cs="Arial" w:eastAsia="Arial" w:hAnsi="Arial"/>
          <w:sz w:val="17"/>
          <w:szCs w:val="17"/>
          <w:b w:val="1"/>
          <w:bCs w:val="1"/>
          <w:color w:val="auto"/>
        </w:rPr>
        <w:t>BOH Services Agreement with OCM</w:t>
      </w:r>
    </w:p>
    <w:p>
      <w:pPr>
        <w:spacing w:after="0" w:line="168" w:lineRule="exact"/>
        <w:rPr>
          <w:sz w:val="20"/>
          <w:szCs w:val="20"/>
          <w:color w:val="auto"/>
        </w:rPr>
      </w:pPr>
    </w:p>
    <w:p>
      <w:pPr>
        <w:ind w:right="40" w:firstLine="503"/>
        <w:spacing w:after="0" w:line="290" w:lineRule="auto"/>
        <w:rPr>
          <w:sz w:val="20"/>
          <w:szCs w:val="20"/>
          <w:color w:val="auto"/>
        </w:rPr>
      </w:pPr>
      <w:r>
        <w:rPr>
          <w:rFonts w:ascii="Arial" w:cs="Arial" w:eastAsia="Arial" w:hAnsi="Arial"/>
          <w:sz w:val="17"/>
          <w:szCs w:val="17"/>
          <w:color w:val="auto"/>
        </w:rPr>
        <w:t>BOH entered into a Services Agreement with OCM effective October 1, 2019 (the “Services Agreement”). OCM was an operating subsidiary of BOH prior to the 2019 Restructuring and provides certain services relating to the management and operation of our business.</w:t>
      </w:r>
    </w:p>
    <w:p>
      <w:pPr>
        <w:spacing w:after="0" w:line="43" w:lineRule="exact"/>
        <w:rPr>
          <w:sz w:val="20"/>
          <w:szCs w:val="20"/>
          <w:color w:val="auto"/>
        </w:rPr>
      </w:pPr>
    </w:p>
    <w:p>
      <w:pPr>
        <w:ind w:right="280" w:firstLine="503"/>
        <w:spacing w:after="0" w:line="290" w:lineRule="auto"/>
        <w:rPr>
          <w:sz w:val="20"/>
          <w:szCs w:val="20"/>
          <w:color w:val="auto"/>
        </w:rPr>
      </w:pPr>
      <w:r>
        <w:rPr>
          <w:rFonts w:ascii="Arial" w:cs="Arial" w:eastAsia="Arial" w:hAnsi="Arial"/>
          <w:sz w:val="17"/>
          <w:szCs w:val="17"/>
          <w:color w:val="auto"/>
        </w:rPr>
        <w:t>Under the Services Agreement, we are required to pay a fee of $750,000 to OCM annually for the services provided, payable in quarterly installments.</w:t>
      </w:r>
    </w:p>
    <w:p>
      <w:pPr>
        <w:spacing w:after="0" w:line="43" w:lineRule="exact"/>
        <w:rPr>
          <w:sz w:val="20"/>
          <w:szCs w:val="20"/>
          <w:color w:val="auto"/>
        </w:rPr>
      </w:pPr>
    </w:p>
    <w:p>
      <w:pPr>
        <w:ind w:left="500"/>
        <w:spacing w:after="0"/>
        <w:rPr>
          <w:sz w:val="20"/>
          <w:szCs w:val="20"/>
          <w:color w:val="auto"/>
        </w:rPr>
      </w:pPr>
      <w:r>
        <w:rPr>
          <w:rFonts w:ascii="Arial" w:cs="Arial" w:eastAsia="Arial" w:hAnsi="Arial"/>
          <w:sz w:val="17"/>
          <w:szCs w:val="17"/>
          <w:color w:val="auto"/>
        </w:rPr>
        <w:t>The Services Agreement has an indefinite term but may be terminated by us or OCM upon at least 90 days’ written notice to the other party.</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color w:val="auto"/>
        </w:rPr>
        <w:t>We incurred service fees of $750,000 for fiscal year 2025 under the Services Agreement.</w:t>
      </w:r>
    </w:p>
    <w:p>
      <w:pPr>
        <w:spacing w:after="0" w:line="9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Oaktree Operating Group Partnership Agreements</w:t>
      </w:r>
    </w:p>
    <w:p>
      <w:pPr>
        <w:spacing w:after="0" w:line="90" w:lineRule="exact"/>
        <w:rPr>
          <w:sz w:val="20"/>
          <w:szCs w:val="20"/>
          <w:color w:val="auto"/>
        </w:rPr>
      </w:pPr>
    </w:p>
    <w:p>
      <w:pPr>
        <w:ind w:firstLine="503"/>
        <w:spacing w:after="0" w:line="246" w:lineRule="auto"/>
        <w:rPr>
          <w:sz w:val="20"/>
          <w:szCs w:val="20"/>
          <w:color w:val="auto"/>
        </w:rPr>
      </w:pPr>
      <w:r>
        <w:rPr>
          <w:rFonts w:ascii="Arial" w:cs="Arial" w:eastAsia="Arial" w:hAnsi="Arial"/>
          <w:sz w:val="17"/>
          <w:szCs w:val="17"/>
          <w:color w:val="auto"/>
        </w:rPr>
        <w:t>The Oaktree business is conducted through the Oaktree Operating Group and its subsidiaries. Pursuant to the partnership agreement of Oaktree Capital I, which is the only Oaktree Operating Group entity that was controlled by us following the 2022 Restructuring and prior to the 2024 Restructuring, our indirect subsidiary that served as the general partner of Oaktree Capital I had the right to determine when distributions would be made to the holders of interests in Oaktree Capital I units and the amounts of any such distributions. As a result of the 2024 Restructuring, effected to facilitate the change of the general partner of Oaktree Capital I, the Company no longer controls Oaktree Capital I.</w:t>
      </w:r>
    </w:p>
    <w:p>
      <w:pPr>
        <w:spacing w:after="0" w:line="197" w:lineRule="exact"/>
        <w:rPr>
          <w:sz w:val="20"/>
          <w:szCs w:val="20"/>
          <w:color w:val="auto"/>
        </w:rPr>
      </w:pPr>
    </w:p>
    <w:p>
      <w:pPr>
        <w:ind w:right="100" w:firstLine="503"/>
        <w:spacing w:after="0" w:line="241" w:lineRule="auto"/>
        <w:rPr>
          <w:sz w:val="20"/>
          <w:szCs w:val="20"/>
          <w:color w:val="auto"/>
        </w:rPr>
      </w:pPr>
      <w:r>
        <w:rPr>
          <w:rFonts w:ascii="Arial" w:cs="Arial" w:eastAsia="Arial" w:hAnsi="Arial"/>
          <w:sz w:val="17"/>
          <w:szCs w:val="17"/>
          <w:color w:val="auto"/>
        </w:rPr>
        <w:t>Each of the Oaktree Operating Group partnerships has an identical number of common units outstanding, and we use the term “Oaktree Operating Group unit” to refer, collectively, to a common unit in each of the Oaktree Operating Group partnerships. As of March 24, 2026, there were 160,391,299 Oaktree Operating Group units outstanding. The holders of Oaktree Operating Group units, including units in Oaktree Capital I and the holding companies through which we indirectly own units in Oaktree Capital I, will incur U.S. federal, state and local income taxes on their proportionate share of any net taxable income of the Oaktree Operating Group. Net profits and net losses of Oaktree Operating Group units</w:t>
      </w:r>
    </w:p>
    <w:p>
      <w:pPr>
        <w:spacing w:after="0" w:line="1" w:lineRule="exact"/>
        <w:rPr>
          <w:sz w:val="20"/>
          <w:szCs w:val="20"/>
          <w:color w:val="auto"/>
        </w:rPr>
      </w:pPr>
    </w:p>
    <w:p>
      <w:pPr>
        <w:ind w:right="100"/>
        <w:spacing w:after="0" w:line="229" w:lineRule="auto"/>
        <w:rPr>
          <w:sz w:val="20"/>
          <w:szCs w:val="20"/>
          <w:color w:val="auto"/>
        </w:rPr>
      </w:pPr>
      <w:r>
        <w:rPr>
          <w:rFonts w:ascii="Arial" w:cs="Arial" w:eastAsia="Arial" w:hAnsi="Arial"/>
          <w:sz w:val="17"/>
          <w:szCs w:val="17"/>
          <w:color w:val="auto"/>
        </w:rPr>
        <w:t>generally are allocated to the holders of such units (including the intermediate holding companies) pro rata in accordance with the percentages of their respective interests. The partnership agreement of each Oaktree Operating Group partnership provides for cash distributions, which we refer</w:t>
      </w:r>
    </w:p>
    <w:p>
      <w:pPr>
        <w:spacing w:after="0" w:line="1" w:lineRule="exact"/>
        <w:rPr>
          <w:sz w:val="20"/>
          <w:szCs w:val="20"/>
          <w:color w:val="auto"/>
        </w:rPr>
      </w:pPr>
    </w:p>
    <w:p>
      <w:pPr>
        <w:ind w:right="80"/>
        <w:spacing w:after="0"/>
        <w:rPr>
          <w:sz w:val="20"/>
          <w:szCs w:val="20"/>
          <w:color w:val="auto"/>
        </w:rPr>
      </w:pPr>
      <w:r>
        <w:rPr>
          <w:rFonts w:ascii="Arial" w:cs="Arial" w:eastAsia="Arial" w:hAnsi="Arial"/>
          <w:sz w:val="17"/>
          <w:szCs w:val="17"/>
          <w:color w:val="auto"/>
        </w:rPr>
        <w:t>to as “tax distributions,” to the partners of such partnership if we determine that the allocation of the partnership’s income will give rise to taxable income for its partners. Generally, these tax distributions are computed based on our estimate of the net taxable income of the relevant entity allocable to a partner multiplied by an assumed tax rate equal to the highest effective marginal combined U.S. federal, state and local income tax rate prescribed for an individual or corporate resident in Los Angeles, California or New York, New York (taking into account the nondeductibility of certain expenses and the character of our income). Tax distributions are made only to the extent that all distributions from the Oaktree Operating Group for the relevant year were insufficient to cover such tax liabilities.</w:t>
      </w:r>
    </w:p>
    <w:p>
      <w:pPr>
        <w:spacing w:after="0" w:line="87" w:lineRule="exact"/>
        <w:rPr>
          <w:sz w:val="20"/>
          <w:szCs w:val="20"/>
          <w:color w:val="auto"/>
        </w:rPr>
      </w:pPr>
    </w:p>
    <w:p>
      <w:pPr>
        <w:ind w:firstLine="503"/>
        <w:spacing w:after="0" w:line="290" w:lineRule="auto"/>
        <w:rPr>
          <w:sz w:val="20"/>
          <w:szCs w:val="20"/>
          <w:color w:val="auto"/>
        </w:rPr>
      </w:pPr>
      <w:r>
        <w:rPr>
          <w:rFonts w:ascii="Arial" w:cs="Arial" w:eastAsia="Arial" w:hAnsi="Arial"/>
          <w:sz w:val="17"/>
          <w:szCs w:val="17"/>
          <w:color w:val="auto"/>
        </w:rPr>
        <w:t>The partnership agreements of the Oaktree Operating Group partnerships also provide that substantially all of our expenses will be borne by the Oaktree Operating Group.</w:t>
      </w:r>
    </w:p>
    <w:p>
      <w:pPr>
        <w:spacing w:after="0" w:line="30" w:lineRule="exact"/>
        <w:rPr>
          <w:sz w:val="20"/>
          <w:szCs w:val="20"/>
          <w:color w:val="auto"/>
        </w:rPr>
      </w:pPr>
    </w:p>
    <w:p>
      <w:pPr>
        <w:ind w:right="60" w:firstLine="503"/>
        <w:spacing w:after="0" w:line="241" w:lineRule="auto"/>
        <w:rPr>
          <w:sz w:val="20"/>
          <w:szCs w:val="20"/>
          <w:color w:val="auto"/>
        </w:rPr>
      </w:pPr>
      <w:r>
        <w:rPr>
          <w:rFonts w:ascii="Arial" w:cs="Arial" w:eastAsia="Arial" w:hAnsi="Arial"/>
          <w:sz w:val="17"/>
          <w:szCs w:val="17"/>
          <w:color w:val="auto"/>
        </w:rPr>
        <w:t>In connection with the Mergers and the 2019 Restructuring, the partnership agreements of the Oaktree Operating Group entities were amended in order to (i) align the governance provisions with the provisions of our operating agreement and the operating agreement of Oaktree Capital Holdings, LLC, (ii) provide for cash distributions to be made in a manner consistent with the payment of obligations under any notes that may be issued pursuant to the exchange mechanism in the Exchange Agreement, (iii) provide for non-pro rata distributions to discharge expenses relating to indemnification of directors, officers and other indemnitees under our operating agreement and the operating agreement of Oaktree</w:t>
      </w:r>
    </w:p>
    <w:p>
      <w:pPr>
        <w:spacing w:after="0" w:line="1" w:lineRule="exact"/>
        <w:rPr>
          <w:sz w:val="20"/>
          <w:szCs w:val="20"/>
          <w:color w:val="auto"/>
        </w:rPr>
      </w:pPr>
    </w:p>
    <w:p>
      <w:pPr>
        <w:ind w:right="280"/>
        <w:spacing w:after="0" w:line="229" w:lineRule="auto"/>
        <w:rPr>
          <w:sz w:val="20"/>
          <w:szCs w:val="20"/>
          <w:color w:val="auto"/>
        </w:rPr>
      </w:pPr>
      <w:r>
        <w:rPr>
          <w:rFonts w:ascii="Arial" w:cs="Arial" w:eastAsia="Arial" w:hAnsi="Arial"/>
          <w:sz w:val="17"/>
          <w:szCs w:val="17"/>
          <w:color w:val="auto"/>
        </w:rPr>
        <w:t>Capital Holdings, LLC, and (iv) provide for the payment of certain expenses of the Oaktree Operating Group. The amendments also aligned the partnership agreements of the Oaktree Operating Group entities with the cash distribution policy adopted at the closing of the Mergers, which</w:t>
      </w:r>
    </w:p>
    <w:p>
      <w:pPr>
        <w:spacing w:after="0" w:line="1" w:lineRule="exact"/>
        <w:rPr>
          <w:sz w:val="20"/>
          <w:szCs w:val="20"/>
          <w:color w:val="auto"/>
        </w:rPr>
      </w:pPr>
    </w:p>
    <w:p>
      <w:pPr>
        <w:ind w:right="20"/>
        <w:spacing w:after="0" w:line="254" w:lineRule="auto"/>
        <w:rPr>
          <w:sz w:val="20"/>
          <w:szCs w:val="20"/>
          <w:color w:val="auto"/>
        </w:rPr>
      </w:pPr>
      <w:r>
        <w:rPr>
          <w:rFonts w:ascii="Arial" w:cs="Arial" w:eastAsia="Arial" w:hAnsi="Arial"/>
          <w:sz w:val="17"/>
          <w:szCs w:val="17"/>
          <w:color w:val="auto"/>
        </w:rPr>
        <w:t>generally provides for the distribution by entities within the Oaktree Operating Group to their equity holders of at least 85% of the cash available for distribution (taking into account the special distributions described in this paragraph).</w:t>
      </w:r>
    </w:p>
    <w:p>
      <w:pPr>
        <w:spacing w:after="0" w:line="73" w:lineRule="exact"/>
        <w:rPr>
          <w:sz w:val="20"/>
          <w:szCs w:val="20"/>
          <w:color w:val="auto"/>
        </w:rPr>
      </w:pPr>
    </w:p>
    <w:p>
      <w:pPr>
        <w:ind w:right="660" w:firstLine="503"/>
        <w:spacing w:after="0" w:line="290" w:lineRule="auto"/>
        <w:rPr>
          <w:sz w:val="20"/>
          <w:szCs w:val="20"/>
          <w:color w:val="auto"/>
        </w:rPr>
      </w:pPr>
      <w:r>
        <w:rPr>
          <w:rFonts w:ascii="Arial" w:cs="Arial" w:eastAsia="Arial" w:hAnsi="Arial"/>
          <w:sz w:val="17"/>
          <w:szCs w:val="17"/>
          <w:color w:val="auto"/>
        </w:rPr>
        <w:t>In connection with the issuance by the Company of each series of preferred units, Oaktree Capital I issued preferred units that have economic terms designed to mirror those of the Company’s preferred units and that are held directly or indirectly by the Company.</w:t>
      </w:r>
    </w:p>
    <w:p>
      <w:pPr>
        <w:spacing w:after="0" w:line="4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Aircraft Use</w:t>
      </w:r>
    </w:p>
    <w:p>
      <w:pPr>
        <w:spacing w:after="0" w:line="116" w:lineRule="exact"/>
        <w:rPr>
          <w:sz w:val="20"/>
          <w:szCs w:val="20"/>
          <w:color w:val="auto"/>
        </w:rPr>
      </w:pPr>
    </w:p>
    <w:p>
      <w:pPr>
        <w:ind w:right="60" w:firstLine="541"/>
        <w:spacing w:after="0" w:line="290" w:lineRule="auto"/>
        <w:rPr>
          <w:sz w:val="20"/>
          <w:szCs w:val="20"/>
          <w:color w:val="auto"/>
        </w:rPr>
      </w:pPr>
      <w:r>
        <w:rPr>
          <w:rFonts w:ascii="Arial" w:cs="Arial" w:eastAsia="Arial" w:hAnsi="Arial"/>
          <w:sz w:val="17"/>
          <w:szCs w:val="17"/>
          <w:color w:val="auto"/>
        </w:rPr>
        <w:t>OCM leases from Mr. Karsh on a non-exclusive basis an aircraft owned personally by him, pursuant to which he may use the plane for both Oaktree-related travel and personal travel. All payments related to the plane are made by OCM and not by us.</w:t>
      </w:r>
    </w:p>
    <w:p>
      <w:pPr>
        <w:spacing w:after="0" w:line="200" w:lineRule="exact"/>
        <w:rPr>
          <w:sz w:val="20"/>
          <w:szCs w:val="20"/>
          <w:color w:val="auto"/>
        </w:rPr>
      </w:pPr>
    </w:p>
    <w:p>
      <w:pPr>
        <w:spacing w:after="0" w:line="269"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60"/>
          </w:cols>
          <w:pgMar w:left="320" w:top="1010" w:right="419" w:bottom="1440" w:gutter="0" w:footer="0" w:header="0"/>
        </w:sectPr>
      </w:pPr>
    </w:p>
    <w:bookmarkStart w:id="121" w:name="page122"/>
    <w:bookmarkEnd w:id="121"/>
    <w:p>
      <w:pPr>
        <w:spacing w:after="0"/>
        <w:rPr>
          <w:sz w:val="20"/>
          <w:szCs w:val="20"/>
          <w:color w:val="auto"/>
        </w:rPr>
      </w:pPr>
      <w:r>
        <w:rPr>
          <w:rFonts w:ascii="Arial" w:cs="Arial" w:eastAsia="Arial" w:hAnsi="Arial"/>
          <w:sz w:val="17"/>
          <w:szCs w:val="17"/>
          <w:b w:val="1"/>
          <w:bCs w:val="1"/>
          <w:color w:val="auto"/>
        </w:rPr>
        <w:t>Investments in Funds</w:t>
      </w:r>
    </w:p>
    <w:p>
      <w:pPr>
        <w:spacing w:after="0" w:line="103" w:lineRule="exact"/>
        <w:rPr>
          <w:sz w:val="20"/>
          <w:szCs w:val="20"/>
          <w:color w:val="auto"/>
        </w:rPr>
      </w:pPr>
    </w:p>
    <w:p>
      <w:pPr>
        <w:ind w:firstLine="503"/>
        <w:spacing w:after="0"/>
        <w:rPr>
          <w:sz w:val="20"/>
          <w:szCs w:val="20"/>
          <w:color w:val="auto"/>
        </w:rPr>
      </w:pPr>
      <w:r>
        <w:rPr>
          <w:rFonts w:ascii="Arial" w:cs="Arial" w:eastAsia="Arial" w:hAnsi="Arial"/>
          <w:sz w:val="17"/>
          <w:szCs w:val="17"/>
          <w:color w:val="auto"/>
        </w:rPr>
        <w:t>Our directors and executive officers are permitted to invest their own capital (or the capital of family trusts or other estate planning vehicles they control) in Oaktree funds. These investment opportunities are available to all Oaktree professionals who Oaktree has determined have a status that reasonably permits Oaktree to offer them these types of investments in compliance with applicable laws and regulations. These investment opportunities are available on the same terms and conditions as those applicable to third-party investors in Oaktree funds and bear their share of management fees, except that they are not subject to incentive fees. As of December 31, 2025, Oaktree manages approximately $0.9 billion of AUM invested by our directors and executive officers and certain current and former Oaktree employees in Oaktree funds. During the year ended</w:t>
      </w:r>
    </w:p>
    <w:p>
      <w:pPr>
        <w:spacing w:after="0" w:line="3" w:lineRule="exact"/>
        <w:rPr>
          <w:sz w:val="20"/>
          <w:szCs w:val="20"/>
          <w:color w:val="auto"/>
        </w:rPr>
      </w:pPr>
    </w:p>
    <w:p>
      <w:pPr>
        <w:ind w:right="80"/>
        <w:spacing w:after="0" w:line="229" w:lineRule="auto"/>
        <w:rPr>
          <w:sz w:val="20"/>
          <w:szCs w:val="20"/>
          <w:color w:val="auto"/>
        </w:rPr>
      </w:pPr>
      <w:r>
        <w:rPr>
          <w:rFonts w:ascii="Arial" w:cs="Arial" w:eastAsia="Arial" w:hAnsi="Arial"/>
          <w:sz w:val="17"/>
          <w:szCs w:val="17"/>
          <w:color w:val="auto"/>
        </w:rPr>
        <w:t>December 31, 2025, the following directors and executive officers made the following contributions of their own capital (and/or the capital of family trusts or other estate planning vehicles they control) to Oaktree funds and are expected to continue to contribute capital in Oaktree funds from time</w:t>
      </w:r>
    </w:p>
    <w:p>
      <w:pPr>
        <w:spacing w:after="0" w:line="238" w:lineRule="auto"/>
        <w:rPr>
          <w:sz w:val="20"/>
          <w:szCs w:val="20"/>
          <w:color w:val="auto"/>
        </w:rPr>
      </w:pPr>
      <w:r>
        <w:rPr>
          <w:rFonts w:ascii="Arial" w:cs="Arial" w:eastAsia="Arial" w:hAnsi="Arial"/>
          <w:sz w:val="17"/>
          <w:szCs w:val="17"/>
          <w:color w:val="auto"/>
        </w:rPr>
        <w:t>to time: Mr. Marks contributed an aggregate of $46,635,592; Mr. Karsh and entities affiliated with Mr. Karsh contributed an aggregate of</w:t>
      </w:r>
    </w:p>
    <w:p>
      <w:pPr>
        <w:ind w:right="40"/>
        <w:spacing w:after="0"/>
        <w:rPr>
          <w:sz w:val="20"/>
          <w:szCs w:val="20"/>
          <w:color w:val="auto"/>
        </w:rPr>
      </w:pPr>
      <w:r>
        <w:rPr>
          <w:rFonts w:ascii="Arial" w:cs="Arial" w:eastAsia="Arial" w:hAnsi="Arial"/>
          <w:sz w:val="17"/>
          <w:szCs w:val="17"/>
          <w:color w:val="auto"/>
        </w:rPr>
        <w:t>$19,603,352; Mr. Frank contributed an aggregate of $3,761,391; Mr. Stone contributed an aggregate of $1,381,838; Mr. Levin contributed an aggregate of $482,592; and Mr. Gilbert contributed an aggregate of $708,115, respectively. During the year ended December 31, 2025, the following directors and executive officers (and/or family trusts or other estate planning vehicles they control) received the following net distributions from Oaktree funds as a result of their invested capital: Mr. Marks received $15,672,040; Mr. Karsh and entities affiliated with Mr. Karsh received an aggregate of $74,906,083; Mr. Frank received $9,481,925; Mr. Stone received $8,719,171; Mr. Levin received $1,489,336; Mr. Gilbert received $5,030; and Ms. Whittington received $43,839.</w:t>
      </w:r>
    </w:p>
    <w:p>
      <w:pPr>
        <w:spacing w:after="0" w:line="8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Limitations on Liability; Indemnification of Directors, Officers and Manager</w:t>
      </w:r>
    </w:p>
    <w:p>
      <w:pPr>
        <w:spacing w:after="0" w:line="116" w:lineRule="exact"/>
        <w:rPr>
          <w:sz w:val="20"/>
          <w:szCs w:val="20"/>
          <w:color w:val="auto"/>
        </w:rPr>
      </w:pPr>
    </w:p>
    <w:p>
      <w:pPr>
        <w:ind w:right="180" w:firstLine="503"/>
        <w:spacing w:after="0" w:line="265" w:lineRule="auto"/>
        <w:rPr>
          <w:sz w:val="20"/>
          <w:szCs w:val="20"/>
          <w:color w:val="auto"/>
        </w:rPr>
      </w:pPr>
      <w:r>
        <w:rPr>
          <w:rFonts w:ascii="Arial" w:cs="Arial" w:eastAsia="Arial" w:hAnsi="Arial"/>
          <w:sz w:val="17"/>
          <w:szCs w:val="17"/>
          <w:color w:val="auto"/>
        </w:rPr>
        <w:t>Our operating agreement provides that our directors and officers will be liable to us or our unitholders for an act or omission only if such act or omission constitutes a breach of the duties owed to us or our unitholders, as applicable, by any such director or officer and such breach is the result of (a) willful malfeasance, gross negligence, the commission of a felony or a material violation of law, in each case, that has or could reasonably be expected to have a material adverse effect on us or (b) fraud.</w:t>
      </w:r>
    </w:p>
    <w:p>
      <w:pPr>
        <w:spacing w:after="0" w:line="65" w:lineRule="exact"/>
        <w:rPr>
          <w:sz w:val="20"/>
          <w:szCs w:val="20"/>
          <w:color w:val="auto"/>
        </w:rPr>
      </w:pPr>
    </w:p>
    <w:p>
      <w:pPr>
        <w:ind w:firstLine="503"/>
        <w:spacing w:after="0" w:line="260" w:lineRule="auto"/>
        <w:rPr>
          <w:sz w:val="20"/>
          <w:szCs w:val="20"/>
          <w:color w:val="auto"/>
        </w:rPr>
      </w:pPr>
      <w:r>
        <w:rPr>
          <w:rFonts w:ascii="Arial" w:cs="Arial" w:eastAsia="Arial" w:hAnsi="Arial"/>
          <w:sz w:val="17"/>
          <w:szCs w:val="17"/>
          <w:color w:val="auto"/>
        </w:rPr>
        <w:t>Moreover, in our operating agreement we have agreed to indemnify our directors and officers, to the fullest extent permitted by law, against all expenses and liabilities (including judgments, fines, penalties, interest, amounts paid in settlement with our approval and counsel fees and disbursements) arising from the performance of any of their obligations or duties in connection with their service to us, including in connection with any civil, criminal, administrative, investigative or other action, suit or proceeding to which any such person may be made a party by reason of being or having been one of our directors or officers or our manager, except for any expenses or liabilities that have been finally judicially determined to have arisen primarily from acts or omissions that violated the standard set forth in the preceding paragraph.</w:t>
      </w:r>
    </w:p>
    <w:p>
      <w:pPr>
        <w:spacing w:after="0" w:line="70" w:lineRule="exact"/>
        <w:rPr>
          <w:sz w:val="20"/>
          <w:szCs w:val="20"/>
          <w:color w:val="auto"/>
        </w:rPr>
      </w:pPr>
    </w:p>
    <w:p>
      <w:pPr>
        <w:ind w:firstLine="503"/>
        <w:spacing w:after="0" w:line="290" w:lineRule="auto"/>
        <w:rPr>
          <w:sz w:val="20"/>
          <w:szCs w:val="20"/>
          <w:color w:val="auto"/>
        </w:rPr>
      </w:pPr>
      <w:r>
        <w:rPr>
          <w:rFonts w:ascii="Arial" w:cs="Arial" w:eastAsia="Arial" w:hAnsi="Arial"/>
          <w:sz w:val="17"/>
          <w:szCs w:val="17"/>
          <w:color w:val="auto"/>
        </w:rPr>
        <w:t>The indemnification rights that we provide to our directors and officers are more expansive than those provided to the directors and officers of a Delaware corporation.</w:t>
      </w:r>
    </w:p>
    <w:p>
      <w:pPr>
        <w:spacing w:after="0" w:line="4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Intercompany Loans</w:t>
      </w:r>
    </w:p>
    <w:p>
      <w:pPr>
        <w:spacing w:after="0" w:line="103" w:lineRule="exact"/>
        <w:rPr>
          <w:sz w:val="20"/>
          <w:szCs w:val="20"/>
          <w:color w:val="auto"/>
        </w:rPr>
      </w:pPr>
    </w:p>
    <w:p>
      <w:pPr>
        <w:ind w:right="600" w:firstLine="503"/>
        <w:spacing w:after="0" w:line="249" w:lineRule="auto"/>
        <w:rPr>
          <w:sz w:val="20"/>
          <w:szCs w:val="20"/>
          <w:color w:val="auto"/>
        </w:rPr>
      </w:pPr>
      <w:r>
        <w:rPr>
          <w:rFonts w:ascii="Arial" w:cs="Arial" w:eastAsia="Arial" w:hAnsi="Arial"/>
          <w:sz w:val="17"/>
          <w:szCs w:val="17"/>
          <w:color w:val="auto"/>
        </w:rPr>
        <w:t>We have from time to time put in place one or more intercompany loans between OCM, OCM Cayman, Oaktree Capital II, Oaktree Investment Holdings or Oaktree AIF, on the one hand, and our former operating company subsidiary Oaktree Capital I, on the other hand, to facilitate short-term cash management. Subsequent to the 2024 Restructuring, due to the deconsolidation of Oaktree Capital I, any such intercompany loans will no longer be reflected as related party transactions with the Company.</w:t>
      </w: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959" w:right="359" w:bottom="1440" w:gutter="0" w:footer="0" w:header="0"/>
        </w:sectPr>
      </w:pPr>
    </w:p>
    <w:bookmarkStart w:id="122" w:name="page123"/>
    <w:bookmarkEnd w:id="122"/>
    <w:p>
      <w:pPr>
        <w:spacing w:after="0"/>
        <w:rPr>
          <w:sz w:val="20"/>
          <w:szCs w:val="20"/>
          <w:color w:val="auto"/>
        </w:rPr>
      </w:pPr>
      <w:r>
        <w:rPr>
          <w:rFonts w:ascii="Arial" w:cs="Arial" w:eastAsia="Arial" w:hAnsi="Arial"/>
          <w:sz w:val="17"/>
          <w:szCs w:val="17"/>
          <w:b w:val="1"/>
          <w:bCs w:val="1"/>
          <w:color w:val="auto"/>
        </w:rPr>
        <w:t>Statement of Policy Regarding Transactions with Related Persons</w:t>
      </w:r>
    </w:p>
    <w:p>
      <w:pPr>
        <w:spacing w:after="0" w:line="116" w:lineRule="exact"/>
        <w:rPr>
          <w:sz w:val="20"/>
          <w:szCs w:val="20"/>
          <w:color w:val="auto"/>
        </w:rPr>
      </w:pPr>
    </w:p>
    <w:p>
      <w:pPr>
        <w:ind w:left="500"/>
        <w:spacing w:after="0"/>
        <w:rPr>
          <w:sz w:val="20"/>
          <w:szCs w:val="20"/>
          <w:color w:val="auto"/>
        </w:rPr>
      </w:pPr>
      <w:r>
        <w:rPr>
          <w:rFonts w:ascii="Arial" w:cs="Arial" w:eastAsia="Arial" w:hAnsi="Arial"/>
          <w:sz w:val="17"/>
          <w:szCs w:val="17"/>
          <w:color w:val="auto"/>
        </w:rPr>
        <w:t>Our board of directors has adopted a written statement of policy for our company regarding transactions with related persons. Our related</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color w:val="auto"/>
        </w:rPr>
        <w:t>person policy covers any “related person transaction” including, but not limited to, any transaction, arrangement or relationship (including any</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indebtedness or guarantee of indebtedness) or series of similar transactions, arrangements or relationships that is reportable by us under</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Item 404(a) of Regulation S-K in which we were or are to be a participant and the amount involved exceeds $120,000 and in which any “related</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person” (as defined in Item 404(a) of Regulation S-K) had or will have a direct or indirect material interest. With certain limited exceptions, our</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related person policy requires that each related person transaction, and any material amendment or modification to a related person transaction, be</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reviewed and approved or ratified by a committee or subcommittee of our board of directors composed solely of disinterested directors, by a</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majority of the disinterested members of our board of directors, by a majority of disinterested members of the executive committee of our board of</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directors or as otherwise approved in accordance with our operating agreement. In light of the governance and related consent rights contained in</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our operating agreement, our related person policy does not separately apply to transactions between us and OCGH or Brookfield.</w:t>
      </w:r>
    </w:p>
    <w:p>
      <w:pPr>
        <w:spacing w:after="0" w:line="9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Director Independence</w:t>
      </w:r>
    </w:p>
    <w:p>
      <w:pPr>
        <w:spacing w:after="0" w:line="116" w:lineRule="exact"/>
        <w:rPr>
          <w:sz w:val="20"/>
          <w:szCs w:val="20"/>
          <w:color w:val="auto"/>
        </w:rPr>
      </w:pPr>
    </w:p>
    <w:p>
      <w:pPr>
        <w:ind w:right="60" w:firstLine="503"/>
        <w:spacing w:after="0" w:line="265" w:lineRule="auto"/>
        <w:rPr>
          <w:sz w:val="20"/>
          <w:szCs w:val="20"/>
          <w:color w:val="auto"/>
        </w:rPr>
      </w:pPr>
      <w:r>
        <w:rPr>
          <w:rFonts w:ascii="Arial" w:cs="Arial" w:eastAsia="Arial" w:hAnsi="Arial"/>
          <w:sz w:val="17"/>
          <w:szCs w:val="17"/>
          <w:color w:val="auto"/>
        </w:rPr>
        <w:t>Because our preferred equity, but not our common equity, is listed on the NYSE, the corporate governance standards of the NYSE do not generally apply to us, other than the requirement to maintain an audit committee that satisfies the requirements of Rule 10A-3 under the Exchange Act, and related certification requirements. Presently, in applying such requirements, the board of directors has determined that the members of its audit committee, Messrs. Gilbert and Perry and Mss. McGruder and Whittington, satisfy the requirements of such rule.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80"/>
          </w:cols>
          <w:pgMar w:left="320" w:top="959" w:right="399" w:bottom="1440" w:gutter="0" w:footer="0" w:header="0"/>
        </w:sectPr>
      </w:pPr>
    </w:p>
    <w:bookmarkStart w:id="123" w:name="page124"/>
    <w:bookmarkEnd w:id="123"/>
    <w:p>
      <w:pPr>
        <w:spacing w:after="0"/>
        <w:rPr>
          <w:sz w:val="20"/>
          <w:szCs w:val="20"/>
          <w:color w:val="auto"/>
        </w:rPr>
      </w:pPr>
      <w:r>
        <w:rPr>
          <w:rFonts w:ascii="Arial" w:cs="Arial" w:eastAsia="Arial" w:hAnsi="Arial"/>
          <w:sz w:val="17"/>
          <w:szCs w:val="17"/>
          <w:b w:val="1"/>
          <w:bCs w:val="1"/>
          <w:color w:val="auto"/>
        </w:rPr>
        <w:t>Item 14. Principal Accounting Fees and Services</w:t>
      </w:r>
    </w:p>
    <w:p>
      <w:pPr>
        <w:spacing w:after="0" w:line="168" w:lineRule="exact"/>
        <w:rPr>
          <w:sz w:val="20"/>
          <w:szCs w:val="20"/>
          <w:color w:val="auto"/>
        </w:rPr>
      </w:pPr>
    </w:p>
    <w:p>
      <w:pPr>
        <w:ind w:right="340" w:firstLine="541"/>
        <w:spacing w:after="0" w:line="290" w:lineRule="auto"/>
        <w:rPr>
          <w:sz w:val="20"/>
          <w:szCs w:val="20"/>
          <w:color w:val="auto"/>
        </w:rPr>
      </w:pPr>
      <w:r>
        <w:rPr>
          <w:rFonts w:ascii="Arial" w:cs="Arial" w:eastAsia="Arial" w:hAnsi="Arial"/>
          <w:sz w:val="17"/>
          <w:szCs w:val="17"/>
          <w:color w:val="auto"/>
        </w:rPr>
        <w:t>The following table sets forth the aggregate fees for professional services provided by our independent registered public accounting firm, Ernst &amp; Young LLP, for the years ended December 31, 2025 and 2024.</w:t>
      </w:r>
    </w:p>
    <w:p>
      <w:pPr>
        <w:spacing w:after="0" w:line="68" w:lineRule="exact"/>
        <w:rPr>
          <w:sz w:val="20"/>
          <w:szCs w:val="20"/>
          <w:color w:val="auto"/>
        </w:rPr>
      </w:pPr>
    </w:p>
    <w:tbl>
      <w:tblPr>
        <w:tblLayout w:type="fixed"/>
        <w:tblInd w:w="20" w:type="dxa"/>
        <w:tblCellMar>
          <w:top w:w="0" w:type="dxa"/>
          <w:left w:w="0" w:type="dxa"/>
          <w:bottom w:w="0" w:type="dxa"/>
          <w:right w:w="0" w:type="dxa"/>
        </w:tblCellMar>
      </w:tblPr>
      <w:tr>
        <w:trPr>
          <w:trHeight w:val="169"/>
        </w:trPr>
        <w:tc>
          <w:tcPr>
            <w:tcW w:w="60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300" w:type="dxa"/>
            <w:vAlign w:val="bottom"/>
            <w:tcBorders>
              <w:bottom w:val="single" w:sz="8" w:color="auto"/>
            </w:tcBorders>
            <w:gridSpan w:val="4"/>
          </w:tcPr>
          <w:p>
            <w:pPr>
              <w:jc w:val="right"/>
              <w:ind w:right="188"/>
              <w:spacing w:after="0"/>
              <w:rPr>
                <w:sz w:val="20"/>
                <w:szCs w:val="20"/>
                <w:color w:val="auto"/>
              </w:rPr>
            </w:pPr>
            <w:r>
              <w:rPr>
                <w:rFonts w:ascii="Arial" w:cs="Arial" w:eastAsia="Arial" w:hAnsi="Arial"/>
                <w:sz w:val="12"/>
                <w:szCs w:val="12"/>
                <w:b w:val="1"/>
                <w:bCs w:val="1"/>
                <w:color w:val="auto"/>
              </w:rPr>
              <w:t>For the Year Ended December 31,</w:t>
            </w:r>
          </w:p>
        </w:tc>
        <w:tc>
          <w:tcPr>
            <w:tcW w:w="3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60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jc w:val="right"/>
              <w:ind w:right="51"/>
              <w:spacing w:after="0"/>
              <w:rPr>
                <w:sz w:val="20"/>
                <w:szCs w:val="20"/>
                <w:color w:val="auto"/>
              </w:rPr>
            </w:pPr>
            <w:r>
              <w:rPr>
                <w:rFonts w:ascii="Arial" w:cs="Arial" w:eastAsia="Arial" w:hAnsi="Arial"/>
                <w:sz w:val="12"/>
                <w:szCs w:val="12"/>
                <w:b w:val="1"/>
                <w:bCs w:val="1"/>
                <w:color w:val="auto"/>
                <w:w w:val="89"/>
              </w:rPr>
              <w:t>2025</w:t>
            </w:r>
          </w:p>
        </w:tc>
        <w:tc>
          <w:tcPr>
            <w:tcW w:w="9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jc w:val="right"/>
              <w:ind w:right="51"/>
              <w:spacing w:after="0"/>
              <w:rPr>
                <w:sz w:val="20"/>
                <w:szCs w:val="20"/>
                <w:color w:val="auto"/>
              </w:rPr>
            </w:pPr>
            <w:r>
              <w:rPr>
                <w:rFonts w:ascii="Arial" w:cs="Arial" w:eastAsia="Arial" w:hAnsi="Arial"/>
                <w:sz w:val="12"/>
                <w:szCs w:val="12"/>
                <w:b w:val="1"/>
                <w:bCs w:val="1"/>
                <w:color w:val="auto"/>
                <w:w w:val="89"/>
              </w:rPr>
              <w:t>2024</w:t>
            </w:r>
          </w:p>
        </w:tc>
        <w:tc>
          <w:tcPr>
            <w:tcW w:w="9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0"/>
        </w:trPr>
        <w:tc>
          <w:tcPr>
            <w:tcW w:w="6060" w:type="dxa"/>
            <w:vAlign w:val="bottom"/>
          </w:tcPr>
          <w:p>
            <w:pPr>
              <w:spacing w:after="0"/>
              <w:rPr>
                <w:sz w:val="9"/>
                <w:szCs w:val="9"/>
                <w:color w:val="auto"/>
              </w:rPr>
            </w:pPr>
          </w:p>
        </w:tc>
        <w:tc>
          <w:tcPr>
            <w:tcW w:w="140" w:type="dxa"/>
            <w:vAlign w:val="bottom"/>
          </w:tcPr>
          <w:p>
            <w:pPr>
              <w:spacing w:after="0"/>
              <w:rPr>
                <w:sz w:val="9"/>
                <w:szCs w:val="9"/>
                <w:color w:val="auto"/>
              </w:rPr>
            </w:pPr>
          </w:p>
        </w:tc>
        <w:tc>
          <w:tcPr>
            <w:tcW w:w="980" w:type="dxa"/>
            <w:vAlign w:val="bottom"/>
          </w:tcPr>
          <w:p>
            <w:pPr>
              <w:spacing w:after="0"/>
              <w:rPr>
                <w:sz w:val="9"/>
                <w:szCs w:val="9"/>
                <w:color w:val="auto"/>
              </w:rPr>
            </w:pPr>
          </w:p>
        </w:tc>
        <w:tc>
          <w:tcPr>
            <w:tcW w:w="380" w:type="dxa"/>
            <w:vAlign w:val="bottom"/>
          </w:tcPr>
          <w:p>
            <w:pPr>
              <w:spacing w:after="0"/>
              <w:rPr>
                <w:sz w:val="9"/>
                <w:szCs w:val="9"/>
                <w:color w:val="auto"/>
              </w:rPr>
            </w:pPr>
          </w:p>
        </w:tc>
        <w:tc>
          <w:tcPr>
            <w:tcW w:w="980" w:type="dxa"/>
            <w:vAlign w:val="bottom"/>
          </w:tcPr>
          <w:p>
            <w:pPr>
              <w:jc w:val="center"/>
              <w:ind w:right="76"/>
              <w:spacing w:after="0" w:line="110" w:lineRule="exact"/>
              <w:rPr>
                <w:sz w:val="20"/>
                <w:szCs w:val="20"/>
                <w:color w:val="auto"/>
              </w:rPr>
            </w:pPr>
            <w:r>
              <w:rPr>
                <w:rFonts w:ascii="Arial" w:cs="Arial" w:eastAsia="Arial" w:hAnsi="Arial"/>
                <w:sz w:val="12"/>
                <w:szCs w:val="12"/>
                <w:b w:val="1"/>
                <w:bCs w:val="1"/>
                <w:color w:val="auto"/>
                <w:w w:val="98"/>
              </w:rPr>
              <w:t>Oaktree</w:t>
            </w: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980" w:type="dxa"/>
            <w:vAlign w:val="bottom"/>
          </w:tcPr>
          <w:p>
            <w:pPr>
              <w:spacing w:after="0"/>
              <w:rPr>
                <w:sz w:val="9"/>
                <w:szCs w:val="9"/>
                <w:color w:val="auto"/>
              </w:rPr>
            </w:pPr>
          </w:p>
        </w:tc>
        <w:tc>
          <w:tcPr>
            <w:tcW w:w="380" w:type="dxa"/>
            <w:vAlign w:val="bottom"/>
          </w:tcPr>
          <w:p>
            <w:pPr>
              <w:spacing w:after="0"/>
              <w:rPr>
                <w:sz w:val="9"/>
                <w:szCs w:val="9"/>
                <w:color w:val="auto"/>
              </w:rPr>
            </w:pPr>
          </w:p>
        </w:tc>
        <w:tc>
          <w:tcPr>
            <w:tcW w:w="980" w:type="dxa"/>
            <w:vAlign w:val="bottom"/>
          </w:tcPr>
          <w:p>
            <w:pPr>
              <w:jc w:val="center"/>
              <w:ind w:right="74"/>
              <w:spacing w:after="0" w:line="110" w:lineRule="exact"/>
              <w:rPr>
                <w:sz w:val="20"/>
                <w:szCs w:val="20"/>
                <w:color w:val="auto"/>
              </w:rPr>
            </w:pPr>
            <w:r>
              <w:rPr>
                <w:rFonts w:ascii="Arial" w:cs="Arial" w:eastAsia="Arial" w:hAnsi="Arial"/>
                <w:sz w:val="12"/>
                <w:szCs w:val="12"/>
                <w:b w:val="1"/>
                <w:bCs w:val="1"/>
                <w:color w:val="auto"/>
                <w:w w:val="98"/>
              </w:rPr>
              <w:t>Oaktree</w:t>
            </w:r>
          </w:p>
        </w:tc>
        <w:tc>
          <w:tcPr>
            <w:tcW w:w="0" w:type="dxa"/>
            <w:vAlign w:val="bottom"/>
          </w:tcPr>
          <w:p>
            <w:pPr>
              <w:spacing w:after="0"/>
              <w:rPr>
                <w:sz w:val="1"/>
                <w:szCs w:val="1"/>
                <w:color w:val="auto"/>
              </w:rPr>
            </w:pPr>
          </w:p>
        </w:tc>
      </w:tr>
      <w:tr>
        <w:trPr>
          <w:trHeight w:val="116"/>
        </w:trPr>
        <w:tc>
          <w:tcPr>
            <w:tcW w:w="6060" w:type="dxa"/>
            <w:vAlign w:val="bottom"/>
          </w:tcPr>
          <w:p>
            <w:pPr>
              <w:spacing w:after="0"/>
              <w:rPr>
                <w:sz w:val="10"/>
                <w:szCs w:val="10"/>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w w:val="98"/>
              </w:rPr>
              <w:t>Brookfield Oaktree</w:t>
            </w:r>
          </w:p>
        </w:tc>
        <w:tc>
          <w:tcPr>
            <w:tcW w:w="380" w:type="dxa"/>
            <w:vAlign w:val="bottom"/>
          </w:tcPr>
          <w:p>
            <w:pPr>
              <w:spacing w:after="0"/>
              <w:rPr>
                <w:sz w:val="10"/>
                <w:szCs w:val="10"/>
                <w:color w:val="auto"/>
              </w:rPr>
            </w:pPr>
          </w:p>
        </w:tc>
        <w:tc>
          <w:tcPr>
            <w:tcW w:w="1180" w:type="dxa"/>
            <w:vAlign w:val="bottom"/>
            <w:gridSpan w:val="2"/>
          </w:tcPr>
          <w:p>
            <w:pPr>
              <w:jc w:val="center"/>
              <w:ind w:right="340"/>
              <w:spacing w:after="0" w:line="116" w:lineRule="exact"/>
              <w:rPr>
                <w:sz w:val="20"/>
                <w:szCs w:val="20"/>
                <w:color w:val="auto"/>
              </w:rPr>
            </w:pPr>
            <w:r>
              <w:rPr>
                <w:rFonts w:ascii="Arial" w:cs="Arial" w:eastAsia="Arial" w:hAnsi="Arial"/>
                <w:sz w:val="12"/>
                <w:szCs w:val="12"/>
                <w:b w:val="1"/>
                <w:bCs w:val="1"/>
                <w:color w:val="auto"/>
                <w:w w:val="99"/>
              </w:rPr>
              <w:t>Consolidated</w:t>
            </w:r>
          </w:p>
        </w:tc>
        <w:tc>
          <w:tcPr>
            <w:tcW w:w="112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w w:val="98"/>
              </w:rPr>
              <w:t>Brookfield Oaktree</w:t>
            </w:r>
          </w:p>
        </w:tc>
        <w:tc>
          <w:tcPr>
            <w:tcW w:w="380" w:type="dxa"/>
            <w:vAlign w:val="bottom"/>
          </w:tcPr>
          <w:p>
            <w:pPr>
              <w:spacing w:after="0"/>
              <w:rPr>
                <w:sz w:val="10"/>
                <w:szCs w:val="10"/>
                <w:color w:val="auto"/>
              </w:rPr>
            </w:pPr>
          </w:p>
        </w:tc>
        <w:tc>
          <w:tcPr>
            <w:tcW w:w="980" w:type="dxa"/>
            <w:vAlign w:val="bottom"/>
          </w:tcPr>
          <w:p>
            <w:pPr>
              <w:jc w:val="center"/>
              <w:ind w:right="74"/>
              <w:spacing w:after="0" w:line="116" w:lineRule="exact"/>
              <w:rPr>
                <w:sz w:val="20"/>
                <w:szCs w:val="20"/>
                <w:color w:val="auto"/>
              </w:rPr>
            </w:pPr>
            <w:r>
              <w:rPr>
                <w:rFonts w:ascii="Arial" w:cs="Arial" w:eastAsia="Arial" w:hAnsi="Arial"/>
                <w:sz w:val="12"/>
                <w:szCs w:val="12"/>
                <w:b w:val="1"/>
                <w:bCs w:val="1"/>
                <w:color w:val="auto"/>
                <w:w w:val="99"/>
              </w:rPr>
              <w:t>Consolidated</w:t>
            </w:r>
          </w:p>
        </w:tc>
        <w:tc>
          <w:tcPr>
            <w:tcW w:w="0" w:type="dxa"/>
            <w:vAlign w:val="bottom"/>
          </w:tcPr>
          <w:p>
            <w:pPr>
              <w:spacing w:after="0"/>
              <w:rPr>
                <w:sz w:val="1"/>
                <w:szCs w:val="1"/>
                <w:color w:val="auto"/>
              </w:rPr>
            </w:pPr>
          </w:p>
        </w:tc>
      </w:tr>
      <w:tr>
        <w:trPr>
          <w:trHeight w:val="116"/>
        </w:trPr>
        <w:tc>
          <w:tcPr>
            <w:tcW w:w="6060" w:type="dxa"/>
            <w:vAlign w:val="bottom"/>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380" w:type="dxa"/>
            <w:vAlign w:val="bottom"/>
          </w:tcPr>
          <w:p>
            <w:pPr>
              <w:spacing w:after="0"/>
              <w:rPr>
                <w:sz w:val="10"/>
                <w:szCs w:val="10"/>
                <w:color w:val="auto"/>
              </w:rPr>
            </w:pPr>
          </w:p>
        </w:tc>
        <w:tc>
          <w:tcPr>
            <w:tcW w:w="1180" w:type="dxa"/>
            <w:vAlign w:val="bottom"/>
            <w:gridSpan w:val="2"/>
          </w:tcPr>
          <w:p>
            <w:pPr>
              <w:jc w:val="center"/>
              <w:ind w:right="340"/>
              <w:spacing w:after="0" w:line="116" w:lineRule="exact"/>
              <w:rPr>
                <w:sz w:val="20"/>
                <w:szCs w:val="20"/>
                <w:color w:val="auto"/>
              </w:rPr>
            </w:pPr>
            <w:r>
              <w:rPr>
                <w:rFonts w:ascii="Arial" w:cs="Arial" w:eastAsia="Arial" w:hAnsi="Arial"/>
                <w:sz w:val="12"/>
                <w:szCs w:val="12"/>
                <w:b w:val="1"/>
                <w:bCs w:val="1"/>
                <w:color w:val="auto"/>
                <w:w w:val="98"/>
              </w:rPr>
              <w:t>Funds and</w:t>
            </w:r>
          </w:p>
        </w:tc>
        <w:tc>
          <w:tcPr>
            <w:tcW w:w="1120" w:type="dxa"/>
            <w:vAlign w:val="bottom"/>
            <w:gridSpan w:val="2"/>
            <w:vMerge w:val="continue"/>
          </w:tcPr>
          <w:p>
            <w:pPr>
              <w:spacing w:after="0"/>
              <w:rPr>
                <w:sz w:val="10"/>
                <w:szCs w:val="10"/>
                <w:color w:val="auto"/>
              </w:rPr>
            </w:pPr>
          </w:p>
        </w:tc>
        <w:tc>
          <w:tcPr>
            <w:tcW w:w="380" w:type="dxa"/>
            <w:vAlign w:val="bottom"/>
          </w:tcPr>
          <w:p>
            <w:pPr>
              <w:spacing w:after="0"/>
              <w:rPr>
                <w:sz w:val="10"/>
                <w:szCs w:val="10"/>
                <w:color w:val="auto"/>
              </w:rPr>
            </w:pPr>
          </w:p>
        </w:tc>
        <w:tc>
          <w:tcPr>
            <w:tcW w:w="980" w:type="dxa"/>
            <w:vAlign w:val="bottom"/>
          </w:tcPr>
          <w:p>
            <w:pPr>
              <w:jc w:val="center"/>
              <w:ind w:right="74"/>
              <w:spacing w:after="0" w:line="116" w:lineRule="exact"/>
              <w:rPr>
                <w:sz w:val="20"/>
                <w:szCs w:val="20"/>
                <w:color w:val="auto"/>
              </w:rPr>
            </w:pPr>
            <w:r>
              <w:rPr>
                <w:rFonts w:ascii="Arial" w:cs="Arial" w:eastAsia="Arial" w:hAnsi="Arial"/>
                <w:sz w:val="12"/>
                <w:szCs w:val="12"/>
                <w:b w:val="1"/>
                <w:bCs w:val="1"/>
                <w:color w:val="auto"/>
                <w:w w:val="98"/>
              </w:rPr>
              <w:t>Funds and</w:t>
            </w:r>
          </w:p>
        </w:tc>
        <w:tc>
          <w:tcPr>
            <w:tcW w:w="0" w:type="dxa"/>
            <w:vAlign w:val="bottom"/>
          </w:tcPr>
          <w:p>
            <w:pPr>
              <w:spacing w:after="0"/>
              <w:rPr>
                <w:sz w:val="1"/>
                <w:szCs w:val="1"/>
                <w:color w:val="auto"/>
              </w:rPr>
            </w:pPr>
          </w:p>
        </w:tc>
      </w:tr>
      <w:tr>
        <w:trPr>
          <w:trHeight w:val="177"/>
        </w:trPr>
        <w:tc>
          <w:tcPr>
            <w:tcW w:w="60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68"/>
              <w:spacing w:after="0"/>
              <w:rPr>
                <w:sz w:val="20"/>
                <w:szCs w:val="20"/>
                <w:color w:val="auto"/>
              </w:rPr>
            </w:pPr>
            <w:r>
              <w:rPr>
                <w:rFonts w:ascii="Arial" w:cs="Arial" w:eastAsia="Arial" w:hAnsi="Arial"/>
                <w:sz w:val="12"/>
                <w:szCs w:val="12"/>
                <w:b w:val="1"/>
                <w:bCs w:val="1"/>
                <w:color w:val="auto"/>
              </w:rPr>
              <w:t>Holdings, LLC</w:t>
            </w:r>
          </w:p>
        </w:tc>
        <w:tc>
          <w:tcPr>
            <w:tcW w:w="3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2"/>
                <w:szCs w:val="12"/>
                <w:b w:val="1"/>
                <w:bCs w:val="1"/>
                <w:color w:val="auto"/>
              </w:rPr>
              <w:t>Affiliates</w:t>
            </w:r>
          </w:p>
        </w:tc>
        <w:tc>
          <w:tcPr>
            <w:tcW w:w="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68"/>
              <w:spacing w:after="0"/>
              <w:rPr>
                <w:sz w:val="20"/>
                <w:szCs w:val="20"/>
                <w:color w:val="auto"/>
              </w:rPr>
            </w:pPr>
            <w:r>
              <w:rPr>
                <w:rFonts w:ascii="Arial" w:cs="Arial" w:eastAsia="Arial" w:hAnsi="Arial"/>
                <w:sz w:val="12"/>
                <w:szCs w:val="12"/>
                <w:b w:val="1"/>
                <w:bCs w:val="1"/>
                <w:color w:val="auto"/>
              </w:rPr>
              <w:t>Holdings, LLC</w:t>
            </w:r>
          </w:p>
        </w:tc>
        <w:tc>
          <w:tcPr>
            <w:tcW w:w="3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right="74"/>
              <w:spacing w:after="0"/>
              <w:rPr>
                <w:sz w:val="20"/>
                <w:szCs w:val="20"/>
                <w:color w:val="auto"/>
              </w:rPr>
            </w:pPr>
            <w:r>
              <w:rPr>
                <w:rFonts w:ascii="Arial" w:cs="Arial" w:eastAsia="Arial" w:hAnsi="Arial"/>
                <w:sz w:val="12"/>
                <w:szCs w:val="12"/>
                <w:b w:val="1"/>
                <w:bCs w:val="1"/>
                <w:color w:val="auto"/>
              </w:rPr>
              <w:t>Affiliates</w:t>
            </w:r>
          </w:p>
        </w:tc>
        <w:tc>
          <w:tcPr>
            <w:tcW w:w="0" w:type="dxa"/>
            <w:vAlign w:val="bottom"/>
          </w:tcPr>
          <w:p>
            <w:pPr>
              <w:spacing w:after="0"/>
              <w:rPr>
                <w:sz w:val="1"/>
                <w:szCs w:val="1"/>
                <w:color w:val="auto"/>
              </w:rPr>
            </w:pPr>
          </w:p>
        </w:tc>
      </w:tr>
      <w:tr>
        <w:trPr>
          <w:trHeight w:val="162"/>
        </w:trPr>
        <w:tc>
          <w:tcPr>
            <w:tcW w:w="6060" w:type="dxa"/>
            <w:vAlign w:val="bottom"/>
            <w:vMerge w:val="restart"/>
          </w:tcPr>
          <w:p>
            <w:pPr>
              <w:spacing w:after="0"/>
              <w:rPr>
                <w:sz w:val="20"/>
                <w:szCs w:val="20"/>
                <w:color w:val="auto"/>
              </w:rPr>
            </w:pPr>
            <w:r>
              <w:rPr>
                <w:rFonts w:ascii="Arial" w:cs="Arial" w:eastAsia="Arial" w:hAnsi="Arial"/>
                <w:sz w:val="15"/>
                <w:szCs w:val="15"/>
                <w:color w:val="auto"/>
              </w:rPr>
              <w:t xml:space="preserve">Audit fees </w:t>
            </w:r>
            <w:r>
              <w:rPr>
                <w:rFonts w:ascii="Arial" w:cs="Arial" w:eastAsia="Arial" w:hAnsi="Arial"/>
                <w:sz w:val="20"/>
                <w:szCs w:val="20"/>
                <w:color w:val="auto"/>
                <w:vertAlign w:val="superscript"/>
              </w:rPr>
              <w:t>(1)</w:t>
            </w: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300" w:type="dxa"/>
            <w:vAlign w:val="bottom"/>
            <w:gridSpan w:val="4"/>
          </w:tcPr>
          <w:p>
            <w:pPr>
              <w:jc w:val="right"/>
              <w:ind w:right="668"/>
              <w:spacing w:after="0"/>
              <w:rPr>
                <w:sz w:val="20"/>
                <w:szCs w:val="20"/>
                <w:color w:val="auto"/>
              </w:rPr>
            </w:pPr>
            <w:r>
              <w:rPr>
                <w:rFonts w:ascii="Arial" w:cs="Arial" w:eastAsia="Arial" w:hAnsi="Arial"/>
                <w:sz w:val="12"/>
                <w:szCs w:val="12"/>
                <w:b w:val="1"/>
                <w:bCs w:val="1"/>
                <w:color w:val="auto"/>
              </w:rPr>
              <w:t>($ in thousands)</w:t>
            </w:r>
          </w:p>
        </w:tc>
        <w:tc>
          <w:tcPr>
            <w:tcW w:w="3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6060" w:type="dxa"/>
            <w:vAlign w:val="bottom"/>
            <w:vMerge w:val="continue"/>
          </w:tcPr>
          <w:p>
            <w:pPr>
              <w:spacing w:after="0"/>
              <w:rPr>
                <w:sz w:val="17"/>
                <w:szCs w:val="17"/>
                <w:color w:val="auto"/>
              </w:rPr>
            </w:pPr>
          </w:p>
        </w:tc>
        <w:tc>
          <w:tcPr>
            <w:tcW w:w="140" w:type="dxa"/>
            <w:vAlign w:val="bottom"/>
          </w:tcPr>
          <w:p>
            <w:pPr>
              <w:ind w:left="20"/>
              <w:spacing w:after="0"/>
              <w:rPr>
                <w:sz w:val="20"/>
                <w:szCs w:val="20"/>
                <w:color w:val="auto"/>
              </w:rPr>
            </w:pPr>
            <w:r>
              <w:rPr>
                <w:rFonts w:ascii="Arial" w:cs="Arial" w:eastAsia="Arial" w:hAnsi="Arial"/>
                <w:sz w:val="15"/>
                <w:szCs w:val="15"/>
                <w:color w:val="auto"/>
              </w:rPr>
              <w:t>$</w:t>
            </w:r>
          </w:p>
        </w:tc>
        <w:tc>
          <w:tcPr>
            <w:tcW w:w="980" w:type="dxa"/>
            <w:vAlign w:val="bottom"/>
          </w:tcPr>
          <w:p>
            <w:pPr>
              <w:jc w:val="right"/>
              <w:spacing w:after="0"/>
              <w:rPr>
                <w:sz w:val="20"/>
                <w:szCs w:val="20"/>
                <w:color w:val="auto"/>
              </w:rPr>
            </w:pPr>
            <w:r>
              <w:rPr>
                <w:rFonts w:ascii="Arial" w:cs="Arial" w:eastAsia="Arial" w:hAnsi="Arial"/>
                <w:sz w:val="15"/>
                <w:szCs w:val="15"/>
                <w:color w:val="auto"/>
              </w:rPr>
              <w:t>787</w:t>
            </w:r>
          </w:p>
        </w:tc>
        <w:tc>
          <w:tcPr>
            <w:tcW w:w="380" w:type="dxa"/>
            <w:vAlign w:val="bottom"/>
          </w:tcPr>
          <w:p>
            <w:pPr>
              <w:jc w:val="right"/>
              <w:spacing w:after="0"/>
              <w:rPr>
                <w:sz w:val="20"/>
                <w:szCs w:val="20"/>
                <w:color w:val="auto"/>
              </w:rPr>
            </w:pPr>
            <w:r>
              <w:rPr>
                <w:rFonts w:ascii="Arial" w:cs="Arial" w:eastAsia="Arial" w:hAnsi="Arial"/>
                <w:sz w:val="15"/>
                <w:szCs w:val="15"/>
                <w:color w:val="auto"/>
              </w:rPr>
              <w:t>$</w:t>
            </w:r>
          </w:p>
        </w:tc>
        <w:tc>
          <w:tcPr>
            <w:tcW w:w="980" w:type="dxa"/>
            <w:vAlign w:val="bottom"/>
          </w:tcPr>
          <w:p>
            <w:pPr>
              <w:jc w:val="right"/>
              <w:spacing w:after="0"/>
              <w:rPr>
                <w:sz w:val="20"/>
                <w:szCs w:val="20"/>
                <w:color w:val="auto"/>
              </w:rPr>
            </w:pPr>
            <w:r>
              <w:rPr>
                <w:rFonts w:ascii="Arial" w:cs="Arial" w:eastAsia="Arial" w:hAnsi="Arial"/>
                <w:sz w:val="15"/>
                <w:szCs w:val="15"/>
                <w:color w:val="auto"/>
              </w:rPr>
              <w:t>105</w:t>
            </w:r>
          </w:p>
        </w:tc>
        <w:tc>
          <w:tcPr>
            <w:tcW w:w="200" w:type="dxa"/>
            <w:vAlign w:val="bottom"/>
          </w:tcPr>
          <w:p>
            <w:pPr>
              <w:spacing w:after="0"/>
              <w:rPr>
                <w:sz w:val="17"/>
                <w:szCs w:val="17"/>
                <w:color w:val="auto"/>
              </w:rPr>
            </w:pPr>
          </w:p>
        </w:tc>
        <w:tc>
          <w:tcPr>
            <w:tcW w:w="140" w:type="dxa"/>
            <w:vAlign w:val="bottom"/>
          </w:tcPr>
          <w:p>
            <w:pPr>
              <w:ind w:left="20"/>
              <w:spacing w:after="0"/>
              <w:rPr>
                <w:sz w:val="20"/>
                <w:szCs w:val="20"/>
                <w:color w:val="auto"/>
              </w:rPr>
            </w:pPr>
            <w:r>
              <w:rPr>
                <w:rFonts w:ascii="Arial" w:cs="Arial" w:eastAsia="Arial" w:hAnsi="Arial"/>
                <w:sz w:val="15"/>
                <w:szCs w:val="15"/>
                <w:color w:val="auto"/>
              </w:rPr>
              <w:t>$</w:t>
            </w:r>
          </w:p>
        </w:tc>
        <w:tc>
          <w:tcPr>
            <w:tcW w:w="980" w:type="dxa"/>
            <w:vAlign w:val="bottom"/>
          </w:tcPr>
          <w:p>
            <w:pPr>
              <w:jc w:val="right"/>
              <w:spacing w:after="0"/>
              <w:rPr>
                <w:sz w:val="20"/>
                <w:szCs w:val="20"/>
                <w:color w:val="auto"/>
              </w:rPr>
            </w:pPr>
            <w:r>
              <w:rPr>
                <w:rFonts w:ascii="Arial" w:cs="Arial" w:eastAsia="Arial" w:hAnsi="Arial"/>
                <w:sz w:val="15"/>
                <w:szCs w:val="15"/>
                <w:color w:val="auto"/>
              </w:rPr>
              <w:t>812</w:t>
            </w:r>
          </w:p>
        </w:tc>
        <w:tc>
          <w:tcPr>
            <w:tcW w:w="380" w:type="dxa"/>
            <w:vAlign w:val="bottom"/>
          </w:tcPr>
          <w:p>
            <w:pPr>
              <w:jc w:val="right"/>
              <w:spacing w:after="0"/>
              <w:rPr>
                <w:sz w:val="20"/>
                <w:szCs w:val="20"/>
                <w:color w:val="auto"/>
              </w:rPr>
            </w:pPr>
            <w:r>
              <w:rPr>
                <w:rFonts w:ascii="Arial" w:cs="Arial" w:eastAsia="Arial" w:hAnsi="Arial"/>
                <w:sz w:val="15"/>
                <w:szCs w:val="15"/>
                <w:color w:val="auto"/>
              </w:rPr>
              <w:t>$</w:t>
            </w:r>
          </w:p>
        </w:tc>
        <w:tc>
          <w:tcPr>
            <w:tcW w:w="980" w:type="dxa"/>
            <w:vAlign w:val="bottom"/>
          </w:tcPr>
          <w:p>
            <w:pPr>
              <w:jc w:val="right"/>
              <w:spacing w:after="0"/>
              <w:rPr>
                <w:sz w:val="20"/>
                <w:szCs w:val="20"/>
                <w:color w:val="auto"/>
              </w:rPr>
            </w:pPr>
            <w:r>
              <w:rPr>
                <w:rFonts w:ascii="Arial" w:cs="Arial" w:eastAsia="Arial" w:hAnsi="Arial"/>
                <w:sz w:val="15"/>
                <w:szCs w:val="15"/>
                <w:color w:val="auto"/>
              </w:rPr>
              <w:t>102</w:t>
            </w:r>
          </w:p>
        </w:tc>
        <w:tc>
          <w:tcPr>
            <w:tcW w:w="0" w:type="dxa"/>
            <w:vAlign w:val="bottom"/>
          </w:tcPr>
          <w:p>
            <w:pPr>
              <w:spacing w:after="0"/>
              <w:rPr>
                <w:sz w:val="1"/>
                <w:szCs w:val="1"/>
                <w:color w:val="auto"/>
              </w:rPr>
            </w:pPr>
          </w:p>
        </w:tc>
      </w:tr>
      <w:tr>
        <w:trPr>
          <w:trHeight w:val="270"/>
        </w:trPr>
        <w:tc>
          <w:tcPr>
            <w:tcW w:w="6060" w:type="dxa"/>
            <w:vAlign w:val="bottom"/>
          </w:tcPr>
          <w:p>
            <w:pPr>
              <w:spacing w:after="0"/>
              <w:rPr>
                <w:sz w:val="20"/>
                <w:szCs w:val="20"/>
                <w:color w:val="auto"/>
              </w:rPr>
            </w:pPr>
            <w:r>
              <w:rPr>
                <w:rFonts w:ascii="Arial" w:cs="Arial" w:eastAsia="Arial" w:hAnsi="Arial"/>
                <w:sz w:val="15"/>
                <w:szCs w:val="15"/>
                <w:color w:val="auto"/>
              </w:rPr>
              <w:t xml:space="preserve">Tax fees </w:t>
            </w:r>
            <w:r>
              <w:rPr>
                <w:rFonts w:ascii="Arial" w:cs="Arial" w:eastAsia="Arial" w:hAnsi="Arial"/>
                <w:sz w:val="20"/>
                <w:szCs w:val="20"/>
                <w:color w:val="auto"/>
                <w:vertAlign w:val="superscript"/>
              </w:rPr>
              <w:t>(2)</w:t>
            </w:r>
          </w:p>
        </w:tc>
        <w:tc>
          <w:tcPr>
            <w:tcW w:w="1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159</w:t>
            </w:r>
          </w:p>
        </w:tc>
        <w:tc>
          <w:tcPr>
            <w:tcW w:w="3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547</w:t>
            </w: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403</w:t>
            </w:r>
          </w:p>
        </w:tc>
        <w:tc>
          <w:tcPr>
            <w:tcW w:w="3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224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64770</wp:posOffset>
            </wp:positionV>
            <wp:extent cx="38481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384810" cy="8255"/>
                    </a:xfrm>
                    <a:prstGeom prst="rect">
                      <a:avLst/>
                    </a:prstGeom>
                    <a:noFill/>
                  </pic:spPr>
                </pic:pic>
              </a:graphicData>
            </a:graphic>
          </wp:anchor>
        </w:drawing>
      </w:r>
    </w:p>
    <w:p>
      <w:pPr>
        <w:spacing w:after="0" w:line="225" w:lineRule="exact"/>
        <w:rPr>
          <w:sz w:val="20"/>
          <w:szCs w:val="20"/>
          <w:color w:val="auto"/>
        </w:rPr>
      </w:pPr>
    </w:p>
    <w:p>
      <w:pPr>
        <w:ind w:left="380" w:right="260" w:hanging="377"/>
        <w:spacing w:after="0" w:line="271" w:lineRule="auto"/>
        <w:tabs>
          <w:tab w:leader="none" w:pos="346" w:val="left"/>
        </w:tabs>
        <w:numPr>
          <w:ilvl w:val="0"/>
          <w:numId w:val="50"/>
        </w:numPr>
        <w:rPr>
          <w:rFonts w:ascii="Arial" w:cs="Arial" w:eastAsia="Arial" w:hAnsi="Arial"/>
          <w:sz w:val="15"/>
          <w:szCs w:val="15"/>
          <w:color w:val="auto"/>
        </w:rPr>
      </w:pPr>
      <w:r>
        <w:rPr>
          <w:rFonts w:ascii="Arial" w:cs="Arial" w:eastAsia="Arial" w:hAnsi="Arial"/>
          <w:sz w:val="15"/>
          <w:szCs w:val="15"/>
          <w:color w:val="auto"/>
        </w:rPr>
        <w:t>Audit fees consist of fees for services related to the annual audit of our consolidated financial statements, reviews of our interim consolidated financial statements on Form 10-Q, statutory audits, and services that only the independent auditors can reasonably provide such as services associated with SEC registration statements or other documents issued in connection with securities offerings (including consents and comfort letters), accounting consultations related to transactions or events affecting the current period audit and services that are normally provided in connection with statutory and regulatory filings and engagements.</w:t>
      </w:r>
    </w:p>
    <w:p>
      <w:pPr>
        <w:spacing w:after="0" w:line="173" w:lineRule="exact"/>
        <w:rPr>
          <w:rFonts w:ascii="Arial" w:cs="Arial" w:eastAsia="Arial" w:hAnsi="Arial"/>
          <w:sz w:val="15"/>
          <w:szCs w:val="15"/>
          <w:color w:val="auto"/>
        </w:rPr>
      </w:pPr>
    </w:p>
    <w:p>
      <w:pPr>
        <w:ind w:left="380" w:right="520" w:hanging="377"/>
        <w:spacing w:after="0" w:line="277" w:lineRule="auto"/>
        <w:tabs>
          <w:tab w:leader="none" w:pos="352" w:val="left"/>
        </w:tabs>
        <w:numPr>
          <w:ilvl w:val="0"/>
          <w:numId w:val="50"/>
        </w:numPr>
        <w:rPr>
          <w:rFonts w:ascii="Arial" w:cs="Arial" w:eastAsia="Arial" w:hAnsi="Arial"/>
          <w:sz w:val="15"/>
          <w:szCs w:val="15"/>
          <w:color w:val="auto"/>
        </w:rPr>
      </w:pPr>
      <w:r>
        <w:rPr>
          <w:rFonts w:ascii="Arial" w:cs="Arial" w:eastAsia="Arial" w:hAnsi="Arial"/>
          <w:sz w:val="15"/>
          <w:szCs w:val="15"/>
          <w:color w:val="auto"/>
        </w:rPr>
        <w:t>Tax fees consist of fees related to tax compliance and tax advisory services. Tax fees in 2025 include $579 for tax compliance services and $127 for tax advisory services. Tax fees in 2024 include $540 for tax compliance services and $87 for tax advisory services.</w:t>
      </w:r>
    </w:p>
    <w:p>
      <w:pPr>
        <w:spacing w:after="0" w:line="177" w:lineRule="exact"/>
        <w:rPr>
          <w:sz w:val="20"/>
          <w:szCs w:val="20"/>
          <w:color w:val="auto"/>
        </w:rPr>
      </w:pPr>
    </w:p>
    <w:p>
      <w:pPr>
        <w:ind w:firstLine="541"/>
        <w:spacing w:after="0" w:line="249" w:lineRule="auto"/>
        <w:rPr>
          <w:sz w:val="20"/>
          <w:szCs w:val="20"/>
          <w:color w:val="auto"/>
        </w:rPr>
      </w:pPr>
      <w:r>
        <w:rPr>
          <w:rFonts w:ascii="Arial" w:cs="Arial" w:eastAsia="Arial" w:hAnsi="Arial"/>
          <w:sz w:val="17"/>
          <w:szCs w:val="17"/>
          <w:color w:val="auto"/>
        </w:rPr>
        <w:t>In accordance with our audit committee charter, the audit committee is required to approve, in advance, all audit and non-audit services to be provided by our independent registered public accounting firm. All services reported in the Audit, Audit-related and Tax categories above were approved by the audit committee. Our audit committee charter is available on our website at https://www.brookfieldoaktreeholdings.com/ under the “Corporate Governance” section.</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10" w:right="339" w:bottom="1440" w:gutter="0" w:footer="0" w:header="0"/>
        </w:sectPr>
      </w:pPr>
    </w:p>
    <w:bookmarkStart w:id="124" w:name="page125"/>
    <w:bookmarkEnd w:id="124"/>
    <w:p>
      <w:pPr>
        <w:spacing w:after="0"/>
        <w:rPr>
          <w:sz w:val="20"/>
          <w:szCs w:val="20"/>
          <w:color w:val="auto"/>
        </w:rPr>
      </w:pPr>
      <w:r>
        <w:rPr>
          <w:rFonts w:ascii="Arial" w:cs="Arial" w:eastAsia="Arial" w:hAnsi="Arial"/>
          <w:sz w:val="17"/>
          <w:szCs w:val="17"/>
          <w:b w:val="1"/>
          <w:bCs w:val="1"/>
          <w:color w:val="auto"/>
        </w:rPr>
        <w:t>Part IV.</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15. Exhibits, Financial Statement Schedules</w:t>
      </w:r>
    </w:p>
    <w:p>
      <w:pPr>
        <w:spacing w:after="0" w:line="168" w:lineRule="exact"/>
        <w:rPr>
          <w:sz w:val="20"/>
          <w:szCs w:val="20"/>
          <w:color w:val="auto"/>
        </w:rPr>
      </w:pPr>
    </w:p>
    <w:p>
      <w:pPr>
        <w:ind w:left="400" w:hanging="397"/>
        <w:spacing w:after="0"/>
        <w:tabs>
          <w:tab w:leader="none" w:pos="400" w:val="left"/>
        </w:tabs>
        <w:numPr>
          <w:ilvl w:val="0"/>
          <w:numId w:val="51"/>
        </w:numPr>
        <w:rPr>
          <w:rFonts w:ascii="Arial" w:cs="Arial" w:eastAsia="Arial" w:hAnsi="Arial"/>
          <w:sz w:val="17"/>
          <w:szCs w:val="17"/>
          <w:color w:val="auto"/>
        </w:rPr>
      </w:pPr>
      <w:r>
        <w:rPr>
          <w:rFonts w:ascii="Arial" w:cs="Arial" w:eastAsia="Arial" w:hAnsi="Arial"/>
          <w:sz w:val="17"/>
          <w:szCs w:val="17"/>
          <w:color w:val="auto"/>
        </w:rPr>
        <w:t>The following documents are filed as part of this report:</w:t>
      </w:r>
    </w:p>
    <w:p>
      <w:pPr>
        <w:spacing w:after="0" w:line="397" w:lineRule="exact"/>
        <w:rPr>
          <w:rFonts w:ascii="Arial" w:cs="Arial" w:eastAsia="Arial" w:hAnsi="Arial"/>
          <w:sz w:val="17"/>
          <w:szCs w:val="17"/>
          <w:color w:val="auto"/>
        </w:rPr>
      </w:pPr>
    </w:p>
    <w:p>
      <w:pPr>
        <w:ind w:left="1160" w:hanging="499"/>
        <w:spacing w:after="0"/>
        <w:tabs>
          <w:tab w:leader="none" w:pos="1160" w:val="left"/>
        </w:tabs>
        <w:numPr>
          <w:ilvl w:val="1"/>
          <w:numId w:val="51"/>
        </w:numPr>
        <w:rPr>
          <w:rFonts w:ascii="Arial" w:cs="Arial" w:eastAsia="Arial" w:hAnsi="Arial"/>
          <w:sz w:val="17"/>
          <w:szCs w:val="17"/>
          <w:color w:val="auto"/>
        </w:rPr>
      </w:pPr>
      <w:r>
        <w:rPr>
          <w:rFonts w:ascii="Arial" w:cs="Arial" w:eastAsia="Arial" w:hAnsi="Arial"/>
          <w:sz w:val="17"/>
          <w:szCs w:val="17"/>
          <w:color w:val="auto"/>
        </w:rPr>
        <w:t>Financial statements: Please see Item 8 above.</w:t>
      </w:r>
    </w:p>
    <w:p>
      <w:pPr>
        <w:spacing w:after="0" w:line="242" w:lineRule="exact"/>
        <w:rPr>
          <w:rFonts w:ascii="Arial" w:cs="Arial" w:eastAsia="Arial" w:hAnsi="Arial"/>
          <w:sz w:val="17"/>
          <w:szCs w:val="17"/>
          <w:color w:val="auto"/>
        </w:rPr>
      </w:pPr>
    </w:p>
    <w:p>
      <w:pPr>
        <w:ind w:left="1160" w:right="80" w:hanging="499"/>
        <w:spacing w:after="0" w:line="290" w:lineRule="auto"/>
        <w:tabs>
          <w:tab w:leader="none" w:pos="1151" w:val="left"/>
        </w:tabs>
        <w:numPr>
          <w:ilvl w:val="1"/>
          <w:numId w:val="51"/>
        </w:numPr>
        <w:rPr>
          <w:rFonts w:ascii="Arial" w:cs="Arial" w:eastAsia="Arial" w:hAnsi="Arial"/>
          <w:sz w:val="17"/>
          <w:szCs w:val="17"/>
          <w:color w:val="auto"/>
        </w:rPr>
      </w:pPr>
      <w:r>
        <w:rPr>
          <w:rFonts w:ascii="Arial" w:cs="Arial" w:eastAsia="Arial" w:hAnsi="Arial"/>
          <w:sz w:val="17"/>
          <w:szCs w:val="17"/>
          <w:color w:val="auto"/>
        </w:rPr>
        <w:t>Financial statement schedules: Schedules for which provision is made in the applicable accounting regulations of the SEC are not required under the related instructions or are not applicable and therefore have been omitted.</w:t>
      </w:r>
    </w:p>
    <w:p>
      <w:pPr>
        <w:spacing w:after="0" w:line="172" w:lineRule="exact"/>
        <w:rPr>
          <w:rFonts w:ascii="Arial" w:cs="Arial" w:eastAsia="Arial" w:hAnsi="Arial"/>
          <w:sz w:val="17"/>
          <w:szCs w:val="17"/>
          <w:color w:val="auto"/>
        </w:rPr>
      </w:pPr>
    </w:p>
    <w:p>
      <w:pPr>
        <w:ind w:left="1160" w:hanging="499"/>
        <w:spacing w:after="0" w:line="290" w:lineRule="auto"/>
        <w:tabs>
          <w:tab w:leader="none" w:pos="1151" w:val="left"/>
        </w:tabs>
        <w:numPr>
          <w:ilvl w:val="1"/>
          <w:numId w:val="51"/>
        </w:numPr>
        <w:rPr>
          <w:rFonts w:ascii="Arial" w:cs="Arial" w:eastAsia="Arial" w:hAnsi="Arial"/>
          <w:sz w:val="17"/>
          <w:szCs w:val="17"/>
          <w:color w:val="auto"/>
        </w:rPr>
      </w:pPr>
      <w:r>
        <w:rPr>
          <w:rFonts w:ascii="Arial" w:cs="Arial" w:eastAsia="Arial" w:hAnsi="Arial"/>
          <w:sz w:val="17"/>
          <w:szCs w:val="17"/>
          <w:color w:val="auto"/>
        </w:rPr>
        <w:t>Exhibits: For a list of exhibits filed with this report, refer to the Exhibits Index on the page immediately preceding the exhibits, which Exhibit Index is incorporated herein by reference.</w:t>
      </w:r>
    </w:p>
    <w:p>
      <w:pPr>
        <w:spacing w:after="0" w:line="200" w:lineRule="exact"/>
        <w:rPr>
          <w:sz w:val="20"/>
          <w:szCs w:val="20"/>
          <w:color w:val="auto"/>
        </w:rPr>
      </w:pPr>
    </w:p>
    <w:p>
      <w:pPr>
        <w:spacing w:after="0" w:line="269" w:lineRule="exact"/>
        <w:rPr>
          <w:sz w:val="20"/>
          <w:szCs w:val="20"/>
          <w:color w:val="auto"/>
        </w:rPr>
      </w:pPr>
    </w:p>
    <w:p>
      <w:pPr>
        <w:jc w:val="center"/>
        <w:ind w:right="-179"/>
        <w:spacing w:after="0"/>
        <w:rPr>
          <w:sz w:val="20"/>
          <w:szCs w:val="20"/>
          <w:color w:val="auto"/>
        </w:rPr>
      </w:pPr>
      <w:r>
        <w:rPr>
          <w:rFonts w:ascii="Arial" w:cs="Arial" w:eastAsia="Arial" w:hAnsi="Arial"/>
          <w:sz w:val="17"/>
          <w:szCs w:val="17"/>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080"/>
          </w:cols>
          <w:pgMar w:left="320" w:top="1216" w:right="499" w:bottom="1440" w:gutter="0" w:footer="0" w:header="0"/>
        </w:sectPr>
      </w:pPr>
    </w:p>
    <w:bookmarkStart w:id="125" w:name="page126"/>
    <w:bookmarkEnd w:id="125"/>
    <w:p>
      <w:pPr>
        <w:spacing w:after="0" w:line="22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16. Form 10-K Summary</w:t>
      </w:r>
    </w:p>
    <w:p>
      <w:pPr>
        <w:spacing w:after="0" w:line="168" w:lineRule="exact"/>
        <w:rPr>
          <w:sz w:val="20"/>
          <w:szCs w:val="20"/>
          <w:color w:val="auto"/>
        </w:rPr>
      </w:pPr>
    </w:p>
    <w:p>
      <w:pPr>
        <w:ind w:left="540"/>
        <w:spacing w:after="0"/>
        <w:rPr>
          <w:sz w:val="20"/>
          <w:szCs w:val="20"/>
          <w:color w:val="auto"/>
        </w:rPr>
      </w:pPr>
      <w:r>
        <w:rPr>
          <w:rFonts w:ascii="Arial" w:cs="Arial" w:eastAsia="Arial" w:hAnsi="Arial"/>
          <w:sz w:val="17"/>
          <w:szCs w:val="17"/>
          <w:color w:val="auto"/>
        </w:rPr>
        <w:t>None.</w:t>
      </w:r>
    </w:p>
    <w:p>
      <w:pPr>
        <w:spacing w:after="0" w:line="200" w:lineRule="exact"/>
        <w:rPr>
          <w:sz w:val="20"/>
          <w:szCs w:val="20"/>
          <w:color w:val="auto"/>
        </w:rPr>
      </w:pPr>
    </w:p>
    <w:p>
      <w:pPr>
        <w:spacing w:after="0" w:line="378" w:lineRule="exact"/>
        <w:rPr>
          <w:sz w:val="20"/>
          <w:szCs w:val="20"/>
          <w:color w:val="auto"/>
        </w:rPr>
      </w:pPr>
    </w:p>
    <w:p>
      <w:pPr>
        <w:jc w:val="right"/>
        <w:ind w:right="4379"/>
        <w:spacing w:after="0"/>
        <w:rPr>
          <w:sz w:val="20"/>
          <w:szCs w:val="20"/>
          <w:color w:val="auto"/>
        </w:rPr>
      </w:pPr>
      <w:r>
        <w:rPr>
          <w:rFonts w:ascii="Arial" w:cs="Arial" w:eastAsia="Arial" w:hAnsi="Arial"/>
          <w:sz w:val="17"/>
          <w:szCs w:val="17"/>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126" w:name="page127"/>
    <w:bookmarkEnd w:id="126"/>
    <w:p>
      <w:pPr>
        <w:jc w:val="center"/>
        <w:spacing w:after="0"/>
        <w:rPr>
          <w:sz w:val="20"/>
          <w:szCs w:val="20"/>
          <w:color w:val="auto"/>
        </w:rPr>
      </w:pPr>
      <w:r>
        <w:rPr>
          <w:rFonts w:ascii="Arial" w:cs="Arial" w:eastAsia="Arial" w:hAnsi="Arial"/>
          <w:sz w:val="17"/>
          <w:szCs w:val="17"/>
          <w:b w:val="1"/>
          <w:bCs w:val="1"/>
          <w:color w:val="auto"/>
        </w:rPr>
        <w:t>SIGNATURES</w:t>
      </w:r>
    </w:p>
    <w:p>
      <w:pPr>
        <w:spacing w:after="0" w:line="168" w:lineRule="exact"/>
        <w:rPr>
          <w:sz w:val="20"/>
          <w:szCs w:val="20"/>
          <w:color w:val="auto"/>
        </w:rPr>
      </w:pPr>
    </w:p>
    <w:p>
      <w:pPr>
        <w:ind w:right="260" w:firstLine="619"/>
        <w:spacing w:after="0" w:line="290" w:lineRule="auto"/>
        <w:rPr>
          <w:sz w:val="20"/>
          <w:szCs w:val="20"/>
          <w:color w:val="auto"/>
        </w:rPr>
      </w:pPr>
      <w:r>
        <w:rPr>
          <w:rFonts w:ascii="Arial" w:cs="Arial" w:eastAsia="Arial" w:hAnsi="Arial"/>
          <w:sz w:val="17"/>
          <w:szCs w:val="17"/>
          <w:color w:val="auto"/>
        </w:rPr>
        <w:t>Pursuant to the requirements of Section 13 or 15(d) of the Securities Exchange Act of 1934, as amended, the registrant has duly caused this report to be signed on its behalf by the undersigned, thereunto duly authorized.</w:t>
      </w:r>
    </w:p>
    <w:p>
      <w:pPr>
        <w:spacing w:after="0" w:line="95" w:lineRule="exact"/>
        <w:rPr>
          <w:sz w:val="20"/>
          <w:szCs w:val="20"/>
          <w:color w:val="auto"/>
        </w:rPr>
      </w:pPr>
    </w:p>
    <w:p>
      <w:pPr>
        <w:spacing w:after="0"/>
        <w:rPr>
          <w:sz w:val="20"/>
          <w:szCs w:val="20"/>
          <w:color w:val="auto"/>
        </w:rPr>
      </w:pPr>
      <w:r>
        <w:rPr>
          <w:rFonts w:ascii="Arial" w:cs="Arial" w:eastAsia="Arial" w:hAnsi="Arial"/>
          <w:sz w:val="17"/>
          <w:szCs w:val="17"/>
          <w:color w:val="auto"/>
        </w:rPr>
        <w:t>Date: March 24, 2026</w:t>
      </w:r>
    </w:p>
    <w:p>
      <w:pPr>
        <w:spacing w:after="0" w:line="138" w:lineRule="exact"/>
        <w:rPr>
          <w:sz w:val="20"/>
          <w:szCs w:val="20"/>
          <w:color w:val="auto"/>
        </w:rPr>
      </w:pPr>
    </w:p>
    <w:p>
      <w:pPr>
        <w:ind w:left="6380"/>
        <w:spacing w:after="0"/>
        <w:rPr>
          <w:sz w:val="20"/>
          <w:szCs w:val="20"/>
          <w:color w:val="auto"/>
        </w:rPr>
      </w:pPr>
      <w:r>
        <w:rPr>
          <w:rFonts w:ascii="Arial" w:cs="Arial" w:eastAsia="Arial" w:hAnsi="Arial"/>
          <w:sz w:val="17"/>
          <w:szCs w:val="17"/>
          <w:b w:val="1"/>
          <w:bCs w:val="1"/>
          <w:color w:val="auto"/>
        </w:rPr>
        <w:t>Brookfield Oaktree Holdings, LLC</w:t>
      </w:r>
    </w:p>
    <w:p>
      <w:pPr>
        <w:spacing w:after="0" w:line="37" w:lineRule="exact"/>
        <w:rPr>
          <w:sz w:val="20"/>
          <w:szCs w:val="20"/>
          <w:color w:val="auto"/>
        </w:rPr>
      </w:pPr>
    </w:p>
    <w:tbl>
      <w:tblPr>
        <w:tblLayout w:type="fixed"/>
        <w:tblInd w:w="6380" w:type="dxa"/>
        <w:tblCellMar>
          <w:top w:w="0" w:type="dxa"/>
          <w:left w:w="0" w:type="dxa"/>
          <w:bottom w:w="0" w:type="dxa"/>
          <w:right w:w="0" w:type="dxa"/>
        </w:tblCellMar>
      </w:tblPr>
      <w:tr>
        <w:trPr>
          <w:trHeight w:val="212"/>
        </w:trPr>
        <w:tc>
          <w:tcPr>
            <w:tcW w:w="640" w:type="dxa"/>
            <w:vAlign w:val="bottom"/>
          </w:tcPr>
          <w:p>
            <w:pPr>
              <w:spacing w:after="0"/>
              <w:rPr>
                <w:sz w:val="20"/>
                <w:szCs w:val="20"/>
                <w:color w:val="auto"/>
              </w:rPr>
            </w:pPr>
            <w:r>
              <w:rPr>
                <w:rFonts w:ascii="Arial" w:cs="Arial" w:eastAsia="Arial" w:hAnsi="Arial"/>
                <w:sz w:val="17"/>
                <w:szCs w:val="17"/>
                <w:color w:val="auto"/>
              </w:rPr>
              <w:t>By:</w:t>
            </w:r>
          </w:p>
        </w:tc>
        <w:tc>
          <w:tcPr>
            <w:tcW w:w="42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/s/  Daniel D. Levin</w:t>
            </w:r>
          </w:p>
        </w:tc>
      </w:tr>
      <w:tr>
        <w:trPr>
          <w:trHeight w:val="158"/>
        </w:trPr>
        <w:tc>
          <w:tcPr>
            <w:tcW w:w="640" w:type="dxa"/>
            <w:vAlign w:val="bottom"/>
          </w:tcPr>
          <w:p>
            <w:pPr>
              <w:spacing w:after="0"/>
              <w:rPr>
                <w:sz w:val="20"/>
                <w:szCs w:val="20"/>
                <w:color w:val="auto"/>
              </w:rPr>
            </w:pPr>
            <w:r>
              <w:rPr>
                <w:rFonts w:ascii="Arial" w:cs="Arial" w:eastAsia="Arial" w:hAnsi="Arial"/>
                <w:sz w:val="12"/>
                <w:szCs w:val="12"/>
                <w:b w:val="1"/>
                <w:bCs w:val="1"/>
                <w:color w:val="auto"/>
              </w:rPr>
              <w:t>Name:</w:t>
            </w:r>
          </w:p>
        </w:tc>
        <w:tc>
          <w:tcPr>
            <w:tcW w:w="4220" w:type="dxa"/>
            <w:vAlign w:val="bottom"/>
          </w:tcPr>
          <w:p>
            <w:pPr>
              <w:jc w:val="center"/>
              <w:spacing w:after="0"/>
              <w:rPr>
                <w:sz w:val="20"/>
                <w:szCs w:val="20"/>
                <w:color w:val="auto"/>
              </w:rPr>
            </w:pPr>
            <w:r>
              <w:rPr>
                <w:rFonts w:ascii="Arial" w:cs="Arial" w:eastAsia="Arial" w:hAnsi="Arial"/>
                <w:sz w:val="12"/>
                <w:szCs w:val="12"/>
                <w:b w:val="1"/>
                <w:bCs w:val="1"/>
                <w:color w:val="auto"/>
                <w:w w:val="99"/>
              </w:rPr>
              <w:t>Daniel D. Levin</w:t>
            </w:r>
          </w:p>
        </w:tc>
      </w:tr>
      <w:tr>
        <w:trPr>
          <w:trHeight w:val="214"/>
        </w:trPr>
        <w:tc>
          <w:tcPr>
            <w:tcW w:w="64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4220" w:type="dxa"/>
            <w:vAlign w:val="bottom"/>
          </w:tcPr>
          <w:p>
            <w:pPr>
              <w:ind w:left="20"/>
              <w:spacing w:after="0"/>
              <w:rPr>
                <w:sz w:val="20"/>
                <w:szCs w:val="20"/>
                <w:color w:val="auto"/>
              </w:rPr>
            </w:pPr>
            <w:r>
              <w:rPr>
                <w:rFonts w:ascii="Arial" w:cs="Arial" w:eastAsia="Arial" w:hAnsi="Arial"/>
                <w:sz w:val="12"/>
                <w:szCs w:val="12"/>
                <w:b w:val="1"/>
                <w:bCs w:val="1"/>
                <w:color w:val="auto"/>
              </w:rPr>
              <w:t>Chief Financial Officer and Secretary</w:t>
            </w:r>
          </w:p>
        </w:tc>
      </w:tr>
    </w:tbl>
    <w:p>
      <w:pPr>
        <w:spacing w:after="0" w:line="274" w:lineRule="exact"/>
        <w:rPr>
          <w:sz w:val="20"/>
          <w:szCs w:val="20"/>
          <w:color w:val="auto"/>
        </w:rPr>
      </w:pPr>
    </w:p>
    <w:p>
      <w:pPr>
        <w:ind w:right="80" w:firstLine="623"/>
        <w:spacing w:after="0" w:line="290" w:lineRule="auto"/>
        <w:rPr>
          <w:sz w:val="20"/>
          <w:szCs w:val="20"/>
          <w:color w:val="auto"/>
        </w:rPr>
      </w:pPr>
      <w:r>
        <w:rPr>
          <w:rFonts w:ascii="Arial" w:cs="Arial" w:eastAsia="Arial" w:hAnsi="Arial"/>
          <w:sz w:val="17"/>
          <w:szCs w:val="17"/>
          <w:color w:val="auto"/>
        </w:rPr>
        <w:t>Pursuant to the requirements of the Securities Exchange Act of 1934, this report has been signed below by the following persons on behalf of the registrant in the capacities indicated on this 24th day of March 2026:</w:t>
      </w:r>
    </w:p>
    <w:p>
      <w:pPr>
        <w:sectPr>
          <w:pgSz w:w="11900" w:h="16838" w:orient="portrait"/>
          <w:cols w:equalWidth="0" w:num="1">
            <w:col w:w="11240"/>
          </w:cols>
          <w:pgMar w:left="320" w:top="855" w:right="339" w:bottom="1440" w:gutter="0" w:footer="0" w:header="0"/>
        </w:sectPr>
      </w:pPr>
    </w:p>
    <w:p>
      <w:pPr>
        <w:spacing w:after="0" w:line="68"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21590</wp:posOffset>
            </wp:positionV>
            <wp:extent cx="168656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686560" cy="8255"/>
                    </a:xfrm>
                    <a:prstGeom prst="rect">
                      <a:avLst/>
                    </a:prstGeom>
                    <a:noFill/>
                  </pic:spPr>
                </pic:pic>
              </a:graphicData>
            </a:graphic>
          </wp:anchor>
        </w:drawing>
      </w:r>
    </w:p>
    <w:p>
      <w:pPr>
        <w:spacing w:after="0" w:line="18" w:lineRule="exact"/>
        <w:rPr>
          <w:sz w:val="20"/>
          <w:szCs w:val="20"/>
          <w:color w:val="auto"/>
        </w:rPr>
      </w:pPr>
    </w:p>
    <w:p>
      <w:pPr>
        <w:ind w:left="40"/>
        <w:spacing w:after="0"/>
        <w:rPr>
          <w:sz w:val="20"/>
          <w:szCs w:val="20"/>
          <w:color w:val="auto"/>
        </w:rPr>
      </w:pPr>
      <w:r>
        <w:rPr>
          <w:rFonts w:ascii="Arial" w:cs="Arial" w:eastAsia="Arial" w:hAnsi="Arial"/>
          <w:sz w:val="16"/>
          <w:szCs w:val="16"/>
          <w:color w:val="auto"/>
        </w:rPr>
        <w:t>/s/ Howard S. Marks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27940</wp:posOffset>
            </wp:positionV>
            <wp:extent cx="168656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686560" cy="8255"/>
                    </a:xfrm>
                    <a:prstGeom prst="rect">
                      <a:avLst/>
                    </a:prstGeom>
                    <a:noFill/>
                  </pic:spPr>
                </pic:pic>
              </a:graphicData>
            </a:graphic>
          </wp:anchor>
        </w:drawing>
      </w:r>
    </w:p>
    <w:p>
      <w:pPr>
        <w:spacing w:after="0" w:line="28" w:lineRule="exact"/>
        <w:rPr>
          <w:sz w:val="20"/>
          <w:szCs w:val="20"/>
          <w:color w:val="auto"/>
        </w:rPr>
      </w:pPr>
    </w:p>
    <w:p>
      <w:pPr>
        <w:ind w:left="40"/>
        <w:spacing w:after="0"/>
        <w:rPr>
          <w:sz w:val="20"/>
          <w:szCs w:val="20"/>
          <w:color w:val="auto"/>
        </w:rPr>
      </w:pPr>
      <w:r>
        <w:rPr>
          <w:rFonts w:ascii="Arial" w:cs="Arial" w:eastAsia="Arial" w:hAnsi="Arial"/>
          <w:sz w:val="16"/>
          <w:szCs w:val="16"/>
          <w:color w:val="auto"/>
        </w:rPr>
        <w:t>Howard S. Marks</w:t>
      </w:r>
    </w:p>
    <w:p>
      <w:pPr>
        <w:spacing w:after="0" w:line="48" w:lineRule="exact"/>
        <w:rPr>
          <w:sz w:val="20"/>
          <w:szCs w:val="20"/>
          <w:color w:val="auto"/>
        </w:rPr>
      </w:pPr>
    </w:p>
    <w:p>
      <w:pPr>
        <w:ind w:left="40"/>
        <w:spacing w:after="0"/>
        <w:rPr>
          <w:sz w:val="20"/>
          <w:szCs w:val="20"/>
          <w:color w:val="auto"/>
        </w:rPr>
      </w:pPr>
      <w:r>
        <w:rPr>
          <w:rFonts w:ascii="Arial" w:cs="Arial" w:eastAsia="Arial" w:hAnsi="Arial"/>
          <w:sz w:val="16"/>
          <w:szCs w:val="16"/>
          <w:color w:val="auto"/>
        </w:rPr>
        <w:t>/s/ Bruce A. Karsh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27940</wp:posOffset>
            </wp:positionV>
            <wp:extent cx="168656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686560" cy="8255"/>
                    </a:xfrm>
                    <a:prstGeom prst="rect">
                      <a:avLst/>
                    </a:prstGeom>
                    <a:noFill/>
                  </pic:spPr>
                </pic:pic>
              </a:graphicData>
            </a:graphic>
          </wp:anchor>
        </w:drawing>
      </w:r>
    </w:p>
    <w:p>
      <w:pPr>
        <w:spacing w:after="0" w:line="28" w:lineRule="exact"/>
        <w:rPr>
          <w:sz w:val="20"/>
          <w:szCs w:val="20"/>
          <w:color w:val="auto"/>
        </w:rPr>
      </w:pPr>
    </w:p>
    <w:p>
      <w:pPr>
        <w:ind w:left="40"/>
        <w:spacing w:after="0"/>
        <w:rPr>
          <w:sz w:val="20"/>
          <w:szCs w:val="20"/>
          <w:color w:val="auto"/>
        </w:rPr>
      </w:pPr>
      <w:r>
        <w:rPr>
          <w:rFonts w:ascii="Arial" w:cs="Arial" w:eastAsia="Arial" w:hAnsi="Arial"/>
          <w:sz w:val="16"/>
          <w:szCs w:val="16"/>
          <w:color w:val="auto"/>
        </w:rPr>
        <w:t>Bruce A. Karsh</w:t>
      </w:r>
    </w:p>
    <w:p>
      <w:pPr>
        <w:spacing w:after="0" w:line="48" w:lineRule="exact"/>
        <w:rPr>
          <w:sz w:val="20"/>
          <w:szCs w:val="20"/>
          <w:color w:val="auto"/>
        </w:rPr>
      </w:pPr>
    </w:p>
    <w:p>
      <w:pPr>
        <w:ind w:left="40"/>
        <w:spacing w:after="0"/>
        <w:rPr>
          <w:sz w:val="20"/>
          <w:szCs w:val="20"/>
          <w:color w:val="auto"/>
        </w:rPr>
      </w:pPr>
      <w:r>
        <w:rPr>
          <w:rFonts w:ascii="Arial" w:cs="Arial" w:eastAsia="Arial" w:hAnsi="Arial"/>
          <w:sz w:val="16"/>
          <w:szCs w:val="16"/>
          <w:color w:val="auto"/>
        </w:rPr>
        <w:t>/s/ John B. Frank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27940</wp:posOffset>
            </wp:positionV>
            <wp:extent cx="168656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686560" cy="8255"/>
                    </a:xfrm>
                    <a:prstGeom prst="rect">
                      <a:avLst/>
                    </a:prstGeom>
                    <a:noFill/>
                  </pic:spPr>
                </pic:pic>
              </a:graphicData>
            </a:graphic>
          </wp:anchor>
        </w:drawing>
      </w:r>
    </w:p>
    <w:p>
      <w:pPr>
        <w:spacing w:after="0" w:line="28" w:lineRule="exact"/>
        <w:rPr>
          <w:sz w:val="20"/>
          <w:szCs w:val="20"/>
          <w:color w:val="auto"/>
        </w:rPr>
      </w:pPr>
    </w:p>
    <w:p>
      <w:pPr>
        <w:ind w:left="40"/>
        <w:spacing w:after="0"/>
        <w:rPr>
          <w:sz w:val="20"/>
          <w:szCs w:val="20"/>
          <w:color w:val="auto"/>
        </w:rPr>
      </w:pPr>
      <w:r>
        <w:rPr>
          <w:rFonts w:ascii="Arial" w:cs="Arial" w:eastAsia="Arial" w:hAnsi="Arial"/>
          <w:sz w:val="16"/>
          <w:szCs w:val="16"/>
          <w:color w:val="auto"/>
        </w:rPr>
        <w:t>John B. Frank</w:t>
      </w:r>
    </w:p>
    <w:p>
      <w:pPr>
        <w:spacing w:after="0" w:line="48" w:lineRule="exact"/>
        <w:rPr>
          <w:sz w:val="20"/>
          <w:szCs w:val="20"/>
          <w:color w:val="auto"/>
        </w:rPr>
      </w:pPr>
    </w:p>
    <w:p>
      <w:pPr>
        <w:ind w:left="40"/>
        <w:spacing w:after="0"/>
        <w:rPr>
          <w:sz w:val="20"/>
          <w:szCs w:val="20"/>
          <w:color w:val="auto"/>
        </w:rPr>
      </w:pPr>
      <w:r>
        <w:rPr>
          <w:rFonts w:ascii="Arial" w:cs="Arial" w:eastAsia="Arial" w:hAnsi="Arial"/>
          <w:sz w:val="16"/>
          <w:szCs w:val="16"/>
          <w:color w:val="auto"/>
        </w:rPr>
        <w:t>/s/ Nicholas H. Goodman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27940</wp:posOffset>
            </wp:positionV>
            <wp:extent cx="168656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686560" cy="8255"/>
                    </a:xfrm>
                    <a:prstGeom prst="rect">
                      <a:avLst/>
                    </a:prstGeom>
                    <a:noFill/>
                  </pic:spPr>
                </pic:pic>
              </a:graphicData>
            </a:graphic>
          </wp:anchor>
        </w:drawing>
      </w:r>
    </w:p>
    <w:p>
      <w:pPr>
        <w:spacing w:after="0" w:line="28" w:lineRule="exact"/>
        <w:rPr>
          <w:sz w:val="20"/>
          <w:szCs w:val="20"/>
          <w:color w:val="auto"/>
        </w:rPr>
      </w:pPr>
    </w:p>
    <w:p>
      <w:pPr>
        <w:ind w:left="40"/>
        <w:spacing w:after="0"/>
        <w:rPr>
          <w:sz w:val="20"/>
          <w:szCs w:val="20"/>
          <w:color w:val="auto"/>
        </w:rPr>
      </w:pPr>
      <w:r>
        <w:rPr>
          <w:rFonts w:ascii="Arial" w:cs="Arial" w:eastAsia="Arial" w:hAnsi="Arial"/>
          <w:sz w:val="16"/>
          <w:szCs w:val="16"/>
          <w:color w:val="auto"/>
        </w:rPr>
        <w:t>Nicholas H. Goodman</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Arial" w:cs="Arial" w:eastAsia="Arial" w:hAnsi="Arial"/>
          <w:sz w:val="16"/>
          <w:szCs w:val="16"/>
          <w:color w:val="auto"/>
        </w:rPr>
        <w:t>/s/ Daniel D. Levin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27940</wp:posOffset>
            </wp:positionV>
            <wp:extent cx="168656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686560" cy="8255"/>
                    </a:xfrm>
                    <a:prstGeom prst="rect">
                      <a:avLst/>
                    </a:prstGeom>
                    <a:noFill/>
                  </pic:spPr>
                </pic:pic>
              </a:graphicData>
            </a:graphic>
          </wp:anchor>
        </w:drawing>
      </w:r>
    </w:p>
    <w:p>
      <w:pPr>
        <w:spacing w:after="0" w:line="28" w:lineRule="exact"/>
        <w:rPr>
          <w:sz w:val="20"/>
          <w:szCs w:val="20"/>
          <w:color w:val="auto"/>
        </w:rPr>
      </w:pPr>
    </w:p>
    <w:p>
      <w:pPr>
        <w:ind w:left="40"/>
        <w:spacing w:after="0"/>
        <w:rPr>
          <w:sz w:val="20"/>
          <w:szCs w:val="20"/>
          <w:color w:val="auto"/>
        </w:rPr>
      </w:pPr>
      <w:r>
        <w:rPr>
          <w:rFonts w:ascii="Arial" w:cs="Arial" w:eastAsia="Arial" w:hAnsi="Arial"/>
          <w:sz w:val="16"/>
          <w:szCs w:val="16"/>
          <w:color w:val="auto"/>
        </w:rPr>
        <w:t>Daniel D. Levin</w:t>
      </w:r>
    </w:p>
    <w:p>
      <w:pPr>
        <w:spacing w:after="0" w:line="177" w:lineRule="exact"/>
        <w:rPr>
          <w:sz w:val="20"/>
          <w:szCs w:val="20"/>
          <w:color w:val="auto"/>
        </w:rPr>
      </w:pPr>
    </w:p>
    <w:p>
      <w:pPr>
        <w:ind w:left="40"/>
        <w:spacing w:after="0"/>
        <w:rPr>
          <w:sz w:val="20"/>
          <w:szCs w:val="20"/>
          <w:color w:val="auto"/>
        </w:rPr>
      </w:pPr>
      <w:r>
        <w:rPr>
          <w:rFonts w:ascii="Arial" w:cs="Arial" w:eastAsia="Arial" w:hAnsi="Arial"/>
          <w:sz w:val="16"/>
          <w:szCs w:val="16"/>
          <w:color w:val="auto"/>
        </w:rPr>
        <w:t>/s/ Sheldon M. Stone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27940</wp:posOffset>
            </wp:positionV>
            <wp:extent cx="168656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686560" cy="8255"/>
                    </a:xfrm>
                    <a:prstGeom prst="rect">
                      <a:avLst/>
                    </a:prstGeom>
                    <a:noFill/>
                  </pic:spPr>
                </pic:pic>
              </a:graphicData>
            </a:graphic>
          </wp:anchor>
        </w:drawing>
      </w:r>
    </w:p>
    <w:p>
      <w:pPr>
        <w:spacing w:after="0" w:line="28" w:lineRule="exact"/>
        <w:rPr>
          <w:sz w:val="20"/>
          <w:szCs w:val="20"/>
          <w:color w:val="auto"/>
        </w:rPr>
      </w:pPr>
    </w:p>
    <w:p>
      <w:pPr>
        <w:ind w:left="40"/>
        <w:spacing w:after="0"/>
        <w:rPr>
          <w:sz w:val="20"/>
          <w:szCs w:val="20"/>
          <w:color w:val="auto"/>
        </w:rPr>
      </w:pPr>
      <w:r>
        <w:rPr>
          <w:rFonts w:ascii="Arial" w:cs="Arial" w:eastAsia="Arial" w:hAnsi="Arial"/>
          <w:sz w:val="16"/>
          <w:szCs w:val="16"/>
          <w:color w:val="auto"/>
        </w:rPr>
        <w:t>Sheldon M. Stone</w:t>
      </w:r>
    </w:p>
    <w:p>
      <w:pPr>
        <w:spacing w:after="0" w:line="48" w:lineRule="exact"/>
        <w:rPr>
          <w:sz w:val="20"/>
          <w:szCs w:val="20"/>
          <w:color w:val="auto"/>
        </w:rPr>
      </w:pPr>
    </w:p>
    <w:p>
      <w:pPr>
        <w:ind w:left="40"/>
        <w:spacing w:after="0"/>
        <w:rPr>
          <w:sz w:val="20"/>
          <w:szCs w:val="20"/>
          <w:color w:val="auto"/>
        </w:rPr>
      </w:pPr>
      <w:r>
        <w:rPr>
          <w:rFonts w:ascii="Arial" w:cs="Arial" w:eastAsia="Arial" w:hAnsi="Arial"/>
          <w:sz w:val="16"/>
          <w:szCs w:val="16"/>
          <w:color w:val="auto"/>
        </w:rPr>
        <w:t>/s/ Justin B. Beber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27940</wp:posOffset>
            </wp:positionV>
            <wp:extent cx="168656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686560" cy="8255"/>
                    </a:xfrm>
                    <a:prstGeom prst="rect">
                      <a:avLst/>
                    </a:prstGeom>
                    <a:noFill/>
                  </pic:spPr>
                </pic:pic>
              </a:graphicData>
            </a:graphic>
          </wp:anchor>
        </w:drawing>
      </w:r>
    </w:p>
    <w:p>
      <w:pPr>
        <w:spacing w:after="0" w:line="28" w:lineRule="exact"/>
        <w:rPr>
          <w:sz w:val="20"/>
          <w:szCs w:val="20"/>
          <w:color w:val="auto"/>
        </w:rPr>
      </w:pPr>
    </w:p>
    <w:p>
      <w:pPr>
        <w:ind w:left="40"/>
        <w:spacing w:after="0"/>
        <w:rPr>
          <w:sz w:val="20"/>
          <w:szCs w:val="20"/>
          <w:color w:val="auto"/>
        </w:rPr>
      </w:pPr>
      <w:r>
        <w:rPr>
          <w:rFonts w:ascii="Arial" w:cs="Arial" w:eastAsia="Arial" w:hAnsi="Arial"/>
          <w:sz w:val="16"/>
          <w:szCs w:val="16"/>
          <w:color w:val="auto"/>
        </w:rPr>
        <w:t>Justin B. Beber</w:t>
      </w:r>
    </w:p>
    <w:p>
      <w:pPr>
        <w:spacing w:after="0" w:line="35" w:lineRule="exact"/>
        <w:rPr>
          <w:sz w:val="20"/>
          <w:szCs w:val="20"/>
          <w:color w:val="auto"/>
        </w:rPr>
      </w:pPr>
    </w:p>
    <w:p>
      <w:pPr>
        <w:ind w:left="40"/>
        <w:spacing w:after="0"/>
        <w:rPr>
          <w:sz w:val="20"/>
          <w:szCs w:val="20"/>
          <w:color w:val="auto"/>
        </w:rPr>
      </w:pPr>
      <w:r>
        <w:rPr>
          <w:rFonts w:ascii="Arial" w:cs="Arial" w:eastAsia="Arial" w:hAnsi="Arial"/>
          <w:sz w:val="16"/>
          <w:szCs w:val="16"/>
          <w:color w:val="auto"/>
        </w:rPr>
        <w:t>/s/ Bruce Flatt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27940</wp:posOffset>
            </wp:positionV>
            <wp:extent cx="168656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686560" cy="8255"/>
                    </a:xfrm>
                    <a:prstGeom prst="rect">
                      <a:avLst/>
                    </a:prstGeom>
                    <a:noFill/>
                  </pic:spPr>
                </pic:pic>
              </a:graphicData>
            </a:graphic>
          </wp:anchor>
        </w:drawing>
      </w:r>
    </w:p>
    <w:p>
      <w:pPr>
        <w:spacing w:after="0" w:line="28" w:lineRule="exact"/>
        <w:rPr>
          <w:sz w:val="20"/>
          <w:szCs w:val="20"/>
          <w:color w:val="auto"/>
        </w:rPr>
      </w:pPr>
    </w:p>
    <w:p>
      <w:pPr>
        <w:ind w:left="40"/>
        <w:spacing w:after="0"/>
        <w:rPr>
          <w:sz w:val="20"/>
          <w:szCs w:val="20"/>
          <w:color w:val="auto"/>
        </w:rPr>
      </w:pPr>
      <w:r>
        <w:rPr>
          <w:rFonts w:ascii="Arial" w:cs="Arial" w:eastAsia="Arial" w:hAnsi="Arial"/>
          <w:sz w:val="16"/>
          <w:szCs w:val="16"/>
          <w:color w:val="auto"/>
        </w:rPr>
        <w:t>Bruce Flatt</w:t>
      </w:r>
    </w:p>
    <w:p>
      <w:pPr>
        <w:spacing w:after="0" w:line="48" w:lineRule="exact"/>
        <w:rPr>
          <w:sz w:val="20"/>
          <w:szCs w:val="20"/>
          <w:color w:val="auto"/>
        </w:rPr>
      </w:pPr>
    </w:p>
    <w:p>
      <w:pPr>
        <w:ind w:left="40"/>
        <w:spacing w:after="0"/>
        <w:rPr>
          <w:sz w:val="20"/>
          <w:szCs w:val="20"/>
          <w:color w:val="auto"/>
        </w:rPr>
      </w:pPr>
      <w:r>
        <w:rPr>
          <w:rFonts w:ascii="Arial" w:cs="Arial" w:eastAsia="Arial" w:hAnsi="Arial"/>
          <w:sz w:val="16"/>
          <w:szCs w:val="16"/>
          <w:color w:val="auto"/>
        </w:rPr>
        <w:t>/s/ Steven J. Gilbert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27940</wp:posOffset>
            </wp:positionV>
            <wp:extent cx="168656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686560" cy="8255"/>
                    </a:xfrm>
                    <a:prstGeom prst="rect">
                      <a:avLst/>
                    </a:prstGeom>
                    <a:noFill/>
                  </pic:spPr>
                </pic:pic>
              </a:graphicData>
            </a:graphic>
          </wp:anchor>
        </w:drawing>
      </w:r>
    </w:p>
    <w:p>
      <w:pPr>
        <w:spacing w:after="0" w:line="28" w:lineRule="exact"/>
        <w:rPr>
          <w:sz w:val="20"/>
          <w:szCs w:val="20"/>
          <w:color w:val="auto"/>
        </w:rPr>
      </w:pPr>
    </w:p>
    <w:p>
      <w:pPr>
        <w:ind w:left="40"/>
        <w:spacing w:after="0"/>
        <w:rPr>
          <w:sz w:val="20"/>
          <w:szCs w:val="20"/>
          <w:color w:val="auto"/>
        </w:rPr>
      </w:pPr>
      <w:r>
        <w:rPr>
          <w:rFonts w:ascii="Arial" w:cs="Arial" w:eastAsia="Arial" w:hAnsi="Arial"/>
          <w:sz w:val="16"/>
          <w:szCs w:val="16"/>
          <w:color w:val="auto"/>
        </w:rPr>
        <w:t>Steven J. Gilbert</w:t>
      </w:r>
    </w:p>
    <w:p>
      <w:pPr>
        <w:spacing w:after="0" w:line="48" w:lineRule="exact"/>
        <w:rPr>
          <w:sz w:val="20"/>
          <w:szCs w:val="20"/>
          <w:color w:val="auto"/>
        </w:rPr>
      </w:pPr>
    </w:p>
    <w:p>
      <w:pPr>
        <w:ind w:left="40"/>
        <w:spacing w:after="0"/>
        <w:rPr>
          <w:sz w:val="20"/>
          <w:szCs w:val="20"/>
          <w:color w:val="auto"/>
        </w:rPr>
      </w:pPr>
      <w:r>
        <w:rPr>
          <w:rFonts w:ascii="Arial" w:cs="Arial" w:eastAsia="Arial" w:hAnsi="Arial"/>
          <w:sz w:val="16"/>
          <w:szCs w:val="16"/>
          <w:color w:val="auto"/>
        </w:rPr>
        <w:t>/s/ Depelsha McGruder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27940</wp:posOffset>
            </wp:positionV>
            <wp:extent cx="168656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686560" cy="8255"/>
                    </a:xfrm>
                    <a:prstGeom prst="rect">
                      <a:avLst/>
                    </a:prstGeom>
                    <a:noFill/>
                  </pic:spPr>
                </pic:pic>
              </a:graphicData>
            </a:graphic>
          </wp:anchor>
        </w:drawing>
      </w:r>
    </w:p>
    <w:p>
      <w:pPr>
        <w:spacing w:after="0" w:line="28" w:lineRule="exact"/>
        <w:rPr>
          <w:sz w:val="20"/>
          <w:szCs w:val="20"/>
          <w:color w:val="auto"/>
        </w:rPr>
      </w:pPr>
    </w:p>
    <w:p>
      <w:pPr>
        <w:ind w:left="40"/>
        <w:spacing w:after="0"/>
        <w:rPr>
          <w:sz w:val="20"/>
          <w:szCs w:val="20"/>
          <w:color w:val="auto"/>
        </w:rPr>
      </w:pPr>
      <w:r>
        <w:rPr>
          <w:rFonts w:ascii="Arial" w:cs="Arial" w:eastAsia="Arial" w:hAnsi="Arial"/>
          <w:sz w:val="16"/>
          <w:szCs w:val="16"/>
          <w:color w:val="auto"/>
        </w:rPr>
        <w:t>Depelsha McGruder</w:t>
      </w:r>
    </w:p>
    <w:p>
      <w:pPr>
        <w:spacing w:after="0" w:line="48" w:lineRule="exact"/>
        <w:rPr>
          <w:sz w:val="20"/>
          <w:szCs w:val="20"/>
          <w:color w:val="auto"/>
        </w:rPr>
      </w:pPr>
    </w:p>
    <w:p>
      <w:pPr>
        <w:ind w:left="40"/>
        <w:spacing w:after="0"/>
        <w:rPr>
          <w:sz w:val="20"/>
          <w:szCs w:val="20"/>
          <w:color w:val="auto"/>
        </w:rPr>
      </w:pPr>
      <w:r>
        <w:rPr>
          <w:rFonts w:ascii="Arial" w:cs="Arial" w:eastAsia="Arial" w:hAnsi="Arial"/>
          <w:sz w:val="16"/>
          <w:szCs w:val="16"/>
          <w:color w:val="auto"/>
        </w:rPr>
        <w:t>/s/ Mansco Perry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27940</wp:posOffset>
            </wp:positionV>
            <wp:extent cx="168656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686560" cy="8255"/>
                    </a:xfrm>
                    <a:prstGeom prst="rect">
                      <a:avLst/>
                    </a:prstGeom>
                    <a:noFill/>
                  </pic:spPr>
                </pic:pic>
              </a:graphicData>
            </a:graphic>
          </wp:anchor>
        </w:drawing>
      </w:r>
    </w:p>
    <w:p>
      <w:pPr>
        <w:spacing w:after="0" w:line="28" w:lineRule="exact"/>
        <w:rPr>
          <w:sz w:val="20"/>
          <w:szCs w:val="20"/>
          <w:color w:val="auto"/>
        </w:rPr>
      </w:pPr>
    </w:p>
    <w:p>
      <w:pPr>
        <w:ind w:left="40"/>
        <w:spacing w:after="0"/>
        <w:rPr>
          <w:sz w:val="20"/>
          <w:szCs w:val="20"/>
          <w:color w:val="auto"/>
        </w:rPr>
      </w:pPr>
      <w:r>
        <w:rPr>
          <w:rFonts w:ascii="Arial" w:cs="Arial" w:eastAsia="Arial" w:hAnsi="Arial"/>
          <w:sz w:val="16"/>
          <w:szCs w:val="16"/>
          <w:color w:val="auto"/>
        </w:rPr>
        <w:t>Mansco Perry</w:t>
      </w:r>
    </w:p>
    <w:p>
      <w:pPr>
        <w:spacing w:after="0" w:line="35" w:lineRule="exact"/>
        <w:rPr>
          <w:sz w:val="20"/>
          <w:szCs w:val="20"/>
          <w:color w:val="auto"/>
        </w:rPr>
      </w:pPr>
    </w:p>
    <w:p>
      <w:pPr>
        <w:ind w:left="40"/>
        <w:spacing w:after="0"/>
        <w:rPr>
          <w:sz w:val="20"/>
          <w:szCs w:val="20"/>
          <w:color w:val="auto"/>
        </w:rPr>
      </w:pPr>
      <w:r>
        <w:rPr>
          <w:rFonts w:ascii="Arial" w:cs="Arial" w:eastAsia="Arial" w:hAnsi="Arial"/>
          <w:sz w:val="16"/>
          <w:szCs w:val="16"/>
          <w:color w:val="auto"/>
        </w:rPr>
        <w:t>/s/ Marna C. Whittington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27940</wp:posOffset>
            </wp:positionV>
            <wp:extent cx="168656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686560" cy="8255"/>
                    </a:xfrm>
                    <a:prstGeom prst="rect">
                      <a:avLst/>
                    </a:prstGeom>
                    <a:noFill/>
                  </pic:spPr>
                </pic:pic>
              </a:graphicData>
            </a:graphic>
          </wp:anchor>
        </w:drawing>
      </w:r>
    </w:p>
    <w:p>
      <w:pPr>
        <w:spacing w:after="0" w:line="28" w:lineRule="exact"/>
        <w:rPr>
          <w:sz w:val="20"/>
          <w:szCs w:val="20"/>
          <w:color w:val="auto"/>
        </w:rPr>
      </w:pPr>
    </w:p>
    <w:p>
      <w:pPr>
        <w:ind w:left="40"/>
        <w:spacing w:after="0"/>
        <w:rPr>
          <w:sz w:val="20"/>
          <w:szCs w:val="20"/>
          <w:color w:val="auto"/>
        </w:rPr>
      </w:pPr>
      <w:r>
        <w:rPr>
          <w:rFonts w:ascii="Arial" w:cs="Arial" w:eastAsia="Arial" w:hAnsi="Arial"/>
          <w:sz w:val="16"/>
          <w:szCs w:val="16"/>
          <w:color w:val="auto"/>
        </w:rPr>
        <w:t>Marna C. Whittington</w:t>
      </w:r>
    </w:p>
    <w:p>
      <w:pPr>
        <w:spacing w:after="0" w:line="20" w:lineRule="exact"/>
        <w:rPr>
          <w:sz w:val="20"/>
          <w:szCs w:val="20"/>
          <w:color w:val="auto"/>
        </w:rPr>
      </w:pPr>
      <w:r>
        <w:rPr>
          <w:sz w:val="20"/>
          <w:szCs w:val="20"/>
          <w:color w:val="auto"/>
        </w:rPr>
        <w:br w:type="column"/>
      </w:r>
    </w:p>
    <w:p>
      <w:pPr>
        <w:spacing w:after="0" w:line="4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21590</wp:posOffset>
            </wp:positionV>
            <wp:extent cx="522287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5222875" cy="8255"/>
                    </a:xfrm>
                    <a:prstGeom prst="rect">
                      <a:avLst/>
                    </a:prstGeom>
                    <a:noFill/>
                  </pic:spPr>
                </pic:pic>
              </a:graphicData>
            </a:graphic>
          </wp:anchor>
        </w:drawing>
      </w: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color w:val="auto"/>
        </w:rPr>
        <w:t>Director and Co-Chairman</w:t>
      </w:r>
    </w:p>
    <w:p>
      <w:pPr>
        <w:spacing w:after="0" w:line="280" w:lineRule="exact"/>
        <w:rPr>
          <w:sz w:val="20"/>
          <w:szCs w:val="20"/>
          <w:color w:val="auto"/>
        </w:rPr>
      </w:pPr>
    </w:p>
    <w:p>
      <w:pPr>
        <w:spacing w:after="0"/>
        <w:rPr>
          <w:sz w:val="20"/>
          <w:szCs w:val="20"/>
          <w:color w:val="auto"/>
        </w:rPr>
      </w:pPr>
      <w:r>
        <w:rPr>
          <w:rFonts w:ascii="Arial" w:cs="Arial" w:eastAsia="Arial" w:hAnsi="Arial"/>
          <w:sz w:val="16"/>
          <w:szCs w:val="16"/>
          <w:color w:val="auto"/>
        </w:rPr>
        <w:t>Director and Co-Chairman</w:t>
      </w:r>
    </w:p>
    <w:p>
      <w:pPr>
        <w:spacing w:after="0" w:line="280" w:lineRule="exact"/>
        <w:rPr>
          <w:sz w:val="20"/>
          <w:szCs w:val="20"/>
          <w:color w:val="auto"/>
        </w:rPr>
      </w:pPr>
    </w:p>
    <w:p>
      <w:pPr>
        <w:spacing w:after="0"/>
        <w:rPr>
          <w:sz w:val="20"/>
          <w:szCs w:val="20"/>
          <w:color w:val="auto"/>
        </w:rPr>
      </w:pPr>
      <w:r>
        <w:rPr>
          <w:rFonts w:ascii="Arial" w:cs="Arial" w:eastAsia="Arial" w:hAnsi="Arial"/>
          <w:sz w:val="16"/>
          <w:szCs w:val="16"/>
          <w:color w:val="auto"/>
        </w:rPr>
        <w:t>Director and Vice Chairman</w:t>
      </w:r>
    </w:p>
    <w:p>
      <w:pPr>
        <w:spacing w:after="0" w:line="280" w:lineRule="exact"/>
        <w:rPr>
          <w:sz w:val="20"/>
          <w:szCs w:val="20"/>
          <w:color w:val="auto"/>
        </w:rPr>
      </w:pPr>
    </w:p>
    <w:p>
      <w:pPr>
        <w:spacing w:after="0"/>
        <w:rPr>
          <w:sz w:val="20"/>
          <w:szCs w:val="20"/>
          <w:color w:val="auto"/>
        </w:rPr>
      </w:pPr>
      <w:r>
        <w:rPr>
          <w:rFonts w:ascii="Arial" w:cs="Arial" w:eastAsia="Arial" w:hAnsi="Arial"/>
          <w:sz w:val="16"/>
          <w:szCs w:val="16"/>
          <w:color w:val="auto"/>
        </w:rPr>
        <w:t>Chief Executive Officer</w:t>
      </w:r>
    </w:p>
    <w:p>
      <w:pPr>
        <w:spacing w:after="0"/>
        <w:rPr>
          <w:sz w:val="20"/>
          <w:szCs w:val="20"/>
          <w:color w:val="auto"/>
        </w:rPr>
      </w:pPr>
      <w:r>
        <w:rPr>
          <w:rFonts w:ascii="Arial" w:cs="Arial" w:eastAsia="Arial" w:hAnsi="Arial"/>
          <w:sz w:val="16"/>
          <w:szCs w:val="16"/>
          <w:color w:val="auto"/>
        </w:rPr>
        <w:t>(Principal Executive Officer)</w:t>
      </w: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6"/>
          <w:szCs w:val="16"/>
          <w:color w:val="auto"/>
        </w:rPr>
        <w:t>Chief Financial Officer and Secretary</w:t>
      </w:r>
    </w:p>
    <w:p>
      <w:pPr>
        <w:spacing w:after="0"/>
        <w:rPr>
          <w:sz w:val="20"/>
          <w:szCs w:val="20"/>
          <w:color w:val="auto"/>
        </w:rPr>
      </w:pPr>
      <w:r>
        <w:rPr>
          <w:rFonts w:ascii="Arial" w:cs="Arial" w:eastAsia="Arial" w:hAnsi="Arial"/>
          <w:sz w:val="16"/>
          <w:szCs w:val="16"/>
          <w:color w:val="auto"/>
        </w:rPr>
        <w:t>(Principal Financial Officer and Principal Accounting Officer)</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Director</w:t>
      </w:r>
    </w:p>
    <w:p>
      <w:pPr>
        <w:spacing w:after="0" w:line="280" w:lineRule="exact"/>
        <w:rPr>
          <w:sz w:val="20"/>
          <w:szCs w:val="20"/>
          <w:color w:val="auto"/>
        </w:rPr>
      </w:pPr>
    </w:p>
    <w:p>
      <w:pPr>
        <w:spacing w:after="0"/>
        <w:rPr>
          <w:sz w:val="20"/>
          <w:szCs w:val="20"/>
          <w:color w:val="auto"/>
        </w:rPr>
      </w:pPr>
      <w:r>
        <w:rPr>
          <w:rFonts w:ascii="Arial" w:cs="Arial" w:eastAsia="Arial" w:hAnsi="Arial"/>
          <w:sz w:val="16"/>
          <w:szCs w:val="16"/>
          <w:color w:val="auto"/>
        </w:rPr>
        <w:t>Director</w:t>
      </w:r>
    </w:p>
    <w:p>
      <w:pPr>
        <w:spacing w:after="0" w:line="267" w:lineRule="exact"/>
        <w:rPr>
          <w:sz w:val="20"/>
          <w:szCs w:val="20"/>
          <w:color w:val="auto"/>
        </w:rPr>
      </w:pPr>
    </w:p>
    <w:p>
      <w:pPr>
        <w:spacing w:after="0"/>
        <w:rPr>
          <w:sz w:val="20"/>
          <w:szCs w:val="20"/>
          <w:color w:val="auto"/>
        </w:rPr>
      </w:pPr>
      <w:r>
        <w:rPr>
          <w:rFonts w:ascii="Arial" w:cs="Arial" w:eastAsia="Arial" w:hAnsi="Arial"/>
          <w:sz w:val="16"/>
          <w:szCs w:val="16"/>
          <w:color w:val="auto"/>
        </w:rPr>
        <w:t>Director</w:t>
      </w:r>
    </w:p>
    <w:p>
      <w:pPr>
        <w:spacing w:after="0" w:line="306" w:lineRule="exact"/>
        <w:rPr>
          <w:sz w:val="20"/>
          <w:szCs w:val="20"/>
          <w:color w:val="auto"/>
        </w:rPr>
      </w:pPr>
    </w:p>
    <w:p>
      <w:pPr>
        <w:spacing w:after="0"/>
        <w:rPr>
          <w:sz w:val="20"/>
          <w:szCs w:val="20"/>
          <w:color w:val="auto"/>
        </w:rPr>
      </w:pPr>
      <w:r>
        <w:rPr>
          <w:rFonts w:ascii="Arial" w:cs="Arial" w:eastAsia="Arial" w:hAnsi="Arial"/>
          <w:sz w:val="16"/>
          <w:szCs w:val="16"/>
          <w:color w:val="auto"/>
        </w:rPr>
        <w:t>Director</w:t>
      </w:r>
    </w:p>
    <w:p>
      <w:pPr>
        <w:spacing w:after="0" w:line="254" w:lineRule="exact"/>
        <w:rPr>
          <w:sz w:val="20"/>
          <w:szCs w:val="20"/>
          <w:color w:val="auto"/>
        </w:rPr>
      </w:pPr>
    </w:p>
    <w:p>
      <w:pPr>
        <w:spacing w:after="0"/>
        <w:rPr>
          <w:sz w:val="20"/>
          <w:szCs w:val="20"/>
          <w:color w:val="auto"/>
        </w:rPr>
      </w:pPr>
      <w:r>
        <w:rPr>
          <w:rFonts w:ascii="Arial" w:cs="Arial" w:eastAsia="Arial" w:hAnsi="Arial"/>
          <w:sz w:val="16"/>
          <w:szCs w:val="16"/>
          <w:color w:val="auto"/>
        </w:rPr>
        <w:t>Director</w:t>
      </w:r>
    </w:p>
    <w:p>
      <w:pPr>
        <w:spacing w:after="0" w:line="280" w:lineRule="exact"/>
        <w:rPr>
          <w:sz w:val="20"/>
          <w:szCs w:val="20"/>
          <w:color w:val="auto"/>
        </w:rPr>
      </w:pPr>
    </w:p>
    <w:p>
      <w:pPr>
        <w:spacing w:after="0"/>
        <w:rPr>
          <w:sz w:val="20"/>
          <w:szCs w:val="20"/>
          <w:color w:val="auto"/>
        </w:rPr>
      </w:pPr>
      <w:r>
        <w:rPr>
          <w:rFonts w:ascii="Arial" w:cs="Arial" w:eastAsia="Arial" w:hAnsi="Arial"/>
          <w:sz w:val="16"/>
          <w:szCs w:val="16"/>
          <w:color w:val="auto"/>
        </w:rPr>
        <w:t>Director</w:t>
      </w:r>
    </w:p>
    <w:p>
      <w:pPr>
        <w:spacing w:after="0" w:line="267" w:lineRule="exact"/>
        <w:rPr>
          <w:sz w:val="20"/>
          <w:szCs w:val="20"/>
          <w:color w:val="auto"/>
        </w:rPr>
      </w:pPr>
    </w:p>
    <w:p>
      <w:pPr>
        <w:spacing w:after="0"/>
        <w:rPr>
          <w:sz w:val="20"/>
          <w:szCs w:val="20"/>
          <w:color w:val="auto"/>
        </w:rPr>
      </w:pPr>
      <w:r>
        <w:rPr>
          <w:rFonts w:ascii="Arial" w:cs="Arial" w:eastAsia="Arial" w:hAnsi="Arial"/>
          <w:sz w:val="16"/>
          <w:szCs w:val="16"/>
          <w:color w:val="auto"/>
        </w:rPr>
        <w:t>Director</w:t>
      </w:r>
    </w:p>
    <w:p>
      <w:pPr>
        <w:spacing w:after="0" w:line="212" w:lineRule="exact"/>
        <w:rPr>
          <w:sz w:val="20"/>
          <w:szCs w:val="20"/>
          <w:color w:val="auto"/>
        </w:rPr>
      </w:pPr>
    </w:p>
    <w:p>
      <w:pPr>
        <w:sectPr>
          <w:pgSz w:w="11900" w:h="16838" w:orient="portrait"/>
          <w:cols w:equalWidth="0" w:num="2">
            <w:col w:w="2300" w:space="720"/>
            <w:col w:w="8220"/>
          </w:cols>
          <w:pgMar w:left="320" w:top="855"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77470</wp:posOffset>
            </wp:positionV>
            <wp:extent cx="7164070" cy="4191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type w:val="continuous"/>
        </w:sectPr>
      </w:pPr>
    </w:p>
    <w:bookmarkStart w:id="127" w:name="page128"/>
    <w:bookmarkEnd w:id="127"/>
    <w:tbl>
      <w:tblPr>
        <w:tblLayout w:type="fixed"/>
        <w:tblInd w:w="0" w:type="dxa"/>
        <w:tblCellMar>
          <w:top w:w="0" w:type="dxa"/>
          <w:left w:w="0" w:type="dxa"/>
          <w:bottom w:w="0" w:type="dxa"/>
          <w:right w:w="0" w:type="dxa"/>
        </w:tblCellMar>
      </w:tblPr>
      <w:tr>
        <w:trPr>
          <w:trHeight w:val="238"/>
        </w:trPr>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480" w:type="dxa"/>
            <w:vAlign w:val="bottom"/>
            <w:gridSpan w:val="36"/>
          </w:tcPr>
          <w:p>
            <w:pPr>
              <w:ind w:left="180"/>
              <w:spacing w:after="0"/>
              <w:rPr>
                <w:sz w:val="20"/>
                <w:szCs w:val="20"/>
                <w:color w:val="auto"/>
              </w:rPr>
            </w:pPr>
            <w:r>
              <w:rPr>
                <w:rFonts w:ascii="Arial" w:cs="Arial" w:eastAsia="Arial" w:hAnsi="Arial"/>
                <w:sz w:val="17"/>
                <w:szCs w:val="17"/>
                <w:b w:val="1"/>
                <w:bCs w:val="1"/>
                <w:color w:val="auto"/>
              </w:rPr>
              <w:t>EXHIBITS INDEX</w:t>
            </w:r>
          </w:p>
        </w:tc>
        <w:tc>
          <w:tcPr>
            <w:tcW w:w="0" w:type="dxa"/>
            <w:vAlign w:val="bottom"/>
          </w:tcPr>
          <w:p>
            <w:pPr>
              <w:spacing w:after="0"/>
              <w:rPr>
                <w:sz w:val="1"/>
                <w:szCs w:val="1"/>
                <w:color w:val="auto"/>
              </w:rPr>
            </w:pPr>
          </w:p>
        </w:tc>
      </w:tr>
      <w:tr>
        <w:trPr>
          <w:trHeight w:val="413"/>
        </w:trPr>
        <w:tc>
          <w:tcPr>
            <w:tcW w:w="1080" w:type="dxa"/>
            <w:vAlign w:val="bottom"/>
            <w:gridSpan w:val="5"/>
          </w:tcPr>
          <w:p>
            <w:pPr>
              <w:spacing w:after="0"/>
              <w:rPr>
                <w:sz w:val="20"/>
                <w:szCs w:val="20"/>
                <w:color w:val="auto"/>
              </w:rPr>
            </w:pPr>
            <w:r>
              <w:rPr>
                <w:rFonts w:ascii="Arial" w:cs="Arial" w:eastAsia="Arial" w:hAnsi="Arial"/>
                <w:sz w:val="12"/>
                <w:szCs w:val="12"/>
                <w:b w:val="1"/>
                <w:bCs w:val="1"/>
                <w:color w:val="auto"/>
              </w:rPr>
              <w:t>Exhibit No.</w:t>
            </w: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160" w:type="dxa"/>
            <w:vAlign w:val="bottom"/>
            <w:gridSpan w:val="34"/>
          </w:tcPr>
          <w:p>
            <w:pPr>
              <w:ind w:left="480"/>
              <w:spacing w:after="0"/>
              <w:rPr>
                <w:sz w:val="20"/>
                <w:szCs w:val="20"/>
                <w:color w:val="auto"/>
              </w:rPr>
            </w:pPr>
            <w:r>
              <w:rPr>
                <w:rFonts w:ascii="Arial" w:cs="Arial" w:eastAsia="Arial" w:hAnsi="Arial"/>
                <w:sz w:val="12"/>
                <w:szCs w:val="12"/>
                <w:b w:val="1"/>
                <w:bCs w:val="1"/>
                <w:color w:val="auto"/>
              </w:rPr>
              <w:t>Description of Exhibit</w:t>
            </w:r>
          </w:p>
        </w:tc>
        <w:tc>
          <w:tcPr>
            <w:tcW w:w="0" w:type="dxa"/>
            <w:vAlign w:val="bottom"/>
          </w:tcPr>
          <w:p>
            <w:pPr>
              <w:spacing w:after="0"/>
              <w:rPr>
                <w:sz w:val="1"/>
                <w:szCs w:val="1"/>
                <w:color w:val="auto"/>
              </w:rPr>
            </w:pPr>
          </w:p>
        </w:tc>
      </w:tr>
      <w:tr>
        <w:trPr>
          <w:trHeight w:val="20"/>
        </w:trPr>
        <w:tc>
          <w:tcPr>
            <w:tcW w:w="2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5"/>
        </w:trPr>
        <w:tc>
          <w:tcPr>
            <w:tcW w:w="320" w:type="dxa"/>
            <w:vAlign w:val="bottom"/>
            <w:gridSpan w:val="2"/>
          </w:tcPr>
          <w:p>
            <w:pPr>
              <w:spacing w:after="0"/>
              <w:rPr>
                <w:rFonts w:ascii="Arial" w:cs="Arial" w:eastAsia="Arial" w:hAnsi="Arial"/>
                <w:sz w:val="17"/>
                <w:szCs w:val="17"/>
                <w:color w:val="0000FF"/>
              </w:rPr>
            </w:pPr>
            <w:hyperlink r:id="rId162">
              <w:r>
                <w:rPr>
                  <w:rFonts w:ascii="Arial" w:cs="Arial" w:eastAsia="Arial" w:hAnsi="Arial"/>
                  <w:sz w:val="17"/>
                  <w:szCs w:val="17"/>
                  <w:color w:val="0000FF"/>
                </w:rPr>
                <w:t>3.</w:t>
              </w:r>
              <w:r>
                <w:rPr>
                  <w:rFonts w:ascii="Arial" w:cs="Arial" w:eastAsia="Arial" w:hAnsi="Arial"/>
                  <w:sz w:val="17"/>
                  <w:szCs w:val="17"/>
                  <w:u w:val="single" w:color="auto"/>
                  <w:color w:val="0000FF"/>
                </w:rPr>
                <w:t>1</w:t>
              </w:r>
            </w:hyperlink>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120" w:type="dxa"/>
            <w:vAlign w:val="bottom"/>
            <w:gridSpan w:val="40"/>
          </w:tcPr>
          <w:p>
            <w:pPr>
              <w:spacing w:after="0"/>
              <w:rPr>
                <w:rFonts w:ascii="Arial" w:cs="Arial" w:eastAsia="Arial" w:hAnsi="Arial"/>
                <w:sz w:val="17"/>
                <w:szCs w:val="17"/>
                <w:color w:val="0000FF"/>
              </w:rPr>
            </w:pPr>
            <w:hyperlink r:id="rId162">
              <w:r>
                <w:rPr>
                  <w:rFonts w:ascii="Arial" w:cs="Arial" w:eastAsia="Arial" w:hAnsi="Arial"/>
                  <w:sz w:val="17"/>
                  <w:szCs w:val="17"/>
                  <w:color w:val="0000FF"/>
                </w:rPr>
                <w:t>Amended and Restated Certificate of Formation of the Registrant effective as of March 15, 2024. (incorporated by reference to</w:t>
              </w:r>
            </w:hyperlink>
          </w:p>
        </w:tc>
        <w:tc>
          <w:tcPr>
            <w:tcW w:w="0" w:type="dxa"/>
            <w:vAlign w:val="bottom"/>
          </w:tcPr>
          <w:p>
            <w:pPr>
              <w:spacing w:after="0"/>
              <w:rPr>
                <w:sz w:val="1"/>
                <w:szCs w:val="1"/>
                <w:color w:val="auto"/>
              </w:rPr>
            </w:pPr>
          </w:p>
        </w:tc>
      </w:tr>
      <w:tr>
        <w:trPr>
          <w:trHeight w:val="155"/>
        </w:trPr>
        <w:tc>
          <w:tcPr>
            <w:tcW w:w="240" w:type="dxa"/>
            <w:vAlign w:val="bottom"/>
            <w:tcBorders>
              <w:top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640" w:type="dxa"/>
            <w:vAlign w:val="bottom"/>
            <w:tcBorders>
              <w:top w:val="single" w:sz="8" w:color="0000FF"/>
            </w:tcBorders>
            <w:gridSpan w:val="22"/>
          </w:tcPr>
          <w:p>
            <w:pPr>
              <w:spacing w:after="0" w:line="154" w:lineRule="exact"/>
              <w:rPr>
                <w:rFonts w:ascii="Arial" w:cs="Arial" w:eastAsia="Arial" w:hAnsi="Arial"/>
                <w:sz w:val="17"/>
                <w:szCs w:val="17"/>
                <w:color w:val="0000FF"/>
              </w:rPr>
            </w:pPr>
            <w:hyperlink r:id="rId162">
              <w:r>
                <w:rPr>
                  <w:rFonts w:ascii="Arial" w:cs="Arial" w:eastAsia="Arial" w:hAnsi="Arial"/>
                  <w:sz w:val="17"/>
                  <w:szCs w:val="17"/>
                  <w:color w:val="0000FF"/>
                </w:rPr>
                <w:t>Exhibit 3.1 to the Registrant’s Annual Report on Form 10-K for the year ended December 31, 2023, filed with the SEC on March</w:t>
              </w:r>
            </w:hyperlink>
          </w:p>
        </w:tc>
        <w:tc>
          <w:tcPr>
            <w:tcW w:w="400" w:type="dxa"/>
            <w:vAlign w:val="bottom"/>
            <w:gridSpan w:val="16"/>
          </w:tcPr>
          <w:p>
            <w:pPr>
              <w:jc w:val="right"/>
              <w:ind w:right="60"/>
              <w:spacing w:after="0" w:line="154" w:lineRule="exact"/>
              <w:rPr>
                <w:rFonts w:ascii="Arial" w:cs="Arial" w:eastAsia="Arial" w:hAnsi="Arial"/>
                <w:sz w:val="17"/>
                <w:szCs w:val="17"/>
                <w:color w:val="0000FF"/>
              </w:rPr>
            </w:pPr>
            <w:hyperlink r:id="rId162">
              <w:r>
                <w:rPr>
                  <w:rFonts w:ascii="Arial" w:cs="Arial" w:eastAsia="Arial" w:hAnsi="Arial"/>
                  <w:sz w:val="17"/>
                  <w:szCs w:val="17"/>
                  <w:color w:val="0000FF"/>
                </w:rPr>
                <w:t>21,</w:t>
              </w:r>
            </w:hyperlink>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00" w:type="dxa"/>
            <w:vAlign w:val="bottom"/>
            <w:tcBorders>
              <w:top w:val="single" w:sz="8" w:color="0000FF"/>
              <w:bottom w:val="single" w:sz="8" w:color="0000FF"/>
            </w:tcBorders>
          </w:tcPr>
          <w:p>
            <w:pPr>
              <w:spacing w:after="0" w:line="161" w:lineRule="exact"/>
              <w:rPr>
                <w:rFonts w:ascii="Arial" w:cs="Arial" w:eastAsia="Arial" w:hAnsi="Arial"/>
                <w:sz w:val="17"/>
                <w:szCs w:val="17"/>
                <w:color w:val="0000FF"/>
                <w:w w:val="99"/>
              </w:rPr>
            </w:pPr>
            <w:hyperlink r:id="rId162">
              <w:r>
                <w:rPr>
                  <w:rFonts w:ascii="Arial" w:cs="Arial" w:eastAsia="Arial" w:hAnsi="Arial"/>
                  <w:sz w:val="17"/>
                  <w:szCs w:val="17"/>
                  <w:color w:val="0000FF"/>
                  <w:w w:val="99"/>
                </w:rPr>
                <w:t>2024).</w:t>
              </w:r>
            </w:hyperlink>
          </w:p>
        </w:tc>
        <w:tc>
          <w:tcPr>
            <w:tcW w:w="280" w:type="dxa"/>
            <w:vAlign w:val="bottom"/>
            <w:tcBorders>
              <w:top w:val="single" w:sz="8" w:color="0000FF"/>
            </w:tcBorders>
          </w:tcPr>
          <w:p>
            <w:pPr>
              <w:spacing w:after="0"/>
              <w:rPr>
                <w:sz w:val="13"/>
                <w:szCs w:val="13"/>
                <w:color w:val="auto"/>
              </w:rPr>
            </w:pPr>
          </w:p>
        </w:tc>
        <w:tc>
          <w:tcPr>
            <w:tcW w:w="2080" w:type="dxa"/>
            <w:vAlign w:val="bottom"/>
            <w:tcBorders>
              <w:top w:val="single" w:sz="8" w:color="0000FF"/>
            </w:tcBorders>
          </w:tcPr>
          <w:p>
            <w:pPr>
              <w:spacing w:after="0"/>
              <w:rPr>
                <w:sz w:val="13"/>
                <w:szCs w:val="13"/>
                <w:color w:val="auto"/>
              </w:rPr>
            </w:pPr>
          </w:p>
        </w:tc>
        <w:tc>
          <w:tcPr>
            <w:tcW w:w="78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480" w:type="dxa"/>
            <w:vAlign w:val="bottom"/>
            <w:tcBorders>
              <w:top w:val="single" w:sz="8" w:color="0000FF"/>
            </w:tcBorders>
          </w:tcPr>
          <w:p>
            <w:pPr>
              <w:spacing w:after="0"/>
              <w:rPr>
                <w:sz w:val="13"/>
                <w:szCs w:val="13"/>
                <w:color w:val="auto"/>
              </w:rPr>
            </w:pPr>
          </w:p>
        </w:tc>
        <w:tc>
          <w:tcPr>
            <w:tcW w:w="1240" w:type="dxa"/>
            <w:vAlign w:val="bottom"/>
            <w:tcBorders>
              <w:top w:val="single" w:sz="8" w:color="0000FF"/>
            </w:tcBorders>
          </w:tcPr>
          <w:p>
            <w:pPr>
              <w:spacing w:after="0"/>
              <w:rPr>
                <w:sz w:val="13"/>
                <w:szCs w:val="13"/>
                <w:color w:val="auto"/>
              </w:rPr>
            </w:pPr>
          </w:p>
        </w:tc>
        <w:tc>
          <w:tcPr>
            <w:tcW w:w="540" w:type="dxa"/>
            <w:vAlign w:val="bottom"/>
            <w:tcBorders>
              <w:top w:val="single" w:sz="8" w:color="0000FF"/>
            </w:tcBorders>
          </w:tcPr>
          <w:p>
            <w:pPr>
              <w:spacing w:after="0"/>
              <w:rPr>
                <w:sz w:val="13"/>
                <w:szCs w:val="13"/>
                <w:color w:val="auto"/>
              </w:rPr>
            </w:pPr>
          </w:p>
        </w:tc>
        <w:tc>
          <w:tcPr>
            <w:tcW w:w="1960" w:type="dxa"/>
            <w:vAlign w:val="bottom"/>
            <w:tcBorders>
              <w:top w:val="single" w:sz="8" w:color="0000FF"/>
            </w:tcBorders>
          </w:tcPr>
          <w:p>
            <w:pPr>
              <w:spacing w:after="0"/>
              <w:rPr>
                <w:sz w:val="13"/>
                <w:szCs w:val="13"/>
                <w:color w:val="auto"/>
              </w:rPr>
            </w:pPr>
          </w:p>
        </w:tc>
        <w:tc>
          <w:tcPr>
            <w:tcW w:w="10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2"/>
        </w:trPr>
        <w:tc>
          <w:tcPr>
            <w:tcW w:w="320" w:type="dxa"/>
            <w:vAlign w:val="bottom"/>
            <w:gridSpan w:val="2"/>
          </w:tcPr>
          <w:p>
            <w:pPr>
              <w:spacing w:after="0"/>
              <w:rPr>
                <w:rFonts w:ascii="Arial" w:cs="Arial" w:eastAsia="Arial" w:hAnsi="Arial"/>
                <w:sz w:val="17"/>
                <w:szCs w:val="17"/>
                <w:color w:val="0000FF"/>
              </w:rPr>
            </w:pPr>
            <w:hyperlink r:id="rId163">
              <w:r>
                <w:rPr>
                  <w:rFonts w:ascii="Arial" w:cs="Arial" w:eastAsia="Arial" w:hAnsi="Arial"/>
                  <w:sz w:val="17"/>
                  <w:szCs w:val="17"/>
                  <w:color w:val="0000FF"/>
                </w:rPr>
                <w:t>3.</w:t>
              </w:r>
              <w:r>
                <w:rPr>
                  <w:rFonts w:ascii="Arial" w:cs="Arial" w:eastAsia="Arial" w:hAnsi="Arial"/>
                  <w:sz w:val="17"/>
                  <w:szCs w:val="17"/>
                  <w:u w:val="single" w:color="auto"/>
                  <w:color w:val="0000FF"/>
                </w:rPr>
                <w:t>2</w:t>
              </w:r>
            </w:hyperlink>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120" w:type="dxa"/>
            <w:vAlign w:val="bottom"/>
            <w:gridSpan w:val="40"/>
          </w:tcPr>
          <w:p>
            <w:pPr>
              <w:spacing w:after="0"/>
              <w:rPr>
                <w:rFonts w:ascii="Arial" w:cs="Arial" w:eastAsia="Arial" w:hAnsi="Arial"/>
                <w:sz w:val="17"/>
                <w:szCs w:val="17"/>
                <w:color w:val="0000FF"/>
              </w:rPr>
            </w:pPr>
            <w:hyperlink r:id="rId163">
              <w:r>
                <w:rPr>
                  <w:rFonts w:ascii="Arial" w:cs="Arial" w:eastAsia="Arial" w:hAnsi="Arial"/>
                  <w:sz w:val="17"/>
                  <w:szCs w:val="17"/>
                  <w:color w:val="0000FF"/>
                </w:rPr>
                <w:t>Seventh Amended and Restated Operating Agreement of the Registrant dated as of March 15, 2024 (including Unit Designation,</w:t>
              </w:r>
            </w:hyperlink>
          </w:p>
        </w:tc>
        <w:tc>
          <w:tcPr>
            <w:tcW w:w="0" w:type="dxa"/>
            <w:vAlign w:val="bottom"/>
          </w:tcPr>
          <w:p>
            <w:pPr>
              <w:spacing w:after="0"/>
              <w:rPr>
                <w:sz w:val="1"/>
                <w:szCs w:val="1"/>
                <w:color w:val="auto"/>
              </w:rPr>
            </w:pPr>
          </w:p>
        </w:tc>
      </w:tr>
      <w:tr>
        <w:trPr>
          <w:trHeight w:val="148"/>
        </w:trPr>
        <w:tc>
          <w:tcPr>
            <w:tcW w:w="240" w:type="dxa"/>
            <w:vAlign w:val="bottom"/>
            <w:tcBorders>
              <w:top w:val="single" w:sz="8" w:color="0000FF"/>
            </w:tcBorders>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780" w:type="dxa"/>
            <w:vAlign w:val="bottom"/>
            <w:tcBorders>
              <w:top w:val="single" w:sz="8" w:color="0000FF"/>
            </w:tcBorders>
            <w:gridSpan w:val="27"/>
          </w:tcPr>
          <w:p>
            <w:pPr>
              <w:spacing w:after="0" w:line="148" w:lineRule="exact"/>
              <w:rPr>
                <w:rFonts w:ascii="Arial" w:cs="Arial" w:eastAsia="Arial" w:hAnsi="Arial"/>
                <w:sz w:val="17"/>
                <w:szCs w:val="17"/>
                <w:color w:val="0000FF"/>
              </w:rPr>
            </w:pPr>
            <w:hyperlink r:id="rId163">
              <w:r>
                <w:rPr>
                  <w:rFonts w:ascii="Arial" w:cs="Arial" w:eastAsia="Arial" w:hAnsi="Arial"/>
                  <w:sz w:val="17"/>
                  <w:szCs w:val="17"/>
                  <w:color w:val="0000FF"/>
                </w:rPr>
                <w:t>dated as of November 16, 2015, Unit Designation with respect to the Series A Preferred Units, dated May 17, 2018, and Unit</w:t>
              </w:r>
            </w:hyperlink>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gridSpan w:val="2"/>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208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260" w:type="dxa"/>
            <w:vAlign w:val="bottom"/>
            <w:gridSpan w:val="3"/>
            <w:shd w:val="clear" w:color="auto" w:fill="0000FF"/>
          </w:tcPr>
          <w:p>
            <w:pPr>
              <w:spacing w:after="0" w:line="20" w:lineRule="exact"/>
              <w:rPr>
                <w:sz w:val="1"/>
                <w:szCs w:val="1"/>
                <w:color w:val="auto"/>
              </w:rPr>
            </w:pPr>
          </w:p>
        </w:tc>
        <w:tc>
          <w:tcPr>
            <w:tcW w:w="196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120" w:type="dxa"/>
            <w:vAlign w:val="bottom"/>
            <w:gridSpan w:val="40"/>
          </w:tcPr>
          <w:p>
            <w:pPr>
              <w:spacing w:after="0" w:line="161" w:lineRule="exact"/>
              <w:rPr>
                <w:rFonts w:ascii="Arial" w:cs="Arial" w:eastAsia="Arial" w:hAnsi="Arial"/>
                <w:sz w:val="17"/>
                <w:szCs w:val="17"/>
                <w:color w:val="0000FF"/>
              </w:rPr>
            </w:pPr>
            <w:hyperlink r:id="rId163">
              <w:r>
                <w:rPr>
                  <w:rFonts w:ascii="Arial" w:cs="Arial" w:eastAsia="Arial" w:hAnsi="Arial"/>
                  <w:sz w:val="17"/>
                  <w:szCs w:val="17"/>
                  <w:color w:val="0000FF"/>
                </w:rPr>
                <w:t>Designation with respect to the Series B Preferred Units, dated August 9, 2018) (incorporated by reference to Exhibit 3.2 to the</w:t>
              </w:r>
            </w:hyperlink>
          </w:p>
        </w:tc>
        <w:tc>
          <w:tcPr>
            <w:tcW w:w="0" w:type="dxa"/>
            <w:vAlign w:val="bottom"/>
          </w:tcPr>
          <w:p>
            <w:pPr>
              <w:spacing w:after="0"/>
              <w:rPr>
                <w:sz w:val="1"/>
                <w:szCs w:val="1"/>
                <w:color w:val="auto"/>
              </w:rPr>
            </w:pPr>
          </w:p>
        </w:tc>
      </w:tr>
      <w:tr>
        <w:trPr>
          <w:trHeight w:val="148"/>
        </w:trPr>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200" w:type="dxa"/>
            <w:vAlign w:val="bottom"/>
            <w:tcBorders>
              <w:top w:val="single" w:sz="8" w:color="0000FF"/>
              <w:bottom w:val="single" w:sz="8" w:color="0000FF"/>
            </w:tcBorders>
            <w:gridSpan w:val="11"/>
          </w:tcPr>
          <w:p>
            <w:pPr>
              <w:spacing w:after="0" w:line="148" w:lineRule="exact"/>
              <w:rPr>
                <w:rFonts w:ascii="Arial" w:cs="Arial" w:eastAsia="Arial" w:hAnsi="Arial"/>
                <w:sz w:val="17"/>
                <w:szCs w:val="17"/>
                <w:color w:val="0000FF"/>
              </w:rPr>
            </w:pPr>
            <w:hyperlink r:id="rId163">
              <w:r>
                <w:rPr>
                  <w:rFonts w:ascii="Arial" w:cs="Arial" w:eastAsia="Arial" w:hAnsi="Arial"/>
                  <w:sz w:val="17"/>
                  <w:szCs w:val="17"/>
                  <w:color w:val="0000FF"/>
                </w:rPr>
                <w:t>Registrant’s Annual Report on Form 10-K for the year ended December 31, 2023, filed with the SEC on March 21, 2024).</w:t>
              </w:r>
            </w:hyperlink>
          </w:p>
        </w:tc>
        <w:tc>
          <w:tcPr>
            <w:tcW w:w="480" w:type="dxa"/>
            <w:vAlign w:val="bottom"/>
            <w:tcBorders>
              <w:top w:val="single" w:sz="8" w:color="0000FF"/>
            </w:tcBorders>
            <w:gridSpan w:val="13"/>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gridSpan w:val="2"/>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2"/>
        </w:trPr>
        <w:tc>
          <w:tcPr>
            <w:tcW w:w="320" w:type="dxa"/>
            <w:vAlign w:val="bottom"/>
            <w:gridSpan w:val="2"/>
          </w:tcPr>
          <w:p>
            <w:pPr>
              <w:spacing w:after="0"/>
              <w:rPr>
                <w:rFonts w:ascii="Arial" w:cs="Arial" w:eastAsia="Arial" w:hAnsi="Arial"/>
                <w:sz w:val="17"/>
                <w:szCs w:val="17"/>
                <w:color w:val="0000FF"/>
              </w:rPr>
            </w:pPr>
            <w:hyperlink r:id="rId164">
              <w:r>
                <w:rPr>
                  <w:rFonts w:ascii="Arial" w:cs="Arial" w:eastAsia="Arial" w:hAnsi="Arial"/>
                  <w:sz w:val="17"/>
                  <w:szCs w:val="17"/>
                  <w:color w:val="0000FF"/>
                </w:rPr>
                <w:t>4.</w:t>
              </w:r>
              <w:r>
                <w:rPr>
                  <w:rFonts w:ascii="Arial" w:cs="Arial" w:eastAsia="Arial" w:hAnsi="Arial"/>
                  <w:sz w:val="17"/>
                  <w:szCs w:val="17"/>
                  <w:u w:val="single" w:color="auto"/>
                  <w:color w:val="0000FF"/>
                </w:rPr>
                <w:t>1</w:t>
              </w:r>
            </w:hyperlink>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120" w:type="dxa"/>
            <w:vAlign w:val="bottom"/>
            <w:gridSpan w:val="40"/>
          </w:tcPr>
          <w:p>
            <w:pPr>
              <w:spacing w:after="0"/>
              <w:rPr>
                <w:rFonts w:ascii="Arial" w:cs="Arial" w:eastAsia="Arial" w:hAnsi="Arial"/>
                <w:sz w:val="17"/>
                <w:szCs w:val="17"/>
                <w:color w:val="0000FF"/>
              </w:rPr>
            </w:pPr>
            <w:hyperlink r:id="rId164">
              <w:r>
                <w:rPr>
                  <w:rFonts w:ascii="Arial" w:cs="Arial" w:eastAsia="Arial" w:hAnsi="Arial"/>
                  <w:sz w:val="17"/>
                  <w:szCs w:val="17"/>
                  <w:color w:val="0000FF"/>
                </w:rPr>
                <w:t>Form of 6.625% Series A Preferred Unit Certificate (incorporated by reference to Exhibit 4.1 to the Registrant’s Current Report</w:t>
              </w:r>
            </w:hyperlink>
          </w:p>
        </w:tc>
        <w:tc>
          <w:tcPr>
            <w:tcW w:w="0" w:type="dxa"/>
            <w:vAlign w:val="bottom"/>
          </w:tcPr>
          <w:p>
            <w:pPr>
              <w:spacing w:after="0"/>
              <w:rPr>
                <w:sz w:val="1"/>
                <w:szCs w:val="1"/>
                <w:color w:val="auto"/>
              </w:rPr>
            </w:pPr>
          </w:p>
        </w:tc>
      </w:tr>
      <w:tr>
        <w:trPr>
          <w:trHeight w:val="148"/>
        </w:trPr>
        <w:tc>
          <w:tcPr>
            <w:tcW w:w="240" w:type="dxa"/>
            <w:vAlign w:val="bottom"/>
            <w:tcBorders>
              <w:top w:val="single" w:sz="8" w:color="0000FF"/>
            </w:tcBorders>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620" w:type="dxa"/>
            <w:vAlign w:val="bottom"/>
            <w:tcBorders>
              <w:top w:val="single" w:sz="8" w:color="0000FF"/>
            </w:tcBorders>
            <w:gridSpan w:val="21"/>
          </w:tcPr>
          <w:p>
            <w:pPr>
              <w:spacing w:after="0" w:line="148" w:lineRule="exact"/>
              <w:rPr>
                <w:rFonts w:ascii="Arial" w:cs="Arial" w:eastAsia="Arial" w:hAnsi="Arial"/>
                <w:sz w:val="17"/>
                <w:szCs w:val="17"/>
                <w:color w:val="0000FF"/>
              </w:rPr>
            </w:pPr>
            <w:hyperlink r:id="rId164">
              <w:r>
                <w:rPr>
                  <w:rFonts w:ascii="Arial" w:cs="Arial" w:eastAsia="Arial" w:hAnsi="Arial"/>
                  <w:sz w:val="17"/>
                  <w:szCs w:val="17"/>
                  <w:color w:val="0000FF"/>
                </w:rPr>
                <w:t>on Form 8-K, filed with the SEC on May 17, 2018).</w:t>
              </w:r>
            </w:hyperlink>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gridSpan w:val="2"/>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208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60" w:type="dxa"/>
            <w:vAlign w:val="bottom"/>
            <w:gridSpan w:val="3"/>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5"/>
        </w:trPr>
        <w:tc>
          <w:tcPr>
            <w:tcW w:w="320" w:type="dxa"/>
            <w:vAlign w:val="bottom"/>
            <w:gridSpan w:val="2"/>
          </w:tcPr>
          <w:p>
            <w:pPr>
              <w:spacing w:after="0"/>
              <w:rPr>
                <w:rFonts w:ascii="Arial" w:cs="Arial" w:eastAsia="Arial" w:hAnsi="Arial"/>
                <w:sz w:val="17"/>
                <w:szCs w:val="17"/>
                <w:color w:val="0000FF"/>
              </w:rPr>
            </w:pPr>
            <w:hyperlink r:id="rId165">
              <w:r>
                <w:rPr>
                  <w:rFonts w:ascii="Arial" w:cs="Arial" w:eastAsia="Arial" w:hAnsi="Arial"/>
                  <w:sz w:val="17"/>
                  <w:szCs w:val="17"/>
                  <w:color w:val="0000FF"/>
                </w:rPr>
                <w:t>4.</w:t>
              </w:r>
              <w:r>
                <w:rPr>
                  <w:rFonts w:ascii="Arial" w:cs="Arial" w:eastAsia="Arial" w:hAnsi="Arial"/>
                  <w:sz w:val="17"/>
                  <w:szCs w:val="17"/>
                  <w:u w:val="single" w:color="auto"/>
                  <w:color w:val="0000FF"/>
                </w:rPr>
                <w:t>2</w:t>
              </w:r>
            </w:hyperlink>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120" w:type="dxa"/>
            <w:vAlign w:val="bottom"/>
            <w:gridSpan w:val="40"/>
          </w:tcPr>
          <w:p>
            <w:pPr>
              <w:spacing w:after="0"/>
              <w:rPr>
                <w:rFonts w:ascii="Arial" w:cs="Arial" w:eastAsia="Arial" w:hAnsi="Arial"/>
                <w:sz w:val="17"/>
                <w:szCs w:val="17"/>
                <w:color w:val="0000FF"/>
              </w:rPr>
            </w:pPr>
            <w:hyperlink r:id="rId165">
              <w:r>
                <w:rPr>
                  <w:rFonts w:ascii="Arial" w:cs="Arial" w:eastAsia="Arial" w:hAnsi="Arial"/>
                  <w:sz w:val="17"/>
                  <w:szCs w:val="17"/>
                  <w:color w:val="0000FF"/>
                </w:rPr>
                <w:t>Form of 6.550% Series B Preferred Unit Certificate (incorporated by reference to Exhibit 4.1 to the registrant’s Current Report</w:t>
              </w:r>
            </w:hyperlink>
          </w:p>
        </w:tc>
        <w:tc>
          <w:tcPr>
            <w:tcW w:w="0" w:type="dxa"/>
            <w:vAlign w:val="bottom"/>
          </w:tcPr>
          <w:p>
            <w:pPr>
              <w:spacing w:after="0"/>
              <w:rPr>
                <w:sz w:val="1"/>
                <w:szCs w:val="1"/>
                <w:color w:val="auto"/>
              </w:rPr>
            </w:pPr>
          </w:p>
        </w:tc>
      </w:tr>
      <w:tr>
        <w:trPr>
          <w:trHeight w:val="148"/>
        </w:trPr>
        <w:tc>
          <w:tcPr>
            <w:tcW w:w="240" w:type="dxa"/>
            <w:vAlign w:val="bottom"/>
            <w:tcBorders>
              <w:top w:val="single" w:sz="8" w:color="0000FF"/>
            </w:tcBorders>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520" w:type="dxa"/>
            <w:vAlign w:val="bottom"/>
            <w:tcBorders>
              <w:top w:val="single" w:sz="8" w:color="0000FF"/>
            </w:tcBorders>
            <w:gridSpan w:val="16"/>
          </w:tcPr>
          <w:p>
            <w:pPr>
              <w:spacing w:after="0" w:line="148" w:lineRule="exact"/>
              <w:rPr>
                <w:rFonts w:ascii="Arial" w:cs="Arial" w:eastAsia="Arial" w:hAnsi="Arial"/>
                <w:sz w:val="17"/>
                <w:szCs w:val="17"/>
                <w:color w:val="0000FF"/>
              </w:rPr>
            </w:pPr>
            <w:hyperlink r:id="rId165">
              <w:r>
                <w:rPr>
                  <w:rFonts w:ascii="Arial" w:cs="Arial" w:eastAsia="Arial" w:hAnsi="Arial"/>
                  <w:sz w:val="17"/>
                  <w:szCs w:val="17"/>
                  <w:color w:val="0000FF"/>
                </w:rPr>
                <w:t>on Form 8-K, filed with the SEC on August 9, 2018).</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gridSpan w:val="2"/>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208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2260" w:type="dxa"/>
            <w:vAlign w:val="bottom"/>
            <w:gridSpan w:val="3"/>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8"/>
        </w:trPr>
        <w:tc>
          <w:tcPr>
            <w:tcW w:w="320" w:type="dxa"/>
            <w:vAlign w:val="bottom"/>
            <w:gridSpan w:val="2"/>
          </w:tcPr>
          <w:p>
            <w:pPr>
              <w:spacing w:after="0"/>
              <w:rPr>
                <w:rFonts w:ascii="Arial" w:cs="Arial" w:eastAsia="Arial" w:hAnsi="Arial"/>
                <w:sz w:val="17"/>
                <w:szCs w:val="17"/>
                <w:color w:val="0000FF"/>
              </w:rPr>
            </w:pPr>
            <w:hyperlink r:id="rId166">
              <w:r>
                <w:rPr>
                  <w:rFonts w:ascii="Arial" w:cs="Arial" w:eastAsia="Arial" w:hAnsi="Arial"/>
                  <w:sz w:val="17"/>
                  <w:szCs w:val="17"/>
                  <w:color w:val="0000FF"/>
                </w:rPr>
                <w:t>4.</w:t>
              </w:r>
              <w:r>
                <w:rPr>
                  <w:rFonts w:ascii="Arial" w:cs="Arial" w:eastAsia="Arial" w:hAnsi="Arial"/>
                  <w:sz w:val="17"/>
                  <w:szCs w:val="17"/>
                  <w:u w:val="single" w:color="auto"/>
                  <w:color w:val="0000FF"/>
                </w:rPr>
                <w:t>3</w:t>
              </w:r>
            </w:hyperlink>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120" w:type="dxa"/>
            <w:vAlign w:val="bottom"/>
            <w:gridSpan w:val="40"/>
          </w:tcPr>
          <w:p>
            <w:pPr>
              <w:spacing w:after="0"/>
              <w:rPr>
                <w:rFonts w:ascii="Arial" w:cs="Arial" w:eastAsia="Arial" w:hAnsi="Arial"/>
                <w:sz w:val="17"/>
                <w:szCs w:val="17"/>
                <w:color w:val="0000FF"/>
              </w:rPr>
            </w:pPr>
            <w:hyperlink r:id="rId166">
              <w:r>
                <w:rPr>
                  <w:rFonts w:ascii="Arial" w:cs="Arial" w:eastAsia="Arial" w:hAnsi="Arial"/>
                  <w:sz w:val="17"/>
                  <w:szCs w:val="17"/>
                  <w:color w:val="0000FF"/>
                </w:rPr>
                <w:t>Description of securities registered under Section 12 of the Securities Exchange Act of 1934 (incorporated by reference to Exhibit</w:t>
              </w:r>
            </w:hyperlink>
          </w:p>
        </w:tc>
        <w:tc>
          <w:tcPr>
            <w:tcW w:w="0" w:type="dxa"/>
            <w:vAlign w:val="bottom"/>
          </w:tcPr>
          <w:p>
            <w:pPr>
              <w:spacing w:after="0"/>
              <w:rPr>
                <w:sz w:val="1"/>
                <w:szCs w:val="1"/>
                <w:color w:val="auto"/>
              </w:rPr>
            </w:pPr>
          </w:p>
        </w:tc>
      </w:tr>
      <w:tr>
        <w:trPr>
          <w:trHeight w:val="135"/>
        </w:trPr>
        <w:tc>
          <w:tcPr>
            <w:tcW w:w="240" w:type="dxa"/>
            <w:vAlign w:val="bottom"/>
            <w:tcBorders>
              <w:top w:val="single" w:sz="8" w:color="0000FF"/>
            </w:tcBorders>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840" w:type="dxa"/>
            <w:vAlign w:val="bottom"/>
            <w:tcBorders>
              <w:top w:val="single" w:sz="8" w:color="0000FF"/>
              <w:bottom w:val="single" w:sz="8" w:color="0000FF"/>
            </w:tcBorders>
            <w:gridSpan w:val="29"/>
          </w:tcPr>
          <w:p>
            <w:pPr>
              <w:spacing w:after="0" w:line="135" w:lineRule="exact"/>
              <w:rPr>
                <w:rFonts w:ascii="Arial" w:cs="Arial" w:eastAsia="Arial" w:hAnsi="Arial"/>
                <w:sz w:val="15"/>
                <w:szCs w:val="15"/>
                <w:color w:val="0000FF"/>
              </w:rPr>
            </w:pPr>
            <w:hyperlink r:id="rId166">
              <w:r>
                <w:rPr>
                  <w:rFonts w:ascii="Arial" w:cs="Arial" w:eastAsia="Arial" w:hAnsi="Arial"/>
                  <w:sz w:val="15"/>
                  <w:szCs w:val="15"/>
                  <w:color w:val="0000FF"/>
                </w:rPr>
                <w:t>4.</w:t>
              </w:r>
              <w:r>
                <w:rPr>
                  <w:rFonts w:ascii="Arial" w:cs="Arial" w:eastAsia="Arial" w:hAnsi="Arial"/>
                  <w:sz w:val="15"/>
                  <w:szCs w:val="15"/>
                  <w:u w:val="single" w:color="auto"/>
                  <w:color w:val="0000FF"/>
                </w:rPr>
                <w:t>11</w:t>
              </w:r>
              <w:r>
                <w:rPr>
                  <w:rFonts w:ascii="Arial" w:cs="Arial" w:eastAsia="Arial" w:hAnsi="Arial"/>
                  <w:sz w:val="15"/>
                  <w:szCs w:val="15"/>
                  <w:color w:val="0000FF"/>
                </w:rPr>
                <w:t xml:space="preserve"> to the Registrant's Annual Report on Form 10-K for the year ended December 31, 2019, filed with the SEC on March 2, 2020)</w:t>
              </w:r>
            </w:hyperlink>
          </w:p>
        </w:tc>
        <w:tc>
          <w:tcPr>
            <w:tcW w:w="120" w:type="dxa"/>
            <w:vAlign w:val="bottom"/>
            <w:tcBorders>
              <w:bottom w:val="single" w:sz="8" w:color="0000FF"/>
            </w:tcBorders>
            <w:gridSpan w:val="7"/>
          </w:tcPr>
          <w:p>
            <w:pPr>
              <w:jc w:val="right"/>
              <w:ind w:right="20"/>
              <w:spacing w:after="0" w:line="135" w:lineRule="exact"/>
              <w:rPr>
                <w:rFonts w:ascii="Arial" w:cs="Arial" w:eastAsia="Arial" w:hAnsi="Arial"/>
                <w:sz w:val="15"/>
                <w:szCs w:val="15"/>
                <w:color w:val="0000FF"/>
              </w:rPr>
            </w:pPr>
            <w:hyperlink r:id="rId166">
              <w:r>
                <w:rPr>
                  <w:rFonts w:ascii="Arial" w:cs="Arial" w:eastAsia="Arial" w:hAnsi="Arial"/>
                  <w:sz w:val="15"/>
                  <w:szCs w:val="15"/>
                  <w:color w:val="0000FF"/>
                </w:rPr>
                <w:t>.</w:t>
              </w:r>
            </w:hyperlink>
          </w:p>
        </w:tc>
        <w:tc>
          <w:tcPr>
            <w:tcW w:w="80" w:type="dxa"/>
            <w:vAlign w:val="bottom"/>
            <w:gridSpan w:val="2"/>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84"/>
        </w:trPr>
        <w:tc>
          <w:tcPr>
            <w:tcW w:w="480" w:type="dxa"/>
            <w:vAlign w:val="bottom"/>
            <w:gridSpan w:val="3"/>
          </w:tcPr>
          <w:p>
            <w:pPr>
              <w:spacing w:after="0"/>
              <w:rPr>
                <w:rFonts w:ascii="Arial" w:cs="Arial" w:eastAsia="Arial" w:hAnsi="Arial"/>
                <w:sz w:val="17"/>
                <w:szCs w:val="17"/>
                <w:color w:val="0000FF"/>
              </w:rPr>
            </w:pPr>
            <w:hyperlink r:id="rId167">
              <w:r>
                <w:rPr>
                  <w:rFonts w:ascii="Arial" w:cs="Arial" w:eastAsia="Arial" w:hAnsi="Arial"/>
                  <w:sz w:val="17"/>
                  <w:szCs w:val="17"/>
                  <w:color w:val="0000FF"/>
                </w:rPr>
                <w:t>10.</w:t>
              </w:r>
              <w:r>
                <w:rPr>
                  <w:rFonts w:ascii="Arial" w:cs="Arial" w:eastAsia="Arial" w:hAnsi="Arial"/>
                  <w:sz w:val="17"/>
                  <w:szCs w:val="17"/>
                  <w:u w:val="single" w:color="auto"/>
                  <w:color w:val="0000FF"/>
                </w:rPr>
                <w:t>1</w:t>
              </w:r>
            </w:hyperlink>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120" w:type="dxa"/>
            <w:vAlign w:val="bottom"/>
            <w:gridSpan w:val="40"/>
          </w:tcPr>
          <w:p>
            <w:pPr>
              <w:spacing w:after="0"/>
              <w:rPr>
                <w:rFonts w:ascii="Arial" w:cs="Arial" w:eastAsia="Arial" w:hAnsi="Arial"/>
                <w:sz w:val="17"/>
                <w:szCs w:val="17"/>
                <w:color w:val="0000FF"/>
              </w:rPr>
            </w:pPr>
            <w:hyperlink r:id="rId167">
              <w:r>
                <w:rPr>
                  <w:rFonts w:ascii="Arial" w:cs="Arial" w:eastAsia="Arial" w:hAnsi="Arial"/>
                  <w:sz w:val="17"/>
                  <w:szCs w:val="17"/>
                  <w:color w:val="0000FF"/>
                </w:rPr>
                <w:t>Eighth Amended and Restated Limited Partnership Agreement of Oaktree Capital I, L.P., dated as of June 25, 2025 (including Unit</w:t>
              </w:r>
            </w:hyperlink>
          </w:p>
        </w:tc>
        <w:tc>
          <w:tcPr>
            <w:tcW w:w="0" w:type="dxa"/>
            <w:vAlign w:val="bottom"/>
          </w:tcPr>
          <w:p>
            <w:pPr>
              <w:spacing w:after="0"/>
              <w:rPr>
                <w:sz w:val="1"/>
                <w:szCs w:val="1"/>
                <w:color w:val="auto"/>
              </w:rPr>
            </w:pPr>
          </w:p>
        </w:tc>
      </w:tr>
      <w:tr>
        <w:trPr>
          <w:trHeight w:val="128"/>
        </w:trPr>
        <w:tc>
          <w:tcPr>
            <w:tcW w:w="240" w:type="dxa"/>
            <w:vAlign w:val="bottom"/>
            <w:tcBorders>
              <w:top w:val="single" w:sz="8" w:color="0000FF"/>
            </w:tcBorders>
          </w:tcPr>
          <w:p>
            <w:pPr>
              <w:spacing w:after="0"/>
              <w:rPr>
                <w:sz w:val="11"/>
                <w:szCs w:val="11"/>
                <w:color w:val="auto"/>
              </w:rPr>
            </w:pPr>
          </w:p>
        </w:tc>
        <w:tc>
          <w:tcPr>
            <w:tcW w:w="80" w:type="dxa"/>
            <w:vAlign w:val="bottom"/>
            <w:tcBorders>
              <w:top w:val="single" w:sz="8" w:color="0000FF"/>
            </w:tcBorders>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940" w:type="dxa"/>
            <w:vAlign w:val="bottom"/>
            <w:tcBorders>
              <w:top w:val="single" w:sz="8" w:color="0000FF"/>
              <w:bottom w:val="single" w:sz="8" w:color="0000FF"/>
            </w:tcBorders>
            <w:gridSpan w:val="35"/>
          </w:tcPr>
          <w:p>
            <w:pPr>
              <w:spacing w:after="0" w:line="128" w:lineRule="exact"/>
              <w:rPr>
                <w:rFonts w:ascii="Arial" w:cs="Arial" w:eastAsia="Arial" w:hAnsi="Arial"/>
                <w:sz w:val="14"/>
                <w:szCs w:val="14"/>
                <w:color w:val="0000FF"/>
              </w:rPr>
            </w:pPr>
            <w:hyperlink r:id="rId167">
              <w:r>
                <w:rPr>
                  <w:rFonts w:ascii="Arial" w:cs="Arial" w:eastAsia="Arial" w:hAnsi="Arial"/>
                  <w:sz w:val="14"/>
                  <w:szCs w:val="14"/>
                  <w:color w:val="0000FF"/>
                </w:rPr>
                <w:t>Designation with respect to the Series A Preferred Mirror Units of Oaktree Capital I, L.P., dated May 17, 2018, and Unit Designation</w:t>
              </w:r>
            </w:hyperlink>
          </w:p>
        </w:tc>
        <w:tc>
          <w:tcPr>
            <w:tcW w:w="20" w:type="dxa"/>
            <w:vAlign w:val="bottom"/>
            <w:tcBorders>
              <w:bottom w:val="single" w:sz="8" w:color="0000FF"/>
            </w:tcBorders>
          </w:tcPr>
          <w:p>
            <w:pPr>
              <w:spacing w:after="0"/>
              <w:rPr>
                <w:sz w:val="11"/>
                <w:szCs w:val="11"/>
                <w:color w:val="auto"/>
              </w:rPr>
            </w:pPr>
          </w:p>
        </w:tc>
        <w:tc>
          <w:tcPr>
            <w:tcW w:w="80" w:type="dxa"/>
            <w:vAlign w:val="bottom"/>
            <w:gridSpan w:val="2"/>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960" w:type="dxa"/>
            <w:vAlign w:val="bottom"/>
            <w:gridSpan w:val="36"/>
          </w:tcPr>
          <w:p>
            <w:pPr>
              <w:spacing w:after="0" w:line="161" w:lineRule="exact"/>
              <w:rPr>
                <w:rFonts w:ascii="Arial" w:cs="Arial" w:eastAsia="Arial" w:hAnsi="Arial"/>
                <w:sz w:val="17"/>
                <w:szCs w:val="17"/>
                <w:color w:val="0000FF"/>
              </w:rPr>
            </w:pPr>
            <w:hyperlink r:id="rId167">
              <w:r>
                <w:rPr>
                  <w:rFonts w:ascii="Arial" w:cs="Arial" w:eastAsia="Arial" w:hAnsi="Arial"/>
                  <w:sz w:val="17"/>
                  <w:szCs w:val="17"/>
                  <w:color w:val="0000FF"/>
                </w:rPr>
                <w:t>with respect to the Series B Preferred Mirror Units of Oaktree Capital I, L.P., dated August 9, 2018) (incorporated by reference to</w:t>
              </w:r>
            </w:hyperlink>
          </w:p>
        </w:tc>
        <w:tc>
          <w:tcPr>
            <w:tcW w:w="80" w:type="dxa"/>
            <w:vAlign w:val="bottom"/>
            <w:gridSpan w:val="2"/>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740" w:type="dxa"/>
            <w:vAlign w:val="bottom"/>
            <w:tcBorders>
              <w:top w:val="single" w:sz="8" w:color="0000FF"/>
              <w:bottom w:val="single" w:sz="8" w:color="0000FF"/>
            </w:tcBorders>
            <w:gridSpan w:val="26"/>
          </w:tcPr>
          <w:p>
            <w:pPr>
              <w:spacing w:after="0" w:line="148" w:lineRule="exact"/>
              <w:rPr>
                <w:rFonts w:ascii="Arial" w:cs="Arial" w:eastAsia="Arial" w:hAnsi="Arial"/>
                <w:sz w:val="17"/>
                <w:szCs w:val="17"/>
                <w:color w:val="0000FF"/>
                <w:w w:val="99"/>
              </w:rPr>
            </w:pPr>
            <w:hyperlink r:id="rId167">
              <w:r>
                <w:rPr>
                  <w:rFonts w:ascii="Arial" w:cs="Arial" w:eastAsia="Arial" w:hAnsi="Arial"/>
                  <w:sz w:val="17"/>
                  <w:szCs w:val="17"/>
                  <w:color w:val="0000FF"/>
                  <w:w w:val="99"/>
                </w:rPr>
                <w:t>Exhibit 10.1 to the Registrant’s Quarterly Report on Form 10-Q for the quarter ended June 30, 2025, filed with the SEC on August</w:t>
              </w:r>
            </w:hyperlink>
          </w:p>
        </w:tc>
        <w:tc>
          <w:tcPr>
            <w:tcW w:w="80" w:type="dxa"/>
            <w:vAlign w:val="bottom"/>
            <w:tcBorders>
              <w:bottom w:val="single" w:sz="8" w:color="0000FF"/>
            </w:tcBorders>
            <w:gridSpan w:val="2"/>
          </w:tcPr>
          <w:p>
            <w:pPr>
              <w:spacing w:after="0"/>
              <w:rPr>
                <w:sz w:val="12"/>
                <w:szCs w:val="12"/>
                <w:color w:val="auto"/>
              </w:rPr>
            </w:pPr>
          </w:p>
        </w:tc>
        <w:tc>
          <w:tcPr>
            <w:tcW w:w="20" w:type="dxa"/>
            <w:vAlign w:val="bottom"/>
            <w:tcBorders>
              <w:bottom w:val="single" w:sz="8" w:color="0000FF"/>
            </w:tcBorders>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gridSpan w:val="4"/>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80" w:type="dxa"/>
            <w:vAlign w:val="bottom"/>
            <w:tcBorders>
              <w:bottom w:val="single" w:sz="8" w:color="0000FF"/>
            </w:tcBorders>
            <w:gridSpan w:val="2"/>
          </w:tcPr>
          <w:p>
            <w:pPr>
              <w:spacing w:after="0" w:line="148" w:lineRule="exact"/>
              <w:rPr>
                <w:rFonts w:ascii="Arial" w:cs="Arial" w:eastAsia="Arial" w:hAnsi="Arial"/>
                <w:sz w:val="17"/>
                <w:szCs w:val="17"/>
                <w:color w:val="0000FF"/>
                <w:w w:val="99"/>
              </w:rPr>
            </w:pPr>
            <w:hyperlink r:id="rId167">
              <w:r>
                <w:rPr>
                  <w:rFonts w:ascii="Arial" w:cs="Arial" w:eastAsia="Arial" w:hAnsi="Arial"/>
                  <w:sz w:val="17"/>
                  <w:szCs w:val="17"/>
                  <w:color w:val="0000FF"/>
                  <w:w w:val="99"/>
                </w:rPr>
                <w:t>13, 2025).</w:t>
              </w:r>
            </w:hyperlink>
          </w:p>
        </w:tc>
        <w:tc>
          <w:tcPr>
            <w:tcW w:w="20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35"/>
        </w:trPr>
        <w:tc>
          <w:tcPr>
            <w:tcW w:w="480" w:type="dxa"/>
            <w:vAlign w:val="bottom"/>
            <w:gridSpan w:val="3"/>
          </w:tcPr>
          <w:p>
            <w:pPr>
              <w:spacing w:after="0"/>
              <w:rPr>
                <w:rFonts w:ascii="Arial" w:cs="Arial" w:eastAsia="Arial" w:hAnsi="Arial"/>
                <w:sz w:val="17"/>
                <w:szCs w:val="17"/>
                <w:color w:val="0000FF"/>
              </w:rPr>
            </w:pPr>
            <w:hyperlink r:id="rId168">
              <w:r>
                <w:rPr>
                  <w:rFonts w:ascii="Arial" w:cs="Arial" w:eastAsia="Arial" w:hAnsi="Arial"/>
                  <w:sz w:val="17"/>
                  <w:szCs w:val="17"/>
                  <w:color w:val="0000FF"/>
                </w:rPr>
                <w:t>10.</w:t>
              </w:r>
              <w:r>
                <w:rPr>
                  <w:rFonts w:ascii="Arial" w:cs="Arial" w:eastAsia="Arial" w:hAnsi="Arial"/>
                  <w:sz w:val="17"/>
                  <w:szCs w:val="17"/>
                  <w:u w:val="single" w:color="auto"/>
                  <w:color w:val="0000FF"/>
                </w:rPr>
                <w:t>2</w:t>
              </w:r>
            </w:hyperlink>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120" w:type="dxa"/>
            <w:vAlign w:val="bottom"/>
            <w:gridSpan w:val="40"/>
          </w:tcPr>
          <w:p>
            <w:pPr>
              <w:spacing w:after="0"/>
              <w:rPr>
                <w:rFonts w:ascii="Arial" w:cs="Arial" w:eastAsia="Arial" w:hAnsi="Arial"/>
                <w:sz w:val="17"/>
                <w:szCs w:val="17"/>
                <w:color w:val="0000FF"/>
              </w:rPr>
            </w:pPr>
            <w:hyperlink r:id="rId168">
              <w:r>
                <w:rPr>
                  <w:rFonts w:ascii="Arial" w:cs="Arial" w:eastAsia="Arial" w:hAnsi="Arial"/>
                  <w:sz w:val="17"/>
                  <w:szCs w:val="17"/>
                  <w:color w:val="0000FF"/>
                </w:rPr>
                <w:t>Restructuring Agreement, dated as of September 30, 2019, by and among Brookfield Asset Management Inc., Oaktree Capital</w:t>
              </w:r>
            </w:hyperlink>
          </w:p>
        </w:tc>
        <w:tc>
          <w:tcPr>
            <w:tcW w:w="0" w:type="dxa"/>
            <w:vAlign w:val="bottom"/>
          </w:tcPr>
          <w:p>
            <w:pPr>
              <w:spacing w:after="0"/>
              <w:rPr>
                <w:sz w:val="1"/>
                <w:szCs w:val="1"/>
                <w:color w:val="auto"/>
              </w:rPr>
            </w:pPr>
          </w:p>
        </w:tc>
      </w:tr>
      <w:tr>
        <w:trPr>
          <w:trHeight w:val="128"/>
        </w:trPr>
        <w:tc>
          <w:tcPr>
            <w:tcW w:w="240" w:type="dxa"/>
            <w:vAlign w:val="bottom"/>
            <w:tcBorders>
              <w:top w:val="single" w:sz="8" w:color="0000FF"/>
            </w:tcBorders>
          </w:tcPr>
          <w:p>
            <w:pPr>
              <w:spacing w:after="0"/>
              <w:rPr>
                <w:sz w:val="11"/>
                <w:szCs w:val="11"/>
                <w:color w:val="auto"/>
              </w:rPr>
            </w:pPr>
          </w:p>
        </w:tc>
        <w:tc>
          <w:tcPr>
            <w:tcW w:w="80" w:type="dxa"/>
            <w:vAlign w:val="bottom"/>
            <w:tcBorders>
              <w:top w:val="single" w:sz="8" w:color="0000FF"/>
            </w:tcBorders>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400" w:type="dxa"/>
            <w:vAlign w:val="bottom"/>
            <w:tcBorders>
              <w:top w:val="single" w:sz="8" w:color="0000FF"/>
              <w:bottom w:val="single" w:sz="8" w:color="0000FF"/>
            </w:tcBorders>
            <w:gridSpan w:val="14"/>
          </w:tcPr>
          <w:p>
            <w:pPr>
              <w:spacing w:after="0" w:line="128" w:lineRule="exact"/>
              <w:rPr>
                <w:rFonts w:ascii="Arial" w:cs="Arial" w:eastAsia="Arial" w:hAnsi="Arial"/>
                <w:sz w:val="14"/>
                <w:szCs w:val="14"/>
                <w:color w:val="0000FF"/>
              </w:rPr>
            </w:pPr>
            <w:hyperlink r:id="rId168">
              <w:r>
                <w:rPr>
                  <w:rFonts w:ascii="Arial" w:cs="Arial" w:eastAsia="Arial" w:hAnsi="Arial"/>
                  <w:sz w:val="14"/>
                  <w:szCs w:val="14"/>
                  <w:color w:val="0000FF"/>
                </w:rPr>
                <w:t>Group, LLC, Berlin Merger Sub, LLC, Oslo Holdings LLC, Oslo Holdings Merger Sub LLC, Brookfield Holdings Canada Inc.,</w:t>
              </w:r>
            </w:hyperlink>
          </w:p>
        </w:tc>
        <w:tc>
          <w:tcPr>
            <w:tcW w:w="260" w:type="dxa"/>
            <w:vAlign w:val="bottom"/>
            <w:tcBorders>
              <w:top w:val="single" w:sz="8" w:color="0000FF"/>
            </w:tcBorders>
            <w:gridSpan w:val="9"/>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gridSpan w:val="3"/>
          </w:tcPr>
          <w:p>
            <w:pPr>
              <w:spacing w:after="0"/>
              <w:rPr>
                <w:sz w:val="11"/>
                <w:szCs w:val="11"/>
                <w:color w:val="auto"/>
              </w:rPr>
            </w:pPr>
          </w:p>
        </w:tc>
        <w:tc>
          <w:tcPr>
            <w:tcW w:w="2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gridSpan w:val="4"/>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120" w:type="dxa"/>
            <w:vAlign w:val="bottom"/>
            <w:gridSpan w:val="40"/>
          </w:tcPr>
          <w:p>
            <w:pPr>
              <w:spacing w:after="0" w:line="161" w:lineRule="exact"/>
              <w:rPr>
                <w:rFonts w:ascii="Arial" w:cs="Arial" w:eastAsia="Arial" w:hAnsi="Arial"/>
                <w:sz w:val="17"/>
                <w:szCs w:val="17"/>
                <w:color w:val="0000FF"/>
              </w:rPr>
            </w:pPr>
            <w:hyperlink r:id="rId168">
              <w:r>
                <w:rPr>
                  <w:rFonts w:ascii="Arial" w:cs="Arial" w:eastAsia="Arial" w:hAnsi="Arial"/>
                  <w:sz w:val="17"/>
                  <w:szCs w:val="17"/>
                  <w:color w:val="0000FF"/>
                </w:rPr>
                <w:t>Brookfield US Holdings, Inc., Brookfield US Inc., Atlas Holdings, LLC, Atlas OCM Holdings, LLC, Oaktree Capital Group Holdings,</w:t>
              </w:r>
            </w:hyperlink>
          </w:p>
        </w:tc>
        <w:tc>
          <w:tcPr>
            <w:tcW w:w="0" w:type="dxa"/>
            <w:vAlign w:val="bottom"/>
          </w:tcPr>
          <w:p>
            <w:pPr>
              <w:spacing w:after="0"/>
              <w:rPr>
                <w:sz w:val="1"/>
                <w:szCs w:val="1"/>
                <w:color w:val="auto"/>
              </w:rPr>
            </w:pPr>
          </w:p>
        </w:tc>
      </w:tr>
      <w:tr>
        <w:trPr>
          <w:trHeight w:val="148"/>
        </w:trPr>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880" w:type="dxa"/>
            <w:vAlign w:val="bottom"/>
            <w:tcBorders>
              <w:top w:val="single" w:sz="8" w:color="0000FF"/>
            </w:tcBorders>
            <w:gridSpan w:val="32"/>
          </w:tcPr>
          <w:p>
            <w:pPr>
              <w:spacing w:after="0" w:line="148" w:lineRule="exact"/>
              <w:rPr>
                <w:rFonts w:ascii="Arial" w:cs="Arial" w:eastAsia="Arial" w:hAnsi="Arial"/>
                <w:sz w:val="17"/>
                <w:szCs w:val="17"/>
                <w:color w:val="0000FF"/>
              </w:rPr>
            </w:pPr>
            <w:hyperlink r:id="rId168">
              <w:r>
                <w:rPr>
                  <w:rFonts w:ascii="Arial" w:cs="Arial" w:eastAsia="Arial" w:hAnsi="Arial"/>
                  <w:sz w:val="17"/>
                  <w:szCs w:val="17"/>
                  <w:color w:val="0000FF"/>
                </w:rPr>
                <w:t>L.P. and the other parties thereto (incorporated by reference to Exhibit 10.2 to the Registrant’s Quarterly Report on Form 10-Q for</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gridSpan w:val="4"/>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820" w:type="dxa"/>
            <w:vAlign w:val="bottom"/>
            <w:tcBorders>
              <w:top w:val="single" w:sz="8" w:color="0000FF"/>
            </w:tcBorders>
            <w:gridSpan w:val="28"/>
          </w:tcPr>
          <w:p>
            <w:pPr>
              <w:spacing w:after="0" w:line="148" w:lineRule="exact"/>
              <w:rPr>
                <w:rFonts w:ascii="Arial" w:cs="Arial" w:eastAsia="Arial" w:hAnsi="Arial"/>
                <w:sz w:val="17"/>
                <w:szCs w:val="17"/>
                <w:color w:val="0000FF"/>
              </w:rPr>
            </w:pPr>
            <w:hyperlink r:id="rId168">
              <w:r>
                <w:rPr>
                  <w:rFonts w:ascii="Arial" w:cs="Arial" w:eastAsia="Arial" w:hAnsi="Arial"/>
                  <w:sz w:val="17"/>
                  <w:szCs w:val="17"/>
                  <w:color w:val="0000FF"/>
                </w:rPr>
                <w:t>the quarter ended September 30, 2019, filed with the SEC on November 7, 2019).</w:t>
              </w:r>
            </w:hyperlink>
          </w:p>
        </w:tc>
        <w:tc>
          <w:tcPr>
            <w:tcW w:w="2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gridSpan w:val="4"/>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8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60" w:type="dxa"/>
            <w:vAlign w:val="bottom"/>
            <w:gridSpan w:val="3"/>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580" w:type="dxa"/>
            <w:vAlign w:val="bottom"/>
            <w:gridSpan w:val="5"/>
            <w:shd w:val="clear" w:color="auto" w:fill="0000FF"/>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8"/>
        </w:trPr>
        <w:tc>
          <w:tcPr>
            <w:tcW w:w="480" w:type="dxa"/>
            <w:vAlign w:val="bottom"/>
            <w:gridSpan w:val="3"/>
          </w:tcPr>
          <w:p>
            <w:pPr>
              <w:spacing w:after="0"/>
              <w:rPr>
                <w:rFonts w:ascii="Arial" w:cs="Arial" w:eastAsia="Arial" w:hAnsi="Arial"/>
                <w:sz w:val="17"/>
                <w:szCs w:val="17"/>
                <w:color w:val="0000FF"/>
              </w:rPr>
            </w:pPr>
            <w:hyperlink r:id="rId169">
              <w:r>
                <w:rPr>
                  <w:rFonts w:ascii="Arial" w:cs="Arial" w:eastAsia="Arial" w:hAnsi="Arial"/>
                  <w:sz w:val="17"/>
                  <w:szCs w:val="17"/>
                  <w:color w:val="0000FF"/>
                </w:rPr>
                <w:t>10.</w:t>
              </w:r>
              <w:r>
                <w:rPr>
                  <w:rFonts w:ascii="Arial" w:cs="Arial" w:eastAsia="Arial" w:hAnsi="Arial"/>
                  <w:sz w:val="17"/>
                  <w:szCs w:val="17"/>
                  <w:u w:val="single" w:color="auto"/>
                  <w:color w:val="0000FF"/>
                </w:rPr>
                <w:t>3</w:t>
              </w:r>
            </w:hyperlink>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120" w:type="dxa"/>
            <w:vAlign w:val="bottom"/>
            <w:gridSpan w:val="40"/>
          </w:tcPr>
          <w:p>
            <w:pPr>
              <w:spacing w:after="0"/>
              <w:rPr>
                <w:rFonts w:ascii="Arial" w:cs="Arial" w:eastAsia="Arial" w:hAnsi="Arial"/>
                <w:sz w:val="17"/>
                <w:szCs w:val="17"/>
                <w:color w:val="0000FF"/>
              </w:rPr>
            </w:pPr>
            <w:hyperlink r:id="rId169">
              <w:r>
                <w:rPr>
                  <w:rFonts w:ascii="Arial" w:cs="Arial" w:eastAsia="Arial" w:hAnsi="Arial"/>
                  <w:sz w:val="17"/>
                  <w:szCs w:val="17"/>
                  <w:color w:val="0000FF"/>
                </w:rPr>
                <w:t>Third Amended and Restated Tax Receivable Agreement, dated as of September 30, 2019, by and among Brookfield Asset</w:t>
              </w:r>
            </w:hyperlink>
          </w:p>
        </w:tc>
        <w:tc>
          <w:tcPr>
            <w:tcW w:w="0" w:type="dxa"/>
            <w:vAlign w:val="bottom"/>
          </w:tcPr>
          <w:p>
            <w:pPr>
              <w:spacing w:after="0"/>
              <w:rPr>
                <w:sz w:val="1"/>
                <w:szCs w:val="1"/>
                <w:color w:val="auto"/>
              </w:rPr>
            </w:pPr>
          </w:p>
        </w:tc>
      </w:tr>
      <w:tr>
        <w:trPr>
          <w:trHeight w:val="155"/>
        </w:trPr>
        <w:tc>
          <w:tcPr>
            <w:tcW w:w="2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380" w:type="dxa"/>
            <w:vAlign w:val="bottom"/>
            <w:tcBorders>
              <w:top w:val="single" w:sz="8" w:color="0000FF"/>
              <w:bottom w:val="single" w:sz="8" w:color="0000FF"/>
            </w:tcBorders>
            <w:gridSpan w:val="13"/>
          </w:tcPr>
          <w:p>
            <w:pPr>
              <w:spacing w:after="0" w:line="154" w:lineRule="exact"/>
              <w:rPr>
                <w:rFonts w:ascii="Arial" w:cs="Arial" w:eastAsia="Arial" w:hAnsi="Arial"/>
                <w:sz w:val="17"/>
                <w:szCs w:val="17"/>
                <w:color w:val="0000FF"/>
              </w:rPr>
            </w:pPr>
            <w:hyperlink r:id="rId169">
              <w:r>
                <w:rPr>
                  <w:rFonts w:ascii="Arial" w:cs="Arial" w:eastAsia="Arial" w:hAnsi="Arial"/>
                  <w:sz w:val="17"/>
                  <w:szCs w:val="17"/>
                  <w:color w:val="0000FF"/>
                </w:rPr>
                <w:t>Management Inc., Oaktree Holdings, Inc., Oaktree AIF Holdings, Inc., Oaktree Capital II, L.P., Oaktree Capital Management,</w:t>
              </w:r>
            </w:hyperlink>
          </w:p>
        </w:tc>
        <w:tc>
          <w:tcPr>
            <w:tcW w:w="80" w:type="dxa"/>
            <w:vAlign w:val="bottom"/>
            <w:tcBorders>
              <w:bottom w:val="single" w:sz="8" w:color="0000FF"/>
            </w:tcBorders>
            <w:gridSpan w:val="2"/>
          </w:tcPr>
          <w:p>
            <w:pPr>
              <w:spacing w:after="0"/>
              <w:rPr>
                <w:sz w:val="13"/>
                <w:szCs w:val="13"/>
                <w:color w:val="auto"/>
              </w:rPr>
            </w:pPr>
          </w:p>
        </w:tc>
        <w:tc>
          <w:tcPr>
            <w:tcW w:w="380" w:type="dxa"/>
            <w:vAlign w:val="bottom"/>
            <w:tcBorders>
              <w:bottom w:val="single" w:sz="8" w:color="0000FF"/>
            </w:tcBorders>
            <w:gridSpan w:val="15"/>
          </w:tcPr>
          <w:p>
            <w:pPr>
              <w:jc w:val="center"/>
              <w:spacing w:after="0" w:line="154" w:lineRule="exact"/>
              <w:rPr>
                <w:rFonts w:ascii="Arial" w:cs="Arial" w:eastAsia="Arial" w:hAnsi="Arial"/>
                <w:sz w:val="17"/>
                <w:szCs w:val="17"/>
                <w:color w:val="0000FF"/>
                <w:w w:val="97"/>
              </w:rPr>
            </w:pPr>
            <w:hyperlink r:id="rId169">
              <w:r>
                <w:rPr>
                  <w:rFonts w:ascii="Arial" w:cs="Arial" w:eastAsia="Arial" w:hAnsi="Arial"/>
                  <w:sz w:val="17"/>
                  <w:szCs w:val="17"/>
                  <w:color w:val="0000FF"/>
                  <w:w w:val="97"/>
                </w:rPr>
                <w:t>L.P.,</w:t>
              </w:r>
            </w:hyperlink>
          </w:p>
        </w:tc>
        <w:tc>
          <w:tcPr>
            <w:tcW w:w="280" w:type="dxa"/>
            <w:vAlign w:val="bottom"/>
            <w:gridSpan w:val="10"/>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120" w:type="dxa"/>
            <w:vAlign w:val="bottom"/>
            <w:gridSpan w:val="40"/>
          </w:tcPr>
          <w:p>
            <w:pPr>
              <w:spacing w:after="0" w:line="161" w:lineRule="exact"/>
              <w:rPr>
                <w:rFonts w:ascii="Arial" w:cs="Arial" w:eastAsia="Arial" w:hAnsi="Arial"/>
                <w:sz w:val="17"/>
                <w:szCs w:val="17"/>
                <w:color w:val="0000FF"/>
              </w:rPr>
            </w:pPr>
            <w:hyperlink r:id="rId169">
              <w:r>
                <w:rPr>
                  <w:rFonts w:ascii="Arial" w:cs="Arial" w:eastAsia="Arial" w:hAnsi="Arial"/>
                  <w:sz w:val="17"/>
                  <w:szCs w:val="17"/>
                  <w:color w:val="0000FF"/>
                </w:rPr>
                <w:t>Oaktree Investment Holdings, L.P., Oaktree AIF Investments, L.P., Oaktree Capital Group Holdings, L.P. and the other parties thereto</w:t>
              </w:r>
            </w:hyperlink>
          </w:p>
        </w:tc>
        <w:tc>
          <w:tcPr>
            <w:tcW w:w="0" w:type="dxa"/>
            <w:vAlign w:val="bottom"/>
          </w:tcPr>
          <w:p>
            <w:pPr>
              <w:spacing w:after="0"/>
              <w:rPr>
                <w:sz w:val="1"/>
                <w:szCs w:val="1"/>
                <w:color w:val="auto"/>
              </w:rPr>
            </w:pPr>
          </w:p>
        </w:tc>
      </w:tr>
      <w:tr>
        <w:trPr>
          <w:trHeight w:val="148"/>
        </w:trPr>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100" w:type="dxa"/>
            <w:vAlign w:val="bottom"/>
            <w:tcBorders>
              <w:top w:val="single" w:sz="8" w:color="0000FF"/>
            </w:tcBorders>
            <w:gridSpan w:val="39"/>
          </w:tcPr>
          <w:p>
            <w:pPr>
              <w:spacing w:after="0" w:line="148" w:lineRule="exact"/>
              <w:rPr>
                <w:rFonts w:ascii="Arial" w:cs="Arial" w:eastAsia="Arial" w:hAnsi="Arial"/>
                <w:sz w:val="17"/>
                <w:szCs w:val="17"/>
                <w:color w:val="0000FF"/>
              </w:rPr>
            </w:pPr>
            <w:hyperlink r:id="rId169">
              <w:r>
                <w:rPr>
                  <w:rFonts w:ascii="Arial" w:cs="Arial" w:eastAsia="Arial" w:hAnsi="Arial"/>
                  <w:sz w:val="17"/>
                  <w:szCs w:val="17"/>
                  <w:color w:val="0000FF"/>
                </w:rPr>
                <w:t>(incorporated by reference to Exhibit 10.3 to the Registrant’s Quarterly Report on Form 10-Q for the quarter ended September 30,</w:t>
              </w:r>
            </w:hyperlink>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860" w:type="dxa"/>
            <w:vAlign w:val="bottom"/>
            <w:tcBorders>
              <w:top w:val="single" w:sz="8" w:color="0000FF"/>
            </w:tcBorders>
            <w:gridSpan w:val="31"/>
          </w:tcPr>
          <w:p>
            <w:pPr>
              <w:spacing w:after="0" w:line="148" w:lineRule="exact"/>
              <w:rPr>
                <w:rFonts w:ascii="Arial" w:cs="Arial" w:eastAsia="Arial" w:hAnsi="Arial"/>
                <w:sz w:val="17"/>
                <w:szCs w:val="17"/>
                <w:color w:val="0000FF"/>
              </w:rPr>
            </w:pPr>
            <w:hyperlink r:id="rId169">
              <w:r>
                <w:rPr>
                  <w:rFonts w:ascii="Arial" w:cs="Arial" w:eastAsia="Arial" w:hAnsi="Arial"/>
                  <w:sz w:val="17"/>
                  <w:szCs w:val="17"/>
                  <w:color w:val="0000FF"/>
                </w:rPr>
                <w:t>2019, filed with the SEC on November 7, 2019).</w:t>
              </w:r>
            </w:hyperlink>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gridSpan w:val="4"/>
          </w:tcPr>
          <w:p>
            <w:pPr>
              <w:spacing w:after="0"/>
              <w:rPr>
                <w:sz w:val="12"/>
                <w:szCs w:val="12"/>
                <w:color w:val="auto"/>
              </w:rPr>
            </w:pPr>
          </w:p>
        </w:tc>
        <w:tc>
          <w:tcPr>
            <w:tcW w:w="8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80" w:type="dxa"/>
            <w:vAlign w:val="bottom"/>
            <w:gridSpan w:val="3"/>
            <w:vMerge w:val="restart"/>
          </w:tcPr>
          <w:p>
            <w:pPr>
              <w:spacing w:after="0"/>
              <w:rPr>
                <w:rFonts w:ascii="Arial" w:cs="Arial" w:eastAsia="Arial" w:hAnsi="Arial"/>
                <w:sz w:val="17"/>
                <w:szCs w:val="17"/>
                <w:color w:val="0000FF"/>
                <w:w w:val="97"/>
              </w:rPr>
            </w:pPr>
            <w:hyperlink r:id="rId170">
              <w:r>
                <w:rPr>
                  <w:rFonts w:ascii="Arial" w:cs="Arial" w:eastAsia="Arial" w:hAnsi="Arial"/>
                  <w:sz w:val="17"/>
                  <w:szCs w:val="17"/>
                  <w:color w:val="0000FF"/>
                  <w:w w:val="97"/>
                </w:rPr>
                <w:t>10.</w:t>
              </w:r>
              <w:r>
                <w:rPr>
                  <w:rFonts w:ascii="Arial" w:cs="Arial" w:eastAsia="Arial" w:hAnsi="Arial"/>
                  <w:sz w:val="17"/>
                  <w:szCs w:val="17"/>
                  <w:u w:val="single" w:color="auto"/>
                  <w:color w:val="0000FF"/>
                  <w:w w:val="97"/>
                </w:rPr>
                <w:t>3.1</w:t>
              </w:r>
            </w:hyperlink>
          </w:p>
        </w:tc>
        <w:tc>
          <w:tcPr>
            <w:tcW w:w="140" w:type="dxa"/>
            <w:vAlign w:val="bottom"/>
            <w:vMerge w:val="restart"/>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60" w:type="dxa"/>
            <w:vAlign w:val="bottom"/>
            <w:gridSpan w:val="3"/>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4540" w:type="dxa"/>
            <w:vAlign w:val="bottom"/>
            <w:gridSpan w:val="6"/>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1"/>
        </w:trPr>
        <w:tc>
          <w:tcPr>
            <w:tcW w:w="480" w:type="dxa"/>
            <w:vAlign w:val="bottom"/>
            <w:tcBorders>
              <w:bottom w:val="single" w:sz="8" w:color="0000FF"/>
            </w:tcBorders>
            <w:gridSpan w:val="3"/>
            <w:vMerge w:val="continue"/>
          </w:tcPr>
          <w:p>
            <w:pPr>
              <w:spacing w:after="0"/>
              <w:rPr>
                <w:sz w:val="24"/>
                <w:szCs w:val="24"/>
                <w:color w:val="auto"/>
              </w:rPr>
            </w:pPr>
          </w:p>
        </w:tc>
        <w:tc>
          <w:tcPr>
            <w:tcW w:w="140" w:type="dxa"/>
            <w:vAlign w:val="bottom"/>
            <w:vMerge w:val="continue"/>
          </w:tcPr>
          <w:p>
            <w:pPr>
              <w:spacing w:after="0"/>
              <w:rPr>
                <w:sz w:val="24"/>
                <w:szCs w:val="24"/>
                <w:color w:val="auto"/>
              </w:rPr>
            </w:pPr>
          </w:p>
        </w:tc>
        <w:tc>
          <w:tcPr>
            <w:tcW w:w="460" w:type="dxa"/>
            <w:vAlign w:val="bottom"/>
          </w:tcPr>
          <w:p>
            <w:pPr>
              <w:spacing w:after="0"/>
              <w:rPr>
                <w:sz w:val="24"/>
                <w:szCs w:val="24"/>
                <w:color w:val="auto"/>
              </w:rPr>
            </w:pPr>
          </w:p>
        </w:tc>
        <w:tc>
          <w:tcPr>
            <w:tcW w:w="9460" w:type="dxa"/>
            <w:vAlign w:val="bottom"/>
            <w:tcBorders>
              <w:bottom w:val="single" w:sz="8" w:color="0000FF"/>
            </w:tcBorders>
            <w:gridSpan w:val="15"/>
          </w:tcPr>
          <w:p>
            <w:pPr>
              <w:spacing w:after="0"/>
              <w:rPr>
                <w:sz w:val="20"/>
                <w:szCs w:val="20"/>
                <w:color w:val="auto"/>
              </w:rPr>
            </w:pPr>
            <w:r>
              <w:rPr>
                <w:rFonts w:ascii="Arial" w:cs="Arial" w:eastAsia="Arial" w:hAnsi="Arial"/>
                <w:sz w:val="17"/>
                <w:szCs w:val="17"/>
                <w:color w:val="0000FF"/>
              </w:rPr>
              <w:t>Amendment to the Third Amended and Restated Tax Receivable Agreement, dated April 13, 2023, by and among Brookfield</w:t>
            </w:r>
          </w:p>
        </w:tc>
        <w:tc>
          <w:tcPr>
            <w:tcW w:w="660" w:type="dxa"/>
            <w:vAlign w:val="bottom"/>
            <w:gridSpan w:val="25"/>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700" w:type="dxa"/>
            <w:vAlign w:val="bottom"/>
            <w:tcBorders>
              <w:bottom w:val="single" w:sz="8" w:color="0000FF"/>
            </w:tcBorders>
            <w:gridSpan w:val="25"/>
          </w:tcPr>
          <w:p>
            <w:pPr>
              <w:spacing w:after="0" w:line="180" w:lineRule="exact"/>
              <w:rPr>
                <w:rFonts w:ascii="Arial" w:cs="Arial" w:eastAsia="Arial" w:hAnsi="Arial"/>
                <w:sz w:val="17"/>
                <w:szCs w:val="17"/>
                <w:color w:val="0000FF"/>
              </w:rPr>
            </w:pPr>
            <w:hyperlink r:id="rId170">
              <w:r>
                <w:rPr>
                  <w:rFonts w:ascii="Arial" w:cs="Arial" w:eastAsia="Arial" w:hAnsi="Arial"/>
                  <w:sz w:val="17"/>
                  <w:szCs w:val="17"/>
                  <w:color w:val="0000FF"/>
                </w:rPr>
                <w:t>Corporation (formerly known as Brookfield Asset Management Inc.), Oaktree New Holdings LLC, Oaktree AIF Holdings II, LLC,</w:t>
              </w:r>
            </w:hyperlink>
          </w:p>
        </w:tc>
        <w:tc>
          <w:tcPr>
            <w:tcW w:w="420" w:type="dxa"/>
            <w:vAlign w:val="bottom"/>
            <w:gridSpan w:val="15"/>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120" w:type="dxa"/>
            <w:vAlign w:val="bottom"/>
            <w:gridSpan w:val="40"/>
          </w:tcPr>
          <w:p>
            <w:pPr>
              <w:spacing w:after="0" w:line="186" w:lineRule="exact"/>
              <w:rPr>
                <w:rFonts w:ascii="Arial" w:cs="Arial" w:eastAsia="Arial" w:hAnsi="Arial"/>
                <w:sz w:val="17"/>
                <w:szCs w:val="17"/>
                <w:color w:val="0000FF"/>
              </w:rPr>
            </w:pPr>
            <w:hyperlink r:id="rId170">
              <w:r>
                <w:rPr>
                  <w:rFonts w:ascii="Arial" w:cs="Arial" w:eastAsia="Arial" w:hAnsi="Arial"/>
                  <w:sz w:val="17"/>
                  <w:szCs w:val="17"/>
                  <w:color w:val="0000FF"/>
                </w:rPr>
                <w:t>Oaktree Capital II, L.P., Oaktree Capital Management, L.P., Oaktree Investment Holdings, L.P., Oaktree AIF Investments, L.P.,</w:t>
              </w:r>
            </w:hyperlink>
          </w:p>
        </w:tc>
        <w:tc>
          <w:tcPr>
            <w:tcW w:w="0" w:type="dxa"/>
            <w:vAlign w:val="bottom"/>
          </w:tcPr>
          <w:p>
            <w:pPr>
              <w:spacing w:after="0"/>
              <w:rPr>
                <w:sz w:val="1"/>
                <w:szCs w:val="1"/>
                <w:color w:val="auto"/>
              </w:rPr>
            </w:pPr>
          </w:p>
        </w:tc>
      </w:tr>
      <w:tr>
        <w:trPr>
          <w:trHeight w:val="173"/>
        </w:trPr>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560" w:type="dxa"/>
            <w:vAlign w:val="bottom"/>
            <w:tcBorders>
              <w:top w:val="single" w:sz="8" w:color="0000FF"/>
              <w:bottom w:val="single" w:sz="8" w:color="0000FF"/>
            </w:tcBorders>
            <w:gridSpan w:val="18"/>
          </w:tcPr>
          <w:p>
            <w:pPr>
              <w:spacing w:after="0" w:line="173" w:lineRule="exact"/>
              <w:rPr>
                <w:rFonts w:ascii="Arial" w:cs="Arial" w:eastAsia="Arial" w:hAnsi="Arial"/>
                <w:sz w:val="17"/>
                <w:szCs w:val="17"/>
                <w:color w:val="0000FF"/>
                <w:w w:val="99"/>
              </w:rPr>
            </w:pPr>
            <w:hyperlink r:id="rId170">
              <w:r>
                <w:rPr>
                  <w:rFonts w:ascii="Arial" w:cs="Arial" w:eastAsia="Arial" w:hAnsi="Arial"/>
                  <w:sz w:val="17"/>
                  <w:szCs w:val="17"/>
                  <w:color w:val="0000FF"/>
                  <w:w w:val="99"/>
                </w:rPr>
                <w:t>Oaktree Capital Group Holdings, L.P. and the other parties thereto (incorporated by reference to Exhibit 10.1 to the Registrant’s</w:t>
              </w:r>
            </w:hyperlink>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100" w:type="dxa"/>
            <w:vAlign w:val="bottom"/>
            <w:tcBorders>
              <w:bottom w:val="single" w:sz="8" w:color="0000FF"/>
            </w:tcBorders>
            <w:gridSpan w:val="5"/>
          </w:tcPr>
          <w:p>
            <w:pPr>
              <w:spacing w:after="0"/>
              <w:rPr>
                <w:sz w:val="15"/>
                <w:szCs w:val="15"/>
                <w:color w:val="auto"/>
              </w:rPr>
            </w:pPr>
          </w:p>
        </w:tc>
        <w:tc>
          <w:tcPr>
            <w:tcW w:w="200" w:type="dxa"/>
            <w:vAlign w:val="bottom"/>
            <w:gridSpan w:val="8"/>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gridSpan w:val="4"/>
          </w:tcPr>
          <w:p>
            <w:pPr>
              <w:spacing w:after="0"/>
              <w:rPr>
                <w:sz w:val="15"/>
                <w:szCs w:val="15"/>
                <w:color w:val="auto"/>
              </w:rPr>
            </w:pPr>
          </w:p>
        </w:tc>
        <w:tc>
          <w:tcPr>
            <w:tcW w:w="8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180" w:type="dxa"/>
            <w:vAlign w:val="bottom"/>
            <w:tcBorders>
              <w:bottom w:val="single" w:sz="8" w:color="0000FF"/>
            </w:tcBorders>
            <w:gridSpan w:val="10"/>
          </w:tcPr>
          <w:p>
            <w:pPr>
              <w:spacing w:after="0" w:line="173" w:lineRule="exact"/>
              <w:rPr>
                <w:rFonts w:ascii="Arial" w:cs="Arial" w:eastAsia="Arial" w:hAnsi="Arial"/>
                <w:sz w:val="17"/>
                <w:szCs w:val="17"/>
                <w:color w:val="0000FF"/>
              </w:rPr>
            </w:pPr>
            <w:hyperlink r:id="rId170">
              <w:r>
                <w:rPr>
                  <w:rFonts w:ascii="Arial" w:cs="Arial" w:eastAsia="Arial" w:hAnsi="Arial"/>
                  <w:sz w:val="17"/>
                  <w:szCs w:val="17"/>
                  <w:color w:val="0000FF"/>
                </w:rPr>
                <w:t>Quarterly Report on Form 10-Q for the quarter ended March 31, 2023, filed with the SEC on May 13, 2023).</w:t>
              </w:r>
            </w:hyperlink>
          </w:p>
        </w:tc>
        <w:tc>
          <w:tcPr>
            <w:tcW w:w="1520" w:type="dxa"/>
            <w:vAlign w:val="bottom"/>
            <w:gridSpan w:val="15"/>
          </w:tcPr>
          <w:p>
            <w:pPr>
              <w:spacing w:after="0"/>
              <w:rPr>
                <w:sz w:val="15"/>
                <w:szCs w:val="15"/>
                <w:color w:val="auto"/>
              </w:rPr>
            </w:pPr>
          </w:p>
        </w:tc>
        <w:tc>
          <w:tcPr>
            <w:tcW w:w="200" w:type="dxa"/>
            <w:vAlign w:val="bottom"/>
            <w:gridSpan w:val="8"/>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gridSpan w:val="4"/>
          </w:tcPr>
          <w:p>
            <w:pPr>
              <w:spacing w:after="0"/>
              <w:rPr>
                <w:sz w:val="15"/>
                <w:szCs w:val="15"/>
                <w:color w:val="auto"/>
              </w:rPr>
            </w:pPr>
          </w:p>
        </w:tc>
        <w:tc>
          <w:tcPr>
            <w:tcW w:w="8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328"/>
        </w:trPr>
        <w:tc>
          <w:tcPr>
            <w:tcW w:w="480" w:type="dxa"/>
            <w:vAlign w:val="bottom"/>
            <w:gridSpan w:val="3"/>
          </w:tcPr>
          <w:p>
            <w:pPr>
              <w:spacing w:after="0"/>
              <w:rPr>
                <w:rFonts w:ascii="Arial" w:cs="Arial" w:eastAsia="Arial" w:hAnsi="Arial"/>
                <w:sz w:val="17"/>
                <w:szCs w:val="17"/>
                <w:color w:val="0000FF"/>
              </w:rPr>
            </w:pPr>
            <w:hyperlink r:id="rId171">
              <w:r>
                <w:rPr>
                  <w:rFonts w:ascii="Arial" w:cs="Arial" w:eastAsia="Arial" w:hAnsi="Arial"/>
                  <w:sz w:val="17"/>
                  <w:szCs w:val="17"/>
                  <w:color w:val="0000FF"/>
                </w:rPr>
                <w:t>10.</w:t>
              </w:r>
              <w:r>
                <w:rPr>
                  <w:rFonts w:ascii="Arial" w:cs="Arial" w:eastAsia="Arial" w:hAnsi="Arial"/>
                  <w:sz w:val="17"/>
                  <w:szCs w:val="17"/>
                  <w:u w:val="single" w:color="auto"/>
                  <w:color w:val="0000FF"/>
                </w:rPr>
                <w:t>4</w:t>
              </w:r>
            </w:hyperlink>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120" w:type="dxa"/>
            <w:vAlign w:val="bottom"/>
            <w:gridSpan w:val="40"/>
          </w:tcPr>
          <w:p>
            <w:pPr>
              <w:spacing w:after="0"/>
              <w:rPr>
                <w:rFonts w:ascii="Arial" w:cs="Arial" w:eastAsia="Arial" w:hAnsi="Arial"/>
                <w:sz w:val="17"/>
                <w:szCs w:val="17"/>
                <w:color w:val="0000FF"/>
              </w:rPr>
            </w:pPr>
            <w:hyperlink r:id="rId171">
              <w:r>
                <w:rPr>
                  <w:rFonts w:ascii="Arial" w:cs="Arial" w:eastAsia="Arial" w:hAnsi="Arial"/>
                  <w:sz w:val="17"/>
                  <w:szCs w:val="17"/>
                  <w:color w:val="0000FF"/>
                </w:rPr>
                <w:t>Fifth Amended and Restated Exchange Agreement, dated as of May 14, 2024, by and among Atlas Top LLC, Oaktree Capital</w:t>
              </w:r>
            </w:hyperlink>
          </w:p>
        </w:tc>
        <w:tc>
          <w:tcPr>
            <w:tcW w:w="0" w:type="dxa"/>
            <w:vAlign w:val="bottom"/>
          </w:tcPr>
          <w:p>
            <w:pPr>
              <w:spacing w:after="0"/>
              <w:rPr>
                <w:sz w:val="1"/>
                <w:szCs w:val="1"/>
                <w:color w:val="auto"/>
              </w:rPr>
            </w:pPr>
          </w:p>
        </w:tc>
      </w:tr>
      <w:tr>
        <w:trPr>
          <w:trHeight w:val="148"/>
        </w:trPr>
        <w:tc>
          <w:tcPr>
            <w:tcW w:w="24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540" w:type="dxa"/>
            <w:vAlign w:val="bottom"/>
            <w:tcBorders>
              <w:top w:val="single" w:sz="8" w:color="0000FF"/>
              <w:bottom w:val="single" w:sz="8" w:color="0000FF"/>
            </w:tcBorders>
            <w:gridSpan w:val="17"/>
          </w:tcPr>
          <w:p>
            <w:pPr>
              <w:spacing w:after="0" w:line="148" w:lineRule="exact"/>
              <w:rPr>
                <w:rFonts w:ascii="Arial" w:cs="Arial" w:eastAsia="Arial" w:hAnsi="Arial"/>
                <w:sz w:val="17"/>
                <w:szCs w:val="17"/>
                <w:color w:val="0000FF"/>
              </w:rPr>
            </w:pPr>
            <w:hyperlink r:id="rId171">
              <w:r>
                <w:rPr>
                  <w:rFonts w:ascii="Arial" w:cs="Arial" w:eastAsia="Arial" w:hAnsi="Arial"/>
                  <w:sz w:val="17"/>
                  <w:szCs w:val="17"/>
                  <w:color w:val="0000FF"/>
                </w:rPr>
                <w:t>Holdings, LLC, Brookfield Oaktree Holdings, LLC, Brookfield OCM Holdings II, LLC, Oaktree New Holdings, LLC, Oaktree AIF</w:t>
              </w:r>
            </w:hyperlink>
          </w:p>
        </w:tc>
        <w:tc>
          <w:tcPr>
            <w:tcW w:w="40" w:type="dxa"/>
            <w:vAlign w:val="bottom"/>
            <w:tcBorders>
              <w:bottom w:val="single" w:sz="8" w:color="0000FF"/>
            </w:tcBorders>
            <w:gridSpan w:val="2"/>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gridSpan w:val="13"/>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gridSpan w:val="4"/>
          </w:tcPr>
          <w:p>
            <w:pPr>
              <w:spacing w:after="0"/>
              <w:rPr>
                <w:sz w:val="12"/>
                <w:szCs w:val="12"/>
                <w:color w:val="auto"/>
              </w:rPr>
            </w:pPr>
          </w:p>
        </w:tc>
        <w:tc>
          <w:tcPr>
            <w:tcW w:w="8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580" w:type="dxa"/>
            <w:vAlign w:val="bottom"/>
            <w:tcBorders>
              <w:bottom w:val="single" w:sz="8" w:color="0000FF"/>
            </w:tcBorders>
            <w:gridSpan w:val="19"/>
          </w:tcPr>
          <w:p>
            <w:pPr>
              <w:spacing w:after="0" w:line="161" w:lineRule="exact"/>
              <w:rPr>
                <w:rFonts w:ascii="Arial" w:cs="Arial" w:eastAsia="Arial" w:hAnsi="Arial"/>
                <w:sz w:val="17"/>
                <w:szCs w:val="17"/>
                <w:color w:val="0000FF"/>
              </w:rPr>
            </w:pPr>
            <w:hyperlink r:id="rId171">
              <w:r>
                <w:rPr>
                  <w:rFonts w:ascii="Arial" w:cs="Arial" w:eastAsia="Arial" w:hAnsi="Arial"/>
                  <w:sz w:val="17"/>
                  <w:szCs w:val="17"/>
                  <w:color w:val="0000FF"/>
                </w:rPr>
                <w:t>Holdings II, LLC, Oaktree Holdings, Ltd., Oaktree Capital Group Holdings, L.P., Oaktree Capital I, L.P., Oaktree Capital II, L.P.,</w:t>
              </w:r>
            </w:hyperlink>
          </w:p>
        </w:tc>
        <w:tc>
          <w:tcPr>
            <w:tcW w:w="20" w:type="dxa"/>
            <w:vAlign w:val="bottom"/>
            <w:tcBorders>
              <w:bottom w:val="single" w:sz="8" w:color="0000FF"/>
            </w:tcBorders>
          </w:tcPr>
          <w:p>
            <w:pPr>
              <w:spacing w:after="0"/>
              <w:rPr>
                <w:sz w:val="13"/>
                <w:szCs w:val="13"/>
                <w:color w:val="auto"/>
              </w:rPr>
            </w:pPr>
          </w:p>
        </w:tc>
        <w:tc>
          <w:tcPr>
            <w:tcW w:w="300" w:type="dxa"/>
            <w:vAlign w:val="bottom"/>
            <w:gridSpan w:val="13"/>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4"/>
          </w:tcPr>
          <w:p>
            <w:pPr>
              <w:spacing w:after="0"/>
              <w:rPr>
                <w:sz w:val="13"/>
                <w:szCs w:val="13"/>
                <w:color w:val="auto"/>
              </w:rPr>
            </w:pPr>
          </w:p>
        </w:tc>
        <w:tc>
          <w:tcPr>
            <w:tcW w:w="8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40"/>
        </w:trPr>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600" w:type="dxa"/>
            <w:vAlign w:val="bottom"/>
            <w:gridSpan w:val="20"/>
          </w:tcPr>
          <w:p>
            <w:pPr>
              <w:spacing w:after="0" w:line="135" w:lineRule="exact"/>
              <w:rPr>
                <w:rFonts w:ascii="Arial" w:cs="Arial" w:eastAsia="Arial" w:hAnsi="Arial"/>
                <w:sz w:val="15"/>
                <w:szCs w:val="15"/>
                <w:color w:val="0000FF"/>
              </w:rPr>
            </w:pPr>
            <w:hyperlink r:id="rId171">
              <w:r>
                <w:rPr>
                  <w:rFonts w:ascii="Arial" w:cs="Arial" w:eastAsia="Arial" w:hAnsi="Arial"/>
                  <w:sz w:val="15"/>
                  <w:szCs w:val="15"/>
                  <w:color w:val="0000FF"/>
                </w:rPr>
                <w:t>Oaktree Capital Management, L.P., Oaktree Capital Management (Cayman), L.P., Oaktree AIF Investments, L.P., Oaktree</w:t>
              </w:r>
            </w:hyperlink>
          </w:p>
        </w:tc>
        <w:tc>
          <w:tcPr>
            <w:tcW w:w="300" w:type="dxa"/>
            <w:vAlign w:val="bottom"/>
            <w:gridSpan w:val="13"/>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gridSpan w:val="4"/>
          </w:tcPr>
          <w:p>
            <w:pPr>
              <w:spacing w:after="0"/>
              <w:rPr>
                <w:sz w:val="12"/>
                <w:szCs w:val="12"/>
                <w:color w:val="auto"/>
              </w:rPr>
            </w:pPr>
          </w:p>
        </w:tc>
        <w:tc>
          <w:tcPr>
            <w:tcW w:w="8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240" w:type="dxa"/>
            <w:vAlign w:val="bottom"/>
            <w:tcBorders>
              <w:top w:val="single" w:sz="8" w:color="0000FF"/>
            </w:tcBorders>
            <w:gridSpan w:val="12"/>
          </w:tcPr>
          <w:p>
            <w:pPr>
              <w:spacing w:after="0" w:line="154" w:lineRule="exact"/>
              <w:rPr>
                <w:rFonts w:ascii="Arial" w:cs="Arial" w:eastAsia="Arial" w:hAnsi="Arial"/>
                <w:sz w:val="17"/>
                <w:szCs w:val="17"/>
                <w:color w:val="0000FF"/>
              </w:rPr>
            </w:pPr>
            <w:hyperlink r:id="rId171">
              <w:r>
                <w:rPr>
                  <w:rFonts w:ascii="Arial" w:cs="Arial" w:eastAsia="Arial" w:hAnsi="Arial"/>
                  <w:sz w:val="17"/>
                  <w:szCs w:val="17"/>
                  <w:color w:val="0000FF"/>
                </w:rPr>
                <w:t>Investment Holdings, L.P., OCGH ExchangeCo, L.P. and the other parties thereto. † (incorporated by reference to Exhibit</w:t>
              </w:r>
            </w:hyperlink>
          </w:p>
        </w:tc>
        <w:tc>
          <w:tcPr>
            <w:tcW w:w="880" w:type="dxa"/>
            <w:vAlign w:val="bottom"/>
            <w:gridSpan w:val="28"/>
          </w:tcPr>
          <w:p>
            <w:pPr>
              <w:jc w:val="center"/>
              <w:ind w:right="80"/>
              <w:spacing w:after="0" w:line="154" w:lineRule="exact"/>
              <w:rPr>
                <w:rFonts w:ascii="Arial" w:cs="Arial" w:eastAsia="Arial" w:hAnsi="Arial"/>
                <w:sz w:val="17"/>
                <w:szCs w:val="17"/>
                <w:color w:val="0000FF"/>
                <w:w w:val="99"/>
              </w:rPr>
            </w:pPr>
            <w:hyperlink r:id="rId171">
              <w:r>
                <w:rPr>
                  <w:rFonts w:ascii="Arial" w:cs="Arial" w:eastAsia="Arial" w:hAnsi="Arial"/>
                  <w:sz w:val="17"/>
                  <w:szCs w:val="17"/>
                  <w:color w:val="0000FF"/>
                  <w:w w:val="99"/>
                </w:rPr>
                <w:t>10.4 to the</w:t>
              </w:r>
            </w:hyperlink>
          </w:p>
        </w:tc>
        <w:tc>
          <w:tcPr>
            <w:tcW w:w="0" w:type="dxa"/>
            <w:vAlign w:val="bottom"/>
          </w:tcPr>
          <w:p>
            <w:pPr>
              <w:spacing w:after="0"/>
              <w:rPr>
                <w:sz w:val="1"/>
                <w:szCs w:val="1"/>
                <w:color w:val="auto"/>
              </w:rPr>
            </w:pPr>
          </w:p>
        </w:tc>
      </w:tr>
      <w:tr>
        <w:trPr>
          <w:trHeight w:val="160"/>
        </w:trPr>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200" w:type="dxa"/>
            <w:vAlign w:val="bottom"/>
            <w:tcBorders>
              <w:top w:val="single" w:sz="8" w:color="0000FF"/>
              <w:bottom w:val="single" w:sz="8" w:color="0000FF"/>
            </w:tcBorders>
            <w:gridSpan w:val="11"/>
          </w:tcPr>
          <w:p>
            <w:pPr>
              <w:spacing w:after="0" w:line="161" w:lineRule="exact"/>
              <w:rPr>
                <w:rFonts w:ascii="Arial" w:cs="Arial" w:eastAsia="Arial" w:hAnsi="Arial"/>
                <w:sz w:val="17"/>
                <w:szCs w:val="17"/>
                <w:color w:val="0000FF"/>
              </w:rPr>
            </w:pPr>
            <w:hyperlink r:id="rId171">
              <w:r>
                <w:rPr>
                  <w:rFonts w:ascii="Arial" w:cs="Arial" w:eastAsia="Arial" w:hAnsi="Arial"/>
                  <w:sz w:val="17"/>
                  <w:szCs w:val="17"/>
                  <w:color w:val="0000FF"/>
                </w:rPr>
                <w:t>Registrant’s Annual Report on Form 10-K for the year ended December 31, 2024, filed with the SEC on March 20, 2025).</w:t>
              </w:r>
            </w:hyperlink>
          </w:p>
        </w:tc>
        <w:tc>
          <w:tcPr>
            <w:tcW w:w="840" w:type="dxa"/>
            <w:vAlign w:val="bottom"/>
            <w:tcBorders>
              <w:top w:val="single" w:sz="8" w:color="0000FF"/>
            </w:tcBorders>
            <w:gridSpan w:val="27"/>
          </w:tcPr>
          <w:p>
            <w:pPr>
              <w:spacing w:after="0"/>
              <w:rPr>
                <w:sz w:val="13"/>
                <w:szCs w:val="13"/>
                <w:color w:val="auto"/>
              </w:rPr>
            </w:pPr>
          </w:p>
        </w:tc>
        <w:tc>
          <w:tcPr>
            <w:tcW w:w="8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715"/>
        </w:trPr>
        <w:tc>
          <w:tcPr>
            <w:tcW w:w="480" w:type="dxa"/>
            <w:vAlign w:val="bottom"/>
            <w:gridSpan w:val="3"/>
          </w:tcPr>
          <w:p>
            <w:pPr>
              <w:spacing w:after="0"/>
              <w:rPr>
                <w:rFonts w:ascii="Arial" w:cs="Arial" w:eastAsia="Arial" w:hAnsi="Arial"/>
                <w:sz w:val="17"/>
                <w:szCs w:val="17"/>
                <w:color w:val="0000FF"/>
              </w:rPr>
            </w:pPr>
            <w:hyperlink r:id="rId172">
              <w:r>
                <w:rPr>
                  <w:rFonts w:ascii="Arial" w:cs="Arial" w:eastAsia="Arial" w:hAnsi="Arial"/>
                  <w:sz w:val="17"/>
                  <w:szCs w:val="17"/>
                  <w:color w:val="0000FF"/>
                </w:rPr>
                <w:t>10.</w:t>
              </w:r>
              <w:r>
                <w:rPr>
                  <w:rFonts w:ascii="Arial" w:cs="Arial" w:eastAsia="Arial" w:hAnsi="Arial"/>
                  <w:sz w:val="17"/>
                  <w:szCs w:val="17"/>
                  <w:u w:val="single" w:color="auto"/>
                  <w:color w:val="0000FF"/>
                </w:rPr>
                <w:t>5</w:t>
              </w:r>
            </w:hyperlink>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120" w:type="dxa"/>
            <w:vAlign w:val="bottom"/>
            <w:gridSpan w:val="40"/>
          </w:tcPr>
          <w:p>
            <w:pPr>
              <w:spacing w:after="0"/>
              <w:rPr>
                <w:rFonts w:ascii="Arial" w:cs="Arial" w:eastAsia="Arial" w:hAnsi="Arial"/>
                <w:sz w:val="17"/>
                <w:szCs w:val="17"/>
                <w:color w:val="0000FF"/>
              </w:rPr>
            </w:pPr>
            <w:hyperlink r:id="rId172">
              <w:r>
                <w:rPr>
                  <w:rFonts w:ascii="Arial" w:cs="Arial" w:eastAsia="Arial" w:hAnsi="Arial"/>
                  <w:sz w:val="17"/>
                  <w:szCs w:val="17"/>
                  <w:color w:val="0000FF"/>
                </w:rPr>
                <w:t>Services Agreement, dated as of February 24, 2020, between Oaktree Capital Management, L.P. and Oaktree Capital Group, LLC</w:t>
              </w:r>
            </w:hyperlink>
          </w:p>
        </w:tc>
        <w:tc>
          <w:tcPr>
            <w:tcW w:w="0" w:type="dxa"/>
            <w:vAlign w:val="bottom"/>
          </w:tcPr>
          <w:p>
            <w:pPr>
              <w:spacing w:after="0"/>
              <w:rPr>
                <w:sz w:val="1"/>
                <w:szCs w:val="1"/>
                <w:color w:val="auto"/>
              </w:rPr>
            </w:pPr>
          </w:p>
        </w:tc>
      </w:tr>
      <w:tr>
        <w:trPr>
          <w:trHeight w:val="148"/>
        </w:trPr>
        <w:tc>
          <w:tcPr>
            <w:tcW w:w="24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920" w:type="dxa"/>
            <w:vAlign w:val="bottom"/>
            <w:tcBorders>
              <w:top w:val="single" w:sz="8" w:color="0000FF"/>
            </w:tcBorders>
            <w:gridSpan w:val="34"/>
          </w:tcPr>
          <w:p>
            <w:pPr>
              <w:spacing w:after="0" w:line="148" w:lineRule="exact"/>
              <w:rPr>
                <w:rFonts w:ascii="Arial" w:cs="Arial" w:eastAsia="Arial" w:hAnsi="Arial"/>
                <w:sz w:val="17"/>
                <w:szCs w:val="17"/>
                <w:color w:val="0000FF"/>
              </w:rPr>
            </w:pPr>
            <w:hyperlink r:id="rId172">
              <w:r>
                <w:rPr>
                  <w:rFonts w:ascii="Arial" w:cs="Arial" w:eastAsia="Arial" w:hAnsi="Arial"/>
                  <w:sz w:val="17"/>
                  <w:szCs w:val="17"/>
                  <w:color w:val="0000FF"/>
                </w:rPr>
                <w:t>(incorporated by reference to Exhibit 10.6 to the Registrant's Annual Report on Form 10-K for the year ended December 31, 2019,</w:t>
              </w:r>
            </w:hyperlink>
          </w:p>
        </w:tc>
        <w:tc>
          <w:tcPr>
            <w:tcW w:w="200" w:type="dxa"/>
            <w:vAlign w:val="bottom"/>
            <w:gridSpan w:val="6"/>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860" w:type="dxa"/>
            <w:vAlign w:val="bottom"/>
            <w:tcBorders>
              <w:top w:val="single" w:sz="8" w:color="0000FF"/>
              <w:bottom w:val="single" w:sz="8" w:color="0000FF"/>
            </w:tcBorders>
            <w:gridSpan w:val="3"/>
          </w:tcPr>
          <w:p>
            <w:pPr>
              <w:spacing w:after="0" w:line="161" w:lineRule="exact"/>
              <w:rPr>
                <w:rFonts w:ascii="Arial" w:cs="Arial" w:eastAsia="Arial" w:hAnsi="Arial"/>
                <w:sz w:val="17"/>
                <w:szCs w:val="17"/>
                <w:color w:val="0000FF"/>
              </w:rPr>
            </w:pPr>
            <w:hyperlink r:id="rId172">
              <w:r>
                <w:rPr>
                  <w:rFonts w:ascii="Arial" w:cs="Arial" w:eastAsia="Arial" w:hAnsi="Arial"/>
                  <w:sz w:val="17"/>
                  <w:szCs w:val="17"/>
                  <w:color w:val="0000FF"/>
                </w:rPr>
                <w:t>filed with the SEC on March 2, 2020).</w:t>
              </w:r>
            </w:hyperlink>
          </w:p>
        </w:tc>
        <w:tc>
          <w:tcPr>
            <w:tcW w:w="7040" w:type="dxa"/>
            <w:vAlign w:val="bottom"/>
            <w:tcBorders>
              <w:top w:val="single" w:sz="8" w:color="0000FF"/>
            </w:tcBorders>
            <w:gridSpan w:val="30"/>
          </w:tcPr>
          <w:p>
            <w:pPr>
              <w:spacing w:after="0"/>
              <w:rPr>
                <w:sz w:val="13"/>
                <w:szCs w:val="13"/>
                <w:color w:val="auto"/>
              </w:rPr>
            </w:pPr>
          </w:p>
        </w:tc>
        <w:tc>
          <w:tcPr>
            <w:tcW w:w="220" w:type="dxa"/>
            <w:vAlign w:val="bottom"/>
            <w:gridSpan w:val="7"/>
          </w:tcPr>
          <w:p>
            <w:pPr>
              <w:spacing w:after="0"/>
              <w:rPr>
                <w:sz w:val="13"/>
                <w:szCs w:val="13"/>
                <w:color w:val="auto"/>
              </w:rPr>
            </w:pPr>
          </w:p>
        </w:tc>
        <w:tc>
          <w:tcPr>
            <w:tcW w:w="0" w:type="dxa"/>
            <w:vAlign w:val="bottom"/>
          </w:tcPr>
          <w:p>
            <w:pPr>
              <w:spacing w:after="0"/>
              <w:rPr>
                <w:sz w:val="1"/>
                <w:szCs w:val="1"/>
                <w:color w:val="auto"/>
              </w:rPr>
            </w:pPr>
          </w:p>
        </w:tc>
      </w:tr>
      <w:tr>
        <w:trPr>
          <w:trHeight w:val="250"/>
        </w:trPr>
        <w:tc>
          <w:tcPr>
            <w:tcW w:w="480" w:type="dxa"/>
            <w:vAlign w:val="bottom"/>
            <w:gridSpan w:val="3"/>
          </w:tcPr>
          <w:p>
            <w:pPr>
              <w:spacing w:after="0"/>
              <w:rPr>
                <w:rFonts w:ascii="Arial" w:cs="Arial" w:eastAsia="Arial" w:hAnsi="Arial"/>
                <w:sz w:val="17"/>
                <w:szCs w:val="17"/>
                <w:u w:val="single" w:color="auto"/>
                <w:color w:val="0000FF"/>
              </w:rPr>
            </w:pPr>
            <w:hyperlink r:id="rId173">
              <w:r>
                <w:rPr>
                  <w:rFonts w:ascii="Arial" w:cs="Arial" w:eastAsia="Arial" w:hAnsi="Arial"/>
                  <w:sz w:val="17"/>
                  <w:szCs w:val="17"/>
                  <w:u w:val="single" w:color="auto"/>
                  <w:color w:val="0000FF"/>
                </w:rPr>
                <w:t>10.6*</w:t>
              </w:r>
            </w:hyperlink>
          </w:p>
        </w:tc>
        <w:tc>
          <w:tcPr>
            <w:tcW w:w="1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120" w:type="dxa"/>
            <w:vAlign w:val="bottom"/>
            <w:gridSpan w:val="40"/>
          </w:tcPr>
          <w:p>
            <w:pPr>
              <w:spacing w:after="0"/>
              <w:rPr>
                <w:rFonts w:ascii="Arial" w:cs="Arial" w:eastAsia="Arial" w:hAnsi="Arial"/>
                <w:sz w:val="17"/>
                <w:szCs w:val="17"/>
                <w:u w:val="single" w:color="auto"/>
                <w:color w:val="0000FF"/>
              </w:rPr>
            </w:pPr>
            <w:hyperlink r:id="rId173">
              <w:r>
                <w:rPr>
                  <w:rFonts w:ascii="Arial" w:cs="Arial" w:eastAsia="Arial" w:hAnsi="Arial"/>
                  <w:sz w:val="17"/>
                  <w:szCs w:val="17"/>
                  <w:u w:val="single" w:color="auto"/>
                  <w:color w:val="0000FF"/>
                </w:rPr>
                <w:t>Seventh Amended and Restated Limited Partnership Agreement of Oaktree Fund GP I, L.P., dated as of June 30, 2021</w:t>
              </w:r>
            </w:hyperlink>
          </w:p>
        </w:tc>
        <w:tc>
          <w:tcPr>
            <w:tcW w:w="0" w:type="dxa"/>
            <w:vAlign w:val="bottom"/>
          </w:tcPr>
          <w:p>
            <w:pPr>
              <w:spacing w:after="0"/>
              <w:rPr>
                <w:sz w:val="1"/>
                <w:szCs w:val="1"/>
                <w:color w:val="auto"/>
              </w:rPr>
            </w:pPr>
          </w:p>
        </w:tc>
      </w:tr>
    </w:tbl>
    <w:p>
      <w:pPr>
        <w:ind w:left="1080" w:right="120"/>
        <w:spacing w:after="0" w:line="239" w:lineRule="auto"/>
        <w:rPr>
          <w:rFonts w:ascii="Arial" w:cs="Arial" w:eastAsia="Arial" w:hAnsi="Arial"/>
          <w:sz w:val="17"/>
          <w:szCs w:val="17"/>
          <w:u w:val="single" w:color="auto"/>
          <w:color w:val="0000FF"/>
        </w:rPr>
      </w:pPr>
      <w:hyperlink r:id="rId173">
        <w:r>
          <w:rPr>
            <w:rFonts w:ascii="Arial" w:cs="Arial" w:eastAsia="Arial" w:hAnsi="Arial"/>
            <w:sz w:val="17"/>
            <w:szCs w:val="17"/>
            <w:u w:val="single" w:color="auto"/>
            <w:color w:val="0000FF"/>
          </w:rPr>
          <w:t>(incorporated by reference to Exhibit 10.12 to the Registrant’s Annual Report on Form 10-K for the year ended December 31, 2021,</w:t>
        </w:r>
      </w:hyperlink>
      <w:r>
        <w:rPr>
          <w:rFonts w:ascii="Arial" w:cs="Arial" w:eastAsia="Arial" w:hAnsi="Arial"/>
          <w:sz w:val="17"/>
          <w:szCs w:val="17"/>
          <w:u w:val="single" w:color="auto"/>
          <w:color w:val="0000FF"/>
        </w:rPr>
        <w:t xml:space="preserve"> </w:t>
      </w:r>
      <w:hyperlink r:id="rId173">
        <w:r>
          <w:rPr>
            <w:rFonts w:ascii="Arial" w:cs="Arial" w:eastAsia="Arial" w:hAnsi="Arial"/>
            <w:sz w:val="17"/>
            <w:szCs w:val="17"/>
            <w:u w:val="single" w:color="auto"/>
            <w:color w:val="0000FF"/>
          </w:rPr>
          <w:t>filed with the SEC on March 14, 2022).</w:t>
        </w:r>
      </w:hyperlink>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-35560</wp:posOffset>
            </wp:positionH>
            <wp:positionV relativeFrom="paragraph">
              <wp:posOffset>70485</wp:posOffset>
            </wp:positionV>
            <wp:extent cx="7164070" cy="4191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7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80"/>
          </w:cols>
          <w:pgMar w:left="360" w:top="855" w:right="359" w:bottom="1440" w:gutter="0" w:footer="0" w:header="0"/>
        </w:sectPr>
      </w:pPr>
    </w:p>
    <w:bookmarkStart w:id="128" w:name="page129"/>
    <w:bookmarkEnd w:id="128"/>
    <w:tbl>
      <w:tblPr>
        <w:tblLayout w:type="fixed"/>
        <w:tblInd w:w="0" w:type="dxa"/>
        <w:tblCellMar>
          <w:top w:w="0" w:type="dxa"/>
          <w:left w:w="0" w:type="dxa"/>
          <w:bottom w:w="0" w:type="dxa"/>
          <w:right w:w="0" w:type="dxa"/>
        </w:tblCellMar>
      </w:tblPr>
      <w:tr>
        <w:trPr>
          <w:trHeight w:val="215"/>
        </w:trPr>
        <w:tc>
          <w:tcPr>
            <w:tcW w:w="460" w:type="dxa"/>
            <w:vAlign w:val="bottom"/>
            <w:gridSpan w:val="2"/>
          </w:tcPr>
          <w:p>
            <w:pPr>
              <w:ind w:left="40"/>
              <w:spacing w:after="0"/>
              <w:rPr>
                <w:rFonts w:ascii="Arial" w:cs="Arial" w:eastAsia="Arial" w:hAnsi="Arial"/>
                <w:sz w:val="17"/>
                <w:szCs w:val="17"/>
                <w:color w:val="0000FF"/>
                <w:w w:val="95"/>
              </w:rPr>
            </w:pPr>
            <w:hyperlink r:id="rId175">
              <w:r>
                <w:rPr>
                  <w:rFonts w:ascii="Arial" w:cs="Arial" w:eastAsia="Arial" w:hAnsi="Arial"/>
                  <w:sz w:val="17"/>
                  <w:szCs w:val="17"/>
                  <w:color w:val="0000FF"/>
                  <w:w w:val="95"/>
                </w:rPr>
                <w:t>10.</w:t>
              </w:r>
              <w:r>
                <w:rPr>
                  <w:rFonts w:ascii="Arial" w:cs="Arial" w:eastAsia="Arial" w:hAnsi="Arial"/>
                  <w:sz w:val="17"/>
                  <w:szCs w:val="17"/>
                  <w:u w:val="single" w:color="auto"/>
                  <w:color w:val="0000FF"/>
                  <w:w w:val="95"/>
                </w:rPr>
                <w:t>7*</w:t>
              </w:r>
            </w:hyperlink>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120" w:type="dxa"/>
            <w:vAlign w:val="bottom"/>
            <w:gridSpan w:val="37"/>
          </w:tcPr>
          <w:p>
            <w:pPr>
              <w:spacing w:after="0"/>
              <w:rPr>
                <w:rFonts w:ascii="Arial" w:cs="Arial" w:eastAsia="Arial" w:hAnsi="Arial"/>
                <w:sz w:val="17"/>
                <w:szCs w:val="17"/>
                <w:color w:val="0000FF"/>
              </w:rPr>
            </w:pPr>
            <w:hyperlink r:id="rId175">
              <w:r>
                <w:rPr>
                  <w:rFonts w:ascii="Arial" w:cs="Arial" w:eastAsia="Arial" w:hAnsi="Arial"/>
                  <w:sz w:val="17"/>
                  <w:szCs w:val="17"/>
                  <w:color w:val="0000FF"/>
                </w:rPr>
                <w:t>Amended and Restated Brookfield Oaktree Holdings, LLC 2011 Equity Incentive Plan. (incorporated by reference to Exhibit 10.8 to</w:t>
              </w:r>
            </w:hyperlink>
          </w:p>
        </w:tc>
      </w:tr>
      <w:tr>
        <w:trPr>
          <w:trHeight w:val="128"/>
        </w:trPr>
        <w:tc>
          <w:tcPr>
            <w:tcW w:w="40" w:type="dxa"/>
            <w:vAlign w:val="bottom"/>
          </w:tcPr>
          <w:p>
            <w:pPr>
              <w:spacing w:after="0"/>
              <w:rPr>
                <w:sz w:val="11"/>
                <w:szCs w:val="11"/>
                <w:color w:val="auto"/>
              </w:rPr>
            </w:pPr>
          </w:p>
        </w:tc>
        <w:tc>
          <w:tcPr>
            <w:tcW w:w="420" w:type="dxa"/>
            <w:vAlign w:val="bottom"/>
            <w:tcBorders>
              <w:top w:val="single" w:sz="8" w:color="0000FF"/>
            </w:tcBorders>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960" w:type="dxa"/>
            <w:vAlign w:val="bottom"/>
            <w:tcBorders>
              <w:top w:val="single" w:sz="8" w:color="0000FF"/>
            </w:tcBorders>
            <w:gridSpan w:val="31"/>
          </w:tcPr>
          <w:p>
            <w:pPr>
              <w:spacing w:after="0" w:line="128" w:lineRule="exact"/>
              <w:rPr>
                <w:rFonts w:ascii="Arial" w:cs="Arial" w:eastAsia="Arial" w:hAnsi="Arial"/>
                <w:sz w:val="14"/>
                <w:szCs w:val="14"/>
                <w:color w:val="0000FF"/>
              </w:rPr>
            </w:pPr>
            <w:hyperlink r:id="rId175">
              <w:r>
                <w:rPr>
                  <w:rFonts w:ascii="Arial" w:cs="Arial" w:eastAsia="Arial" w:hAnsi="Arial"/>
                  <w:sz w:val="14"/>
                  <w:szCs w:val="14"/>
                  <w:color w:val="0000FF"/>
                </w:rPr>
                <w:t>the Registrant’s Annual Report on Form 10-K for the year ended December 31, 2023, filed with the SEC on March 21, 2024).</w:t>
              </w:r>
            </w:hyperlink>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20"/>
        </w:trPr>
        <w:tc>
          <w:tcPr>
            <w:tcW w:w="4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35"/>
        </w:trPr>
        <w:tc>
          <w:tcPr>
            <w:tcW w:w="460" w:type="dxa"/>
            <w:vAlign w:val="bottom"/>
            <w:gridSpan w:val="2"/>
          </w:tcPr>
          <w:p>
            <w:pPr>
              <w:ind w:left="40"/>
              <w:spacing w:after="0"/>
              <w:rPr>
                <w:rFonts w:ascii="Arial" w:cs="Arial" w:eastAsia="Arial" w:hAnsi="Arial"/>
                <w:sz w:val="17"/>
                <w:szCs w:val="17"/>
                <w:color w:val="0000FF"/>
                <w:w w:val="95"/>
              </w:rPr>
            </w:pPr>
            <w:hyperlink r:id="rId176">
              <w:r>
                <w:rPr>
                  <w:rFonts w:ascii="Arial" w:cs="Arial" w:eastAsia="Arial" w:hAnsi="Arial"/>
                  <w:sz w:val="17"/>
                  <w:szCs w:val="17"/>
                  <w:color w:val="0000FF"/>
                  <w:w w:val="95"/>
                </w:rPr>
                <w:t>10.</w:t>
              </w:r>
              <w:r>
                <w:rPr>
                  <w:rFonts w:ascii="Arial" w:cs="Arial" w:eastAsia="Arial" w:hAnsi="Arial"/>
                  <w:sz w:val="17"/>
                  <w:szCs w:val="17"/>
                  <w:u w:val="single" w:color="auto"/>
                  <w:color w:val="0000FF"/>
                  <w:w w:val="95"/>
                </w:rPr>
                <w:t>8*</w:t>
              </w:r>
            </w:hyperlink>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120" w:type="dxa"/>
            <w:vAlign w:val="bottom"/>
            <w:gridSpan w:val="37"/>
          </w:tcPr>
          <w:p>
            <w:pPr>
              <w:spacing w:after="0"/>
              <w:rPr>
                <w:rFonts w:ascii="Arial" w:cs="Arial" w:eastAsia="Arial" w:hAnsi="Arial"/>
                <w:sz w:val="17"/>
                <w:szCs w:val="17"/>
                <w:color w:val="0000FF"/>
              </w:rPr>
            </w:pPr>
            <w:hyperlink r:id="rId176">
              <w:r>
                <w:rPr>
                  <w:rFonts w:ascii="Arial" w:cs="Arial" w:eastAsia="Arial" w:hAnsi="Arial"/>
                  <w:sz w:val="17"/>
                  <w:szCs w:val="17"/>
                  <w:color w:val="0000FF"/>
                </w:rPr>
                <w:t>Form of Grant Agreement under the Oaktree Capital Group, LLC 2011 Equity Incentive Plan (incorporated by reference to Exhibit</w:t>
              </w:r>
            </w:hyperlink>
          </w:p>
        </w:tc>
      </w:tr>
      <w:tr>
        <w:trPr>
          <w:trHeight w:val="128"/>
        </w:trPr>
        <w:tc>
          <w:tcPr>
            <w:tcW w:w="40" w:type="dxa"/>
            <w:vAlign w:val="bottom"/>
          </w:tcPr>
          <w:p>
            <w:pPr>
              <w:spacing w:after="0"/>
              <w:rPr>
                <w:sz w:val="11"/>
                <w:szCs w:val="11"/>
                <w:color w:val="auto"/>
              </w:rPr>
            </w:pPr>
          </w:p>
        </w:tc>
        <w:tc>
          <w:tcPr>
            <w:tcW w:w="420" w:type="dxa"/>
            <w:vAlign w:val="bottom"/>
            <w:tcBorders>
              <w:top w:val="single" w:sz="8" w:color="0000FF"/>
            </w:tcBorders>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800" w:type="dxa"/>
            <w:vAlign w:val="bottom"/>
            <w:tcBorders>
              <w:top w:val="single" w:sz="8" w:color="0000FF"/>
              <w:bottom w:val="single" w:sz="8" w:color="0000FF"/>
            </w:tcBorders>
            <w:gridSpan w:val="24"/>
          </w:tcPr>
          <w:p>
            <w:pPr>
              <w:spacing w:after="0" w:line="128" w:lineRule="exact"/>
              <w:rPr>
                <w:rFonts w:ascii="Arial" w:cs="Arial" w:eastAsia="Arial" w:hAnsi="Arial"/>
                <w:sz w:val="14"/>
                <w:szCs w:val="14"/>
                <w:color w:val="0000FF"/>
              </w:rPr>
            </w:pPr>
            <w:hyperlink r:id="rId176">
              <w:r>
                <w:rPr>
                  <w:rFonts w:ascii="Arial" w:cs="Arial" w:eastAsia="Arial" w:hAnsi="Arial"/>
                  <w:sz w:val="14"/>
                  <w:szCs w:val="14"/>
                  <w:color w:val="0000FF"/>
                </w:rPr>
                <w:t>10.</w:t>
              </w:r>
              <w:r>
                <w:rPr>
                  <w:rFonts w:ascii="Arial" w:cs="Arial" w:eastAsia="Arial" w:hAnsi="Arial"/>
                  <w:sz w:val="14"/>
                  <w:szCs w:val="14"/>
                  <w:u w:val="single" w:color="auto"/>
                  <w:color w:val="0000FF"/>
                </w:rPr>
                <w:t>20</w:t>
              </w:r>
              <w:r>
                <w:rPr>
                  <w:rFonts w:ascii="Arial" w:cs="Arial" w:eastAsia="Arial" w:hAnsi="Arial"/>
                  <w:sz w:val="14"/>
                  <w:szCs w:val="14"/>
                  <w:color w:val="0000FF"/>
                </w:rPr>
                <w:t xml:space="preserve"> to the Registrant’s Annual Report on Form 10-K for the year ended December 31, 2014, filed with the SEC on February 27,</w:t>
              </w:r>
            </w:hyperlink>
          </w:p>
        </w:tc>
        <w:tc>
          <w:tcPr>
            <w:tcW w:w="20" w:type="dxa"/>
            <w:vAlign w:val="bottom"/>
            <w:tcBorders>
              <w:bottom w:val="single" w:sz="8" w:color="0000FF"/>
            </w:tcBorders>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48"/>
        </w:trPr>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20" w:type="dxa"/>
            <w:vAlign w:val="bottom"/>
            <w:tcBorders>
              <w:bottom w:val="single" w:sz="8" w:color="0000FF"/>
            </w:tcBorders>
            <w:gridSpan w:val="2"/>
          </w:tcPr>
          <w:p>
            <w:pPr>
              <w:spacing w:after="0" w:line="148" w:lineRule="exact"/>
              <w:rPr>
                <w:rFonts w:ascii="Arial" w:cs="Arial" w:eastAsia="Arial" w:hAnsi="Arial"/>
                <w:sz w:val="17"/>
                <w:szCs w:val="17"/>
                <w:color w:val="0000FF"/>
              </w:rPr>
            </w:pPr>
            <w:hyperlink r:id="rId176">
              <w:r>
                <w:rPr>
                  <w:rFonts w:ascii="Arial" w:cs="Arial" w:eastAsia="Arial" w:hAnsi="Arial"/>
                  <w:sz w:val="17"/>
                  <w:szCs w:val="17"/>
                  <w:color w:val="0000FF"/>
                </w:rPr>
                <w:t>2015).</w:t>
              </w:r>
            </w:hyperlink>
          </w:p>
        </w:tc>
        <w:tc>
          <w:tcPr>
            <w:tcW w:w="2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284"/>
        </w:trPr>
        <w:tc>
          <w:tcPr>
            <w:tcW w:w="460" w:type="dxa"/>
            <w:vAlign w:val="bottom"/>
            <w:gridSpan w:val="2"/>
          </w:tcPr>
          <w:p>
            <w:pPr>
              <w:ind w:left="40"/>
              <w:spacing w:after="0"/>
              <w:rPr>
                <w:rFonts w:ascii="Arial" w:cs="Arial" w:eastAsia="Arial" w:hAnsi="Arial"/>
                <w:sz w:val="17"/>
                <w:szCs w:val="17"/>
                <w:color w:val="0000FF"/>
                <w:w w:val="95"/>
              </w:rPr>
            </w:pPr>
            <w:hyperlink r:id="rId177">
              <w:r>
                <w:rPr>
                  <w:rFonts w:ascii="Arial" w:cs="Arial" w:eastAsia="Arial" w:hAnsi="Arial"/>
                  <w:sz w:val="17"/>
                  <w:szCs w:val="17"/>
                  <w:color w:val="0000FF"/>
                  <w:w w:val="95"/>
                </w:rPr>
                <w:t>10.</w:t>
              </w:r>
              <w:r>
                <w:rPr>
                  <w:rFonts w:ascii="Arial" w:cs="Arial" w:eastAsia="Arial" w:hAnsi="Arial"/>
                  <w:sz w:val="17"/>
                  <w:szCs w:val="17"/>
                  <w:u w:val="single" w:color="auto"/>
                  <w:color w:val="0000FF"/>
                  <w:w w:val="95"/>
                </w:rPr>
                <w:t>9*</w:t>
              </w:r>
            </w:hyperlink>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120" w:type="dxa"/>
            <w:vAlign w:val="bottom"/>
            <w:gridSpan w:val="37"/>
          </w:tcPr>
          <w:p>
            <w:pPr>
              <w:spacing w:after="0"/>
              <w:rPr>
                <w:rFonts w:ascii="Arial" w:cs="Arial" w:eastAsia="Arial" w:hAnsi="Arial"/>
                <w:sz w:val="17"/>
                <w:szCs w:val="17"/>
                <w:color w:val="0000FF"/>
              </w:rPr>
            </w:pPr>
            <w:hyperlink r:id="rId177">
              <w:r>
                <w:rPr>
                  <w:rFonts w:ascii="Arial" w:cs="Arial" w:eastAsia="Arial" w:hAnsi="Arial"/>
                  <w:sz w:val="17"/>
                  <w:szCs w:val="17"/>
                  <w:color w:val="0000FF"/>
                </w:rPr>
                <w:t>Form of Oaktree Capital Group, LLC 2018 Class A Restricted Unit Award Agreement (incorporated by reference to Exhibit 10.20 to</w:t>
              </w:r>
            </w:hyperlink>
          </w:p>
        </w:tc>
      </w:tr>
      <w:tr>
        <w:trPr>
          <w:trHeight w:val="128"/>
        </w:trPr>
        <w:tc>
          <w:tcPr>
            <w:tcW w:w="40" w:type="dxa"/>
            <w:vAlign w:val="bottom"/>
          </w:tcPr>
          <w:p>
            <w:pPr>
              <w:spacing w:after="0"/>
              <w:rPr>
                <w:sz w:val="11"/>
                <w:szCs w:val="11"/>
                <w:color w:val="auto"/>
              </w:rPr>
            </w:pPr>
          </w:p>
        </w:tc>
        <w:tc>
          <w:tcPr>
            <w:tcW w:w="420" w:type="dxa"/>
            <w:vAlign w:val="bottom"/>
            <w:tcBorders>
              <w:top w:val="single" w:sz="8" w:color="0000FF"/>
            </w:tcBorders>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700" w:type="dxa"/>
            <w:vAlign w:val="bottom"/>
            <w:tcBorders>
              <w:top w:val="single" w:sz="8" w:color="0000FF"/>
              <w:bottom w:val="single" w:sz="8" w:color="0000FF"/>
            </w:tcBorders>
            <w:gridSpan w:val="21"/>
          </w:tcPr>
          <w:p>
            <w:pPr>
              <w:spacing w:after="0" w:line="128" w:lineRule="exact"/>
              <w:rPr>
                <w:rFonts w:ascii="Arial" w:cs="Arial" w:eastAsia="Arial" w:hAnsi="Arial"/>
                <w:sz w:val="14"/>
                <w:szCs w:val="14"/>
                <w:color w:val="0000FF"/>
              </w:rPr>
            </w:pPr>
            <w:hyperlink r:id="rId177">
              <w:r>
                <w:rPr>
                  <w:rFonts w:ascii="Arial" w:cs="Arial" w:eastAsia="Arial" w:hAnsi="Arial"/>
                  <w:sz w:val="14"/>
                  <w:szCs w:val="14"/>
                  <w:color w:val="0000FF"/>
                </w:rPr>
                <w:t>the Registrant’s Annual Report on Form 10-K for the year ended December 31, 2018, filed with the SEC on February 22, 2019).</w:t>
              </w:r>
            </w:hyperlink>
          </w:p>
        </w:tc>
        <w:tc>
          <w:tcPr>
            <w:tcW w:w="280" w:type="dxa"/>
            <w:vAlign w:val="bottom"/>
            <w:tcBorders>
              <w:top w:val="single" w:sz="8" w:color="0000FF"/>
            </w:tcBorders>
            <w:gridSpan w:val="11"/>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315"/>
        </w:trPr>
        <w:tc>
          <w:tcPr>
            <w:tcW w:w="1120" w:type="dxa"/>
            <w:vAlign w:val="bottom"/>
            <w:gridSpan w:val="4"/>
          </w:tcPr>
          <w:p>
            <w:pPr>
              <w:ind w:left="40"/>
              <w:spacing w:after="0"/>
              <w:rPr>
                <w:rFonts w:ascii="Arial" w:cs="Arial" w:eastAsia="Arial" w:hAnsi="Arial"/>
                <w:sz w:val="17"/>
                <w:szCs w:val="17"/>
                <w:color w:val="0000FF"/>
              </w:rPr>
            </w:pPr>
            <w:hyperlink r:id="rId178">
              <w:r>
                <w:rPr>
                  <w:rFonts w:ascii="Arial" w:cs="Arial" w:eastAsia="Arial" w:hAnsi="Arial"/>
                  <w:sz w:val="17"/>
                  <w:szCs w:val="17"/>
                  <w:color w:val="0000FF"/>
                </w:rPr>
                <w:t>10.</w:t>
              </w:r>
              <w:r>
                <w:rPr>
                  <w:rFonts w:ascii="Arial" w:cs="Arial" w:eastAsia="Arial" w:hAnsi="Arial"/>
                  <w:sz w:val="17"/>
                  <w:szCs w:val="17"/>
                  <w:u w:val="single" w:color="auto"/>
                  <w:color w:val="0000FF"/>
                </w:rPr>
                <w:t>10*</w:t>
              </w:r>
            </w:hyperlink>
          </w:p>
        </w:tc>
        <w:tc>
          <w:tcPr>
            <w:tcW w:w="10120" w:type="dxa"/>
            <w:vAlign w:val="bottom"/>
            <w:gridSpan w:val="37"/>
          </w:tcPr>
          <w:p>
            <w:pPr>
              <w:spacing w:after="0"/>
              <w:rPr>
                <w:rFonts w:ascii="Arial" w:cs="Arial" w:eastAsia="Arial" w:hAnsi="Arial"/>
                <w:sz w:val="17"/>
                <w:szCs w:val="17"/>
                <w:color w:val="0000FF"/>
              </w:rPr>
            </w:pPr>
            <w:hyperlink r:id="rId178">
              <w:r>
                <w:rPr>
                  <w:rFonts w:ascii="Arial" w:cs="Arial" w:eastAsia="Arial" w:hAnsi="Arial"/>
                  <w:sz w:val="17"/>
                  <w:szCs w:val="17"/>
                  <w:color w:val="0000FF"/>
                </w:rPr>
                <w:t>Form of Oaktree Capital Group Holdings, L.P. Restricted Unit Award Agreement (incorporated by reference to Exhibit 10.3 to the</w:t>
              </w:r>
            </w:hyperlink>
          </w:p>
        </w:tc>
      </w:tr>
      <w:tr>
        <w:trPr>
          <w:trHeight w:val="148"/>
        </w:trPr>
        <w:tc>
          <w:tcPr>
            <w:tcW w:w="40" w:type="dxa"/>
            <w:vAlign w:val="bottom"/>
          </w:tcPr>
          <w:p>
            <w:pPr>
              <w:spacing w:after="0"/>
              <w:rPr>
                <w:sz w:val="12"/>
                <w:szCs w:val="12"/>
                <w:color w:val="auto"/>
              </w:rPr>
            </w:pPr>
          </w:p>
        </w:tc>
        <w:tc>
          <w:tcPr>
            <w:tcW w:w="42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600" w:type="dxa"/>
            <w:vAlign w:val="bottom"/>
          </w:tcPr>
          <w:p>
            <w:pPr>
              <w:spacing w:after="0"/>
              <w:rPr>
                <w:sz w:val="12"/>
                <w:szCs w:val="12"/>
                <w:color w:val="auto"/>
              </w:rPr>
            </w:pPr>
          </w:p>
        </w:tc>
        <w:tc>
          <w:tcPr>
            <w:tcW w:w="9040" w:type="dxa"/>
            <w:vAlign w:val="bottom"/>
            <w:tcBorders>
              <w:top w:val="single" w:sz="8" w:color="0000FF"/>
              <w:bottom w:val="single" w:sz="8" w:color="0000FF"/>
            </w:tcBorders>
            <w:gridSpan w:val="12"/>
          </w:tcPr>
          <w:p>
            <w:pPr>
              <w:spacing w:after="0" w:line="148" w:lineRule="exact"/>
              <w:rPr>
                <w:rFonts w:ascii="Arial" w:cs="Arial" w:eastAsia="Arial" w:hAnsi="Arial"/>
                <w:sz w:val="17"/>
                <w:szCs w:val="17"/>
                <w:color w:val="0000FF"/>
              </w:rPr>
            </w:pPr>
            <w:hyperlink r:id="rId178">
              <w:r>
                <w:rPr>
                  <w:rFonts w:ascii="Arial" w:cs="Arial" w:eastAsia="Arial" w:hAnsi="Arial"/>
                  <w:sz w:val="17"/>
                  <w:szCs w:val="17"/>
                  <w:color w:val="0000FF"/>
                </w:rPr>
                <w:t>Registrant’s Quarterly Report on Form 10-Q for the quarter ended March 31, 2016, filed with the SEC on May 9, 2016).</w:t>
              </w:r>
            </w:hyperlink>
          </w:p>
        </w:tc>
        <w:tc>
          <w:tcPr>
            <w:tcW w:w="700" w:type="dxa"/>
            <w:vAlign w:val="bottom"/>
            <w:tcBorders>
              <w:top w:val="single" w:sz="8" w:color="0000FF"/>
            </w:tcBorders>
            <w:gridSpan w:val="10"/>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315"/>
        </w:trPr>
        <w:tc>
          <w:tcPr>
            <w:tcW w:w="520" w:type="dxa"/>
            <w:vAlign w:val="bottom"/>
            <w:gridSpan w:val="3"/>
          </w:tcPr>
          <w:p>
            <w:pPr>
              <w:ind w:left="40"/>
              <w:spacing w:after="0"/>
              <w:rPr>
                <w:rFonts w:ascii="Arial" w:cs="Arial" w:eastAsia="Arial" w:hAnsi="Arial"/>
                <w:sz w:val="17"/>
                <w:szCs w:val="17"/>
                <w:color w:val="0000FF"/>
                <w:w w:val="93"/>
              </w:rPr>
            </w:pPr>
            <w:hyperlink r:id="rId179">
              <w:r>
                <w:rPr>
                  <w:rFonts w:ascii="Arial" w:cs="Arial" w:eastAsia="Arial" w:hAnsi="Arial"/>
                  <w:sz w:val="17"/>
                  <w:szCs w:val="17"/>
                  <w:color w:val="0000FF"/>
                  <w:w w:val="93"/>
                </w:rPr>
                <w:t>10.</w:t>
              </w:r>
              <w:r>
                <w:rPr>
                  <w:rFonts w:ascii="Arial" w:cs="Arial" w:eastAsia="Arial" w:hAnsi="Arial"/>
                  <w:sz w:val="17"/>
                  <w:szCs w:val="17"/>
                  <w:u w:val="single" w:color="auto"/>
                  <w:color w:val="0000FF"/>
                  <w:w w:val="93"/>
                </w:rPr>
                <w:t>11*</w:t>
              </w:r>
            </w:hyperlink>
          </w:p>
        </w:tc>
        <w:tc>
          <w:tcPr>
            <w:tcW w:w="600" w:type="dxa"/>
            <w:vAlign w:val="bottom"/>
          </w:tcPr>
          <w:p>
            <w:pPr>
              <w:spacing w:after="0"/>
              <w:rPr>
                <w:sz w:val="24"/>
                <w:szCs w:val="24"/>
                <w:color w:val="auto"/>
              </w:rPr>
            </w:pPr>
          </w:p>
        </w:tc>
        <w:tc>
          <w:tcPr>
            <w:tcW w:w="10120" w:type="dxa"/>
            <w:vAlign w:val="bottom"/>
            <w:gridSpan w:val="37"/>
          </w:tcPr>
          <w:p>
            <w:pPr>
              <w:spacing w:after="0"/>
              <w:rPr>
                <w:rFonts w:ascii="Arial" w:cs="Arial" w:eastAsia="Arial" w:hAnsi="Arial"/>
                <w:sz w:val="17"/>
                <w:szCs w:val="17"/>
                <w:color w:val="0000FF"/>
              </w:rPr>
            </w:pPr>
            <w:hyperlink r:id="rId179">
              <w:r>
                <w:rPr>
                  <w:rFonts w:ascii="Arial" w:cs="Arial" w:eastAsia="Arial" w:hAnsi="Arial"/>
                  <w:sz w:val="17"/>
                  <w:szCs w:val="17"/>
                  <w:color w:val="0000FF"/>
                </w:rPr>
                <w:t>Form of Oaktree Capital Group, LLC Class A Restricted Unit Award Agreement for Outside Directors (incorporated by reference to</w:t>
              </w:r>
            </w:hyperlink>
          </w:p>
        </w:tc>
      </w:tr>
      <w:tr>
        <w:trPr>
          <w:trHeight w:val="148"/>
        </w:trPr>
        <w:tc>
          <w:tcPr>
            <w:tcW w:w="40" w:type="dxa"/>
            <w:vAlign w:val="bottom"/>
          </w:tcPr>
          <w:p>
            <w:pPr>
              <w:spacing w:after="0"/>
              <w:rPr>
                <w:sz w:val="12"/>
                <w:szCs w:val="12"/>
                <w:color w:val="auto"/>
              </w:rPr>
            </w:pPr>
          </w:p>
        </w:tc>
        <w:tc>
          <w:tcPr>
            <w:tcW w:w="42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600" w:type="dxa"/>
            <w:vAlign w:val="bottom"/>
          </w:tcPr>
          <w:p>
            <w:pPr>
              <w:spacing w:after="0"/>
              <w:rPr>
                <w:sz w:val="12"/>
                <w:szCs w:val="12"/>
                <w:color w:val="auto"/>
              </w:rPr>
            </w:pPr>
          </w:p>
        </w:tc>
        <w:tc>
          <w:tcPr>
            <w:tcW w:w="9880" w:type="dxa"/>
            <w:vAlign w:val="bottom"/>
            <w:tcBorders>
              <w:top w:val="single" w:sz="8" w:color="0000FF"/>
            </w:tcBorders>
            <w:gridSpan w:val="27"/>
          </w:tcPr>
          <w:p>
            <w:pPr>
              <w:spacing w:after="0" w:line="148" w:lineRule="exact"/>
              <w:rPr>
                <w:rFonts w:ascii="Arial" w:cs="Arial" w:eastAsia="Arial" w:hAnsi="Arial"/>
                <w:sz w:val="17"/>
                <w:szCs w:val="17"/>
                <w:color w:val="0000FF"/>
              </w:rPr>
            </w:pPr>
            <w:hyperlink r:id="rId179">
              <w:r>
                <w:rPr>
                  <w:rFonts w:ascii="Arial" w:cs="Arial" w:eastAsia="Arial" w:hAnsi="Arial"/>
                  <w:sz w:val="17"/>
                  <w:szCs w:val="17"/>
                  <w:color w:val="0000FF"/>
                </w:rPr>
                <w:t>Exhibit 10.22 to the Registrant’s Annual Report on Form 10-K for the year ended December 31, 2018, filed with the SEC on</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48"/>
        </w:trPr>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520" w:type="dxa"/>
            <w:vAlign w:val="bottom"/>
            <w:tcBorders>
              <w:top w:val="single" w:sz="8" w:color="0000FF"/>
              <w:bottom w:val="single" w:sz="8" w:color="0000FF"/>
            </w:tcBorders>
            <w:gridSpan w:val="4"/>
          </w:tcPr>
          <w:p>
            <w:pPr>
              <w:spacing w:after="0" w:line="148" w:lineRule="exact"/>
              <w:rPr>
                <w:rFonts w:ascii="Arial" w:cs="Arial" w:eastAsia="Arial" w:hAnsi="Arial"/>
                <w:sz w:val="17"/>
                <w:szCs w:val="17"/>
                <w:color w:val="0000FF"/>
              </w:rPr>
            </w:pPr>
            <w:hyperlink r:id="rId179">
              <w:r>
                <w:rPr>
                  <w:rFonts w:ascii="Arial" w:cs="Arial" w:eastAsia="Arial" w:hAnsi="Arial"/>
                  <w:sz w:val="17"/>
                  <w:szCs w:val="17"/>
                  <w:color w:val="0000FF"/>
                </w:rPr>
                <w:t>February 22, 2019).</w:t>
              </w:r>
            </w:hyperlink>
          </w:p>
        </w:tc>
        <w:tc>
          <w:tcPr>
            <w:tcW w:w="7840" w:type="dxa"/>
            <w:vAlign w:val="bottom"/>
            <w:tcBorders>
              <w:top w:val="single" w:sz="8" w:color="0000FF"/>
            </w:tcBorders>
            <w:gridSpan w:val="9"/>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gridSpan w:val="3"/>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360"/>
        </w:trPr>
        <w:tc>
          <w:tcPr>
            <w:tcW w:w="520" w:type="dxa"/>
            <w:vAlign w:val="bottom"/>
            <w:gridSpan w:val="3"/>
          </w:tcPr>
          <w:p>
            <w:pPr>
              <w:ind w:left="40"/>
              <w:spacing w:after="0"/>
              <w:rPr>
                <w:rFonts w:ascii="Arial" w:cs="Arial" w:eastAsia="Arial" w:hAnsi="Arial"/>
                <w:sz w:val="17"/>
                <w:szCs w:val="17"/>
                <w:color w:val="0000FF"/>
              </w:rPr>
            </w:pPr>
            <w:hyperlink r:id="rId180">
              <w:r>
                <w:rPr>
                  <w:rFonts w:ascii="Arial" w:cs="Arial" w:eastAsia="Arial" w:hAnsi="Arial"/>
                  <w:sz w:val="17"/>
                  <w:szCs w:val="17"/>
                  <w:color w:val="0000FF"/>
                </w:rPr>
                <w:t>10.</w:t>
              </w:r>
              <w:r>
                <w:rPr>
                  <w:rFonts w:ascii="Arial" w:cs="Arial" w:eastAsia="Arial" w:hAnsi="Arial"/>
                  <w:sz w:val="17"/>
                  <w:szCs w:val="17"/>
                  <w:u w:val="single" w:color="auto"/>
                  <w:color w:val="0000FF"/>
                </w:rPr>
                <w:t>12</w:t>
              </w:r>
            </w:hyperlink>
          </w:p>
        </w:tc>
        <w:tc>
          <w:tcPr>
            <w:tcW w:w="600" w:type="dxa"/>
            <w:vAlign w:val="bottom"/>
          </w:tcPr>
          <w:p>
            <w:pPr>
              <w:spacing w:after="0"/>
              <w:rPr>
                <w:sz w:val="24"/>
                <w:szCs w:val="24"/>
                <w:color w:val="auto"/>
              </w:rPr>
            </w:pPr>
          </w:p>
        </w:tc>
        <w:tc>
          <w:tcPr>
            <w:tcW w:w="10120" w:type="dxa"/>
            <w:vAlign w:val="bottom"/>
            <w:gridSpan w:val="37"/>
          </w:tcPr>
          <w:p>
            <w:pPr>
              <w:spacing w:after="0"/>
              <w:rPr>
                <w:sz w:val="20"/>
                <w:szCs w:val="20"/>
                <w:color w:val="auto"/>
              </w:rPr>
            </w:pPr>
            <w:r>
              <w:rPr>
                <w:rFonts w:ascii="Arial" w:cs="Arial" w:eastAsia="Arial" w:hAnsi="Arial"/>
                <w:sz w:val="17"/>
                <w:szCs w:val="17"/>
                <w:color w:val="0000FF"/>
              </w:rPr>
              <w:t>Letter Agreement, dated as of June 29, 2023, by and between Brookfield Corporate Treasury Ltd. and Oaktree Capital Group, LLC</w:t>
            </w:r>
          </w:p>
        </w:tc>
      </w:tr>
      <w:tr>
        <w:trPr>
          <w:trHeight w:val="180"/>
        </w:trPr>
        <w:tc>
          <w:tcPr>
            <w:tcW w:w="40" w:type="dxa"/>
            <w:vAlign w:val="bottom"/>
          </w:tcPr>
          <w:p>
            <w:pPr>
              <w:spacing w:after="0"/>
              <w:rPr>
                <w:sz w:val="15"/>
                <w:szCs w:val="15"/>
                <w:color w:val="auto"/>
              </w:rPr>
            </w:pPr>
          </w:p>
        </w:tc>
        <w:tc>
          <w:tcPr>
            <w:tcW w:w="420" w:type="dxa"/>
            <w:vAlign w:val="bottom"/>
            <w:tcBorders>
              <w:top w:val="single" w:sz="8" w:color="0000FF"/>
            </w:tcBorders>
          </w:tcPr>
          <w:p>
            <w:pPr>
              <w:spacing w:after="0"/>
              <w:rPr>
                <w:sz w:val="15"/>
                <w:szCs w:val="15"/>
                <w:color w:val="auto"/>
              </w:rPr>
            </w:pPr>
          </w:p>
        </w:tc>
        <w:tc>
          <w:tcPr>
            <w:tcW w:w="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940" w:type="dxa"/>
            <w:vAlign w:val="bottom"/>
            <w:tcBorders>
              <w:top w:val="single" w:sz="8" w:color="0000FF"/>
            </w:tcBorders>
            <w:gridSpan w:val="30"/>
          </w:tcPr>
          <w:p>
            <w:pPr>
              <w:spacing w:after="0" w:line="180" w:lineRule="exact"/>
              <w:rPr>
                <w:rFonts w:ascii="Arial" w:cs="Arial" w:eastAsia="Arial" w:hAnsi="Arial"/>
                <w:sz w:val="17"/>
                <w:szCs w:val="17"/>
                <w:color w:val="0000FF"/>
              </w:rPr>
            </w:pPr>
            <w:hyperlink r:id="rId180">
              <w:r>
                <w:rPr>
                  <w:rFonts w:ascii="Arial" w:cs="Arial" w:eastAsia="Arial" w:hAnsi="Arial"/>
                  <w:sz w:val="17"/>
                  <w:szCs w:val="17"/>
                  <w:color w:val="0000FF"/>
                </w:rPr>
                <w:t>(incorporated by reference to Exhibit 10.4 to the Registrant’s Quarterly Report on Form 10-Q for the quarter ended June 30, 2023,</w:t>
              </w:r>
            </w:hyperlink>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173"/>
        </w:trPr>
        <w:tc>
          <w:tcPr>
            <w:tcW w:w="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860" w:type="dxa"/>
            <w:vAlign w:val="bottom"/>
            <w:tcBorders>
              <w:top w:val="single" w:sz="8" w:color="0000FF"/>
            </w:tcBorders>
            <w:gridSpan w:val="26"/>
          </w:tcPr>
          <w:p>
            <w:pPr>
              <w:spacing w:after="0" w:line="173" w:lineRule="exact"/>
              <w:rPr>
                <w:rFonts w:ascii="Arial" w:cs="Arial" w:eastAsia="Arial" w:hAnsi="Arial"/>
                <w:sz w:val="17"/>
                <w:szCs w:val="17"/>
                <w:color w:val="0000FF"/>
              </w:rPr>
            </w:pPr>
            <w:hyperlink r:id="rId180">
              <w:r>
                <w:rPr>
                  <w:rFonts w:ascii="Arial" w:cs="Arial" w:eastAsia="Arial" w:hAnsi="Arial"/>
                  <w:sz w:val="17"/>
                  <w:szCs w:val="17"/>
                  <w:color w:val="0000FF"/>
                </w:rPr>
                <w:t>filed with the SEC on August 12, 2023).</w:t>
              </w:r>
            </w:hyperlink>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gridSpan w:val="4"/>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20"/>
        </w:trPr>
        <w:tc>
          <w:tcPr>
            <w:tcW w:w="520" w:type="dxa"/>
            <w:vAlign w:val="bottom"/>
            <w:gridSpan w:val="3"/>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560"/>
        </w:trPr>
        <w:tc>
          <w:tcPr>
            <w:tcW w:w="520" w:type="dxa"/>
            <w:vAlign w:val="bottom"/>
            <w:gridSpan w:val="3"/>
          </w:tcPr>
          <w:p>
            <w:pPr>
              <w:ind w:left="40"/>
              <w:spacing w:after="0"/>
              <w:rPr>
                <w:rFonts w:ascii="Arial" w:cs="Arial" w:eastAsia="Arial" w:hAnsi="Arial"/>
                <w:sz w:val="17"/>
                <w:szCs w:val="17"/>
                <w:color w:val="0000FF"/>
              </w:rPr>
            </w:pPr>
            <w:hyperlink r:id="rId181">
              <w:r>
                <w:rPr>
                  <w:rFonts w:ascii="Arial" w:cs="Arial" w:eastAsia="Arial" w:hAnsi="Arial"/>
                  <w:sz w:val="17"/>
                  <w:szCs w:val="17"/>
                  <w:color w:val="0000FF"/>
                </w:rPr>
                <w:t>10.</w:t>
              </w:r>
              <w:r>
                <w:rPr>
                  <w:rFonts w:ascii="Arial" w:cs="Arial" w:eastAsia="Arial" w:hAnsi="Arial"/>
                  <w:sz w:val="17"/>
                  <w:szCs w:val="17"/>
                  <w:u w:val="single" w:color="auto"/>
                  <w:color w:val="0000FF"/>
                </w:rPr>
                <w:t>13</w:t>
              </w:r>
            </w:hyperlink>
          </w:p>
        </w:tc>
        <w:tc>
          <w:tcPr>
            <w:tcW w:w="600" w:type="dxa"/>
            <w:vAlign w:val="bottom"/>
          </w:tcPr>
          <w:p>
            <w:pPr>
              <w:spacing w:after="0"/>
              <w:rPr>
                <w:sz w:val="24"/>
                <w:szCs w:val="24"/>
                <w:color w:val="auto"/>
              </w:rPr>
            </w:pPr>
          </w:p>
        </w:tc>
        <w:tc>
          <w:tcPr>
            <w:tcW w:w="10120" w:type="dxa"/>
            <w:vAlign w:val="bottom"/>
            <w:gridSpan w:val="37"/>
          </w:tcPr>
          <w:p>
            <w:pPr>
              <w:spacing w:after="0"/>
              <w:rPr>
                <w:rFonts w:ascii="Arial" w:cs="Arial" w:eastAsia="Arial" w:hAnsi="Arial"/>
                <w:sz w:val="17"/>
                <w:szCs w:val="17"/>
                <w:color w:val="0000FF"/>
              </w:rPr>
            </w:pPr>
            <w:hyperlink r:id="rId181">
              <w:r>
                <w:rPr>
                  <w:rFonts w:ascii="Arial" w:cs="Arial" w:eastAsia="Arial" w:hAnsi="Arial"/>
                  <w:sz w:val="17"/>
                  <w:szCs w:val="17"/>
                  <w:color w:val="0000FF"/>
                </w:rPr>
                <w:t>Letter Agreement, dated as of June 29, 2023, by and between BP US REIT LLC and Oaktree Capital Group, LLC (incorporated by</w:t>
              </w:r>
            </w:hyperlink>
          </w:p>
        </w:tc>
      </w:tr>
      <w:tr>
        <w:trPr>
          <w:trHeight w:val="148"/>
        </w:trPr>
        <w:tc>
          <w:tcPr>
            <w:tcW w:w="40" w:type="dxa"/>
            <w:vAlign w:val="bottom"/>
          </w:tcPr>
          <w:p>
            <w:pPr>
              <w:spacing w:after="0"/>
              <w:rPr>
                <w:sz w:val="12"/>
                <w:szCs w:val="12"/>
                <w:color w:val="auto"/>
              </w:rPr>
            </w:pPr>
          </w:p>
        </w:tc>
        <w:tc>
          <w:tcPr>
            <w:tcW w:w="420" w:type="dxa"/>
            <w:vAlign w:val="bottom"/>
            <w:tcBorders>
              <w:top w:val="single" w:sz="8" w:color="0000FF"/>
            </w:tcBorders>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9900" w:type="dxa"/>
            <w:vAlign w:val="bottom"/>
            <w:tcBorders>
              <w:top w:val="single" w:sz="8" w:color="0000FF"/>
              <w:bottom w:val="single" w:sz="8" w:color="0000FF"/>
            </w:tcBorders>
            <w:gridSpan w:val="28"/>
          </w:tcPr>
          <w:p>
            <w:pPr>
              <w:spacing w:after="0" w:line="148" w:lineRule="exact"/>
              <w:rPr>
                <w:rFonts w:ascii="Arial" w:cs="Arial" w:eastAsia="Arial" w:hAnsi="Arial"/>
                <w:sz w:val="17"/>
                <w:szCs w:val="17"/>
                <w:color w:val="0000FF"/>
              </w:rPr>
            </w:pPr>
            <w:hyperlink r:id="rId181">
              <w:r>
                <w:rPr>
                  <w:rFonts w:ascii="Arial" w:cs="Arial" w:eastAsia="Arial" w:hAnsi="Arial"/>
                  <w:sz w:val="17"/>
                  <w:szCs w:val="17"/>
                  <w:color w:val="0000FF"/>
                </w:rPr>
                <w:t>reference to Exhibit 10.5 to the Registrant’s Quarterly Report on Form 10-Q for the quarter ended June 30, 2023, filed with the SEC</w:t>
              </w:r>
            </w:hyperlink>
          </w:p>
        </w:tc>
        <w:tc>
          <w:tcPr>
            <w:tcW w:w="20" w:type="dxa"/>
            <w:vAlign w:val="bottom"/>
            <w:tcBorders>
              <w:bottom w:val="single" w:sz="8" w:color="0000FF"/>
            </w:tcBorders>
          </w:tcPr>
          <w:p>
            <w:pPr>
              <w:spacing w:after="0"/>
              <w:rPr>
                <w:sz w:val="12"/>
                <w:szCs w:val="12"/>
                <w:color w:val="auto"/>
              </w:rPr>
            </w:pPr>
          </w:p>
        </w:tc>
        <w:tc>
          <w:tcPr>
            <w:tcW w:w="80" w:type="dxa"/>
            <w:vAlign w:val="bottom"/>
            <w:tcBorders>
              <w:bottom w:val="single" w:sz="8" w:color="0000FF"/>
            </w:tcBorders>
            <w:gridSpan w:val="4"/>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48"/>
        </w:trPr>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00" w:type="dxa"/>
            <w:vAlign w:val="bottom"/>
            <w:gridSpan w:val="33"/>
          </w:tcPr>
          <w:p>
            <w:pPr>
              <w:spacing w:after="0" w:line="148" w:lineRule="exact"/>
              <w:rPr>
                <w:rFonts w:ascii="Arial" w:cs="Arial" w:eastAsia="Arial" w:hAnsi="Arial"/>
                <w:sz w:val="17"/>
                <w:szCs w:val="17"/>
                <w:color w:val="0000FF"/>
              </w:rPr>
            </w:pPr>
            <w:hyperlink r:id="rId181">
              <w:r>
                <w:rPr>
                  <w:rFonts w:ascii="Arial" w:cs="Arial" w:eastAsia="Arial" w:hAnsi="Arial"/>
                  <w:sz w:val="17"/>
                  <w:szCs w:val="17"/>
                  <w:color w:val="0000FF"/>
                </w:rPr>
                <w:t>on August 12, 2023).</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20"/>
        </w:trPr>
        <w:tc>
          <w:tcPr>
            <w:tcW w:w="520" w:type="dxa"/>
            <w:vAlign w:val="bottom"/>
            <w:gridSpan w:val="3"/>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547"/>
        </w:trPr>
        <w:tc>
          <w:tcPr>
            <w:tcW w:w="520" w:type="dxa"/>
            <w:vAlign w:val="bottom"/>
            <w:gridSpan w:val="3"/>
          </w:tcPr>
          <w:p>
            <w:pPr>
              <w:ind w:left="40"/>
              <w:spacing w:after="0"/>
              <w:rPr>
                <w:rFonts w:ascii="Arial" w:cs="Arial" w:eastAsia="Arial" w:hAnsi="Arial"/>
                <w:sz w:val="17"/>
                <w:szCs w:val="17"/>
                <w:color w:val="0000FF"/>
              </w:rPr>
            </w:pPr>
            <w:hyperlink r:id="rId182">
              <w:r>
                <w:rPr>
                  <w:rFonts w:ascii="Arial" w:cs="Arial" w:eastAsia="Arial" w:hAnsi="Arial"/>
                  <w:sz w:val="17"/>
                  <w:szCs w:val="17"/>
                  <w:color w:val="0000FF"/>
                </w:rPr>
                <w:t>10.</w:t>
              </w:r>
              <w:r>
                <w:rPr>
                  <w:rFonts w:ascii="Arial" w:cs="Arial" w:eastAsia="Arial" w:hAnsi="Arial"/>
                  <w:sz w:val="17"/>
                  <w:szCs w:val="17"/>
                  <w:u w:val="single" w:color="auto"/>
                  <w:color w:val="0000FF"/>
                </w:rPr>
                <w:t>14</w:t>
              </w:r>
            </w:hyperlink>
          </w:p>
        </w:tc>
        <w:tc>
          <w:tcPr>
            <w:tcW w:w="600" w:type="dxa"/>
            <w:vAlign w:val="bottom"/>
          </w:tcPr>
          <w:p>
            <w:pPr>
              <w:spacing w:after="0"/>
              <w:rPr>
                <w:sz w:val="24"/>
                <w:szCs w:val="24"/>
                <w:color w:val="auto"/>
              </w:rPr>
            </w:pPr>
          </w:p>
        </w:tc>
        <w:tc>
          <w:tcPr>
            <w:tcW w:w="10120" w:type="dxa"/>
            <w:vAlign w:val="bottom"/>
            <w:gridSpan w:val="37"/>
          </w:tcPr>
          <w:p>
            <w:pPr>
              <w:spacing w:after="0"/>
              <w:rPr>
                <w:rFonts w:ascii="Arial" w:cs="Arial" w:eastAsia="Arial" w:hAnsi="Arial"/>
                <w:sz w:val="17"/>
                <w:szCs w:val="17"/>
                <w:color w:val="0000FF"/>
              </w:rPr>
            </w:pPr>
            <w:hyperlink r:id="rId182">
              <w:r>
                <w:rPr>
                  <w:rFonts w:ascii="Arial" w:cs="Arial" w:eastAsia="Arial" w:hAnsi="Arial"/>
                  <w:sz w:val="17"/>
                  <w:szCs w:val="17"/>
                  <w:color w:val="0000FF"/>
                </w:rPr>
                <w:t>Letter Agreement, dated as of March 20, 2024, by and between Brookfield Oaktree Holdings, LLC and Oaktree Capital Holdings,</w:t>
              </w:r>
            </w:hyperlink>
          </w:p>
        </w:tc>
      </w:tr>
      <w:tr>
        <w:trPr>
          <w:trHeight w:val="20"/>
        </w:trPr>
        <w:tc>
          <w:tcPr>
            <w:tcW w:w="40" w:type="dxa"/>
            <w:vAlign w:val="bottom"/>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2640" w:type="dxa"/>
            <w:vAlign w:val="bottom"/>
            <w:gridSpan w:val="4"/>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110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gridSpan w:val="3"/>
            <w:shd w:val="clear" w:color="auto" w:fill="0000FF"/>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48"/>
        </w:trPr>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120" w:type="dxa"/>
            <w:vAlign w:val="bottom"/>
            <w:gridSpan w:val="37"/>
          </w:tcPr>
          <w:p>
            <w:pPr>
              <w:spacing w:after="0" w:line="148" w:lineRule="exact"/>
              <w:rPr>
                <w:rFonts w:ascii="Arial" w:cs="Arial" w:eastAsia="Arial" w:hAnsi="Arial"/>
                <w:sz w:val="17"/>
                <w:szCs w:val="17"/>
                <w:color w:val="0000FF"/>
              </w:rPr>
            </w:pPr>
            <w:hyperlink r:id="rId182">
              <w:r>
                <w:rPr>
                  <w:rFonts w:ascii="Arial" w:cs="Arial" w:eastAsia="Arial" w:hAnsi="Arial"/>
                  <w:sz w:val="17"/>
                  <w:szCs w:val="17"/>
                  <w:color w:val="0000FF"/>
                </w:rPr>
                <w:t>LLC. (incorporated by reference to Exhibit 10.17 to the Registrant’s Annual Report on Form 10-K for the year ended December 31,</w:t>
              </w:r>
            </w:hyperlink>
          </w:p>
        </w:tc>
      </w:tr>
      <w:tr>
        <w:trPr>
          <w:trHeight w:val="148"/>
        </w:trPr>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9920" w:type="dxa"/>
            <w:vAlign w:val="bottom"/>
            <w:tcBorders>
              <w:top w:val="single" w:sz="8" w:color="0000FF"/>
            </w:tcBorders>
            <w:gridSpan w:val="29"/>
          </w:tcPr>
          <w:p>
            <w:pPr>
              <w:spacing w:after="0" w:line="148" w:lineRule="exact"/>
              <w:rPr>
                <w:rFonts w:ascii="Arial" w:cs="Arial" w:eastAsia="Arial" w:hAnsi="Arial"/>
                <w:sz w:val="17"/>
                <w:szCs w:val="17"/>
                <w:color w:val="0000FF"/>
              </w:rPr>
            </w:pPr>
            <w:hyperlink r:id="rId182">
              <w:r>
                <w:rPr>
                  <w:rFonts w:ascii="Arial" w:cs="Arial" w:eastAsia="Arial" w:hAnsi="Arial"/>
                  <w:sz w:val="17"/>
                  <w:szCs w:val="17"/>
                  <w:color w:val="0000FF"/>
                </w:rPr>
                <w:t>2023, filed with the SEC on March 21, 2024).</w:t>
              </w:r>
            </w:hyperlink>
          </w:p>
        </w:tc>
        <w:tc>
          <w:tcPr>
            <w:tcW w:w="100" w:type="dxa"/>
            <w:vAlign w:val="bottom"/>
            <w:gridSpan w:val="5"/>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20"/>
        </w:trPr>
        <w:tc>
          <w:tcPr>
            <w:tcW w:w="520" w:type="dxa"/>
            <w:vAlign w:val="bottom"/>
            <w:gridSpan w:val="3"/>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2640" w:type="dxa"/>
            <w:vAlign w:val="bottom"/>
            <w:gridSpan w:val="4"/>
            <w:shd w:val="clear" w:color="auto" w:fill="0000FF"/>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0" w:type="dxa"/>
            <w:vAlign w:val="bottom"/>
            <w:gridSpan w:val="9"/>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02"/>
        </w:trPr>
        <w:tc>
          <w:tcPr>
            <w:tcW w:w="520" w:type="dxa"/>
            <w:vAlign w:val="bottom"/>
            <w:gridSpan w:val="3"/>
          </w:tcPr>
          <w:p>
            <w:pPr>
              <w:ind w:left="40"/>
              <w:spacing w:after="0"/>
              <w:rPr>
                <w:rFonts w:ascii="Arial" w:cs="Arial" w:eastAsia="Arial" w:hAnsi="Arial"/>
                <w:sz w:val="17"/>
                <w:szCs w:val="17"/>
                <w:color w:val="0000FF"/>
              </w:rPr>
            </w:pPr>
            <w:hyperlink r:id="rId183">
              <w:r>
                <w:rPr>
                  <w:rFonts w:ascii="Arial" w:cs="Arial" w:eastAsia="Arial" w:hAnsi="Arial"/>
                  <w:sz w:val="17"/>
                  <w:szCs w:val="17"/>
                  <w:color w:val="0000FF"/>
                </w:rPr>
                <w:t>10.</w:t>
              </w:r>
              <w:r>
                <w:rPr>
                  <w:rFonts w:ascii="Arial" w:cs="Arial" w:eastAsia="Arial" w:hAnsi="Arial"/>
                  <w:sz w:val="17"/>
                  <w:szCs w:val="17"/>
                  <w:u w:val="single" w:color="auto"/>
                  <w:color w:val="0000FF"/>
                </w:rPr>
                <w:t>15</w:t>
              </w:r>
            </w:hyperlink>
          </w:p>
        </w:tc>
        <w:tc>
          <w:tcPr>
            <w:tcW w:w="600" w:type="dxa"/>
            <w:vAlign w:val="bottom"/>
          </w:tcPr>
          <w:p>
            <w:pPr>
              <w:spacing w:after="0"/>
              <w:rPr>
                <w:sz w:val="24"/>
                <w:szCs w:val="24"/>
                <w:color w:val="auto"/>
              </w:rPr>
            </w:pPr>
          </w:p>
        </w:tc>
        <w:tc>
          <w:tcPr>
            <w:tcW w:w="10120" w:type="dxa"/>
            <w:vAlign w:val="bottom"/>
            <w:gridSpan w:val="37"/>
          </w:tcPr>
          <w:p>
            <w:pPr>
              <w:spacing w:after="0"/>
              <w:rPr>
                <w:rFonts w:ascii="Arial" w:cs="Arial" w:eastAsia="Arial" w:hAnsi="Arial"/>
                <w:sz w:val="17"/>
                <w:szCs w:val="17"/>
                <w:color w:val="0000FF"/>
              </w:rPr>
            </w:pPr>
            <w:hyperlink r:id="rId183">
              <w:r>
                <w:rPr>
                  <w:rFonts w:ascii="Arial" w:cs="Arial" w:eastAsia="Arial" w:hAnsi="Arial"/>
                  <w:sz w:val="17"/>
                  <w:szCs w:val="17"/>
                  <w:color w:val="0000FF"/>
                </w:rPr>
                <w:t>Dealer Manager Agreement, dated November 2, 2021, by and between Brookfield Real Estate Income Trust Inc. and Brookfield</w:t>
              </w:r>
            </w:hyperlink>
          </w:p>
        </w:tc>
      </w:tr>
      <w:tr>
        <w:trPr>
          <w:trHeight w:val="20"/>
        </w:trPr>
        <w:tc>
          <w:tcPr>
            <w:tcW w:w="40" w:type="dxa"/>
            <w:vAlign w:val="bottom"/>
          </w:tcPr>
          <w:p>
            <w:pPr>
              <w:spacing w:after="0" w:line="20" w:lineRule="exact"/>
              <w:rPr>
                <w:sz w:val="1"/>
                <w:szCs w:val="1"/>
                <w:color w:val="auto"/>
              </w:rPr>
            </w:pPr>
          </w:p>
        </w:tc>
        <w:tc>
          <w:tcPr>
            <w:tcW w:w="420" w:type="dxa"/>
            <w:vAlign w:val="bottom"/>
            <w:tcBorders>
              <w:bottom w:val="single" w:sz="8" w:color="0000FF"/>
              <w:righ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3820" w:type="dxa"/>
            <w:vAlign w:val="bottom"/>
            <w:gridSpan w:val="5"/>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110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0" w:type="dxa"/>
            <w:vAlign w:val="bottom"/>
            <w:gridSpan w:val="9"/>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53"/>
        </w:trPr>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120" w:type="dxa"/>
            <w:vAlign w:val="bottom"/>
            <w:gridSpan w:val="37"/>
          </w:tcPr>
          <w:p>
            <w:pPr>
              <w:spacing w:after="0" w:line="154" w:lineRule="exact"/>
              <w:rPr>
                <w:rFonts w:ascii="Arial" w:cs="Arial" w:eastAsia="Arial" w:hAnsi="Arial"/>
                <w:sz w:val="17"/>
                <w:szCs w:val="17"/>
                <w:color w:val="0000FF"/>
              </w:rPr>
            </w:pPr>
            <w:hyperlink r:id="rId183">
              <w:r>
                <w:rPr>
                  <w:rFonts w:ascii="Arial" w:cs="Arial" w:eastAsia="Arial" w:hAnsi="Arial"/>
                  <w:sz w:val="17"/>
                  <w:szCs w:val="17"/>
                  <w:color w:val="0000FF"/>
                </w:rPr>
                <w:t>Oaktree Wealth Solutions LLC (incorporated by reference to Exhibit 10.1 to the Registrant’s Form 8-K, filed with the SEC on June</w:t>
              </w:r>
            </w:hyperlink>
          </w:p>
        </w:tc>
      </w:tr>
      <w:tr>
        <w:trPr>
          <w:trHeight w:val="173"/>
        </w:trPr>
        <w:tc>
          <w:tcPr>
            <w:tcW w:w="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520" w:type="dxa"/>
            <w:vAlign w:val="bottom"/>
            <w:tcBorders>
              <w:top w:val="single" w:sz="8" w:color="0000FF"/>
            </w:tcBorders>
            <w:gridSpan w:val="4"/>
          </w:tcPr>
          <w:p>
            <w:pPr>
              <w:spacing w:after="0" w:line="173" w:lineRule="exact"/>
              <w:rPr>
                <w:rFonts w:ascii="Arial" w:cs="Arial" w:eastAsia="Arial" w:hAnsi="Arial"/>
                <w:sz w:val="17"/>
                <w:szCs w:val="17"/>
                <w:color w:val="0000FF"/>
              </w:rPr>
            </w:pPr>
            <w:hyperlink r:id="rId183">
              <w:r>
                <w:rPr>
                  <w:rFonts w:ascii="Arial" w:cs="Arial" w:eastAsia="Arial" w:hAnsi="Arial"/>
                  <w:sz w:val="17"/>
                  <w:szCs w:val="17"/>
                  <w:color w:val="0000FF"/>
                </w:rPr>
                <w:t>29, 2023).</w:t>
              </w:r>
            </w:hyperlink>
          </w:p>
        </w:tc>
        <w:tc>
          <w:tcPr>
            <w:tcW w:w="80" w:type="dxa"/>
            <w:vAlign w:val="bottom"/>
            <w:tcBorders>
              <w:top w:val="single" w:sz="8" w:color="0000FF"/>
            </w:tcBorders>
          </w:tcPr>
          <w:p>
            <w:pPr>
              <w:spacing w:after="0"/>
              <w:rPr>
                <w:sz w:val="15"/>
                <w:szCs w:val="15"/>
                <w:color w:val="auto"/>
              </w:rPr>
            </w:pPr>
          </w:p>
        </w:tc>
        <w:tc>
          <w:tcPr>
            <w:tcW w:w="1400" w:type="dxa"/>
            <w:vAlign w:val="bottom"/>
            <w:tcBorders>
              <w:top w:val="single" w:sz="8" w:color="0000FF"/>
            </w:tcBorders>
          </w:tcPr>
          <w:p>
            <w:pPr>
              <w:spacing w:after="0"/>
              <w:rPr>
                <w:sz w:val="15"/>
                <w:szCs w:val="15"/>
                <w:color w:val="auto"/>
              </w:rPr>
            </w:pPr>
          </w:p>
        </w:tc>
        <w:tc>
          <w:tcPr>
            <w:tcW w:w="420" w:type="dxa"/>
            <w:vAlign w:val="bottom"/>
            <w:tcBorders>
              <w:top w:val="single" w:sz="8" w:color="0000FF"/>
            </w:tcBorders>
          </w:tcPr>
          <w:p>
            <w:pPr>
              <w:spacing w:after="0"/>
              <w:rPr>
                <w:sz w:val="15"/>
                <w:szCs w:val="15"/>
                <w:color w:val="auto"/>
              </w:rPr>
            </w:pPr>
          </w:p>
        </w:tc>
        <w:tc>
          <w:tcPr>
            <w:tcW w:w="1180" w:type="dxa"/>
            <w:vAlign w:val="bottom"/>
            <w:tcBorders>
              <w:top w:val="single" w:sz="8" w:color="0000FF"/>
            </w:tcBorders>
          </w:tcPr>
          <w:p>
            <w:pPr>
              <w:spacing w:after="0"/>
              <w:rPr>
                <w:sz w:val="15"/>
                <w:szCs w:val="15"/>
                <w:color w:val="auto"/>
              </w:rPr>
            </w:pPr>
          </w:p>
        </w:tc>
        <w:tc>
          <w:tcPr>
            <w:tcW w:w="860" w:type="dxa"/>
            <w:vAlign w:val="bottom"/>
            <w:tcBorders>
              <w:top w:val="single" w:sz="8" w:color="0000FF"/>
            </w:tcBorders>
          </w:tcPr>
          <w:p>
            <w:pPr>
              <w:spacing w:after="0"/>
              <w:rPr>
                <w:sz w:val="15"/>
                <w:szCs w:val="15"/>
                <w:color w:val="auto"/>
              </w:rPr>
            </w:pPr>
          </w:p>
        </w:tc>
        <w:tc>
          <w:tcPr>
            <w:tcW w:w="1540" w:type="dxa"/>
            <w:vAlign w:val="bottom"/>
            <w:tcBorders>
              <w:top w:val="single" w:sz="8" w:color="0000FF"/>
            </w:tcBorders>
          </w:tcPr>
          <w:p>
            <w:pPr>
              <w:spacing w:after="0"/>
              <w:rPr>
                <w:sz w:val="15"/>
                <w:szCs w:val="15"/>
                <w:color w:val="auto"/>
              </w:rPr>
            </w:pPr>
          </w:p>
        </w:tc>
        <w:tc>
          <w:tcPr>
            <w:tcW w:w="1280" w:type="dxa"/>
            <w:vAlign w:val="bottom"/>
            <w:tcBorders>
              <w:top w:val="single" w:sz="8" w:color="0000FF"/>
            </w:tcBorders>
          </w:tcPr>
          <w:p>
            <w:pPr>
              <w:spacing w:after="0"/>
              <w:rPr>
                <w:sz w:val="15"/>
                <w:szCs w:val="15"/>
                <w:color w:val="auto"/>
              </w:rPr>
            </w:pPr>
          </w:p>
        </w:tc>
        <w:tc>
          <w:tcPr>
            <w:tcW w:w="760" w:type="dxa"/>
            <w:vAlign w:val="bottom"/>
            <w:tcBorders>
              <w:top w:val="single" w:sz="8" w:color="0000FF"/>
            </w:tcBorders>
          </w:tcPr>
          <w:p>
            <w:pPr>
              <w:spacing w:after="0"/>
              <w:rPr>
                <w:sz w:val="15"/>
                <w:szCs w:val="15"/>
                <w:color w:val="auto"/>
              </w:rPr>
            </w:pPr>
          </w:p>
        </w:tc>
        <w:tc>
          <w:tcPr>
            <w:tcW w:w="3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1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20"/>
        </w:trPr>
        <w:tc>
          <w:tcPr>
            <w:tcW w:w="520" w:type="dxa"/>
            <w:vAlign w:val="bottom"/>
            <w:gridSpan w:val="3"/>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3820" w:type="dxa"/>
            <w:vAlign w:val="bottom"/>
            <w:gridSpan w:val="5"/>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0" w:type="dxa"/>
            <w:vAlign w:val="bottom"/>
            <w:gridSpan w:val="9"/>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28"/>
        </w:trPr>
        <w:tc>
          <w:tcPr>
            <w:tcW w:w="520" w:type="dxa"/>
            <w:vAlign w:val="bottom"/>
            <w:gridSpan w:val="3"/>
          </w:tcPr>
          <w:p>
            <w:pPr>
              <w:ind w:left="40"/>
              <w:spacing w:after="0"/>
              <w:rPr>
                <w:rFonts w:ascii="Arial" w:cs="Arial" w:eastAsia="Arial" w:hAnsi="Arial"/>
                <w:sz w:val="17"/>
                <w:szCs w:val="17"/>
                <w:color w:val="0000FF"/>
              </w:rPr>
            </w:pPr>
            <w:hyperlink r:id="rId184">
              <w:r>
                <w:rPr>
                  <w:rFonts w:ascii="Arial" w:cs="Arial" w:eastAsia="Arial" w:hAnsi="Arial"/>
                  <w:sz w:val="17"/>
                  <w:szCs w:val="17"/>
                  <w:color w:val="0000FF"/>
                </w:rPr>
                <w:t>10.</w:t>
              </w:r>
              <w:r>
                <w:rPr>
                  <w:rFonts w:ascii="Arial" w:cs="Arial" w:eastAsia="Arial" w:hAnsi="Arial"/>
                  <w:sz w:val="17"/>
                  <w:szCs w:val="17"/>
                  <w:u w:val="single" w:color="auto"/>
                  <w:color w:val="0000FF"/>
                </w:rPr>
                <w:t>16</w:t>
              </w:r>
            </w:hyperlink>
          </w:p>
        </w:tc>
        <w:tc>
          <w:tcPr>
            <w:tcW w:w="600" w:type="dxa"/>
            <w:vAlign w:val="bottom"/>
          </w:tcPr>
          <w:p>
            <w:pPr>
              <w:spacing w:after="0"/>
              <w:rPr>
                <w:sz w:val="24"/>
                <w:szCs w:val="24"/>
                <w:color w:val="auto"/>
              </w:rPr>
            </w:pPr>
          </w:p>
        </w:tc>
        <w:tc>
          <w:tcPr>
            <w:tcW w:w="10120" w:type="dxa"/>
            <w:vAlign w:val="bottom"/>
            <w:gridSpan w:val="37"/>
          </w:tcPr>
          <w:p>
            <w:pPr>
              <w:spacing w:after="0"/>
              <w:rPr>
                <w:rFonts w:ascii="Arial" w:cs="Arial" w:eastAsia="Arial" w:hAnsi="Arial"/>
                <w:sz w:val="17"/>
                <w:szCs w:val="17"/>
                <w:color w:val="0000FF"/>
              </w:rPr>
            </w:pPr>
            <w:hyperlink r:id="rId184">
              <w:r>
                <w:rPr>
                  <w:rFonts w:ascii="Arial" w:cs="Arial" w:eastAsia="Arial" w:hAnsi="Arial"/>
                  <w:sz w:val="17"/>
                  <w:szCs w:val="17"/>
                  <w:color w:val="0000FF"/>
                </w:rPr>
                <w:t>Amended and Restated Advisory Agreement, dated March 21, 2022, by and among Brookfield Real Estate Income Trust Inc.,</w:t>
              </w:r>
            </w:hyperlink>
          </w:p>
        </w:tc>
      </w:tr>
      <w:tr>
        <w:trPr>
          <w:trHeight w:val="173"/>
        </w:trPr>
        <w:tc>
          <w:tcPr>
            <w:tcW w:w="40" w:type="dxa"/>
            <w:vAlign w:val="bottom"/>
          </w:tcPr>
          <w:p>
            <w:pPr>
              <w:spacing w:after="0"/>
              <w:rPr>
                <w:sz w:val="15"/>
                <w:szCs w:val="15"/>
                <w:color w:val="auto"/>
              </w:rPr>
            </w:pPr>
          </w:p>
        </w:tc>
        <w:tc>
          <w:tcPr>
            <w:tcW w:w="420" w:type="dxa"/>
            <w:vAlign w:val="bottom"/>
            <w:tcBorders>
              <w:top w:val="single" w:sz="8" w:color="0000FF"/>
            </w:tcBorders>
          </w:tcPr>
          <w:p>
            <w:pPr>
              <w:spacing w:after="0"/>
              <w:rPr>
                <w:sz w:val="15"/>
                <w:szCs w:val="15"/>
                <w:color w:val="auto"/>
              </w:rPr>
            </w:pPr>
          </w:p>
        </w:tc>
        <w:tc>
          <w:tcPr>
            <w:tcW w:w="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560" w:type="dxa"/>
            <w:vAlign w:val="bottom"/>
            <w:tcBorders>
              <w:top w:val="single" w:sz="8" w:color="0000FF"/>
            </w:tcBorders>
            <w:gridSpan w:val="19"/>
          </w:tcPr>
          <w:p>
            <w:pPr>
              <w:spacing w:after="0" w:line="173" w:lineRule="exact"/>
              <w:rPr>
                <w:rFonts w:ascii="Arial" w:cs="Arial" w:eastAsia="Arial" w:hAnsi="Arial"/>
                <w:sz w:val="17"/>
                <w:szCs w:val="17"/>
                <w:color w:val="0000FF"/>
              </w:rPr>
            </w:pPr>
            <w:hyperlink r:id="rId184">
              <w:r>
                <w:rPr>
                  <w:rFonts w:ascii="Arial" w:cs="Arial" w:eastAsia="Arial" w:hAnsi="Arial"/>
                  <w:sz w:val="17"/>
                  <w:szCs w:val="17"/>
                  <w:color w:val="0000FF"/>
                </w:rPr>
                <w:t>Brookfield REIT Operating Partnership L.P. and Brookfield REIT Adviser LLC (incorporated by reference to Exhibit 10.2 to the</w:t>
              </w:r>
            </w:hyperlink>
          </w:p>
        </w:tc>
        <w:tc>
          <w:tcPr>
            <w:tcW w:w="220" w:type="dxa"/>
            <w:vAlign w:val="bottom"/>
            <w:gridSpan w:val="4"/>
          </w:tcPr>
          <w:p>
            <w:pPr>
              <w:spacing w:after="0"/>
              <w:rPr>
                <w:sz w:val="15"/>
                <w:szCs w:val="15"/>
                <w:color w:val="auto"/>
              </w:rPr>
            </w:pPr>
          </w:p>
        </w:tc>
        <w:tc>
          <w:tcPr>
            <w:tcW w:w="40" w:type="dxa"/>
            <w:vAlign w:val="bottom"/>
            <w:gridSpan w:val="2"/>
          </w:tcPr>
          <w:p>
            <w:pPr>
              <w:spacing w:after="0"/>
              <w:rPr>
                <w:sz w:val="15"/>
                <w:szCs w:val="15"/>
                <w:color w:val="auto"/>
              </w:rPr>
            </w:pPr>
          </w:p>
        </w:tc>
        <w:tc>
          <w:tcPr>
            <w:tcW w:w="200" w:type="dxa"/>
            <w:vAlign w:val="bottom"/>
            <w:gridSpan w:val="9"/>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173"/>
        </w:trPr>
        <w:tc>
          <w:tcPr>
            <w:tcW w:w="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520" w:type="dxa"/>
            <w:vAlign w:val="bottom"/>
            <w:tcBorders>
              <w:top w:val="single" w:sz="8" w:color="0000FF"/>
            </w:tcBorders>
            <w:gridSpan w:val="17"/>
          </w:tcPr>
          <w:p>
            <w:pPr>
              <w:spacing w:after="0" w:line="173" w:lineRule="exact"/>
              <w:rPr>
                <w:rFonts w:ascii="Arial" w:cs="Arial" w:eastAsia="Arial" w:hAnsi="Arial"/>
                <w:sz w:val="17"/>
                <w:szCs w:val="17"/>
                <w:color w:val="0000FF"/>
              </w:rPr>
            </w:pPr>
            <w:hyperlink r:id="rId184">
              <w:r>
                <w:rPr>
                  <w:rFonts w:ascii="Arial" w:cs="Arial" w:eastAsia="Arial" w:hAnsi="Arial"/>
                  <w:sz w:val="17"/>
                  <w:szCs w:val="17"/>
                  <w:color w:val="0000FF"/>
                </w:rPr>
                <w:t>Registrant’s Form 8-K, filed with the SEC on June 29, 2023).</w:t>
              </w:r>
            </w:hyperlink>
          </w:p>
        </w:tc>
        <w:tc>
          <w:tcPr>
            <w:tcW w:w="20" w:type="dxa"/>
            <w:vAlign w:val="bottom"/>
          </w:tcPr>
          <w:p>
            <w:pPr>
              <w:spacing w:after="0"/>
              <w:rPr>
                <w:sz w:val="15"/>
                <w:szCs w:val="15"/>
                <w:color w:val="auto"/>
              </w:rPr>
            </w:pPr>
          </w:p>
        </w:tc>
        <w:tc>
          <w:tcPr>
            <w:tcW w:w="240" w:type="dxa"/>
            <w:vAlign w:val="bottom"/>
            <w:gridSpan w:val="5"/>
          </w:tcPr>
          <w:p>
            <w:pPr>
              <w:spacing w:after="0"/>
              <w:rPr>
                <w:sz w:val="15"/>
                <w:szCs w:val="15"/>
                <w:color w:val="auto"/>
              </w:rPr>
            </w:pPr>
          </w:p>
        </w:tc>
        <w:tc>
          <w:tcPr>
            <w:tcW w:w="40" w:type="dxa"/>
            <w:vAlign w:val="bottom"/>
            <w:gridSpan w:val="2"/>
          </w:tcPr>
          <w:p>
            <w:pPr>
              <w:spacing w:after="0"/>
              <w:rPr>
                <w:sz w:val="15"/>
                <w:szCs w:val="15"/>
                <w:color w:val="auto"/>
              </w:rPr>
            </w:pPr>
          </w:p>
        </w:tc>
        <w:tc>
          <w:tcPr>
            <w:tcW w:w="200" w:type="dxa"/>
            <w:vAlign w:val="bottom"/>
            <w:gridSpan w:val="9"/>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20"/>
        </w:trPr>
        <w:tc>
          <w:tcPr>
            <w:tcW w:w="520" w:type="dxa"/>
            <w:vAlign w:val="bottom"/>
            <w:gridSpan w:val="3"/>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100" w:type="dxa"/>
            <w:vAlign w:val="bottom"/>
            <w:gridSpan w:val="7"/>
            <w:shd w:val="clear" w:color="auto" w:fill="0000FF"/>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4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0" w:type="dxa"/>
            <w:vAlign w:val="bottom"/>
            <w:gridSpan w:val="9"/>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28"/>
        </w:trPr>
        <w:tc>
          <w:tcPr>
            <w:tcW w:w="520" w:type="dxa"/>
            <w:vAlign w:val="bottom"/>
            <w:gridSpan w:val="3"/>
          </w:tcPr>
          <w:p>
            <w:pPr>
              <w:ind w:left="40"/>
              <w:spacing w:after="0"/>
              <w:rPr>
                <w:rFonts w:ascii="Arial" w:cs="Arial" w:eastAsia="Arial" w:hAnsi="Arial"/>
                <w:sz w:val="17"/>
                <w:szCs w:val="17"/>
                <w:color w:val="0000FF"/>
              </w:rPr>
            </w:pPr>
            <w:hyperlink r:id="rId185">
              <w:r>
                <w:rPr>
                  <w:rFonts w:ascii="Arial" w:cs="Arial" w:eastAsia="Arial" w:hAnsi="Arial"/>
                  <w:sz w:val="17"/>
                  <w:szCs w:val="17"/>
                  <w:color w:val="0000FF"/>
                </w:rPr>
                <w:t>10.</w:t>
              </w:r>
              <w:r>
                <w:rPr>
                  <w:rFonts w:ascii="Arial" w:cs="Arial" w:eastAsia="Arial" w:hAnsi="Arial"/>
                  <w:sz w:val="17"/>
                  <w:szCs w:val="17"/>
                  <w:u w:val="single" w:color="auto"/>
                  <w:color w:val="0000FF"/>
                </w:rPr>
                <w:t>17</w:t>
              </w:r>
            </w:hyperlink>
          </w:p>
        </w:tc>
        <w:tc>
          <w:tcPr>
            <w:tcW w:w="600" w:type="dxa"/>
            <w:vAlign w:val="bottom"/>
          </w:tcPr>
          <w:p>
            <w:pPr>
              <w:spacing w:after="0"/>
              <w:rPr>
                <w:sz w:val="24"/>
                <w:szCs w:val="24"/>
                <w:color w:val="auto"/>
              </w:rPr>
            </w:pPr>
          </w:p>
        </w:tc>
        <w:tc>
          <w:tcPr>
            <w:tcW w:w="10120" w:type="dxa"/>
            <w:vAlign w:val="bottom"/>
            <w:gridSpan w:val="37"/>
          </w:tcPr>
          <w:p>
            <w:pPr>
              <w:spacing w:after="0"/>
              <w:rPr>
                <w:rFonts w:ascii="Arial" w:cs="Arial" w:eastAsia="Arial" w:hAnsi="Arial"/>
                <w:sz w:val="17"/>
                <w:szCs w:val="17"/>
                <w:color w:val="0000FF"/>
              </w:rPr>
            </w:pPr>
            <w:hyperlink r:id="rId185">
              <w:r>
                <w:rPr>
                  <w:rFonts w:ascii="Arial" w:cs="Arial" w:eastAsia="Arial" w:hAnsi="Arial"/>
                  <w:sz w:val="17"/>
                  <w:szCs w:val="17"/>
                  <w:color w:val="0000FF"/>
                </w:rPr>
                <w:t>Amendment No. 1 to the Amended and Restated Advisory Agreement, dated August 9, 2022, by and among Brookfield Real Estate</w:t>
              </w:r>
            </w:hyperlink>
          </w:p>
        </w:tc>
      </w:tr>
      <w:tr>
        <w:trPr>
          <w:trHeight w:val="148"/>
        </w:trPr>
        <w:tc>
          <w:tcPr>
            <w:tcW w:w="40" w:type="dxa"/>
            <w:vAlign w:val="bottom"/>
          </w:tcPr>
          <w:p>
            <w:pPr>
              <w:spacing w:after="0"/>
              <w:rPr>
                <w:sz w:val="12"/>
                <w:szCs w:val="12"/>
                <w:color w:val="auto"/>
              </w:rPr>
            </w:pPr>
          </w:p>
        </w:tc>
        <w:tc>
          <w:tcPr>
            <w:tcW w:w="420" w:type="dxa"/>
            <w:vAlign w:val="bottom"/>
            <w:tcBorders>
              <w:top w:val="single" w:sz="8" w:color="0000FF"/>
            </w:tcBorders>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20" w:type="dxa"/>
            <w:vAlign w:val="bottom"/>
            <w:tcBorders>
              <w:top w:val="single" w:sz="8" w:color="0000FF"/>
              <w:bottom w:val="single" w:sz="8" w:color="0000FF"/>
            </w:tcBorders>
            <w:gridSpan w:val="34"/>
          </w:tcPr>
          <w:p>
            <w:pPr>
              <w:spacing w:after="0" w:line="148" w:lineRule="exact"/>
              <w:rPr>
                <w:rFonts w:ascii="Arial" w:cs="Arial" w:eastAsia="Arial" w:hAnsi="Arial"/>
                <w:sz w:val="17"/>
                <w:szCs w:val="17"/>
                <w:color w:val="0000FF"/>
              </w:rPr>
            </w:pPr>
            <w:hyperlink r:id="rId185">
              <w:r>
                <w:rPr>
                  <w:rFonts w:ascii="Arial" w:cs="Arial" w:eastAsia="Arial" w:hAnsi="Arial"/>
                  <w:sz w:val="17"/>
                  <w:szCs w:val="17"/>
                  <w:color w:val="0000FF"/>
                </w:rPr>
                <w:t>Income Trust Inc., Brookfield REIT Operating Partnership L.P. and Brookfield REIT Adviser LLC (incorporated by reference to Exhibit</w:t>
              </w:r>
            </w:hyperlink>
          </w:p>
        </w:tc>
        <w:tc>
          <w:tcPr>
            <w:tcW w:w="20" w:type="dxa"/>
            <w:vAlign w:val="bottom"/>
            <w:tcBorders>
              <w:bottom w:val="single" w:sz="8" w:color="0000FF"/>
            </w:tcBorders>
          </w:tcPr>
          <w:p>
            <w:pPr>
              <w:spacing w:after="0"/>
              <w:rPr>
                <w:sz w:val="12"/>
                <w:szCs w:val="12"/>
                <w:color w:val="auto"/>
              </w:rPr>
            </w:pPr>
          </w:p>
        </w:tc>
        <w:tc>
          <w:tcPr>
            <w:tcW w:w="40" w:type="dxa"/>
            <w:vAlign w:val="bottom"/>
            <w:tcBorders>
              <w:bottom w:val="single" w:sz="8" w:color="0000FF"/>
            </w:tcBorders>
          </w:tcPr>
          <w:p>
            <w:pPr>
              <w:spacing w:after="0"/>
              <w:rPr>
                <w:sz w:val="12"/>
                <w:szCs w:val="12"/>
                <w:color w:val="auto"/>
              </w:rPr>
            </w:pPr>
          </w:p>
        </w:tc>
        <w:tc>
          <w:tcPr>
            <w:tcW w:w="40" w:type="dxa"/>
            <w:vAlign w:val="bottom"/>
          </w:tcPr>
          <w:p>
            <w:pPr>
              <w:spacing w:after="0"/>
              <w:rPr>
                <w:sz w:val="12"/>
                <w:szCs w:val="12"/>
                <w:color w:val="auto"/>
              </w:rPr>
            </w:pPr>
          </w:p>
        </w:tc>
      </w:tr>
      <w:tr>
        <w:trPr>
          <w:trHeight w:val="148"/>
        </w:trPr>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80" w:type="dxa"/>
            <w:vAlign w:val="bottom"/>
            <w:gridSpan w:val="36"/>
          </w:tcPr>
          <w:p>
            <w:pPr>
              <w:spacing w:after="0" w:line="148" w:lineRule="exact"/>
              <w:rPr>
                <w:rFonts w:ascii="Arial" w:cs="Arial" w:eastAsia="Arial" w:hAnsi="Arial"/>
                <w:sz w:val="17"/>
                <w:szCs w:val="17"/>
                <w:color w:val="0000FF"/>
              </w:rPr>
            </w:pPr>
            <w:hyperlink r:id="rId185">
              <w:r>
                <w:rPr>
                  <w:rFonts w:ascii="Arial" w:cs="Arial" w:eastAsia="Arial" w:hAnsi="Arial"/>
                  <w:sz w:val="17"/>
                  <w:szCs w:val="17"/>
                  <w:color w:val="0000FF"/>
                </w:rPr>
                <w:t>10.</w:t>
              </w:r>
              <w:r>
                <w:rPr>
                  <w:rFonts w:ascii="Arial" w:cs="Arial" w:eastAsia="Arial" w:hAnsi="Arial"/>
                  <w:sz w:val="17"/>
                  <w:szCs w:val="17"/>
                  <w:u w:val="single" w:color="auto"/>
                  <w:color w:val="0000FF"/>
                </w:rPr>
                <w:t>3</w:t>
              </w:r>
              <w:r>
                <w:rPr>
                  <w:rFonts w:ascii="Arial" w:cs="Arial" w:eastAsia="Arial" w:hAnsi="Arial"/>
                  <w:sz w:val="17"/>
                  <w:szCs w:val="17"/>
                  <w:color w:val="0000FF"/>
                </w:rPr>
                <w:t xml:space="preserve"> to the Registrant’s Form 8-K, filed with the SEC on June 29, 2023).</w:t>
              </w:r>
            </w:hyperlink>
          </w:p>
        </w:tc>
        <w:tc>
          <w:tcPr>
            <w:tcW w:w="40" w:type="dxa"/>
            <w:vAlign w:val="bottom"/>
          </w:tcPr>
          <w:p>
            <w:pPr>
              <w:spacing w:after="0"/>
              <w:rPr>
                <w:sz w:val="12"/>
                <w:szCs w:val="12"/>
                <w:color w:val="auto"/>
              </w:rPr>
            </w:pPr>
          </w:p>
        </w:tc>
      </w:tr>
      <w:tr>
        <w:trPr>
          <w:trHeight w:val="20"/>
        </w:trPr>
        <w:tc>
          <w:tcPr>
            <w:tcW w:w="520" w:type="dxa"/>
            <w:vAlign w:val="bottom"/>
            <w:gridSpan w:val="3"/>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960" w:type="dxa"/>
            <w:vAlign w:val="bottom"/>
            <w:gridSpan w:val="8"/>
            <w:shd w:val="clear" w:color="auto" w:fill="0000FF"/>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4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20" w:type="dxa"/>
            <w:vAlign w:val="bottom"/>
            <w:gridSpan w:val="10"/>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354"/>
        </w:trPr>
        <w:tc>
          <w:tcPr>
            <w:tcW w:w="520" w:type="dxa"/>
            <w:vAlign w:val="bottom"/>
            <w:gridSpan w:val="3"/>
          </w:tcPr>
          <w:p>
            <w:pPr>
              <w:ind w:left="40"/>
              <w:spacing w:after="0"/>
              <w:rPr>
                <w:rFonts w:ascii="Arial" w:cs="Arial" w:eastAsia="Arial" w:hAnsi="Arial"/>
                <w:sz w:val="17"/>
                <w:szCs w:val="17"/>
                <w:color w:val="0000FF"/>
              </w:rPr>
            </w:pPr>
            <w:hyperlink r:id="rId186">
              <w:r>
                <w:rPr>
                  <w:rFonts w:ascii="Arial" w:cs="Arial" w:eastAsia="Arial" w:hAnsi="Arial"/>
                  <w:sz w:val="17"/>
                  <w:szCs w:val="17"/>
                  <w:color w:val="0000FF"/>
                </w:rPr>
                <w:t>10.</w:t>
              </w:r>
              <w:r>
                <w:rPr>
                  <w:rFonts w:ascii="Arial" w:cs="Arial" w:eastAsia="Arial" w:hAnsi="Arial"/>
                  <w:sz w:val="17"/>
                  <w:szCs w:val="17"/>
                  <w:u w:val="single" w:color="auto"/>
                  <w:color w:val="0000FF"/>
                </w:rPr>
                <w:t>18</w:t>
              </w:r>
            </w:hyperlink>
          </w:p>
        </w:tc>
        <w:tc>
          <w:tcPr>
            <w:tcW w:w="600" w:type="dxa"/>
            <w:vAlign w:val="bottom"/>
          </w:tcPr>
          <w:p>
            <w:pPr>
              <w:spacing w:after="0"/>
              <w:rPr>
                <w:sz w:val="24"/>
                <w:szCs w:val="24"/>
                <w:color w:val="auto"/>
              </w:rPr>
            </w:pPr>
          </w:p>
        </w:tc>
        <w:tc>
          <w:tcPr>
            <w:tcW w:w="10120" w:type="dxa"/>
            <w:vAlign w:val="bottom"/>
            <w:gridSpan w:val="37"/>
          </w:tcPr>
          <w:p>
            <w:pPr>
              <w:spacing w:after="0"/>
              <w:rPr>
                <w:rFonts w:ascii="Arial" w:cs="Arial" w:eastAsia="Arial" w:hAnsi="Arial"/>
                <w:sz w:val="17"/>
                <w:szCs w:val="17"/>
                <w:color w:val="0000FF"/>
              </w:rPr>
            </w:pPr>
            <w:hyperlink r:id="rId186">
              <w:r>
                <w:rPr>
                  <w:rFonts w:ascii="Arial" w:cs="Arial" w:eastAsia="Arial" w:hAnsi="Arial"/>
                  <w:sz w:val="17"/>
                  <w:szCs w:val="17"/>
                  <w:color w:val="0000FF"/>
                </w:rPr>
                <w:t>Option Investments Sub-Advisory Agreement, dated November 2, 2021, by and among Brookfield Real Estate Income Trust Inc.,</w:t>
              </w:r>
            </w:hyperlink>
          </w:p>
        </w:tc>
      </w:tr>
      <w:tr>
        <w:trPr>
          <w:trHeight w:val="148"/>
        </w:trPr>
        <w:tc>
          <w:tcPr>
            <w:tcW w:w="40" w:type="dxa"/>
            <w:vAlign w:val="bottom"/>
          </w:tcPr>
          <w:p>
            <w:pPr>
              <w:spacing w:after="0"/>
              <w:rPr>
                <w:sz w:val="12"/>
                <w:szCs w:val="12"/>
                <w:color w:val="auto"/>
              </w:rPr>
            </w:pPr>
          </w:p>
        </w:tc>
        <w:tc>
          <w:tcPr>
            <w:tcW w:w="420" w:type="dxa"/>
            <w:vAlign w:val="bottom"/>
            <w:tcBorders>
              <w:top w:val="single" w:sz="8" w:color="0000FF"/>
            </w:tcBorders>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9780" w:type="dxa"/>
            <w:vAlign w:val="bottom"/>
            <w:tcBorders>
              <w:top w:val="single" w:sz="8" w:color="0000FF"/>
            </w:tcBorders>
            <w:gridSpan w:val="23"/>
          </w:tcPr>
          <w:p>
            <w:pPr>
              <w:spacing w:after="0" w:line="148" w:lineRule="exact"/>
              <w:rPr>
                <w:rFonts w:ascii="Arial" w:cs="Arial" w:eastAsia="Arial" w:hAnsi="Arial"/>
                <w:sz w:val="17"/>
                <w:szCs w:val="17"/>
                <w:color w:val="0000FF"/>
              </w:rPr>
            </w:pPr>
            <w:hyperlink r:id="rId186">
              <w:r>
                <w:rPr>
                  <w:rFonts w:ascii="Arial" w:cs="Arial" w:eastAsia="Arial" w:hAnsi="Arial"/>
                  <w:sz w:val="17"/>
                  <w:szCs w:val="17"/>
                  <w:color w:val="0000FF"/>
                </w:rPr>
                <w:t>Brookfield REIT Operating Partnership L.P., Brookfield REIT Adviser LLC and Oaktree Fund Advisors, LLC (incorporated by</w:t>
              </w:r>
            </w:hyperlink>
          </w:p>
        </w:tc>
        <w:tc>
          <w:tcPr>
            <w:tcW w:w="40" w:type="dxa"/>
            <w:vAlign w:val="bottom"/>
            <w:gridSpan w:val="2"/>
          </w:tcPr>
          <w:p>
            <w:pPr>
              <w:spacing w:after="0"/>
              <w:rPr>
                <w:sz w:val="12"/>
                <w:szCs w:val="12"/>
                <w:color w:val="auto"/>
              </w:rPr>
            </w:pPr>
          </w:p>
        </w:tc>
        <w:tc>
          <w:tcPr>
            <w:tcW w:w="220" w:type="dxa"/>
            <w:vAlign w:val="bottom"/>
            <w:gridSpan w:val="10"/>
          </w:tcPr>
          <w:p>
            <w:pPr>
              <w:spacing w:after="0"/>
              <w:rPr>
                <w:sz w:val="12"/>
                <w:szCs w:val="12"/>
                <w:color w:val="auto"/>
              </w:rPr>
            </w:pPr>
          </w:p>
        </w:tc>
        <w:tc>
          <w:tcPr>
            <w:tcW w:w="80" w:type="dxa"/>
            <w:vAlign w:val="bottom"/>
            <w:gridSpan w:val="2"/>
          </w:tcPr>
          <w:p>
            <w:pPr>
              <w:spacing w:after="0"/>
              <w:rPr>
                <w:sz w:val="12"/>
                <w:szCs w:val="12"/>
                <w:color w:val="auto"/>
              </w:rPr>
            </w:pPr>
          </w:p>
        </w:tc>
      </w:tr>
      <w:tr>
        <w:trPr>
          <w:trHeight w:val="148"/>
        </w:trPr>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000" w:type="dxa"/>
            <w:vAlign w:val="bottom"/>
            <w:tcBorders>
              <w:top w:val="single" w:sz="8" w:color="0000FF"/>
              <w:bottom w:val="single" w:sz="8" w:color="0000FF"/>
            </w:tcBorders>
            <w:gridSpan w:val="10"/>
          </w:tcPr>
          <w:p>
            <w:pPr>
              <w:spacing w:after="0" w:line="148" w:lineRule="exact"/>
              <w:rPr>
                <w:rFonts w:ascii="Arial" w:cs="Arial" w:eastAsia="Arial" w:hAnsi="Arial"/>
                <w:sz w:val="17"/>
                <w:szCs w:val="17"/>
                <w:color w:val="0000FF"/>
              </w:rPr>
            </w:pPr>
            <w:hyperlink r:id="rId186">
              <w:r>
                <w:rPr>
                  <w:rFonts w:ascii="Arial" w:cs="Arial" w:eastAsia="Arial" w:hAnsi="Arial"/>
                  <w:sz w:val="17"/>
                  <w:szCs w:val="17"/>
                  <w:color w:val="0000FF"/>
                </w:rPr>
                <w:t>reference to Exhibit 10.4 to the Registrant’s Form 8-K, filed with the SEC on June 29, 2023).</w:t>
              </w:r>
            </w:hyperlink>
          </w:p>
        </w:tc>
        <w:tc>
          <w:tcPr>
            <w:tcW w:w="2400" w:type="dxa"/>
            <w:vAlign w:val="bottom"/>
            <w:tcBorders>
              <w:top w:val="single" w:sz="8" w:color="0000FF"/>
            </w:tcBorders>
            <w:gridSpan w:val="5"/>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gridSpan w:val="2"/>
          </w:tcPr>
          <w:p>
            <w:pPr>
              <w:spacing w:after="0"/>
              <w:rPr>
                <w:sz w:val="12"/>
                <w:szCs w:val="12"/>
                <w:color w:val="auto"/>
              </w:rPr>
            </w:pPr>
          </w:p>
        </w:tc>
        <w:tc>
          <w:tcPr>
            <w:tcW w:w="240" w:type="dxa"/>
            <w:vAlign w:val="bottom"/>
            <w:gridSpan w:val="5"/>
          </w:tcPr>
          <w:p>
            <w:pPr>
              <w:spacing w:after="0"/>
              <w:rPr>
                <w:sz w:val="12"/>
                <w:szCs w:val="12"/>
                <w:color w:val="auto"/>
              </w:rPr>
            </w:pPr>
          </w:p>
        </w:tc>
        <w:tc>
          <w:tcPr>
            <w:tcW w:w="40" w:type="dxa"/>
            <w:vAlign w:val="bottom"/>
            <w:gridSpan w:val="2"/>
          </w:tcPr>
          <w:p>
            <w:pPr>
              <w:spacing w:after="0"/>
              <w:rPr>
                <w:sz w:val="12"/>
                <w:szCs w:val="12"/>
                <w:color w:val="auto"/>
              </w:rPr>
            </w:pPr>
          </w:p>
        </w:tc>
        <w:tc>
          <w:tcPr>
            <w:tcW w:w="220" w:type="dxa"/>
            <w:vAlign w:val="bottom"/>
            <w:gridSpan w:val="10"/>
          </w:tcPr>
          <w:p>
            <w:pPr>
              <w:spacing w:after="0"/>
              <w:rPr>
                <w:sz w:val="12"/>
                <w:szCs w:val="12"/>
                <w:color w:val="auto"/>
              </w:rPr>
            </w:pPr>
          </w:p>
        </w:tc>
        <w:tc>
          <w:tcPr>
            <w:tcW w:w="80" w:type="dxa"/>
            <w:vAlign w:val="bottom"/>
            <w:gridSpan w:val="2"/>
          </w:tcPr>
          <w:p>
            <w:pPr>
              <w:spacing w:after="0"/>
              <w:rPr>
                <w:sz w:val="12"/>
                <w:szCs w:val="12"/>
                <w:color w:val="auto"/>
              </w:rPr>
            </w:pPr>
          </w:p>
        </w:tc>
      </w:tr>
      <w:tr>
        <w:trPr>
          <w:trHeight w:val="315"/>
        </w:trPr>
        <w:tc>
          <w:tcPr>
            <w:tcW w:w="520" w:type="dxa"/>
            <w:vAlign w:val="bottom"/>
            <w:gridSpan w:val="3"/>
          </w:tcPr>
          <w:p>
            <w:pPr>
              <w:ind w:left="40"/>
              <w:spacing w:after="0"/>
              <w:rPr>
                <w:rFonts w:ascii="Arial" w:cs="Arial" w:eastAsia="Arial" w:hAnsi="Arial"/>
                <w:sz w:val="17"/>
                <w:szCs w:val="17"/>
                <w:color w:val="0000FF"/>
              </w:rPr>
            </w:pPr>
            <w:hyperlink r:id="rId187">
              <w:r>
                <w:rPr>
                  <w:rFonts w:ascii="Arial" w:cs="Arial" w:eastAsia="Arial" w:hAnsi="Arial"/>
                  <w:sz w:val="17"/>
                  <w:szCs w:val="17"/>
                  <w:color w:val="0000FF"/>
                </w:rPr>
                <w:t>10.</w:t>
              </w:r>
              <w:r>
                <w:rPr>
                  <w:rFonts w:ascii="Arial" w:cs="Arial" w:eastAsia="Arial" w:hAnsi="Arial"/>
                  <w:sz w:val="17"/>
                  <w:szCs w:val="17"/>
                  <w:u w:val="single" w:color="auto"/>
                  <w:color w:val="0000FF"/>
                </w:rPr>
                <w:t>19</w:t>
              </w:r>
            </w:hyperlink>
          </w:p>
        </w:tc>
        <w:tc>
          <w:tcPr>
            <w:tcW w:w="600" w:type="dxa"/>
            <w:vAlign w:val="bottom"/>
          </w:tcPr>
          <w:p>
            <w:pPr>
              <w:spacing w:after="0"/>
              <w:rPr>
                <w:sz w:val="24"/>
                <w:szCs w:val="24"/>
                <w:color w:val="auto"/>
              </w:rPr>
            </w:pPr>
          </w:p>
        </w:tc>
        <w:tc>
          <w:tcPr>
            <w:tcW w:w="10120" w:type="dxa"/>
            <w:vAlign w:val="bottom"/>
            <w:gridSpan w:val="37"/>
          </w:tcPr>
          <w:p>
            <w:pPr>
              <w:spacing w:after="0"/>
              <w:rPr>
                <w:rFonts w:ascii="Arial" w:cs="Arial" w:eastAsia="Arial" w:hAnsi="Arial"/>
                <w:sz w:val="17"/>
                <w:szCs w:val="17"/>
                <w:color w:val="0000FF"/>
              </w:rPr>
            </w:pPr>
            <w:hyperlink r:id="rId187">
              <w:r>
                <w:rPr>
                  <w:rFonts w:ascii="Arial" w:cs="Arial" w:eastAsia="Arial" w:hAnsi="Arial"/>
                  <w:sz w:val="17"/>
                  <w:szCs w:val="17"/>
                  <w:color w:val="0000FF"/>
                </w:rPr>
                <w:t>Amendment No. 1 to Option Investments Sub-Advisory Agreement, dated March 21, 2022, by and among Brookfield Real Estate</w:t>
              </w:r>
            </w:hyperlink>
          </w:p>
        </w:tc>
      </w:tr>
      <w:tr>
        <w:trPr>
          <w:trHeight w:val="148"/>
        </w:trPr>
        <w:tc>
          <w:tcPr>
            <w:tcW w:w="40" w:type="dxa"/>
            <w:vAlign w:val="bottom"/>
          </w:tcPr>
          <w:p>
            <w:pPr>
              <w:spacing w:after="0"/>
              <w:rPr>
                <w:sz w:val="12"/>
                <w:szCs w:val="12"/>
                <w:color w:val="auto"/>
              </w:rPr>
            </w:pPr>
          </w:p>
        </w:tc>
        <w:tc>
          <w:tcPr>
            <w:tcW w:w="420" w:type="dxa"/>
            <w:vAlign w:val="bottom"/>
            <w:tcBorders>
              <w:top w:val="single" w:sz="8" w:color="0000FF"/>
            </w:tcBorders>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9780" w:type="dxa"/>
            <w:vAlign w:val="bottom"/>
            <w:tcBorders>
              <w:top w:val="single" w:sz="8" w:color="0000FF"/>
            </w:tcBorders>
            <w:gridSpan w:val="23"/>
          </w:tcPr>
          <w:p>
            <w:pPr>
              <w:spacing w:after="0" w:line="148" w:lineRule="exact"/>
              <w:rPr>
                <w:rFonts w:ascii="Arial" w:cs="Arial" w:eastAsia="Arial" w:hAnsi="Arial"/>
                <w:sz w:val="17"/>
                <w:szCs w:val="17"/>
                <w:color w:val="0000FF"/>
              </w:rPr>
            </w:pPr>
            <w:hyperlink r:id="rId187">
              <w:r>
                <w:rPr>
                  <w:rFonts w:ascii="Arial" w:cs="Arial" w:eastAsia="Arial" w:hAnsi="Arial"/>
                  <w:sz w:val="17"/>
                  <w:szCs w:val="17"/>
                  <w:color w:val="0000FF"/>
                </w:rPr>
                <w:t>Income Trust Inc., Brookfield REIT Operating Partnership L.P., Brookfield REIT Adviser LLC and Oaktree Fund Advisors, LLC</w:t>
              </w:r>
            </w:hyperlink>
          </w:p>
        </w:tc>
        <w:tc>
          <w:tcPr>
            <w:tcW w:w="40" w:type="dxa"/>
            <w:vAlign w:val="bottom"/>
            <w:gridSpan w:val="2"/>
          </w:tcPr>
          <w:p>
            <w:pPr>
              <w:spacing w:after="0"/>
              <w:rPr>
                <w:sz w:val="12"/>
                <w:szCs w:val="12"/>
                <w:color w:val="auto"/>
              </w:rPr>
            </w:pPr>
          </w:p>
        </w:tc>
        <w:tc>
          <w:tcPr>
            <w:tcW w:w="220" w:type="dxa"/>
            <w:vAlign w:val="bottom"/>
            <w:gridSpan w:val="10"/>
          </w:tcPr>
          <w:p>
            <w:pPr>
              <w:spacing w:after="0"/>
              <w:rPr>
                <w:sz w:val="12"/>
                <w:szCs w:val="12"/>
                <w:color w:val="auto"/>
              </w:rPr>
            </w:pPr>
          </w:p>
        </w:tc>
        <w:tc>
          <w:tcPr>
            <w:tcW w:w="80" w:type="dxa"/>
            <w:vAlign w:val="bottom"/>
            <w:gridSpan w:val="2"/>
          </w:tcPr>
          <w:p>
            <w:pPr>
              <w:spacing w:after="0"/>
              <w:rPr>
                <w:sz w:val="12"/>
                <w:szCs w:val="12"/>
                <w:color w:val="auto"/>
              </w:rPr>
            </w:pPr>
          </w:p>
        </w:tc>
      </w:tr>
      <w:tr>
        <w:trPr>
          <w:trHeight w:val="148"/>
        </w:trPr>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9540" w:type="dxa"/>
            <w:vAlign w:val="bottom"/>
            <w:tcBorders>
              <w:top w:val="single" w:sz="8" w:color="0000FF"/>
            </w:tcBorders>
            <w:gridSpan w:val="18"/>
          </w:tcPr>
          <w:p>
            <w:pPr>
              <w:spacing w:after="0" w:line="148" w:lineRule="exact"/>
              <w:rPr>
                <w:rFonts w:ascii="Arial" w:cs="Arial" w:eastAsia="Arial" w:hAnsi="Arial"/>
                <w:sz w:val="17"/>
                <w:szCs w:val="17"/>
                <w:color w:val="0000FF"/>
              </w:rPr>
            </w:pPr>
            <w:hyperlink r:id="rId187">
              <w:r>
                <w:rPr>
                  <w:rFonts w:ascii="Arial" w:cs="Arial" w:eastAsia="Arial" w:hAnsi="Arial"/>
                  <w:sz w:val="17"/>
                  <w:szCs w:val="17"/>
                  <w:color w:val="0000FF"/>
                </w:rPr>
                <w:t>(incorporated by reference to Exhibit 10.5 to the Registrant’s Form 8-K, filed with the SEC on June 29, 2023).</w:t>
              </w:r>
            </w:hyperlink>
          </w:p>
        </w:tc>
        <w:tc>
          <w:tcPr>
            <w:tcW w:w="280" w:type="dxa"/>
            <w:vAlign w:val="bottom"/>
            <w:gridSpan w:val="7"/>
          </w:tcPr>
          <w:p>
            <w:pPr>
              <w:spacing w:after="0"/>
              <w:rPr>
                <w:sz w:val="12"/>
                <w:szCs w:val="12"/>
                <w:color w:val="auto"/>
              </w:rPr>
            </w:pPr>
          </w:p>
        </w:tc>
        <w:tc>
          <w:tcPr>
            <w:tcW w:w="220" w:type="dxa"/>
            <w:vAlign w:val="bottom"/>
            <w:gridSpan w:val="10"/>
          </w:tcPr>
          <w:p>
            <w:pPr>
              <w:spacing w:after="0"/>
              <w:rPr>
                <w:sz w:val="12"/>
                <w:szCs w:val="12"/>
                <w:color w:val="auto"/>
              </w:rPr>
            </w:pPr>
          </w:p>
        </w:tc>
        <w:tc>
          <w:tcPr>
            <w:tcW w:w="80" w:type="dxa"/>
            <w:vAlign w:val="bottom"/>
            <w:gridSpan w:val="2"/>
          </w:tcPr>
          <w:p>
            <w:pPr>
              <w:spacing w:after="0"/>
              <w:rPr>
                <w:sz w:val="12"/>
                <w:szCs w:val="12"/>
                <w:color w:val="auto"/>
              </w:rPr>
            </w:pPr>
          </w:p>
        </w:tc>
      </w:tr>
      <w:tr>
        <w:trPr>
          <w:trHeight w:val="20"/>
        </w:trPr>
        <w:tc>
          <w:tcPr>
            <w:tcW w:w="520" w:type="dxa"/>
            <w:vAlign w:val="bottom"/>
            <w:gridSpan w:val="3"/>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7780" w:type="dxa"/>
            <w:vAlign w:val="bottom"/>
            <w:gridSpan w:val="10"/>
            <w:shd w:val="clear" w:color="auto" w:fill="0000FF"/>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40" w:type="dxa"/>
            <w:vAlign w:val="bottom"/>
            <w:gridSpan w:val="9"/>
          </w:tcPr>
          <w:p>
            <w:pPr>
              <w:spacing w:after="0" w:line="20" w:lineRule="exact"/>
              <w:rPr>
                <w:sz w:val="1"/>
                <w:szCs w:val="1"/>
                <w:color w:val="auto"/>
              </w:rPr>
            </w:pPr>
          </w:p>
        </w:tc>
        <w:tc>
          <w:tcPr>
            <w:tcW w:w="220" w:type="dxa"/>
            <w:vAlign w:val="bottom"/>
            <w:gridSpan w:val="10"/>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315"/>
        </w:trPr>
        <w:tc>
          <w:tcPr>
            <w:tcW w:w="520" w:type="dxa"/>
            <w:vAlign w:val="bottom"/>
            <w:gridSpan w:val="3"/>
          </w:tcPr>
          <w:p>
            <w:pPr>
              <w:ind w:left="40"/>
              <w:spacing w:after="0"/>
              <w:rPr>
                <w:rFonts w:ascii="Arial" w:cs="Arial" w:eastAsia="Arial" w:hAnsi="Arial"/>
                <w:sz w:val="17"/>
                <w:szCs w:val="17"/>
                <w:color w:val="0000FF"/>
              </w:rPr>
            </w:pPr>
            <w:hyperlink r:id="rId188">
              <w:r>
                <w:rPr>
                  <w:rFonts w:ascii="Arial" w:cs="Arial" w:eastAsia="Arial" w:hAnsi="Arial"/>
                  <w:sz w:val="17"/>
                  <w:szCs w:val="17"/>
                  <w:color w:val="0000FF"/>
                </w:rPr>
                <w:t>10.</w:t>
              </w:r>
              <w:r>
                <w:rPr>
                  <w:rFonts w:ascii="Arial" w:cs="Arial" w:eastAsia="Arial" w:hAnsi="Arial"/>
                  <w:sz w:val="17"/>
                  <w:szCs w:val="17"/>
                  <w:u w:val="single" w:color="auto"/>
                  <w:color w:val="0000FF"/>
                </w:rPr>
                <w:t>20</w:t>
              </w:r>
            </w:hyperlink>
          </w:p>
        </w:tc>
        <w:tc>
          <w:tcPr>
            <w:tcW w:w="600" w:type="dxa"/>
            <w:vAlign w:val="bottom"/>
          </w:tcPr>
          <w:p>
            <w:pPr>
              <w:spacing w:after="0"/>
              <w:rPr>
                <w:sz w:val="24"/>
                <w:szCs w:val="24"/>
                <w:color w:val="auto"/>
              </w:rPr>
            </w:pPr>
          </w:p>
        </w:tc>
        <w:tc>
          <w:tcPr>
            <w:tcW w:w="10120" w:type="dxa"/>
            <w:vAlign w:val="bottom"/>
            <w:gridSpan w:val="37"/>
          </w:tcPr>
          <w:p>
            <w:pPr>
              <w:spacing w:after="0"/>
              <w:rPr>
                <w:rFonts w:ascii="Arial" w:cs="Arial" w:eastAsia="Arial" w:hAnsi="Arial"/>
                <w:sz w:val="17"/>
                <w:szCs w:val="17"/>
                <w:color w:val="0000FF"/>
              </w:rPr>
            </w:pPr>
            <w:hyperlink r:id="rId188">
              <w:r>
                <w:rPr>
                  <w:rFonts w:ascii="Arial" w:cs="Arial" w:eastAsia="Arial" w:hAnsi="Arial"/>
                  <w:sz w:val="17"/>
                  <w:szCs w:val="17"/>
                  <w:color w:val="0000FF"/>
                </w:rPr>
                <w:t>Option Investments Purchase Agreement, dated November 2, 2021, by and among Brookfield Real Estate Income Trust Inc.,</w:t>
              </w:r>
            </w:hyperlink>
          </w:p>
        </w:tc>
      </w:tr>
      <w:tr>
        <w:trPr>
          <w:trHeight w:val="148"/>
        </w:trPr>
        <w:tc>
          <w:tcPr>
            <w:tcW w:w="40" w:type="dxa"/>
            <w:vAlign w:val="bottom"/>
          </w:tcPr>
          <w:p>
            <w:pPr>
              <w:spacing w:after="0"/>
              <w:rPr>
                <w:sz w:val="12"/>
                <w:szCs w:val="12"/>
                <w:color w:val="auto"/>
              </w:rPr>
            </w:pPr>
          </w:p>
        </w:tc>
        <w:tc>
          <w:tcPr>
            <w:tcW w:w="420" w:type="dxa"/>
            <w:vAlign w:val="bottom"/>
            <w:tcBorders>
              <w:top w:val="single" w:sz="8" w:color="0000FF"/>
            </w:tcBorders>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9480" w:type="dxa"/>
            <w:vAlign w:val="bottom"/>
            <w:tcBorders>
              <w:top w:val="single" w:sz="8" w:color="0000FF"/>
            </w:tcBorders>
            <w:gridSpan w:val="16"/>
          </w:tcPr>
          <w:p>
            <w:pPr>
              <w:spacing w:after="0" w:line="148" w:lineRule="exact"/>
              <w:rPr>
                <w:rFonts w:ascii="Arial" w:cs="Arial" w:eastAsia="Arial" w:hAnsi="Arial"/>
                <w:sz w:val="17"/>
                <w:szCs w:val="17"/>
                <w:color w:val="0000FF"/>
              </w:rPr>
            </w:pPr>
            <w:hyperlink r:id="rId188">
              <w:r>
                <w:rPr>
                  <w:rFonts w:ascii="Arial" w:cs="Arial" w:eastAsia="Arial" w:hAnsi="Arial"/>
                  <w:sz w:val="17"/>
                  <w:szCs w:val="17"/>
                  <w:color w:val="0000FF"/>
                </w:rPr>
                <w:t>Brookfield REIT Operating Partnership L.P., Brookfield REIT Adviser LLC, and Oaktree Fund Advisors, LLC incorporated by</w:t>
              </w:r>
            </w:hyperlink>
          </w:p>
        </w:tc>
        <w:tc>
          <w:tcPr>
            <w:tcW w:w="340" w:type="dxa"/>
            <w:vAlign w:val="bottom"/>
            <w:gridSpan w:val="9"/>
          </w:tcPr>
          <w:p>
            <w:pPr>
              <w:spacing w:after="0"/>
              <w:rPr>
                <w:sz w:val="12"/>
                <w:szCs w:val="12"/>
                <w:color w:val="auto"/>
              </w:rPr>
            </w:pPr>
          </w:p>
        </w:tc>
        <w:tc>
          <w:tcPr>
            <w:tcW w:w="220" w:type="dxa"/>
            <w:vAlign w:val="bottom"/>
            <w:gridSpan w:val="10"/>
          </w:tcPr>
          <w:p>
            <w:pPr>
              <w:spacing w:after="0"/>
              <w:rPr>
                <w:sz w:val="12"/>
                <w:szCs w:val="12"/>
                <w:color w:val="auto"/>
              </w:rPr>
            </w:pPr>
          </w:p>
        </w:tc>
        <w:tc>
          <w:tcPr>
            <w:tcW w:w="80" w:type="dxa"/>
            <w:vAlign w:val="bottom"/>
            <w:gridSpan w:val="2"/>
          </w:tcPr>
          <w:p>
            <w:pPr>
              <w:spacing w:after="0"/>
              <w:rPr>
                <w:sz w:val="12"/>
                <w:szCs w:val="12"/>
                <w:color w:val="auto"/>
              </w:rPr>
            </w:pPr>
          </w:p>
        </w:tc>
      </w:tr>
      <w:tr>
        <w:trPr>
          <w:trHeight w:val="148"/>
        </w:trPr>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000" w:type="dxa"/>
            <w:vAlign w:val="bottom"/>
            <w:tcBorders>
              <w:top w:val="single" w:sz="8" w:color="0000FF"/>
              <w:bottom w:val="single" w:sz="8" w:color="0000FF"/>
            </w:tcBorders>
            <w:gridSpan w:val="10"/>
          </w:tcPr>
          <w:p>
            <w:pPr>
              <w:spacing w:after="0" w:line="148" w:lineRule="exact"/>
              <w:rPr>
                <w:rFonts w:ascii="Arial" w:cs="Arial" w:eastAsia="Arial" w:hAnsi="Arial"/>
                <w:sz w:val="17"/>
                <w:szCs w:val="17"/>
                <w:color w:val="0000FF"/>
              </w:rPr>
            </w:pPr>
            <w:hyperlink r:id="rId188">
              <w:r>
                <w:rPr>
                  <w:rFonts w:ascii="Arial" w:cs="Arial" w:eastAsia="Arial" w:hAnsi="Arial"/>
                  <w:sz w:val="17"/>
                  <w:szCs w:val="17"/>
                  <w:color w:val="0000FF"/>
                </w:rPr>
                <w:t>reference to Exhibit 10.6 to the Registrant’s Form 8-K, filed with the SEC on June 29, 2023).</w:t>
              </w:r>
            </w:hyperlink>
          </w:p>
        </w:tc>
        <w:tc>
          <w:tcPr>
            <w:tcW w:w="2380" w:type="dxa"/>
            <w:vAlign w:val="bottom"/>
            <w:tcBorders>
              <w:top w:val="single" w:sz="8" w:color="0000FF"/>
            </w:tcBorders>
            <w:gridSpan w:val="4"/>
          </w:tcPr>
          <w:p>
            <w:pPr>
              <w:spacing w:after="0"/>
              <w:rPr>
                <w:sz w:val="12"/>
                <w:szCs w:val="12"/>
                <w:color w:val="auto"/>
              </w:rPr>
            </w:pPr>
          </w:p>
        </w:tc>
        <w:tc>
          <w:tcPr>
            <w:tcW w:w="440" w:type="dxa"/>
            <w:vAlign w:val="bottom"/>
            <w:gridSpan w:val="11"/>
          </w:tcPr>
          <w:p>
            <w:pPr>
              <w:spacing w:after="0"/>
              <w:rPr>
                <w:sz w:val="12"/>
                <w:szCs w:val="12"/>
                <w:color w:val="auto"/>
              </w:rPr>
            </w:pPr>
          </w:p>
        </w:tc>
        <w:tc>
          <w:tcPr>
            <w:tcW w:w="220" w:type="dxa"/>
            <w:vAlign w:val="bottom"/>
            <w:gridSpan w:val="10"/>
          </w:tcPr>
          <w:p>
            <w:pPr>
              <w:spacing w:after="0"/>
              <w:rPr>
                <w:sz w:val="12"/>
                <w:szCs w:val="12"/>
                <w:color w:val="auto"/>
              </w:rPr>
            </w:pPr>
          </w:p>
        </w:tc>
        <w:tc>
          <w:tcPr>
            <w:tcW w:w="80" w:type="dxa"/>
            <w:vAlign w:val="bottom"/>
            <w:gridSpan w:val="2"/>
          </w:tcPr>
          <w:p>
            <w:pPr>
              <w:spacing w:after="0"/>
              <w:rPr>
                <w:sz w:val="12"/>
                <w:szCs w:val="12"/>
                <w:color w:val="auto"/>
              </w:rPr>
            </w:pPr>
          </w:p>
        </w:tc>
      </w:tr>
      <w:tr>
        <w:trPr>
          <w:trHeight w:val="315"/>
        </w:trPr>
        <w:tc>
          <w:tcPr>
            <w:tcW w:w="520" w:type="dxa"/>
            <w:vAlign w:val="bottom"/>
            <w:gridSpan w:val="3"/>
          </w:tcPr>
          <w:p>
            <w:pPr>
              <w:ind w:left="40"/>
              <w:spacing w:after="0"/>
              <w:rPr>
                <w:rFonts w:ascii="Arial" w:cs="Arial" w:eastAsia="Arial" w:hAnsi="Arial"/>
                <w:sz w:val="17"/>
                <w:szCs w:val="17"/>
                <w:color w:val="0000FF"/>
              </w:rPr>
            </w:pPr>
            <w:hyperlink r:id="rId189">
              <w:r>
                <w:rPr>
                  <w:rFonts w:ascii="Arial" w:cs="Arial" w:eastAsia="Arial" w:hAnsi="Arial"/>
                  <w:sz w:val="17"/>
                  <w:szCs w:val="17"/>
                  <w:color w:val="0000FF"/>
                </w:rPr>
                <w:t>10.</w:t>
              </w:r>
              <w:r>
                <w:rPr>
                  <w:rFonts w:ascii="Arial" w:cs="Arial" w:eastAsia="Arial" w:hAnsi="Arial"/>
                  <w:sz w:val="17"/>
                  <w:szCs w:val="17"/>
                  <w:u w:val="single" w:color="auto"/>
                  <w:color w:val="0000FF"/>
                </w:rPr>
                <w:t>21</w:t>
              </w:r>
            </w:hyperlink>
          </w:p>
        </w:tc>
        <w:tc>
          <w:tcPr>
            <w:tcW w:w="600" w:type="dxa"/>
            <w:vAlign w:val="bottom"/>
          </w:tcPr>
          <w:p>
            <w:pPr>
              <w:spacing w:after="0"/>
              <w:rPr>
                <w:sz w:val="24"/>
                <w:szCs w:val="24"/>
                <w:color w:val="auto"/>
              </w:rPr>
            </w:pPr>
          </w:p>
        </w:tc>
        <w:tc>
          <w:tcPr>
            <w:tcW w:w="10120" w:type="dxa"/>
            <w:vAlign w:val="bottom"/>
            <w:gridSpan w:val="37"/>
          </w:tcPr>
          <w:p>
            <w:pPr>
              <w:spacing w:after="0"/>
              <w:rPr>
                <w:rFonts w:ascii="Arial" w:cs="Arial" w:eastAsia="Arial" w:hAnsi="Arial"/>
                <w:sz w:val="17"/>
                <w:szCs w:val="17"/>
                <w:color w:val="0000FF"/>
              </w:rPr>
            </w:pPr>
            <w:hyperlink r:id="rId189">
              <w:r>
                <w:rPr>
                  <w:rFonts w:ascii="Arial" w:cs="Arial" w:eastAsia="Arial" w:hAnsi="Arial"/>
                  <w:sz w:val="17"/>
                  <w:szCs w:val="17"/>
                  <w:color w:val="0000FF"/>
                </w:rPr>
                <w:t>Uncommitted Unsecured Line of Credit, dated November 2, 2021, by and between Brookfield US Holdings Inc. and Brookfield REIT</w:t>
              </w:r>
            </w:hyperlink>
          </w:p>
        </w:tc>
      </w:tr>
      <w:tr>
        <w:trPr>
          <w:trHeight w:val="148"/>
        </w:trPr>
        <w:tc>
          <w:tcPr>
            <w:tcW w:w="40" w:type="dxa"/>
            <w:vAlign w:val="bottom"/>
          </w:tcPr>
          <w:p>
            <w:pPr>
              <w:spacing w:after="0"/>
              <w:rPr>
                <w:sz w:val="12"/>
                <w:szCs w:val="12"/>
                <w:color w:val="auto"/>
              </w:rPr>
            </w:pPr>
          </w:p>
        </w:tc>
        <w:tc>
          <w:tcPr>
            <w:tcW w:w="420" w:type="dxa"/>
            <w:vAlign w:val="bottom"/>
            <w:tcBorders>
              <w:top w:val="single" w:sz="8" w:color="0000FF"/>
            </w:tcBorders>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40" w:type="dxa"/>
            <w:vAlign w:val="bottom"/>
            <w:tcBorders>
              <w:top w:val="single" w:sz="8" w:color="0000FF"/>
            </w:tcBorders>
            <w:gridSpan w:val="35"/>
          </w:tcPr>
          <w:p>
            <w:pPr>
              <w:spacing w:after="0" w:line="148" w:lineRule="exact"/>
              <w:rPr>
                <w:rFonts w:ascii="Arial" w:cs="Arial" w:eastAsia="Arial" w:hAnsi="Arial"/>
                <w:sz w:val="17"/>
                <w:szCs w:val="17"/>
                <w:color w:val="0000FF"/>
              </w:rPr>
            </w:pPr>
            <w:hyperlink r:id="rId189">
              <w:r>
                <w:rPr>
                  <w:rFonts w:ascii="Arial" w:cs="Arial" w:eastAsia="Arial" w:hAnsi="Arial"/>
                  <w:sz w:val="17"/>
                  <w:szCs w:val="17"/>
                  <w:color w:val="0000FF"/>
                </w:rPr>
                <w:t>Operating Partnership L.P. (incorporated by reference to Exhibit 10.7 to the Registrant’s Form 8-K, filed with the SEC on June 29,</w:t>
              </w:r>
            </w:hyperlink>
          </w:p>
        </w:tc>
        <w:tc>
          <w:tcPr>
            <w:tcW w:w="80" w:type="dxa"/>
            <w:vAlign w:val="bottom"/>
            <w:gridSpan w:val="2"/>
          </w:tcPr>
          <w:p>
            <w:pPr>
              <w:spacing w:after="0"/>
              <w:rPr>
                <w:sz w:val="12"/>
                <w:szCs w:val="12"/>
                <w:color w:val="auto"/>
              </w:rPr>
            </w:pPr>
          </w:p>
        </w:tc>
      </w:tr>
      <w:tr>
        <w:trPr>
          <w:trHeight w:val="148"/>
        </w:trPr>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00" w:type="dxa"/>
            <w:vAlign w:val="bottom"/>
            <w:tcBorders>
              <w:top w:val="single" w:sz="8" w:color="0000FF"/>
              <w:bottom w:val="single" w:sz="8" w:color="0000FF"/>
            </w:tcBorders>
          </w:tcPr>
          <w:p>
            <w:pPr>
              <w:spacing w:after="0" w:line="148" w:lineRule="exact"/>
              <w:rPr>
                <w:rFonts w:ascii="Arial" w:cs="Arial" w:eastAsia="Arial" w:hAnsi="Arial"/>
                <w:sz w:val="17"/>
                <w:szCs w:val="17"/>
                <w:color w:val="0000FF"/>
                <w:w w:val="99"/>
              </w:rPr>
            </w:pPr>
            <w:hyperlink r:id="rId189">
              <w:r>
                <w:rPr>
                  <w:rFonts w:ascii="Arial" w:cs="Arial" w:eastAsia="Arial" w:hAnsi="Arial"/>
                  <w:sz w:val="17"/>
                  <w:szCs w:val="17"/>
                  <w:color w:val="0000FF"/>
                  <w:w w:val="99"/>
                </w:rPr>
                <w:t>2023).</w:t>
              </w:r>
            </w:hyperlink>
          </w:p>
        </w:tc>
        <w:tc>
          <w:tcPr>
            <w:tcW w:w="20" w:type="dxa"/>
            <w:vAlign w:val="bottom"/>
            <w:tcBorders>
              <w:top w:val="single" w:sz="8" w:color="0000FF"/>
            </w:tcBorders>
          </w:tcPr>
          <w:p>
            <w:pPr>
              <w:spacing w:after="0"/>
              <w:rPr>
                <w:sz w:val="12"/>
                <w:szCs w:val="12"/>
                <w:color w:val="auto"/>
              </w:rPr>
            </w:pPr>
          </w:p>
        </w:tc>
        <w:tc>
          <w:tcPr>
            <w:tcW w:w="260" w:type="dxa"/>
            <w:vAlign w:val="bottom"/>
            <w:tcBorders>
              <w:top w:val="single" w:sz="8" w:color="0000FF"/>
            </w:tcBorders>
          </w:tcPr>
          <w:p>
            <w:pPr>
              <w:spacing w:after="0"/>
              <w:rPr>
                <w:sz w:val="12"/>
                <w:szCs w:val="12"/>
                <w:color w:val="auto"/>
              </w:rPr>
            </w:pPr>
          </w:p>
        </w:tc>
        <w:tc>
          <w:tcPr>
            <w:tcW w:w="74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1400" w:type="dxa"/>
            <w:vAlign w:val="bottom"/>
            <w:tcBorders>
              <w:top w:val="single" w:sz="8" w:color="0000FF"/>
            </w:tcBorders>
          </w:tcPr>
          <w:p>
            <w:pPr>
              <w:spacing w:after="0"/>
              <w:rPr>
                <w:sz w:val="12"/>
                <w:szCs w:val="12"/>
                <w:color w:val="auto"/>
              </w:rPr>
            </w:pPr>
          </w:p>
        </w:tc>
        <w:tc>
          <w:tcPr>
            <w:tcW w:w="420" w:type="dxa"/>
            <w:vAlign w:val="bottom"/>
            <w:tcBorders>
              <w:top w:val="single" w:sz="8" w:color="0000FF"/>
            </w:tcBorders>
          </w:tcPr>
          <w:p>
            <w:pPr>
              <w:spacing w:after="0"/>
              <w:rPr>
                <w:sz w:val="12"/>
                <w:szCs w:val="12"/>
                <w:color w:val="auto"/>
              </w:rPr>
            </w:pPr>
          </w:p>
        </w:tc>
        <w:tc>
          <w:tcPr>
            <w:tcW w:w="1180" w:type="dxa"/>
            <w:vAlign w:val="bottom"/>
            <w:tcBorders>
              <w:top w:val="single" w:sz="8" w:color="0000FF"/>
            </w:tcBorders>
          </w:tcPr>
          <w:p>
            <w:pPr>
              <w:spacing w:after="0"/>
              <w:rPr>
                <w:sz w:val="12"/>
                <w:szCs w:val="12"/>
                <w:color w:val="auto"/>
              </w:rPr>
            </w:pPr>
          </w:p>
        </w:tc>
        <w:tc>
          <w:tcPr>
            <w:tcW w:w="860" w:type="dxa"/>
            <w:vAlign w:val="bottom"/>
            <w:tcBorders>
              <w:top w:val="single" w:sz="8" w:color="0000FF"/>
            </w:tcBorders>
          </w:tcPr>
          <w:p>
            <w:pPr>
              <w:spacing w:after="0"/>
              <w:rPr>
                <w:sz w:val="12"/>
                <w:szCs w:val="12"/>
                <w:color w:val="auto"/>
              </w:rPr>
            </w:pPr>
          </w:p>
        </w:tc>
        <w:tc>
          <w:tcPr>
            <w:tcW w:w="1540" w:type="dxa"/>
            <w:vAlign w:val="bottom"/>
            <w:tcBorders>
              <w:top w:val="single" w:sz="8" w:color="0000FF"/>
            </w:tcBorders>
          </w:tcPr>
          <w:p>
            <w:pPr>
              <w:spacing w:after="0"/>
              <w:rPr>
                <w:sz w:val="12"/>
                <w:szCs w:val="12"/>
                <w:color w:val="auto"/>
              </w:rPr>
            </w:pPr>
          </w:p>
        </w:tc>
        <w:tc>
          <w:tcPr>
            <w:tcW w:w="1280" w:type="dxa"/>
            <w:vAlign w:val="bottom"/>
            <w:tcBorders>
              <w:top w:val="single" w:sz="8" w:color="0000FF"/>
            </w:tcBorders>
          </w:tcPr>
          <w:p>
            <w:pPr>
              <w:spacing w:after="0"/>
              <w:rPr>
                <w:sz w:val="12"/>
                <w:szCs w:val="12"/>
                <w:color w:val="auto"/>
              </w:rPr>
            </w:pPr>
          </w:p>
        </w:tc>
        <w:tc>
          <w:tcPr>
            <w:tcW w:w="760" w:type="dxa"/>
            <w:vAlign w:val="bottom"/>
            <w:tcBorders>
              <w:top w:val="single" w:sz="8" w:color="0000FF"/>
            </w:tcBorders>
          </w:tcPr>
          <w:p>
            <w:pPr>
              <w:spacing w:after="0"/>
              <w:rPr>
                <w:sz w:val="12"/>
                <w:szCs w:val="12"/>
                <w:color w:val="auto"/>
              </w:rPr>
            </w:pPr>
          </w:p>
        </w:tc>
        <w:tc>
          <w:tcPr>
            <w:tcW w:w="3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1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936"/>
        </w:trPr>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460" w:type="dxa"/>
            <w:vAlign w:val="bottom"/>
            <w:gridSpan w:val="9"/>
          </w:tcPr>
          <w:p>
            <w:pPr>
              <w:ind w:left="4360"/>
              <w:spacing w:after="0"/>
              <w:rPr>
                <w:sz w:val="20"/>
                <w:szCs w:val="20"/>
                <w:color w:val="auto"/>
              </w:rPr>
            </w:pPr>
            <w:r>
              <w:rPr>
                <w:rFonts w:ascii="Arial" w:cs="Arial" w:eastAsia="Arial" w:hAnsi="Arial"/>
                <w:sz w:val="17"/>
                <w:szCs w:val="17"/>
                <w:color w:val="auto"/>
              </w:rPr>
              <w:t>129</w:t>
            </w:r>
          </w:p>
        </w:tc>
        <w:tc>
          <w:tcPr>
            <w:tcW w:w="15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06"/>
        </w:trPr>
        <w:tc>
          <w:tcPr>
            <w:tcW w:w="4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600" w:type="dxa"/>
            <w:vAlign w:val="bottom"/>
            <w:tcBorders>
              <w:bottom w:val="single" w:sz="8" w:color="9A9A9A"/>
            </w:tcBorders>
          </w:tcPr>
          <w:p>
            <w:pPr>
              <w:spacing w:after="0"/>
              <w:rPr>
                <w:sz w:val="9"/>
                <w:szCs w:val="9"/>
                <w:color w:val="auto"/>
              </w:rPr>
            </w:pPr>
          </w:p>
        </w:tc>
        <w:tc>
          <w:tcPr>
            <w:tcW w:w="5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7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40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1180" w:type="dxa"/>
            <w:vAlign w:val="bottom"/>
            <w:tcBorders>
              <w:bottom w:val="single" w:sz="8" w:color="9A9A9A"/>
            </w:tcBorders>
          </w:tcPr>
          <w:p>
            <w:pPr>
              <w:spacing w:after="0"/>
              <w:rPr>
                <w:sz w:val="9"/>
                <w:szCs w:val="9"/>
                <w:color w:val="auto"/>
              </w:rPr>
            </w:pPr>
          </w:p>
        </w:tc>
        <w:tc>
          <w:tcPr>
            <w:tcW w:w="860" w:type="dxa"/>
            <w:vAlign w:val="bottom"/>
            <w:tcBorders>
              <w:bottom w:val="single" w:sz="8" w:color="9A9A9A"/>
            </w:tcBorders>
          </w:tcPr>
          <w:p>
            <w:pPr>
              <w:spacing w:after="0"/>
              <w:rPr>
                <w:sz w:val="9"/>
                <w:szCs w:val="9"/>
                <w:color w:val="auto"/>
              </w:rPr>
            </w:pPr>
          </w:p>
        </w:tc>
        <w:tc>
          <w:tcPr>
            <w:tcW w:w="1540" w:type="dxa"/>
            <w:vAlign w:val="bottom"/>
            <w:tcBorders>
              <w:bottom w:val="single" w:sz="8" w:color="9A9A9A"/>
            </w:tcBorders>
          </w:tcPr>
          <w:p>
            <w:pPr>
              <w:spacing w:after="0"/>
              <w:rPr>
                <w:sz w:val="9"/>
                <w:szCs w:val="9"/>
                <w:color w:val="auto"/>
              </w:rPr>
            </w:pPr>
          </w:p>
        </w:tc>
        <w:tc>
          <w:tcPr>
            <w:tcW w:w="1280" w:type="dxa"/>
            <w:vAlign w:val="bottom"/>
            <w:tcBorders>
              <w:bottom w:val="single" w:sz="8" w:color="9A9A9A"/>
            </w:tcBorders>
          </w:tcPr>
          <w:p>
            <w:pPr>
              <w:spacing w:after="0"/>
              <w:rPr>
                <w:sz w:val="9"/>
                <w:szCs w:val="9"/>
                <w:color w:val="auto"/>
              </w:rPr>
            </w:pPr>
          </w:p>
        </w:tc>
        <w:tc>
          <w:tcPr>
            <w:tcW w:w="76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90">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91">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975" w:right="339" w:bottom="1440" w:gutter="0" w:footer="0" w:header="0"/>
        </w:sectPr>
      </w:pPr>
    </w:p>
    <w:bookmarkStart w:id="129" w:name="page130"/>
    <w:bookmarkEnd w:id="129"/>
    <w:tbl>
      <w:tblPr>
        <w:tblLayout w:type="fixed"/>
        <w:tblInd w:w="40" w:type="dxa"/>
        <w:tblCellMar>
          <w:top w:w="0" w:type="dxa"/>
          <w:left w:w="0" w:type="dxa"/>
          <w:bottom w:w="0" w:type="dxa"/>
          <w:right w:w="0" w:type="dxa"/>
        </w:tblCellMar>
      </w:tblPr>
      <w:tr>
        <w:trPr>
          <w:trHeight w:val="195"/>
        </w:trPr>
        <w:tc>
          <w:tcPr>
            <w:tcW w:w="480" w:type="dxa"/>
            <w:vAlign w:val="bottom"/>
            <w:gridSpan w:val="2"/>
          </w:tcPr>
          <w:p>
            <w:pPr>
              <w:spacing w:after="0"/>
              <w:rPr>
                <w:rFonts w:ascii="Arial" w:cs="Arial" w:eastAsia="Arial" w:hAnsi="Arial"/>
                <w:sz w:val="17"/>
                <w:szCs w:val="17"/>
                <w:color w:val="0000FF"/>
              </w:rPr>
            </w:pPr>
            <w:hyperlink r:id="rId192">
              <w:r>
                <w:rPr>
                  <w:rFonts w:ascii="Arial" w:cs="Arial" w:eastAsia="Arial" w:hAnsi="Arial"/>
                  <w:sz w:val="17"/>
                  <w:szCs w:val="17"/>
                  <w:color w:val="0000FF"/>
                </w:rPr>
                <w:t>10.</w:t>
              </w:r>
              <w:r>
                <w:rPr>
                  <w:rFonts w:ascii="Arial" w:cs="Arial" w:eastAsia="Arial" w:hAnsi="Arial"/>
                  <w:sz w:val="17"/>
                  <w:szCs w:val="17"/>
                  <w:u w:val="single" w:color="auto"/>
                  <w:color w:val="0000FF"/>
                </w:rPr>
                <w:t>22</w:t>
              </w:r>
            </w:hyperlink>
          </w:p>
        </w:tc>
        <w:tc>
          <w:tcPr>
            <w:tcW w:w="600" w:type="dxa"/>
            <w:vAlign w:val="bottom"/>
          </w:tcPr>
          <w:p>
            <w:pPr>
              <w:spacing w:after="0"/>
              <w:rPr>
                <w:sz w:val="16"/>
                <w:szCs w:val="16"/>
                <w:color w:val="auto"/>
              </w:rPr>
            </w:pPr>
          </w:p>
        </w:tc>
        <w:tc>
          <w:tcPr>
            <w:tcW w:w="10040" w:type="dxa"/>
            <w:vAlign w:val="bottom"/>
            <w:gridSpan w:val="17"/>
          </w:tcPr>
          <w:p>
            <w:pPr>
              <w:spacing w:after="0"/>
              <w:rPr>
                <w:rFonts w:ascii="Arial" w:cs="Arial" w:eastAsia="Arial" w:hAnsi="Arial"/>
                <w:sz w:val="17"/>
                <w:szCs w:val="17"/>
                <w:color w:val="0000FF"/>
              </w:rPr>
            </w:pPr>
            <w:hyperlink r:id="rId192">
              <w:r>
                <w:rPr>
                  <w:rFonts w:ascii="Arial" w:cs="Arial" w:eastAsia="Arial" w:hAnsi="Arial"/>
                  <w:sz w:val="17"/>
                  <w:szCs w:val="17"/>
                  <w:color w:val="0000FF"/>
                </w:rPr>
                <w:t>First Amendment to Uncommitted Unsecured Line of Credit, dated November 10, 2022, but effective as of November 2, 2022, by</w:t>
              </w:r>
            </w:hyperlink>
          </w:p>
        </w:tc>
        <w:tc>
          <w:tcPr>
            <w:tcW w:w="0" w:type="dxa"/>
            <w:vAlign w:val="bottom"/>
          </w:tcPr>
          <w:p>
            <w:pPr>
              <w:spacing w:after="0"/>
              <w:rPr>
                <w:sz w:val="1"/>
                <w:szCs w:val="1"/>
                <w:color w:val="auto"/>
              </w:rPr>
            </w:pPr>
          </w:p>
        </w:tc>
      </w:tr>
      <w:tr>
        <w:trPr>
          <w:trHeight w:val="148"/>
        </w:trPr>
        <w:tc>
          <w:tcPr>
            <w:tcW w:w="320" w:type="dxa"/>
            <w:vAlign w:val="bottom"/>
            <w:tcBorders>
              <w:top w:val="single" w:sz="8" w:color="0000FF"/>
            </w:tcBorders>
          </w:tcPr>
          <w:p>
            <w:pPr>
              <w:spacing w:after="0"/>
              <w:rPr>
                <w:sz w:val="12"/>
                <w:szCs w:val="12"/>
                <w:color w:val="auto"/>
              </w:rPr>
            </w:pPr>
          </w:p>
        </w:tc>
        <w:tc>
          <w:tcPr>
            <w:tcW w:w="160" w:type="dxa"/>
            <w:vAlign w:val="bottom"/>
            <w:tcBorders>
              <w:top w:val="single" w:sz="8" w:color="0000FF"/>
            </w:tcBorders>
          </w:tcPr>
          <w:p>
            <w:pPr>
              <w:spacing w:after="0"/>
              <w:rPr>
                <w:sz w:val="12"/>
                <w:szCs w:val="12"/>
                <w:color w:val="auto"/>
              </w:rPr>
            </w:pPr>
          </w:p>
        </w:tc>
        <w:tc>
          <w:tcPr>
            <w:tcW w:w="600" w:type="dxa"/>
            <w:vAlign w:val="bottom"/>
          </w:tcPr>
          <w:p>
            <w:pPr>
              <w:spacing w:after="0"/>
              <w:rPr>
                <w:sz w:val="12"/>
                <w:szCs w:val="12"/>
                <w:color w:val="auto"/>
              </w:rPr>
            </w:pPr>
          </w:p>
        </w:tc>
        <w:tc>
          <w:tcPr>
            <w:tcW w:w="9780" w:type="dxa"/>
            <w:vAlign w:val="bottom"/>
            <w:tcBorders>
              <w:top w:val="single" w:sz="8" w:color="0000FF"/>
            </w:tcBorders>
            <w:gridSpan w:val="11"/>
          </w:tcPr>
          <w:p>
            <w:pPr>
              <w:spacing w:after="0" w:line="148" w:lineRule="exact"/>
              <w:rPr>
                <w:rFonts w:ascii="Arial" w:cs="Arial" w:eastAsia="Arial" w:hAnsi="Arial"/>
                <w:sz w:val="17"/>
                <w:szCs w:val="17"/>
                <w:color w:val="0000FF"/>
              </w:rPr>
            </w:pPr>
            <w:hyperlink r:id="rId192">
              <w:r>
                <w:rPr>
                  <w:rFonts w:ascii="Arial" w:cs="Arial" w:eastAsia="Arial" w:hAnsi="Arial"/>
                  <w:sz w:val="17"/>
                  <w:szCs w:val="17"/>
                  <w:color w:val="0000FF"/>
                </w:rPr>
                <w:t>and among Brookfield Corporate Treasury Limited, Brookfield REIT Operating Partnership L.P., and Brookfield US Holdings Inc</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9640" w:type="dxa"/>
            <w:vAlign w:val="bottom"/>
            <w:tcBorders>
              <w:top w:val="single" w:sz="8" w:color="0000FF"/>
            </w:tcBorders>
            <w:gridSpan w:val="9"/>
          </w:tcPr>
          <w:p>
            <w:pPr>
              <w:spacing w:after="0" w:line="148" w:lineRule="exact"/>
              <w:rPr>
                <w:rFonts w:ascii="Arial" w:cs="Arial" w:eastAsia="Arial" w:hAnsi="Arial"/>
                <w:sz w:val="17"/>
                <w:szCs w:val="17"/>
                <w:color w:val="0000FF"/>
              </w:rPr>
            </w:pPr>
            <w:hyperlink r:id="rId192">
              <w:r>
                <w:rPr>
                  <w:rFonts w:ascii="Arial" w:cs="Arial" w:eastAsia="Arial" w:hAnsi="Arial"/>
                  <w:sz w:val="17"/>
                  <w:szCs w:val="17"/>
                  <w:color w:val="0000FF"/>
                </w:rPr>
                <w:t>(incorporated by reference to Exhibit 10.7 to the Registrant’s Form 8-K, filed with the SEC on June 29, 2023).</w:t>
              </w:r>
            </w:hyperlink>
          </w:p>
        </w:tc>
        <w:tc>
          <w:tcPr>
            <w:tcW w:w="60" w:type="dxa"/>
            <w:vAlign w:val="bottom"/>
          </w:tcPr>
          <w:p>
            <w:pPr>
              <w:spacing w:after="0"/>
              <w:rPr>
                <w:sz w:val="12"/>
                <w:szCs w:val="12"/>
                <w:color w:val="auto"/>
              </w:rPr>
            </w:pPr>
          </w:p>
        </w:tc>
        <w:tc>
          <w:tcPr>
            <w:tcW w:w="10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940" w:type="dxa"/>
            <w:vAlign w:val="bottom"/>
            <w:shd w:val="clear" w:color="auto" w:fill="0000FF"/>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6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4"/>
        </w:trPr>
        <w:tc>
          <w:tcPr>
            <w:tcW w:w="1080" w:type="dxa"/>
            <w:vAlign w:val="bottom"/>
            <w:gridSpan w:val="3"/>
          </w:tcPr>
          <w:p>
            <w:pPr>
              <w:spacing w:after="0"/>
              <w:rPr>
                <w:rFonts w:ascii="Arial" w:cs="Arial" w:eastAsia="Arial" w:hAnsi="Arial"/>
                <w:sz w:val="17"/>
                <w:szCs w:val="17"/>
                <w:color w:val="0000FF"/>
              </w:rPr>
            </w:pPr>
            <w:hyperlink r:id="rId193">
              <w:r>
                <w:rPr>
                  <w:rFonts w:ascii="Arial" w:cs="Arial" w:eastAsia="Arial" w:hAnsi="Arial"/>
                  <w:sz w:val="17"/>
                  <w:szCs w:val="17"/>
                  <w:color w:val="0000FF"/>
                </w:rPr>
                <w:t>10.</w:t>
              </w:r>
              <w:r>
                <w:rPr>
                  <w:rFonts w:ascii="Arial" w:cs="Arial" w:eastAsia="Arial" w:hAnsi="Arial"/>
                  <w:sz w:val="17"/>
                  <w:szCs w:val="17"/>
                  <w:u w:val="single" w:color="auto"/>
                  <w:color w:val="0000FF"/>
                </w:rPr>
                <w:t>23*</w:t>
              </w:r>
            </w:hyperlink>
          </w:p>
        </w:tc>
        <w:tc>
          <w:tcPr>
            <w:tcW w:w="10040" w:type="dxa"/>
            <w:vAlign w:val="bottom"/>
            <w:gridSpan w:val="17"/>
          </w:tcPr>
          <w:p>
            <w:pPr>
              <w:spacing w:after="0"/>
              <w:rPr>
                <w:rFonts w:ascii="Arial" w:cs="Arial" w:eastAsia="Arial" w:hAnsi="Arial"/>
                <w:sz w:val="17"/>
                <w:szCs w:val="17"/>
                <w:color w:val="0000FF"/>
              </w:rPr>
            </w:pPr>
            <w:hyperlink r:id="rId193">
              <w:r>
                <w:rPr>
                  <w:rFonts w:ascii="Arial" w:cs="Arial" w:eastAsia="Arial" w:hAnsi="Arial"/>
                  <w:sz w:val="17"/>
                  <w:szCs w:val="17"/>
                  <w:color w:val="0000FF"/>
                </w:rPr>
                <w:t>Brookfield Oaktree Holdings, LLC Amended and Restated Long-Term Incentive Plan (incorporated by reference to Exhibit 10.26 to</w:t>
              </w:r>
            </w:hyperlink>
          </w:p>
        </w:tc>
        <w:tc>
          <w:tcPr>
            <w:tcW w:w="0" w:type="dxa"/>
            <w:vAlign w:val="bottom"/>
          </w:tcPr>
          <w:p>
            <w:pPr>
              <w:spacing w:after="0"/>
              <w:rPr>
                <w:sz w:val="1"/>
                <w:szCs w:val="1"/>
                <w:color w:val="auto"/>
              </w:rPr>
            </w:pPr>
          </w:p>
        </w:tc>
      </w:tr>
      <w:tr>
        <w:trPr>
          <w:trHeight w:val="20"/>
        </w:trPr>
        <w:tc>
          <w:tcPr>
            <w:tcW w:w="320" w:type="dxa"/>
            <w:vAlign w:val="bottom"/>
            <w:tcBorders>
              <w:top w:val="single" w:sz="8" w:color="0000FF"/>
            </w:tcBorders>
            <w:shd w:val="clear" w:color="auto" w:fill="0000FF"/>
          </w:tcPr>
          <w:p>
            <w:pPr>
              <w:spacing w:after="0" w:line="20" w:lineRule="exact"/>
              <w:rPr>
                <w:sz w:val="1"/>
                <w:szCs w:val="1"/>
                <w:color w:val="auto"/>
              </w:rPr>
            </w:pPr>
          </w:p>
        </w:tc>
        <w:tc>
          <w:tcPr>
            <w:tcW w:w="160" w:type="dxa"/>
            <w:vAlign w:val="bottom"/>
            <w:tcBorders>
              <w:top w:val="single" w:sz="8" w:color="0000FF"/>
              <w:right w:val="single" w:sz="8" w:color="0000FF"/>
            </w:tcBorders>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900" w:type="dxa"/>
            <w:vAlign w:val="bottom"/>
            <w:tcBorders>
              <w:top w:val="single" w:sz="8" w:color="0000FF"/>
            </w:tcBorders>
            <w:gridSpan w:val="14"/>
            <w:vMerge w:val="restart"/>
          </w:tcPr>
          <w:p>
            <w:pPr>
              <w:spacing w:after="0" w:line="148" w:lineRule="exact"/>
              <w:rPr>
                <w:rFonts w:ascii="Arial" w:cs="Arial" w:eastAsia="Arial" w:hAnsi="Arial"/>
                <w:sz w:val="17"/>
                <w:szCs w:val="17"/>
                <w:color w:val="0000FF"/>
              </w:rPr>
            </w:pPr>
            <w:hyperlink r:id="rId193">
              <w:r>
                <w:rPr>
                  <w:rFonts w:ascii="Arial" w:cs="Arial" w:eastAsia="Arial" w:hAnsi="Arial"/>
                  <w:sz w:val="17"/>
                  <w:szCs w:val="17"/>
                  <w:color w:val="0000FF"/>
                </w:rPr>
                <w:t>the Registrant’s Annual Report on Form 10-K for the year ended December 31, 2023, filed with the SEC on March 21, 2024).</w:t>
              </w:r>
            </w:hyperlink>
          </w:p>
        </w:tc>
        <w:tc>
          <w:tcPr>
            <w:tcW w:w="6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1080" w:type="dxa"/>
            <w:vAlign w:val="bottom"/>
            <w:gridSpan w:val="3"/>
            <w:vMerge w:val="restart"/>
          </w:tcPr>
          <w:p>
            <w:pPr>
              <w:spacing w:after="0"/>
              <w:rPr>
                <w:rFonts w:ascii="Arial" w:cs="Arial" w:eastAsia="Arial" w:hAnsi="Arial"/>
                <w:sz w:val="17"/>
                <w:szCs w:val="17"/>
                <w:color w:val="0000FF"/>
              </w:rPr>
            </w:pPr>
            <w:hyperlink r:id="rId194">
              <w:r>
                <w:rPr>
                  <w:rFonts w:ascii="Arial" w:cs="Arial" w:eastAsia="Arial" w:hAnsi="Arial"/>
                  <w:sz w:val="17"/>
                  <w:szCs w:val="17"/>
                  <w:color w:val="0000FF"/>
                </w:rPr>
                <w:t>10.</w:t>
              </w:r>
              <w:r>
                <w:rPr>
                  <w:rFonts w:ascii="Arial" w:cs="Arial" w:eastAsia="Arial" w:hAnsi="Arial"/>
                  <w:sz w:val="17"/>
                  <w:szCs w:val="17"/>
                  <w:u w:val="single" w:color="auto"/>
                  <w:color w:val="0000FF"/>
                </w:rPr>
                <w:t>24*</w:t>
              </w:r>
            </w:hyperlink>
          </w:p>
        </w:tc>
        <w:tc>
          <w:tcPr>
            <w:tcW w:w="9900" w:type="dxa"/>
            <w:vAlign w:val="bottom"/>
            <w:gridSpan w:val="14"/>
            <w:vMerge w:val="continue"/>
          </w:tcPr>
          <w:p>
            <w:pPr>
              <w:spacing w:after="0"/>
              <w:rPr>
                <w:sz w:val="11"/>
                <w:szCs w:val="11"/>
                <w:color w:val="auto"/>
              </w:rPr>
            </w:pPr>
          </w:p>
        </w:tc>
        <w:tc>
          <w:tcPr>
            <w:tcW w:w="60" w:type="dxa"/>
            <w:vAlign w:val="bottom"/>
            <w:vMerge w:val="continue"/>
          </w:tcPr>
          <w:p>
            <w:pPr>
              <w:spacing w:after="0"/>
              <w:rPr>
                <w:sz w:val="11"/>
                <w:szCs w:val="11"/>
                <w:color w:val="auto"/>
              </w:rPr>
            </w:pPr>
          </w:p>
        </w:tc>
        <w:tc>
          <w:tcPr>
            <w:tcW w:w="60" w:type="dxa"/>
            <w:vAlign w:val="bottom"/>
            <w:vMerge w:val="continue"/>
          </w:tcPr>
          <w:p>
            <w:pPr>
              <w:spacing w:after="0"/>
              <w:rPr>
                <w:sz w:val="11"/>
                <w:szCs w:val="11"/>
                <w:color w:val="auto"/>
              </w:rPr>
            </w:pPr>
          </w:p>
        </w:tc>
        <w:tc>
          <w:tcPr>
            <w:tcW w:w="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080" w:type="dxa"/>
            <w:vAlign w:val="bottom"/>
            <w:gridSpan w:val="3"/>
            <w:vMerge w:val="continue"/>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940" w:type="dxa"/>
            <w:vAlign w:val="bottom"/>
            <w:shd w:val="clear" w:color="auto" w:fill="0000FF"/>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60" w:type="dxa"/>
            <w:vAlign w:val="bottom"/>
            <w:shd w:val="clear" w:color="auto" w:fill="0000FF"/>
          </w:tcPr>
          <w:p>
            <w:pPr>
              <w:spacing w:after="0" w:line="20" w:lineRule="exact"/>
              <w:rPr>
                <w:sz w:val="1"/>
                <w:szCs w:val="1"/>
                <w:color w:val="auto"/>
              </w:rPr>
            </w:pPr>
          </w:p>
        </w:tc>
        <w:tc>
          <w:tcPr>
            <w:tcW w:w="1740" w:type="dxa"/>
            <w:vAlign w:val="bottom"/>
            <w:gridSpan w:val="2"/>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1"/>
        </w:trPr>
        <w:tc>
          <w:tcPr>
            <w:tcW w:w="1080" w:type="dxa"/>
            <w:vAlign w:val="bottom"/>
            <w:gridSpan w:val="3"/>
            <w:vMerge w:val="continue"/>
          </w:tcPr>
          <w:p>
            <w:pPr>
              <w:spacing w:after="0"/>
              <w:rPr>
                <w:sz w:val="24"/>
                <w:szCs w:val="24"/>
                <w:color w:val="auto"/>
              </w:rPr>
            </w:pPr>
          </w:p>
        </w:tc>
        <w:tc>
          <w:tcPr>
            <w:tcW w:w="10040" w:type="dxa"/>
            <w:vAlign w:val="bottom"/>
            <w:gridSpan w:val="17"/>
          </w:tcPr>
          <w:p>
            <w:pPr>
              <w:spacing w:after="0"/>
              <w:rPr>
                <w:sz w:val="20"/>
                <w:szCs w:val="20"/>
                <w:color w:val="auto"/>
              </w:rPr>
            </w:pPr>
            <w:r>
              <w:rPr>
                <w:rFonts w:ascii="Arial" w:cs="Arial" w:eastAsia="Arial" w:hAnsi="Arial"/>
                <w:sz w:val="17"/>
                <w:szCs w:val="17"/>
                <w:color w:val="0000FF"/>
              </w:rPr>
              <w:t>Form of Award Agreement under the Oaktree Capital Group, LLC Long-Term Incentive Plan (incorporated by reference to Exhibit</w:t>
            </w:r>
          </w:p>
        </w:tc>
        <w:tc>
          <w:tcPr>
            <w:tcW w:w="0" w:type="dxa"/>
            <w:vAlign w:val="bottom"/>
          </w:tcPr>
          <w:p>
            <w:pPr>
              <w:spacing w:after="0"/>
              <w:rPr>
                <w:sz w:val="1"/>
                <w:szCs w:val="1"/>
                <w:color w:val="auto"/>
              </w:rPr>
            </w:pPr>
          </w:p>
        </w:tc>
      </w:tr>
      <w:tr>
        <w:trPr>
          <w:trHeight w:val="180"/>
        </w:trPr>
        <w:tc>
          <w:tcPr>
            <w:tcW w:w="320" w:type="dxa"/>
            <w:vAlign w:val="bottom"/>
            <w:tcBorders>
              <w:top w:val="single" w:sz="8" w:color="0000FF"/>
            </w:tcBorders>
          </w:tcPr>
          <w:p>
            <w:pPr>
              <w:spacing w:after="0"/>
              <w:rPr>
                <w:sz w:val="15"/>
                <w:szCs w:val="15"/>
                <w:color w:val="auto"/>
              </w:rPr>
            </w:pPr>
          </w:p>
        </w:tc>
        <w:tc>
          <w:tcPr>
            <w:tcW w:w="160" w:type="dxa"/>
            <w:vAlign w:val="bottom"/>
            <w:tcBorders>
              <w:top w:val="single" w:sz="8" w:color="0000FF"/>
            </w:tcBorders>
          </w:tcPr>
          <w:p>
            <w:pPr>
              <w:spacing w:after="0"/>
              <w:rPr>
                <w:sz w:val="15"/>
                <w:szCs w:val="15"/>
                <w:color w:val="auto"/>
              </w:rPr>
            </w:pPr>
          </w:p>
        </w:tc>
        <w:tc>
          <w:tcPr>
            <w:tcW w:w="600" w:type="dxa"/>
            <w:vAlign w:val="bottom"/>
          </w:tcPr>
          <w:p>
            <w:pPr>
              <w:spacing w:after="0"/>
              <w:rPr>
                <w:sz w:val="15"/>
                <w:szCs w:val="15"/>
                <w:color w:val="auto"/>
              </w:rPr>
            </w:pPr>
          </w:p>
        </w:tc>
        <w:tc>
          <w:tcPr>
            <w:tcW w:w="9800" w:type="dxa"/>
            <w:vAlign w:val="bottom"/>
            <w:tcBorders>
              <w:top w:val="single" w:sz="8" w:color="0000FF"/>
              <w:bottom w:val="single" w:sz="8" w:color="0000FF"/>
            </w:tcBorders>
            <w:gridSpan w:val="12"/>
          </w:tcPr>
          <w:p>
            <w:pPr>
              <w:spacing w:after="0" w:line="180" w:lineRule="exact"/>
              <w:rPr>
                <w:rFonts w:ascii="Arial" w:cs="Arial" w:eastAsia="Arial" w:hAnsi="Arial"/>
                <w:sz w:val="17"/>
                <w:szCs w:val="17"/>
                <w:color w:val="0000FF"/>
              </w:rPr>
            </w:pPr>
            <w:hyperlink r:id="rId194">
              <w:r>
                <w:rPr>
                  <w:rFonts w:ascii="Arial" w:cs="Arial" w:eastAsia="Arial" w:hAnsi="Arial"/>
                  <w:sz w:val="17"/>
                  <w:szCs w:val="17"/>
                  <w:color w:val="0000FF"/>
                </w:rPr>
                <w:t>10.</w:t>
              </w:r>
              <w:r>
                <w:rPr>
                  <w:rFonts w:ascii="Arial" w:cs="Arial" w:eastAsia="Arial" w:hAnsi="Arial"/>
                  <w:sz w:val="17"/>
                  <w:szCs w:val="17"/>
                  <w:u w:val="single" w:color="auto"/>
                  <w:color w:val="0000FF"/>
                </w:rPr>
                <w:t>21</w:t>
              </w:r>
              <w:r>
                <w:rPr>
                  <w:rFonts w:ascii="Arial" w:cs="Arial" w:eastAsia="Arial" w:hAnsi="Arial"/>
                  <w:sz w:val="17"/>
                  <w:szCs w:val="17"/>
                  <w:color w:val="0000FF"/>
                </w:rPr>
                <w:t xml:space="preserve"> to the Registrant's Annual Report on Form 10-K for the year ended December 31, 2020, filed with the SEC on February 26,</w:t>
              </w:r>
            </w:hyperlink>
          </w:p>
        </w:tc>
        <w:tc>
          <w:tcPr>
            <w:tcW w:w="20" w:type="dxa"/>
            <w:vAlign w:val="bottom"/>
            <w:tcBorders>
              <w:bottom w:val="single" w:sz="8" w:color="0000FF"/>
            </w:tcBorders>
          </w:tcPr>
          <w:p>
            <w:pPr>
              <w:spacing w:after="0"/>
              <w:rPr>
                <w:sz w:val="15"/>
                <w:szCs w:val="15"/>
                <w:color w:val="auto"/>
              </w:rPr>
            </w:pPr>
          </w:p>
        </w:tc>
        <w:tc>
          <w:tcPr>
            <w:tcW w:w="140" w:type="dxa"/>
            <w:vAlign w:val="bottom"/>
            <w:gridSpan w:val="2"/>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00" w:type="dxa"/>
            <w:vAlign w:val="bottom"/>
            <w:tcBorders>
              <w:bottom w:val="single" w:sz="8" w:color="0000FF"/>
            </w:tcBorders>
          </w:tcPr>
          <w:p>
            <w:pPr>
              <w:spacing w:after="0" w:line="173" w:lineRule="exact"/>
              <w:rPr>
                <w:rFonts w:ascii="Arial" w:cs="Arial" w:eastAsia="Arial" w:hAnsi="Arial"/>
                <w:sz w:val="17"/>
                <w:szCs w:val="17"/>
                <w:color w:val="0000FF"/>
                <w:w w:val="99"/>
              </w:rPr>
            </w:pPr>
            <w:hyperlink r:id="rId194">
              <w:r>
                <w:rPr>
                  <w:rFonts w:ascii="Arial" w:cs="Arial" w:eastAsia="Arial" w:hAnsi="Arial"/>
                  <w:sz w:val="17"/>
                  <w:szCs w:val="17"/>
                  <w:color w:val="0000FF"/>
                  <w:w w:val="99"/>
                </w:rPr>
                <w:t>2021).</w:t>
              </w:r>
            </w:hyperlink>
          </w:p>
        </w:tc>
        <w:tc>
          <w:tcPr>
            <w:tcW w:w="19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28"/>
        </w:trPr>
        <w:tc>
          <w:tcPr>
            <w:tcW w:w="320" w:type="dxa"/>
            <w:vAlign w:val="bottom"/>
          </w:tcPr>
          <w:p>
            <w:pPr>
              <w:spacing w:after="0"/>
              <w:rPr>
                <w:rFonts w:ascii="Arial" w:cs="Arial" w:eastAsia="Arial" w:hAnsi="Arial"/>
                <w:sz w:val="17"/>
                <w:szCs w:val="17"/>
                <w:color w:val="0000FF"/>
                <w:w w:val="90"/>
              </w:rPr>
            </w:pPr>
            <w:hyperlink r:id="rId195">
              <w:r>
                <w:rPr>
                  <w:rFonts w:ascii="Arial" w:cs="Arial" w:eastAsia="Arial" w:hAnsi="Arial"/>
                  <w:sz w:val="17"/>
                  <w:szCs w:val="17"/>
                  <w:color w:val="0000FF"/>
                  <w:w w:val="90"/>
                </w:rPr>
                <w:t>19.</w:t>
              </w:r>
              <w:r>
                <w:rPr>
                  <w:rFonts w:ascii="Arial" w:cs="Arial" w:eastAsia="Arial" w:hAnsi="Arial"/>
                  <w:sz w:val="17"/>
                  <w:szCs w:val="17"/>
                  <w:u w:val="single" w:color="auto"/>
                  <w:color w:val="0000FF"/>
                  <w:w w:val="90"/>
                </w:rPr>
                <w:t>1</w:t>
              </w:r>
            </w:hyperlink>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40" w:type="dxa"/>
            <w:vAlign w:val="bottom"/>
            <w:gridSpan w:val="17"/>
          </w:tcPr>
          <w:p>
            <w:pPr>
              <w:spacing w:after="0"/>
              <w:rPr>
                <w:rFonts w:ascii="Arial" w:cs="Arial" w:eastAsia="Arial" w:hAnsi="Arial"/>
                <w:sz w:val="17"/>
                <w:szCs w:val="17"/>
                <w:color w:val="0000FF"/>
              </w:rPr>
            </w:pPr>
            <w:hyperlink r:id="rId195">
              <w:r>
                <w:rPr>
                  <w:rFonts w:ascii="Arial" w:cs="Arial" w:eastAsia="Arial" w:hAnsi="Arial"/>
                  <w:sz w:val="17"/>
                  <w:szCs w:val="17"/>
                  <w:color w:val="0000FF"/>
                </w:rPr>
                <w:t>Brookfield Oaktree Holdings, LLC Securities Trading Policy (incorporated by reference to Exhibit 19.1 to the Registrant’s Annual</w:t>
              </w:r>
            </w:hyperlink>
          </w:p>
        </w:tc>
        <w:tc>
          <w:tcPr>
            <w:tcW w:w="0" w:type="dxa"/>
            <w:vAlign w:val="bottom"/>
          </w:tcPr>
          <w:p>
            <w:pPr>
              <w:spacing w:after="0"/>
              <w:rPr>
                <w:sz w:val="1"/>
                <w:szCs w:val="1"/>
                <w:color w:val="auto"/>
              </w:rPr>
            </w:pPr>
          </w:p>
        </w:tc>
      </w:tr>
      <w:tr>
        <w:trPr>
          <w:trHeight w:val="148"/>
        </w:trPr>
        <w:tc>
          <w:tcPr>
            <w:tcW w:w="320" w:type="dxa"/>
            <w:vAlign w:val="bottom"/>
            <w:tcBorders>
              <w:top w:val="single" w:sz="8" w:color="0000FF"/>
            </w:tcBorders>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660" w:type="dxa"/>
            <w:vAlign w:val="bottom"/>
            <w:tcBorders>
              <w:top w:val="single" w:sz="8" w:color="0000FF"/>
              <w:bottom w:val="single" w:sz="8" w:color="0000FF"/>
            </w:tcBorders>
            <w:gridSpan w:val="5"/>
          </w:tcPr>
          <w:p>
            <w:pPr>
              <w:spacing w:after="0" w:line="148" w:lineRule="exact"/>
              <w:rPr>
                <w:rFonts w:ascii="Arial" w:cs="Arial" w:eastAsia="Arial" w:hAnsi="Arial"/>
                <w:sz w:val="17"/>
                <w:szCs w:val="17"/>
                <w:color w:val="0000FF"/>
              </w:rPr>
            </w:pPr>
            <w:hyperlink r:id="rId195">
              <w:r>
                <w:rPr>
                  <w:rFonts w:ascii="Arial" w:cs="Arial" w:eastAsia="Arial" w:hAnsi="Arial"/>
                  <w:sz w:val="17"/>
                  <w:szCs w:val="17"/>
                  <w:color w:val="0000FF"/>
                </w:rPr>
                <w:t>Report on Form 10-K for the year ended December 31, 2024, filed with the SEC on March 20, 2025).</w:t>
              </w:r>
            </w:hyperlink>
          </w:p>
        </w:tc>
        <w:tc>
          <w:tcPr>
            <w:tcW w:w="2040" w:type="dxa"/>
            <w:vAlign w:val="bottom"/>
            <w:tcBorders>
              <w:top w:val="single" w:sz="8" w:color="0000FF"/>
            </w:tcBorders>
            <w:gridSpan w:val="5"/>
          </w:tcPr>
          <w:p>
            <w:pPr>
              <w:spacing w:after="0"/>
              <w:rPr>
                <w:sz w:val="12"/>
                <w:szCs w:val="12"/>
                <w:color w:val="auto"/>
              </w:rPr>
            </w:pPr>
          </w:p>
        </w:tc>
        <w:tc>
          <w:tcPr>
            <w:tcW w:w="260" w:type="dxa"/>
            <w:vAlign w:val="bottom"/>
            <w:gridSpan w:val="5"/>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5"/>
        </w:trPr>
        <w:tc>
          <w:tcPr>
            <w:tcW w:w="320" w:type="dxa"/>
            <w:vAlign w:val="bottom"/>
          </w:tcPr>
          <w:p>
            <w:pPr>
              <w:spacing w:after="0"/>
              <w:rPr>
                <w:sz w:val="20"/>
                <w:szCs w:val="20"/>
                <w:color w:val="auto"/>
              </w:rPr>
            </w:pPr>
            <w:r>
              <w:rPr>
                <w:rFonts w:ascii="Arial" w:cs="Arial" w:eastAsia="Arial" w:hAnsi="Arial"/>
                <w:sz w:val="17"/>
                <w:szCs w:val="17"/>
                <w:color w:val="0000FF"/>
                <w:w w:val="90"/>
              </w:rPr>
              <w:t>21.</w:t>
            </w:r>
            <w:r>
              <w:rPr>
                <w:rFonts w:ascii="Arial" w:cs="Arial" w:eastAsia="Arial" w:hAnsi="Arial"/>
                <w:sz w:val="17"/>
                <w:szCs w:val="17"/>
                <w:u w:val="single" w:color="auto"/>
                <w:color w:val="0000FF"/>
                <w:w w:val="90"/>
              </w:rPr>
              <w:t>1</w:t>
            </w: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40" w:type="dxa"/>
            <w:vAlign w:val="bottom"/>
            <w:gridSpan w:val="17"/>
          </w:tcPr>
          <w:p>
            <w:pPr>
              <w:spacing w:after="0"/>
              <w:rPr>
                <w:sz w:val="20"/>
                <w:szCs w:val="20"/>
                <w:color w:val="auto"/>
              </w:rPr>
            </w:pPr>
            <w:r>
              <w:rPr>
                <w:rFonts w:ascii="Arial" w:cs="Arial" w:eastAsia="Arial" w:hAnsi="Arial"/>
                <w:sz w:val="17"/>
                <w:szCs w:val="17"/>
                <w:color w:val="0000FF"/>
              </w:rPr>
              <w:t>Subsidiaries of the Registrant. †</w:t>
            </w:r>
          </w:p>
        </w:tc>
        <w:tc>
          <w:tcPr>
            <w:tcW w:w="0" w:type="dxa"/>
            <w:vAlign w:val="bottom"/>
          </w:tcPr>
          <w:p>
            <w:pPr>
              <w:spacing w:after="0"/>
              <w:rPr>
                <w:sz w:val="1"/>
                <w:szCs w:val="1"/>
                <w:color w:val="auto"/>
              </w:rPr>
            </w:pPr>
          </w:p>
        </w:tc>
      </w:tr>
      <w:tr>
        <w:trPr>
          <w:trHeight w:val="20"/>
        </w:trPr>
        <w:tc>
          <w:tcPr>
            <w:tcW w:w="32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940" w:type="dxa"/>
            <w:vAlign w:val="bottom"/>
            <w:shd w:val="clear" w:color="auto" w:fill="0000FF"/>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2"/>
        </w:trPr>
        <w:tc>
          <w:tcPr>
            <w:tcW w:w="320" w:type="dxa"/>
            <w:vAlign w:val="bottom"/>
          </w:tcPr>
          <w:p>
            <w:pPr>
              <w:spacing w:after="0"/>
              <w:rPr>
                <w:sz w:val="20"/>
                <w:szCs w:val="20"/>
                <w:color w:val="auto"/>
              </w:rPr>
            </w:pPr>
            <w:r>
              <w:rPr>
                <w:rFonts w:ascii="Arial" w:cs="Arial" w:eastAsia="Arial" w:hAnsi="Arial"/>
                <w:sz w:val="17"/>
                <w:szCs w:val="17"/>
                <w:color w:val="0000FF"/>
                <w:w w:val="90"/>
              </w:rPr>
              <w:t>31.</w:t>
            </w:r>
            <w:r>
              <w:rPr>
                <w:rFonts w:ascii="Arial" w:cs="Arial" w:eastAsia="Arial" w:hAnsi="Arial"/>
                <w:sz w:val="17"/>
                <w:szCs w:val="17"/>
                <w:u w:val="single" w:color="auto"/>
                <w:color w:val="0000FF"/>
                <w:w w:val="90"/>
              </w:rPr>
              <w:t>1</w:t>
            </w: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40" w:type="dxa"/>
            <w:vAlign w:val="bottom"/>
            <w:gridSpan w:val="17"/>
          </w:tcPr>
          <w:p>
            <w:pPr>
              <w:spacing w:after="0"/>
              <w:rPr>
                <w:sz w:val="20"/>
                <w:szCs w:val="20"/>
                <w:color w:val="auto"/>
              </w:rPr>
            </w:pPr>
            <w:r>
              <w:rPr>
                <w:rFonts w:ascii="Arial" w:cs="Arial" w:eastAsia="Arial" w:hAnsi="Arial"/>
                <w:sz w:val="17"/>
                <w:szCs w:val="17"/>
                <w:color w:val="0000FF"/>
              </w:rPr>
              <w:t>Certification of the Principal Executive Officer pursuant to Rule 13a-14(a) or 15d-14(a) of the Exchange Act, as adopted, pursuant to</w:t>
            </w:r>
          </w:p>
        </w:tc>
        <w:tc>
          <w:tcPr>
            <w:tcW w:w="0" w:type="dxa"/>
            <w:vAlign w:val="bottom"/>
          </w:tcPr>
          <w:p>
            <w:pPr>
              <w:spacing w:after="0"/>
              <w:rPr>
                <w:sz w:val="1"/>
                <w:szCs w:val="1"/>
                <w:color w:val="auto"/>
              </w:rPr>
            </w:pPr>
          </w:p>
        </w:tc>
      </w:tr>
      <w:tr>
        <w:trPr>
          <w:trHeight w:val="148"/>
        </w:trPr>
        <w:tc>
          <w:tcPr>
            <w:tcW w:w="320" w:type="dxa"/>
            <w:vAlign w:val="bottom"/>
            <w:tcBorders>
              <w:top w:val="single" w:sz="8" w:color="0000FF"/>
            </w:tcBorders>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800" w:type="dxa"/>
            <w:vAlign w:val="bottom"/>
            <w:tcBorders>
              <w:top w:val="single" w:sz="8" w:color="0000FF"/>
              <w:bottom w:val="single" w:sz="8" w:color="0000FF"/>
            </w:tcBorders>
            <w:gridSpan w:val="4"/>
          </w:tcPr>
          <w:p>
            <w:pPr>
              <w:spacing w:after="0" w:line="148" w:lineRule="exact"/>
              <w:rPr>
                <w:sz w:val="20"/>
                <w:szCs w:val="20"/>
                <w:color w:val="auto"/>
              </w:rPr>
            </w:pPr>
            <w:r>
              <w:rPr>
                <w:rFonts w:ascii="Arial" w:cs="Arial" w:eastAsia="Arial" w:hAnsi="Arial"/>
                <w:sz w:val="17"/>
                <w:szCs w:val="17"/>
                <w:color w:val="0000FF"/>
              </w:rPr>
              <w:t>Section 302 of the Sarbanes-Oxley Act of 2002. †</w:t>
            </w:r>
          </w:p>
        </w:tc>
        <w:tc>
          <w:tcPr>
            <w:tcW w:w="6220" w:type="dxa"/>
            <w:vAlign w:val="bottom"/>
            <w:tcBorders>
              <w:top w:val="single" w:sz="8" w:color="0000FF"/>
            </w:tcBorders>
            <w:gridSpan w:val="12"/>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35"/>
        </w:trPr>
        <w:tc>
          <w:tcPr>
            <w:tcW w:w="320" w:type="dxa"/>
            <w:vAlign w:val="bottom"/>
          </w:tcPr>
          <w:p>
            <w:pPr>
              <w:spacing w:after="0"/>
              <w:rPr>
                <w:sz w:val="20"/>
                <w:szCs w:val="20"/>
                <w:color w:val="auto"/>
              </w:rPr>
            </w:pPr>
            <w:r>
              <w:rPr>
                <w:rFonts w:ascii="Arial" w:cs="Arial" w:eastAsia="Arial" w:hAnsi="Arial"/>
                <w:sz w:val="17"/>
                <w:szCs w:val="17"/>
                <w:color w:val="0000FF"/>
                <w:w w:val="90"/>
              </w:rPr>
              <w:t>31.</w:t>
            </w:r>
            <w:r>
              <w:rPr>
                <w:rFonts w:ascii="Arial" w:cs="Arial" w:eastAsia="Arial" w:hAnsi="Arial"/>
                <w:sz w:val="17"/>
                <w:szCs w:val="17"/>
                <w:u w:val="single" w:color="auto"/>
                <w:color w:val="0000FF"/>
                <w:w w:val="90"/>
              </w:rPr>
              <w:t>2</w:t>
            </w: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40" w:type="dxa"/>
            <w:vAlign w:val="bottom"/>
            <w:gridSpan w:val="17"/>
          </w:tcPr>
          <w:p>
            <w:pPr>
              <w:spacing w:after="0"/>
              <w:rPr>
                <w:sz w:val="20"/>
                <w:szCs w:val="20"/>
                <w:color w:val="auto"/>
              </w:rPr>
            </w:pPr>
            <w:r>
              <w:rPr>
                <w:rFonts w:ascii="Arial" w:cs="Arial" w:eastAsia="Arial" w:hAnsi="Arial"/>
                <w:sz w:val="17"/>
                <w:szCs w:val="17"/>
                <w:color w:val="0000FF"/>
              </w:rPr>
              <w:t>Certification of the Principal Financial Officer pursuant to Rule 13a-14(a) or 15d-14(a) of the Exchange Act, as adopted, pursuant to</w:t>
            </w:r>
          </w:p>
        </w:tc>
        <w:tc>
          <w:tcPr>
            <w:tcW w:w="0" w:type="dxa"/>
            <w:vAlign w:val="bottom"/>
          </w:tcPr>
          <w:p>
            <w:pPr>
              <w:spacing w:after="0"/>
              <w:rPr>
                <w:sz w:val="1"/>
                <w:szCs w:val="1"/>
                <w:color w:val="auto"/>
              </w:rPr>
            </w:pPr>
          </w:p>
        </w:tc>
      </w:tr>
      <w:tr>
        <w:trPr>
          <w:trHeight w:val="128"/>
        </w:trPr>
        <w:tc>
          <w:tcPr>
            <w:tcW w:w="320" w:type="dxa"/>
            <w:vAlign w:val="bottom"/>
            <w:tcBorders>
              <w:top w:val="single" w:sz="8" w:color="0000FF"/>
            </w:tcBorders>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800" w:type="dxa"/>
            <w:vAlign w:val="bottom"/>
            <w:tcBorders>
              <w:top w:val="single" w:sz="8" w:color="0000FF"/>
              <w:bottom w:val="single" w:sz="8" w:color="0000FF"/>
            </w:tcBorders>
            <w:gridSpan w:val="4"/>
          </w:tcPr>
          <w:p>
            <w:pPr>
              <w:spacing w:after="0" w:line="128" w:lineRule="exact"/>
              <w:rPr>
                <w:sz w:val="20"/>
                <w:szCs w:val="20"/>
                <w:color w:val="auto"/>
              </w:rPr>
            </w:pPr>
            <w:r>
              <w:rPr>
                <w:rFonts w:ascii="Arial" w:cs="Arial" w:eastAsia="Arial" w:hAnsi="Arial"/>
                <w:sz w:val="14"/>
                <w:szCs w:val="14"/>
                <w:color w:val="0000FF"/>
              </w:rPr>
              <w:t>Section 302 of the Sarbanes-Oxley Act of 2002. †</w:t>
            </w:r>
          </w:p>
        </w:tc>
        <w:tc>
          <w:tcPr>
            <w:tcW w:w="6160" w:type="dxa"/>
            <w:vAlign w:val="bottom"/>
            <w:tcBorders>
              <w:top w:val="single" w:sz="8" w:color="0000FF"/>
            </w:tcBorders>
            <w:gridSpan w:val="11"/>
          </w:tcPr>
          <w:p>
            <w:pPr>
              <w:spacing w:after="0"/>
              <w:rPr>
                <w:sz w:val="11"/>
                <w:szCs w:val="11"/>
                <w:color w:val="auto"/>
              </w:rPr>
            </w:pPr>
          </w:p>
        </w:tc>
        <w:tc>
          <w:tcPr>
            <w:tcW w:w="8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335"/>
        </w:trPr>
        <w:tc>
          <w:tcPr>
            <w:tcW w:w="320" w:type="dxa"/>
            <w:vAlign w:val="bottom"/>
          </w:tcPr>
          <w:p>
            <w:pPr>
              <w:spacing w:after="0"/>
              <w:rPr>
                <w:sz w:val="20"/>
                <w:szCs w:val="20"/>
                <w:color w:val="auto"/>
              </w:rPr>
            </w:pPr>
            <w:r>
              <w:rPr>
                <w:rFonts w:ascii="Arial" w:cs="Arial" w:eastAsia="Arial" w:hAnsi="Arial"/>
                <w:sz w:val="17"/>
                <w:szCs w:val="17"/>
                <w:color w:val="0000FF"/>
                <w:w w:val="90"/>
              </w:rPr>
              <w:t>32.</w:t>
            </w:r>
            <w:r>
              <w:rPr>
                <w:rFonts w:ascii="Arial" w:cs="Arial" w:eastAsia="Arial" w:hAnsi="Arial"/>
                <w:sz w:val="17"/>
                <w:szCs w:val="17"/>
                <w:u w:val="single" w:color="auto"/>
                <w:color w:val="0000FF"/>
                <w:w w:val="90"/>
              </w:rPr>
              <w:t>1</w:t>
            </w: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40" w:type="dxa"/>
            <w:vAlign w:val="bottom"/>
            <w:gridSpan w:val="17"/>
          </w:tcPr>
          <w:p>
            <w:pPr>
              <w:spacing w:after="0"/>
              <w:rPr>
                <w:sz w:val="20"/>
                <w:szCs w:val="20"/>
                <w:color w:val="auto"/>
              </w:rPr>
            </w:pPr>
            <w:r>
              <w:rPr>
                <w:rFonts w:ascii="Arial" w:cs="Arial" w:eastAsia="Arial" w:hAnsi="Arial"/>
                <w:sz w:val="17"/>
                <w:szCs w:val="17"/>
                <w:color w:val="0000FF"/>
              </w:rPr>
              <w:t>Certification of the Principal Executive Officer pursuant to 18 U.S.C. Section 1350, as adopted pursuant to section 906 of the</w:t>
            </w:r>
          </w:p>
        </w:tc>
        <w:tc>
          <w:tcPr>
            <w:tcW w:w="0" w:type="dxa"/>
            <w:vAlign w:val="bottom"/>
          </w:tcPr>
          <w:p>
            <w:pPr>
              <w:spacing w:after="0"/>
              <w:rPr>
                <w:sz w:val="1"/>
                <w:szCs w:val="1"/>
                <w:color w:val="auto"/>
              </w:rPr>
            </w:pPr>
          </w:p>
        </w:tc>
      </w:tr>
      <w:tr>
        <w:trPr>
          <w:trHeight w:val="128"/>
        </w:trPr>
        <w:tc>
          <w:tcPr>
            <w:tcW w:w="320" w:type="dxa"/>
            <w:vAlign w:val="bottom"/>
            <w:tcBorders>
              <w:top w:val="single" w:sz="8" w:color="0000FF"/>
            </w:tcBorders>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780" w:type="dxa"/>
            <w:vAlign w:val="bottom"/>
            <w:tcBorders>
              <w:top w:val="single" w:sz="8" w:color="0000FF"/>
              <w:bottom w:val="single" w:sz="8" w:color="0000FF"/>
            </w:tcBorders>
            <w:gridSpan w:val="3"/>
          </w:tcPr>
          <w:p>
            <w:pPr>
              <w:spacing w:after="0" w:line="128" w:lineRule="exact"/>
              <w:rPr>
                <w:sz w:val="20"/>
                <w:szCs w:val="20"/>
                <w:color w:val="auto"/>
              </w:rPr>
            </w:pPr>
            <w:r>
              <w:rPr>
                <w:rFonts w:ascii="Arial" w:cs="Arial" w:eastAsia="Arial" w:hAnsi="Arial"/>
                <w:sz w:val="14"/>
                <w:szCs w:val="14"/>
                <w:color w:val="0000FF"/>
              </w:rPr>
              <w:t>Sarbanes-Oxley Act of 2002 (furnished herewith).</w:t>
            </w:r>
          </w:p>
        </w:tc>
        <w:tc>
          <w:tcPr>
            <w:tcW w:w="5700" w:type="dxa"/>
            <w:vAlign w:val="bottom"/>
            <w:tcBorders>
              <w:top w:val="single" w:sz="8" w:color="0000FF"/>
            </w:tcBorders>
            <w:gridSpan w:val="5"/>
          </w:tcPr>
          <w:p>
            <w:pPr>
              <w:spacing w:after="0"/>
              <w:rPr>
                <w:sz w:val="11"/>
                <w:szCs w:val="11"/>
                <w:color w:val="auto"/>
              </w:rPr>
            </w:pPr>
          </w:p>
        </w:tc>
        <w:tc>
          <w:tcPr>
            <w:tcW w:w="560" w:type="dxa"/>
            <w:vAlign w:val="bottom"/>
            <w:gridSpan w:val="9"/>
          </w:tcPr>
          <w:p>
            <w:pPr>
              <w:spacing w:after="0"/>
              <w:rPr>
                <w:sz w:val="11"/>
                <w:szCs w:val="11"/>
                <w:color w:val="auto"/>
              </w:rPr>
            </w:pPr>
          </w:p>
        </w:tc>
        <w:tc>
          <w:tcPr>
            <w:tcW w:w="0" w:type="dxa"/>
            <w:vAlign w:val="bottom"/>
          </w:tcPr>
          <w:p>
            <w:pPr>
              <w:spacing w:after="0"/>
              <w:rPr>
                <w:sz w:val="1"/>
                <w:szCs w:val="1"/>
                <w:color w:val="auto"/>
              </w:rPr>
            </w:pPr>
          </w:p>
        </w:tc>
      </w:tr>
      <w:tr>
        <w:trPr>
          <w:trHeight w:val="335"/>
        </w:trPr>
        <w:tc>
          <w:tcPr>
            <w:tcW w:w="320" w:type="dxa"/>
            <w:vAlign w:val="bottom"/>
          </w:tcPr>
          <w:p>
            <w:pPr>
              <w:spacing w:after="0"/>
              <w:rPr>
                <w:sz w:val="20"/>
                <w:szCs w:val="20"/>
                <w:color w:val="auto"/>
              </w:rPr>
            </w:pPr>
            <w:r>
              <w:rPr>
                <w:rFonts w:ascii="Arial" w:cs="Arial" w:eastAsia="Arial" w:hAnsi="Arial"/>
                <w:sz w:val="17"/>
                <w:szCs w:val="17"/>
                <w:color w:val="0000FF"/>
                <w:w w:val="90"/>
              </w:rPr>
              <w:t>32.</w:t>
            </w:r>
            <w:r>
              <w:rPr>
                <w:rFonts w:ascii="Arial" w:cs="Arial" w:eastAsia="Arial" w:hAnsi="Arial"/>
                <w:sz w:val="17"/>
                <w:szCs w:val="17"/>
                <w:u w:val="single" w:color="auto"/>
                <w:color w:val="0000FF"/>
                <w:w w:val="90"/>
              </w:rPr>
              <w:t>2</w:t>
            </w: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40" w:type="dxa"/>
            <w:vAlign w:val="bottom"/>
            <w:gridSpan w:val="17"/>
          </w:tcPr>
          <w:p>
            <w:pPr>
              <w:spacing w:after="0"/>
              <w:rPr>
                <w:sz w:val="20"/>
                <w:szCs w:val="20"/>
                <w:color w:val="auto"/>
              </w:rPr>
            </w:pPr>
            <w:r>
              <w:rPr>
                <w:rFonts w:ascii="Arial" w:cs="Arial" w:eastAsia="Arial" w:hAnsi="Arial"/>
                <w:sz w:val="17"/>
                <w:szCs w:val="17"/>
                <w:color w:val="0000FF"/>
              </w:rPr>
              <w:t>Certification of the Principal Financial Officer pursuant to 18 U.S.C. Section 1350, as adopted pursuant to section 906 of the</w:t>
            </w:r>
          </w:p>
        </w:tc>
        <w:tc>
          <w:tcPr>
            <w:tcW w:w="0" w:type="dxa"/>
            <w:vAlign w:val="bottom"/>
          </w:tcPr>
          <w:p>
            <w:pPr>
              <w:spacing w:after="0"/>
              <w:rPr>
                <w:sz w:val="1"/>
                <w:szCs w:val="1"/>
                <w:color w:val="auto"/>
              </w:rPr>
            </w:pPr>
          </w:p>
        </w:tc>
      </w:tr>
      <w:tr>
        <w:trPr>
          <w:trHeight w:val="128"/>
        </w:trPr>
        <w:tc>
          <w:tcPr>
            <w:tcW w:w="320" w:type="dxa"/>
            <w:vAlign w:val="bottom"/>
            <w:tcBorders>
              <w:top w:val="single" w:sz="8" w:color="0000FF"/>
            </w:tcBorders>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780" w:type="dxa"/>
            <w:vAlign w:val="bottom"/>
            <w:tcBorders>
              <w:top w:val="single" w:sz="8" w:color="0000FF"/>
              <w:bottom w:val="single" w:sz="8" w:color="0000FF"/>
            </w:tcBorders>
            <w:gridSpan w:val="3"/>
          </w:tcPr>
          <w:p>
            <w:pPr>
              <w:spacing w:after="0" w:line="128" w:lineRule="exact"/>
              <w:rPr>
                <w:sz w:val="20"/>
                <w:szCs w:val="20"/>
                <w:color w:val="auto"/>
              </w:rPr>
            </w:pPr>
            <w:r>
              <w:rPr>
                <w:rFonts w:ascii="Arial" w:cs="Arial" w:eastAsia="Arial" w:hAnsi="Arial"/>
                <w:sz w:val="14"/>
                <w:szCs w:val="14"/>
                <w:color w:val="0000FF"/>
              </w:rPr>
              <w:t>Sarbanes-Oxley Act of 2002 (furnished herewith).</w:t>
            </w:r>
          </w:p>
        </w:tc>
        <w:tc>
          <w:tcPr>
            <w:tcW w:w="5620" w:type="dxa"/>
            <w:vAlign w:val="bottom"/>
            <w:tcBorders>
              <w:top w:val="single" w:sz="8" w:color="0000FF"/>
            </w:tcBorders>
            <w:gridSpan w:val="4"/>
          </w:tcPr>
          <w:p>
            <w:pPr>
              <w:spacing w:after="0"/>
              <w:rPr>
                <w:sz w:val="11"/>
                <w:szCs w:val="11"/>
                <w:color w:val="auto"/>
              </w:rPr>
            </w:pPr>
          </w:p>
        </w:tc>
        <w:tc>
          <w:tcPr>
            <w:tcW w:w="640" w:type="dxa"/>
            <w:vAlign w:val="bottom"/>
            <w:gridSpan w:val="10"/>
          </w:tcPr>
          <w:p>
            <w:pPr>
              <w:spacing w:after="0"/>
              <w:rPr>
                <w:sz w:val="11"/>
                <w:szCs w:val="11"/>
                <w:color w:val="auto"/>
              </w:rPr>
            </w:pPr>
          </w:p>
        </w:tc>
        <w:tc>
          <w:tcPr>
            <w:tcW w:w="0" w:type="dxa"/>
            <w:vAlign w:val="bottom"/>
          </w:tcPr>
          <w:p>
            <w:pPr>
              <w:spacing w:after="0"/>
              <w:rPr>
                <w:sz w:val="1"/>
                <w:szCs w:val="1"/>
                <w:color w:val="auto"/>
              </w:rPr>
            </w:pPr>
          </w:p>
        </w:tc>
      </w:tr>
    </w:tbl>
    <w:p>
      <w:pPr>
        <w:spacing w:after="0" w:line="138" w:lineRule="exact"/>
        <w:rPr>
          <w:sz w:val="20"/>
          <w:szCs w:val="20"/>
          <w:color w:val="auto"/>
        </w:rPr>
      </w:pPr>
    </w:p>
    <w:p>
      <w:pPr>
        <w:ind w:left="1120" w:hanging="1087"/>
        <w:spacing w:after="0" w:line="229" w:lineRule="auto"/>
        <w:tabs>
          <w:tab w:leader="none" w:pos="1120" w:val="left"/>
        </w:tabs>
        <w:numPr>
          <w:ilvl w:val="0"/>
          <w:numId w:val="52"/>
        </w:numPr>
        <w:rPr>
          <w:rFonts w:ascii="Arial" w:cs="Arial" w:eastAsia="Arial" w:hAnsi="Arial"/>
          <w:sz w:val="17"/>
          <w:szCs w:val="17"/>
          <w:u w:val="single" w:color="auto"/>
          <w:color w:val="0000FF"/>
        </w:rPr>
      </w:pPr>
      <w:hyperlink r:id="rId196">
        <w:r>
          <w:rPr>
            <w:rFonts w:ascii="Arial" w:cs="Arial" w:eastAsia="Arial" w:hAnsi="Arial"/>
            <w:sz w:val="17"/>
            <w:szCs w:val="17"/>
            <w:u w:val="single" w:color="auto"/>
            <w:color w:val="0000FF"/>
          </w:rPr>
          <w:t>Recovery of Incentive-Based Compensation from Executive Officers in Event of Accounting Restatement (incorporated by reference</w:t>
        </w:r>
      </w:hyperlink>
      <w:r>
        <w:rPr>
          <w:rFonts w:ascii="Arial" w:cs="Arial" w:eastAsia="Arial" w:hAnsi="Arial"/>
          <w:sz w:val="17"/>
          <w:szCs w:val="17"/>
          <w:u w:val="single" w:color="auto"/>
          <w:color w:val="0000FF"/>
        </w:rPr>
        <w:t xml:space="preserve"> </w:t>
      </w:r>
      <w:hyperlink r:id="rId196">
        <w:r>
          <w:rPr>
            <w:rFonts w:ascii="Arial" w:cs="Arial" w:eastAsia="Arial" w:hAnsi="Arial"/>
            <w:sz w:val="17"/>
            <w:szCs w:val="17"/>
            <w:u w:val="single" w:color="auto"/>
            <w:color w:val="0000FF"/>
          </w:rPr>
          <w:t>to Exhibit 97 to the Registrant’s Annual Report on Form 10-K for the year ended December 31, 2023, filed with the SEC on March</w:t>
        </w:r>
      </w:hyperlink>
      <w:r>
        <w:rPr>
          <w:rFonts w:ascii="Arial" w:cs="Arial" w:eastAsia="Arial" w:hAnsi="Arial"/>
          <w:sz w:val="17"/>
          <w:szCs w:val="17"/>
          <w:u w:val="single" w:color="auto"/>
          <w:color w:val="0000FF"/>
        </w:rPr>
        <w:t xml:space="preserve"> </w:t>
      </w:r>
      <w:hyperlink r:id="rId196">
        <w:r>
          <w:rPr>
            <w:rFonts w:ascii="Arial" w:cs="Arial" w:eastAsia="Arial" w:hAnsi="Arial"/>
            <w:sz w:val="17"/>
            <w:szCs w:val="17"/>
            <w:u w:val="single" w:color="auto"/>
            <w:color w:val="0000FF"/>
          </w:rPr>
          <w:t>21, 2024).</w:t>
        </w:r>
      </w:hyperlink>
    </w:p>
    <w:p>
      <w:pPr>
        <w:spacing w:after="0" w:line="100" w:lineRule="exact"/>
        <w:rPr>
          <w:rFonts w:ascii="Arial" w:cs="Arial" w:eastAsia="Arial" w:hAnsi="Arial"/>
          <w:sz w:val="17"/>
          <w:szCs w:val="17"/>
          <w:u w:val="single" w:color="auto"/>
          <w:color w:val="0000FF"/>
        </w:rPr>
      </w:pPr>
    </w:p>
    <w:tbl>
      <w:tblPr>
        <w:tblLayout w:type="fixed"/>
        <w:tblInd w:w="40" w:type="dxa"/>
        <w:tblCellMar>
          <w:top w:w="0" w:type="dxa"/>
          <w:left w:w="0" w:type="dxa"/>
          <w:bottom w:w="0" w:type="dxa"/>
          <w:right w:w="0" w:type="dxa"/>
        </w:tblCellMar>
      </w:tblPr>
      <w:tr>
        <w:trPr>
          <w:trHeight w:val="195"/>
        </w:trPr>
        <w:tc>
          <w:tcPr>
            <w:tcW w:w="320" w:type="dxa"/>
            <w:vAlign w:val="bottom"/>
            <w:tcBorders>
              <w:bottom w:val="single" w:sz="8" w:color="0000FF"/>
            </w:tcBorders>
          </w:tcPr>
          <w:p>
            <w:pPr>
              <w:spacing w:after="0"/>
              <w:rPr>
                <w:sz w:val="20"/>
                <w:szCs w:val="20"/>
                <w:color w:val="auto"/>
              </w:rPr>
            </w:pPr>
            <w:r>
              <w:rPr>
                <w:rFonts w:ascii="Arial" w:cs="Arial" w:eastAsia="Arial" w:hAnsi="Arial"/>
                <w:sz w:val="17"/>
                <w:szCs w:val="17"/>
                <w:color w:val="0000FF"/>
                <w:w w:val="90"/>
              </w:rPr>
              <w:t>99.</w:t>
            </w:r>
            <w:r>
              <w:rPr>
                <w:rFonts w:ascii="Arial" w:cs="Arial" w:eastAsia="Arial" w:hAnsi="Arial"/>
                <w:sz w:val="17"/>
                <w:szCs w:val="17"/>
                <w:u w:val="single" w:color="auto"/>
                <w:color w:val="0000FF"/>
                <w:w w:val="90"/>
              </w:rPr>
              <w:t>1</w:t>
            </w:r>
          </w:p>
        </w:tc>
        <w:tc>
          <w:tcPr>
            <w:tcW w:w="760" w:type="dxa"/>
            <w:vAlign w:val="bottom"/>
          </w:tcPr>
          <w:p>
            <w:pPr>
              <w:spacing w:after="0"/>
              <w:rPr>
                <w:sz w:val="16"/>
                <w:szCs w:val="16"/>
                <w:color w:val="auto"/>
              </w:rPr>
            </w:pPr>
          </w:p>
        </w:tc>
        <w:tc>
          <w:tcPr>
            <w:tcW w:w="4580" w:type="dxa"/>
            <w:vAlign w:val="bottom"/>
            <w:tcBorders>
              <w:bottom w:val="single" w:sz="8" w:color="0000FF"/>
            </w:tcBorders>
          </w:tcPr>
          <w:p>
            <w:pPr>
              <w:spacing w:after="0"/>
              <w:rPr>
                <w:sz w:val="20"/>
                <w:szCs w:val="20"/>
                <w:color w:val="auto"/>
              </w:rPr>
            </w:pPr>
            <w:r>
              <w:rPr>
                <w:rFonts w:ascii="Arial" w:cs="Arial" w:eastAsia="Arial" w:hAnsi="Arial"/>
                <w:sz w:val="17"/>
                <w:szCs w:val="17"/>
                <w:color w:val="0000FF"/>
              </w:rPr>
              <w:t>Oaktree Capital I, L.P. Consolidated Financial Statements. †</w:t>
            </w:r>
          </w:p>
        </w:tc>
        <w:tc>
          <w:tcPr>
            <w:tcW w:w="140" w:type="dxa"/>
            <w:vAlign w:val="bottom"/>
          </w:tcPr>
          <w:p>
            <w:pPr>
              <w:spacing w:after="0"/>
              <w:rPr>
                <w:sz w:val="16"/>
                <w:szCs w:val="16"/>
                <w:color w:val="auto"/>
              </w:rPr>
            </w:pPr>
          </w:p>
        </w:tc>
      </w:tr>
      <w:tr>
        <w:trPr>
          <w:trHeight w:val="343"/>
        </w:trPr>
        <w:tc>
          <w:tcPr>
            <w:tcW w:w="1080" w:type="dxa"/>
            <w:vAlign w:val="bottom"/>
            <w:gridSpan w:val="2"/>
          </w:tcPr>
          <w:p>
            <w:pPr>
              <w:spacing w:after="0"/>
              <w:rPr>
                <w:sz w:val="20"/>
                <w:szCs w:val="20"/>
                <w:color w:val="auto"/>
              </w:rPr>
            </w:pPr>
            <w:r>
              <w:rPr>
                <w:rFonts w:ascii="Arial" w:cs="Arial" w:eastAsia="Arial" w:hAnsi="Arial"/>
                <w:sz w:val="17"/>
                <w:szCs w:val="17"/>
                <w:color w:val="auto"/>
              </w:rPr>
              <w:t>101.INS</w:t>
            </w:r>
          </w:p>
        </w:tc>
        <w:tc>
          <w:tcPr>
            <w:tcW w:w="4720" w:type="dxa"/>
            <w:vAlign w:val="bottom"/>
            <w:gridSpan w:val="2"/>
          </w:tcPr>
          <w:p>
            <w:pPr>
              <w:spacing w:after="0"/>
              <w:rPr>
                <w:sz w:val="20"/>
                <w:szCs w:val="20"/>
                <w:color w:val="auto"/>
              </w:rPr>
            </w:pPr>
            <w:r>
              <w:rPr>
                <w:rFonts w:ascii="Arial" w:cs="Arial" w:eastAsia="Arial" w:hAnsi="Arial"/>
                <w:sz w:val="17"/>
                <w:szCs w:val="17"/>
                <w:color w:val="auto"/>
              </w:rPr>
              <w:t>XBRL Instance Document.</w:t>
            </w:r>
          </w:p>
        </w:tc>
      </w:tr>
      <w:tr>
        <w:trPr>
          <w:trHeight w:val="322"/>
        </w:trPr>
        <w:tc>
          <w:tcPr>
            <w:tcW w:w="1080" w:type="dxa"/>
            <w:vAlign w:val="bottom"/>
            <w:gridSpan w:val="2"/>
          </w:tcPr>
          <w:p>
            <w:pPr>
              <w:spacing w:after="0"/>
              <w:rPr>
                <w:sz w:val="20"/>
                <w:szCs w:val="20"/>
                <w:color w:val="auto"/>
              </w:rPr>
            </w:pPr>
            <w:r>
              <w:rPr>
                <w:rFonts w:ascii="Arial" w:cs="Arial" w:eastAsia="Arial" w:hAnsi="Arial"/>
                <w:sz w:val="17"/>
                <w:szCs w:val="17"/>
                <w:color w:val="auto"/>
              </w:rPr>
              <w:t>101.SCH</w:t>
            </w:r>
          </w:p>
        </w:tc>
        <w:tc>
          <w:tcPr>
            <w:tcW w:w="4720" w:type="dxa"/>
            <w:vAlign w:val="bottom"/>
            <w:gridSpan w:val="2"/>
          </w:tcPr>
          <w:p>
            <w:pPr>
              <w:spacing w:after="0"/>
              <w:rPr>
                <w:sz w:val="20"/>
                <w:szCs w:val="20"/>
                <w:color w:val="auto"/>
              </w:rPr>
            </w:pPr>
            <w:r>
              <w:rPr>
                <w:rFonts w:ascii="Arial" w:cs="Arial" w:eastAsia="Arial" w:hAnsi="Arial"/>
                <w:sz w:val="17"/>
                <w:szCs w:val="17"/>
                <w:color w:val="auto"/>
              </w:rPr>
              <w:t>XBRL Taxonomy Extension Schema Document.</w:t>
            </w:r>
          </w:p>
        </w:tc>
      </w:tr>
      <w:tr>
        <w:trPr>
          <w:trHeight w:val="322"/>
        </w:trPr>
        <w:tc>
          <w:tcPr>
            <w:tcW w:w="1080" w:type="dxa"/>
            <w:vAlign w:val="bottom"/>
            <w:gridSpan w:val="2"/>
          </w:tcPr>
          <w:p>
            <w:pPr>
              <w:spacing w:after="0"/>
              <w:rPr>
                <w:sz w:val="20"/>
                <w:szCs w:val="20"/>
                <w:color w:val="auto"/>
              </w:rPr>
            </w:pPr>
            <w:r>
              <w:rPr>
                <w:rFonts w:ascii="Arial" w:cs="Arial" w:eastAsia="Arial" w:hAnsi="Arial"/>
                <w:sz w:val="17"/>
                <w:szCs w:val="17"/>
                <w:color w:val="auto"/>
              </w:rPr>
              <w:t>101.CAL</w:t>
            </w:r>
          </w:p>
        </w:tc>
        <w:tc>
          <w:tcPr>
            <w:tcW w:w="4720" w:type="dxa"/>
            <w:vAlign w:val="bottom"/>
            <w:gridSpan w:val="2"/>
          </w:tcPr>
          <w:p>
            <w:pPr>
              <w:spacing w:after="0"/>
              <w:rPr>
                <w:sz w:val="20"/>
                <w:szCs w:val="20"/>
                <w:color w:val="auto"/>
              </w:rPr>
            </w:pPr>
            <w:r>
              <w:rPr>
                <w:rFonts w:ascii="Arial" w:cs="Arial" w:eastAsia="Arial" w:hAnsi="Arial"/>
                <w:sz w:val="17"/>
                <w:szCs w:val="17"/>
                <w:color w:val="auto"/>
              </w:rPr>
              <w:t>XBRL Taxonomy Extension Calculation Linkbase Document.</w:t>
            </w:r>
          </w:p>
        </w:tc>
      </w:tr>
      <w:tr>
        <w:trPr>
          <w:trHeight w:val="322"/>
        </w:trPr>
        <w:tc>
          <w:tcPr>
            <w:tcW w:w="1080" w:type="dxa"/>
            <w:vAlign w:val="bottom"/>
            <w:gridSpan w:val="2"/>
          </w:tcPr>
          <w:p>
            <w:pPr>
              <w:spacing w:after="0"/>
              <w:rPr>
                <w:sz w:val="20"/>
                <w:szCs w:val="20"/>
                <w:color w:val="auto"/>
              </w:rPr>
            </w:pPr>
            <w:r>
              <w:rPr>
                <w:rFonts w:ascii="Arial" w:cs="Arial" w:eastAsia="Arial" w:hAnsi="Arial"/>
                <w:sz w:val="17"/>
                <w:szCs w:val="17"/>
                <w:color w:val="auto"/>
              </w:rPr>
              <w:t>101.LAB</w:t>
            </w:r>
          </w:p>
        </w:tc>
        <w:tc>
          <w:tcPr>
            <w:tcW w:w="4720" w:type="dxa"/>
            <w:vAlign w:val="bottom"/>
            <w:gridSpan w:val="2"/>
          </w:tcPr>
          <w:p>
            <w:pPr>
              <w:spacing w:after="0"/>
              <w:rPr>
                <w:sz w:val="20"/>
                <w:szCs w:val="20"/>
                <w:color w:val="auto"/>
              </w:rPr>
            </w:pPr>
            <w:r>
              <w:rPr>
                <w:rFonts w:ascii="Arial" w:cs="Arial" w:eastAsia="Arial" w:hAnsi="Arial"/>
                <w:sz w:val="17"/>
                <w:szCs w:val="17"/>
                <w:color w:val="auto"/>
              </w:rPr>
              <w:t>XBRL Taxonomy Extension Label Linkbase Document.</w:t>
            </w:r>
          </w:p>
        </w:tc>
      </w:tr>
      <w:tr>
        <w:trPr>
          <w:trHeight w:val="322"/>
        </w:trPr>
        <w:tc>
          <w:tcPr>
            <w:tcW w:w="1080" w:type="dxa"/>
            <w:vAlign w:val="bottom"/>
            <w:gridSpan w:val="2"/>
          </w:tcPr>
          <w:p>
            <w:pPr>
              <w:spacing w:after="0"/>
              <w:rPr>
                <w:sz w:val="20"/>
                <w:szCs w:val="20"/>
                <w:color w:val="auto"/>
              </w:rPr>
            </w:pPr>
            <w:r>
              <w:rPr>
                <w:rFonts w:ascii="Arial" w:cs="Arial" w:eastAsia="Arial" w:hAnsi="Arial"/>
                <w:sz w:val="17"/>
                <w:szCs w:val="17"/>
                <w:color w:val="auto"/>
              </w:rPr>
              <w:t>101.PRE</w:t>
            </w:r>
          </w:p>
        </w:tc>
        <w:tc>
          <w:tcPr>
            <w:tcW w:w="4720" w:type="dxa"/>
            <w:vAlign w:val="bottom"/>
            <w:gridSpan w:val="2"/>
          </w:tcPr>
          <w:p>
            <w:pPr>
              <w:spacing w:after="0"/>
              <w:rPr>
                <w:sz w:val="20"/>
                <w:szCs w:val="20"/>
                <w:color w:val="auto"/>
              </w:rPr>
            </w:pPr>
            <w:r>
              <w:rPr>
                <w:rFonts w:ascii="Arial" w:cs="Arial" w:eastAsia="Arial" w:hAnsi="Arial"/>
                <w:sz w:val="17"/>
                <w:szCs w:val="17"/>
                <w:color w:val="auto"/>
              </w:rPr>
              <w:t>XBRL Taxonomy Extension Presentation Linkbase Document.</w:t>
            </w:r>
          </w:p>
        </w:tc>
      </w:tr>
      <w:tr>
        <w:trPr>
          <w:trHeight w:val="322"/>
        </w:trPr>
        <w:tc>
          <w:tcPr>
            <w:tcW w:w="1080" w:type="dxa"/>
            <w:vAlign w:val="bottom"/>
            <w:gridSpan w:val="2"/>
          </w:tcPr>
          <w:p>
            <w:pPr>
              <w:spacing w:after="0"/>
              <w:rPr>
                <w:sz w:val="20"/>
                <w:szCs w:val="20"/>
                <w:color w:val="auto"/>
              </w:rPr>
            </w:pPr>
            <w:r>
              <w:rPr>
                <w:rFonts w:ascii="Arial" w:cs="Arial" w:eastAsia="Arial" w:hAnsi="Arial"/>
                <w:sz w:val="17"/>
                <w:szCs w:val="17"/>
                <w:color w:val="auto"/>
              </w:rPr>
              <w:t>101.DEF</w:t>
            </w:r>
          </w:p>
        </w:tc>
        <w:tc>
          <w:tcPr>
            <w:tcW w:w="4720" w:type="dxa"/>
            <w:vAlign w:val="bottom"/>
            <w:gridSpan w:val="2"/>
          </w:tcPr>
          <w:p>
            <w:pPr>
              <w:spacing w:after="0"/>
              <w:rPr>
                <w:sz w:val="20"/>
                <w:szCs w:val="20"/>
                <w:color w:val="auto"/>
              </w:rPr>
            </w:pPr>
            <w:r>
              <w:rPr>
                <w:rFonts w:ascii="Arial" w:cs="Arial" w:eastAsia="Arial" w:hAnsi="Arial"/>
                <w:sz w:val="17"/>
                <w:szCs w:val="17"/>
                <w:color w:val="auto"/>
              </w:rPr>
              <w:t>XBRL Taxonomy Extension Definition Linkbase Document.</w:t>
            </w:r>
          </w:p>
        </w:tc>
      </w:tr>
    </w:tbl>
    <w:p>
      <w:pPr>
        <w:spacing w:after="0" w:line="20" w:lineRule="exact"/>
        <w:rPr>
          <w:rFonts w:ascii="Arial" w:cs="Arial" w:eastAsia="Arial" w:hAnsi="Arial"/>
          <w:sz w:val="17"/>
          <w:szCs w:val="17"/>
          <w:u w:val="single" w:color="auto"/>
          <w:color w:val="0000FF"/>
        </w:rPr>
      </w:pPr>
      <w:r>
        <w:rPr>
          <w:rFonts w:ascii="Arial" w:cs="Arial" w:eastAsia="Arial" w:hAnsi="Arial"/>
          <w:sz w:val="17"/>
          <w:szCs w:val="17"/>
          <w:u w:val="single" w:color="auto"/>
          <w:color w:val="0000FF"/>
        </w:rPr>
        <w:drawing>
          <wp:anchor simplePos="0" relativeHeight="251657728" behindDoc="1" locked="0" layoutInCell="0" allowOverlap="1">
            <wp:simplePos x="0" y="0"/>
            <wp:positionH relativeFrom="column">
              <wp:posOffset>1905</wp:posOffset>
            </wp:positionH>
            <wp:positionV relativeFrom="paragraph">
              <wp:posOffset>301625</wp:posOffset>
            </wp:positionV>
            <wp:extent cx="38481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97">
                      <a:extLst>
                        <a:ext uri="{28A0092B-C50C-407E-A947-70E740481C1C}"/>
                      </a:extLst>
                    </a:blip>
                    <a:srcRect/>
                    <a:stretch>
                      <a:fillRect/>
                    </a:stretch>
                  </pic:blipFill>
                  <pic:spPr bwMode="auto">
                    <a:xfrm>
                      <a:off x="0" y="0"/>
                      <a:ext cx="384810" cy="8255"/>
                    </a:xfrm>
                    <a:prstGeom prst="rect">
                      <a:avLst/>
                    </a:prstGeom>
                    <a:noFill/>
                  </pic:spPr>
                </pic:pic>
              </a:graphicData>
            </a:graphic>
          </wp:anchor>
        </w:drawing>
      </w:r>
    </w:p>
    <w:p>
      <w:pPr>
        <w:spacing w:after="0" w:line="200" w:lineRule="exact"/>
        <w:rPr>
          <w:rFonts w:ascii="Arial" w:cs="Arial" w:eastAsia="Arial" w:hAnsi="Arial"/>
          <w:sz w:val="17"/>
          <w:szCs w:val="17"/>
          <w:u w:val="single" w:color="auto"/>
          <w:color w:val="0000FF"/>
        </w:rPr>
      </w:pPr>
    </w:p>
    <w:p>
      <w:pPr>
        <w:spacing w:after="0" w:line="392" w:lineRule="exact"/>
        <w:rPr>
          <w:rFonts w:ascii="Arial" w:cs="Arial" w:eastAsia="Arial" w:hAnsi="Arial"/>
          <w:sz w:val="17"/>
          <w:szCs w:val="17"/>
          <w:u w:val="single" w:color="auto"/>
          <w:color w:val="0000FF"/>
        </w:rPr>
      </w:pPr>
    </w:p>
    <w:p>
      <w:pPr>
        <w:ind w:left="280" w:hanging="260"/>
        <w:spacing w:after="0"/>
        <w:tabs>
          <w:tab w:leader="none" w:pos="280" w:val="left"/>
        </w:tabs>
        <w:numPr>
          <w:ilvl w:val="0"/>
          <w:numId w:val="53"/>
        </w:numPr>
        <w:rPr>
          <w:rFonts w:ascii="Arial" w:cs="Arial" w:eastAsia="Arial" w:hAnsi="Arial"/>
          <w:sz w:val="17"/>
          <w:szCs w:val="17"/>
          <w:color w:val="auto"/>
        </w:rPr>
      </w:pPr>
      <w:r>
        <w:rPr>
          <w:rFonts w:ascii="Arial" w:cs="Arial" w:eastAsia="Arial" w:hAnsi="Arial"/>
          <w:sz w:val="17"/>
          <w:szCs w:val="17"/>
          <w:color w:val="auto"/>
        </w:rPr>
        <w:t>Management contract or compensatory plan or arrangement.</w:t>
      </w:r>
    </w:p>
    <w:p>
      <w:pPr>
        <w:spacing w:after="0" w:line="26"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7"/>
          <w:szCs w:val="17"/>
          <w:color w:val="auto"/>
        </w:rPr>
        <w:t>†  Filed herewith.</w:t>
      </w:r>
    </w:p>
    <w:p>
      <w:pPr>
        <w:spacing w:after="0" w:line="200" w:lineRule="exact"/>
        <w:rPr>
          <w:rFonts w:ascii="Arial" w:cs="Arial" w:eastAsia="Arial" w:hAnsi="Arial"/>
          <w:sz w:val="17"/>
          <w:szCs w:val="17"/>
          <w:u w:val="single" w:color="auto"/>
          <w:color w:val="0000FF"/>
        </w:rPr>
      </w:pPr>
    </w:p>
    <w:p>
      <w:pPr>
        <w:spacing w:after="0" w:line="323" w:lineRule="exact"/>
        <w:rPr>
          <w:rFonts w:ascii="Arial" w:cs="Arial" w:eastAsia="Arial" w:hAnsi="Arial"/>
          <w:sz w:val="17"/>
          <w:szCs w:val="17"/>
          <w:u w:val="single" w:color="auto"/>
          <w:color w:val="0000FF"/>
        </w:rPr>
      </w:pPr>
    </w:p>
    <w:p>
      <w:pPr>
        <w:jc w:val="center"/>
        <w:ind w:right="-99"/>
        <w:spacing w:after="0"/>
        <w:rPr>
          <w:sz w:val="20"/>
          <w:szCs w:val="20"/>
          <w:color w:val="auto"/>
        </w:rPr>
      </w:pPr>
      <w:r>
        <w:rPr>
          <w:rFonts w:ascii="Arial" w:cs="Arial" w:eastAsia="Arial" w:hAnsi="Arial"/>
          <w:sz w:val="17"/>
          <w:szCs w:val="17"/>
          <w:color w:val="auto"/>
        </w:rPr>
        <w:t>130</w:t>
      </w:r>
    </w:p>
    <w:p>
      <w:pPr>
        <w:sectPr>
          <w:pgSz w:w="11900" w:h="16838" w:orient="portrait"/>
          <w:cols w:equalWidth="0" w:num="1">
            <w:col w:w="11140"/>
          </w:cols>
          <w:pgMar w:left="320" w:top="975" w:right="439" w:bottom="1440" w:gutter="0" w:footer="0" w:header="0"/>
        </w:sectPr>
      </w:pPr>
    </w:p>
    <w:bookmarkStart w:id="130" w:name="page131"/>
    <w:bookmarkEnd w:id="130"/>
    <w:p>
      <w:pPr>
        <w:ind w:left="10140"/>
        <w:spacing w:after="0"/>
        <w:rPr>
          <w:sz w:val="20"/>
          <w:szCs w:val="20"/>
          <w:color w:val="auto"/>
        </w:rPr>
      </w:pPr>
      <w:r>
        <w:rPr>
          <w:rFonts w:ascii="Arial" w:cs="Arial" w:eastAsia="Arial" w:hAnsi="Arial"/>
          <w:sz w:val="18"/>
          <w:szCs w:val="18"/>
          <w:b w:val="1"/>
          <w:bCs w:val="1"/>
          <w:color w:val="auto"/>
        </w:rPr>
        <w:t>Exhibit 21.1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60"/>
        <w:spacing w:after="0"/>
        <w:rPr>
          <w:sz w:val="20"/>
          <w:szCs w:val="20"/>
          <w:color w:val="auto"/>
        </w:rPr>
      </w:pPr>
      <w:r>
        <w:rPr>
          <w:rFonts w:ascii="Arial" w:cs="Arial" w:eastAsia="Arial" w:hAnsi="Arial"/>
          <w:sz w:val="19"/>
          <w:szCs w:val="19"/>
          <w:b w:val="1"/>
          <w:bCs w:val="1"/>
          <w:color w:val="auto"/>
        </w:rPr>
        <w:t>List of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20" w:type="dxa"/>
            <w:vAlign w:val="bottom"/>
          </w:tcPr>
          <w:p>
            <w:pPr>
              <w:spacing w:after="0"/>
              <w:rPr>
                <w:sz w:val="21"/>
                <w:szCs w:val="21"/>
                <w:color w:val="auto"/>
              </w:rPr>
            </w:pPr>
          </w:p>
        </w:tc>
        <w:tc>
          <w:tcPr>
            <w:tcW w:w="8360" w:type="dxa"/>
            <w:vAlign w:val="bottom"/>
          </w:tcPr>
          <w:p>
            <w:pPr>
              <w:spacing w:after="0"/>
              <w:rPr>
                <w:sz w:val="21"/>
                <w:szCs w:val="21"/>
                <w:color w:val="auto"/>
              </w:rPr>
            </w:pPr>
          </w:p>
        </w:tc>
        <w:tc>
          <w:tcPr>
            <w:tcW w:w="2300" w:type="dxa"/>
            <w:vAlign w:val="bottom"/>
          </w:tcPr>
          <w:p>
            <w:pPr>
              <w:jc w:val="center"/>
              <w:spacing w:after="0"/>
              <w:rPr>
                <w:sz w:val="20"/>
                <w:szCs w:val="20"/>
                <w:color w:val="auto"/>
              </w:rPr>
            </w:pPr>
            <w:r>
              <w:rPr>
                <w:rFonts w:ascii="Arial" w:cs="Arial" w:eastAsia="Arial" w:hAnsi="Arial"/>
                <w:sz w:val="19"/>
                <w:szCs w:val="19"/>
                <w:b w:val="1"/>
                <w:bCs w:val="1"/>
                <w:color w:val="auto"/>
                <w:w w:val="99"/>
              </w:rPr>
              <w:t>Jurisdiction of</w:t>
            </w:r>
          </w:p>
        </w:tc>
        <w:tc>
          <w:tcPr>
            <w:tcW w:w="0" w:type="dxa"/>
            <w:vAlign w:val="bottom"/>
          </w:tcPr>
          <w:p>
            <w:pPr>
              <w:spacing w:after="0"/>
              <w:rPr>
                <w:sz w:val="1"/>
                <w:szCs w:val="1"/>
                <w:color w:val="auto"/>
              </w:rPr>
            </w:pPr>
          </w:p>
        </w:tc>
      </w:tr>
      <w:tr>
        <w:trPr>
          <w:trHeight w:val="232"/>
        </w:trPr>
        <w:tc>
          <w:tcPr>
            <w:tcW w:w="520" w:type="dxa"/>
            <w:vAlign w:val="bottom"/>
          </w:tcPr>
          <w:p>
            <w:pPr>
              <w:spacing w:after="0"/>
              <w:rPr>
                <w:sz w:val="20"/>
                <w:szCs w:val="20"/>
                <w:color w:val="auto"/>
              </w:rPr>
            </w:pPr>
          </w:p>
        </w:tc>
        <w:tc>
          <w:tcPr>
            <w:tcW w:w="8360" w:type="dxa"/>
            <w:vAlign w:val="bottom"/>
          </w:tcPr>
          <w:p>
            <w:pPr>
              <w:spacing w:after="0"/>
              <w:rPr>
                <w:sz w:val="20"/>
                <w:szCs w:val="20"/>
                <w:color w:val="auto"/>
              </w:rPr>
            </w:pPr>
          </w:p>
        </w:tc>
        <w:tc>
          <w:tcPr>
            <w:tcW w:w="2300" w:type="dxa"/>
            <w:vAlign w:val="bottom"/>
          </w:tcPr>
          <w:p>
            <w:pPr>
              <w:jc w:val="center"/>
              <w:spacing w:after="0"/>
              <w:rPr>
                <w:sz w:val="20"/>
                <w:szCs w:val="20"/>
                <w:color w:val="auto"/>
              </w:rPr>
            </w:pPr>
            <w:r>
              <w:rPr>
                <w:rFonts w:ascii="Arial" w:cs="Arial" w:eastAsia="Arial" w:hAnsi="Arial"/>
                <w:sz w:val="19"/>
                <w:szCs w:val="19"/>
                <w:b w:val="1"/>
                <w:bCs w:val="1"/>
                <w:color w:val="auto"/>
                <w:w w:val="99"/>
              </w:rPr>
              <w:t>Incorporation or</w:t>
            </w:r>
          </w:p>
        </w:tc>
        <w:tc>
          <w:tcPr>
            <w:tcW w:w="0" w:type="dxa"/>
            <w:vAlign w:val="bottom"/>
          </w:tcPr>
          <w:p>
            <w:pPr>
              <w:spacing w:after="0"/>
              <w:rPr>
                <w:sz w:val="1"/>
                <w:szCs w:val="1"/>
                <w:color w:val="auto"/>
              </w:rPr>
            </w:pPr>
          </w:p>
        </w:tc>
      </w:tr>
      <w:tr>
        <w:trPr>
          <w:trHeight w:val="202"/>
        </w:trPr>
        <w:tc>
          <w:tcPr>
            <w:tcW w:w="8880" w:type="dxa"/>
            <w:vAlign w:val="bottom"/>
            <w:gridSpan w:val="2"/>
          </w:tcPr>
          <w:p>
            <w:pPr>
              <w:spacing w:after="0" w:line="202" w:lineRule="exact"/>
              <w:rPr>
                <w:sz w:val="20"/>
                <w:szCs w:val="20"/>
                <w:color w:val="auto"/>
              </w:rPr>
            </w:pPr>
            <w:r>
              <w:rPr>
                <w:rFonts w:ascii="Arial" w:cs="Arial" w:eastAsia="Arial" w:hAnsi="Arial"/>
                <w:sz w:val="19"/>
                <w:szCs w:val="19"/>
                <w:b w:val="1"/>
                <w:bCs w:val="1"/>
                <w:color w:val="auto"/>
              </w:rPr>
              <w:t>Name</w:t>
            </w:r>
          </w:p>
        </w:tc>
        <w:tc>
          <w:tcPr>
            <w:tcW w:w="2300" w:type="dxa"/>
            <w:vAlign w:val="bottom"/>
          </w:tcPr>
          <w:p>
            <w:pPr>
              <w:jc w:val="center"/>
              <w:spacing w:after="0" w:line="202" w:lineRule="exact"/>
              <w:rPr>
                <w:sz w:val="20"/>
                <w:szCs w:val="20"/>
                <w:color w:val="auto"/>
              </w:rPr>
            </w:pPr>
            <w:r>
              <w:rPr>
                <w:rFonts w:ascii="Arial" w:cs="Arial" w:eastAsia="Arial" w:hAnsi="Arial"/>
                <w:sz w:val="19"/>
                <w:szCs w:val="19"/>
                <w:b w:val="1"/>
                <w:bCs w:val="1"/>
                <w:color w:val="auto"/>
                <w:w w:val="98"/>
              </w:rPr>
              <w:t>Organization</w:t>
            </w:r>
          </w:p>
        </w:tc>
        <w:tc>
          <w:tcPr>
            <w:tcW w:w="0" w:type="dxa"/>
            <w:vAlign w:val="bottom"/>
          </w:tcPr>
          <w:p>
            <w:pPr>
              <w:spacing w:after="0"/>
              <w:rPr>
                <w:sz w:val="1"/>
                <w:szCs w:val="1"/>
                <w:color w:val="auto"/>
              </w:rPr>
            </w:pPr>
          </w:p>
        </w:tc>
      </w:tr>
      <w:tr>
        <w:trPr>
          <w:trHeight w:val="20"/>
        </w:trPr>
        <w:tc>
          <w:tcPr>
            <w:tcW w:w="520" w:type="dxa"/>
            <w:vAlign w:val="bottom"/>
            <w:shd w:val="clear" w:color="auto" w:fill="000000"/>
          </w:tcPr>
          <w:p>
            <w:pPr>
              <w:spacing w:after="0" w:line="20" w:lineRule="exact"/>
              <w:rPr>
                <w:sz w:val="1"/>
                <w:szCs w:val="1"/>
                <w:color w:val="auto"/>
              </w:rPr>
            </w:pPr>
          </w:p>
        </w:tc>
        <w:tc>
          <w:tcPr>
            <w:tcW w:w="836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8880" w:type="dxa"/>
            <w:vAlign w:val="bottom"/>
            <w:gridSpan w:val="2"/>
            <w:vMerge w:val="restart"/>
          </w:tcPr>
          <w:p>
            <w:pPr>
              <w:spacing w:after="0"/>
              <w:rPr>
                <w:sz w:val="20"/>
                <w:szCs w:val="20"/>
                <w:color w:val="auto"/>
              </w:rPr>
            </w:pPr>
            <w:r>
              <w:rPr>
                <w:rFonts w:ascii="Arial" w:cs="Arial" w:eastAsia="Arial" w:hAnsi="Arial"/>
                <w:sz w:val="19"/>
                <w:szCs w:val="19"/>
                <w:color w:val="auto"/>
              </w:rPr>
              <w:t>Oaktree Capital I,L.P.</w:t>
            </w:r>
          </w:p>
        </w:tc>
        <w:tc>
          <w:tcPr>
            <w:tcW w:w="23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9"/>
        </w:trPr>
        <w:tc>
          <w:tcPr>
            <w:tcW w:w="8880" w:type="dxa"/>
            <w:vAlign w:val="bottom"/>
            <w:gridSpan w:val="2"/>
            <w:vMerge w:val="continue"/>
          </w:tcPr>
          <w:p>
            <w:pPr>
              <w:spacing w:after="0"/>
              <w:rPr>
                <w:sz w:val="22"/>
                <w:szCs w:val="22"/>
                <w:color w:val="auto"/>
              </w:rPr>
            </w:pPr>
          </w:p>
        </w:tc>
        <w:tc>
          <w:tcPr>
            <w:tcW w:w="2300" w:type="dxa"/>
            <w:vAlign w:val="bottom"/>
          </w:tcPr>
          <w:p>
            <w:pPr>
              <w:ind w:left="60"/>
              <w:spacing w:after="0"/>
              <w:rPr>
                <w:sz w:val="20"/>
                <w:szCs w:val="20"/>
                <w:color w:val="auto"/>
              </w:rPr>
            </w:pPr>
            <w:r>
              <w:rPr>
                <w:rFonts w:ascii="Arial" w:cs="Arial" w:eastAsia="Arial" w:hAnsi="Arial"/>
                <w:sz w:val="19"/>
                <w:szCs w:val="19"/>
                <w:color w:val="auto"/>
              </w:rPr>
              <w:t>USA</w:t>
            </w:r>
          </w:p>
        </w:tc>
        <w:tc>
          <w:tcPr>
            <w:tcW w:w="0" w:type="dxa"/>
            <w:vAlign w:val="bottom"/>
          </w:tcPr>
          <w:p>
            <w:pPr>
              <w:spacing w:after="0"/>
              <w:rPr>
                <w:sz w:val="1"/>
                <w:szCs w:val="1"/>
                <w:color w:val="auto"/>
              </w:rPr>
            </w:pPr>
          </w:p>
        </w:tc>
      </w:tr>
      <w:tr>
        <w:trPr>
          <w:trHeight w:val="425"/>
        </w:trPr>
        <w:tc>
          <w:tcPr>
            <w:tcW w:w="8880" w:type="dxa"/>
            <w:vAlign w:val="bottom"/>
            <w:gridSpan w:val="2"/>
          </w:tcPr>
          <w:p>
            <w:pPr>
              <w:spacing w:after="0"/>
              <w:rPr>
                <w:sz w:val="20"/>
                <w:szCs w:val="20"/>
                <w:color w:val="auto"/>
              </w:rPr>
            </w:pPr>
            <w:r>
              <w:rPr>
                <w:rFonts w:ascii="Arial" w:cs="Arial" w:eastAsia="Arial" w:hAnsi="Arial"/>
                <w:sz w:val="19"/>
                <w:szCs w:val="19"/>
                <w:color w:val="auto"/>
              </w:rPr>
              <w:t>Brookfield OCM Holdings II, LLC</w:t>
            </w:r>
          </w:p>
        </w:tc>
        <w:tc>
          <w:tcPr>
            <w:tcW w:w="2300" w:type="dxa"/>
            <w:vAlign w:val="bottom"/>
          </w:tcPr>
          <w:p>
            <w:pPr>
              <w:ind w:left="60"/>
              <w:spacing w:after="0"/>
              <w:rPr>
                <w:sz w:val="20"/>
                <w:szCs w:val="20"/>
                <w:color w:val="auto"/>
              </w:rPr>
            </w:pPr>
            <w:r>
              <w:rPr>
                <w:rFonts w:ascii="Arial" w:cs="Arial" w:eastAsia="Arial" w:hAnsi="Arial"/>
                <w:sz w:val="19"/>
                <w:szCs w:val="19"/>
                <w:color w:val="auto"/>
              </w:rPr>
              <w:t>USA</w:t>
            </w:r>
          </w:p>
        </w:tc>
        <w:tc>
          <w:tcPr>
            <w:tcW w:w="0" w:type="dxa"/>
            <w:vAlign w:val="bottom"/>
          </w:tcPr>
          <w:p>
            <w:pPr>
              <w:spacing w:after="0"/>
              <w:rPr>
                <w:sz w:val="1"/>
                <w:szCs w:val="1"/>
                <w:color w:val="auto"/>
              </w:rPr>
            </w:pPr>
          </w:p>
        </w:tc>
      </w:tr>
      <w:tr>
        <w:trPr>
          <w:trHeight w:val="425"/>
        </w:trPr>
        <w:tc>
          <w:tcPr>
            <w:tcW w:w="8880" w:type="dxa"/>
            <w:vAlign w:val="bottom"/>
            <w:gridSpan w:val="2"/>
          </w:tcPr>
          <w:p>
            <w:pPr>
              <w:spacing w:after="0"/>
              <w:rPr>
                <w:sz w:val="20"/>
                <w:szCs w:val="20"/>
                <w:color w:val="auto"/>
              </w:rPr>
            </w:pPr>
            <w:r>
              <w:rPr>
                <w:rFonts w:ascii="Arial" w:cs="Arial" w:eastAsia="Arial" w:hAnsi="Arial"/>
                <w:sz w:val="19"/>
                <w:szCs w:val="19"/>
                <w:color w:val="auto"/>
              </w:rPr>
              <w:t>Brookfield OCM Holdings, LLC</w:t>
            </w:r>
          </w:p>
        </w:tc>
        <w:tc>
          <w:tcPr>
            <w:tcW w:w="2300" w:type="dxa"/>
            <w:vAlign w:val="bottom"/>
          </w:tcPr>
          <w:p>
            <w:pPr>
              <w:ind w:left="60"/>
              <w:spacing w:after="0"/>
              <w:rPr>
                <w:sz w:val="20"/>
                <w:szCs w:val="20"/>
                <w:color w:val="auto"/>
              </w:rPr>
            </w:pPr>
            <w:r>
              <w:rPr>
                <w:rFonts w:ascii="Arial" w:cs="Arial" w:eastAsia="Arial" w:hAnsi="Arial"/>
                <w:sz w:val="19"/>
                <w:szCs w:val="19"/>
                <w:color w:val="auto"/>
              </w:rPr>
              <w:t>USA</w:t>
            </w:r>
          </w:p>
        </w:tc>
        <w:tc>
          <w:tcPr>
            <w:tcW w:w="0" w:type="dxa"/>
            <w:vAlign w:val="bottom"/>
          </w:tcPr>
          <w:p>
            <w:pPr>
              <w:spacing w:after="0"/>
              <w:rPr>
                <w:sz w:val="1"/>
                <w:szCs w:val="1"/>
                <w:color w:val="auto"/>
              </w:rPr>
            </w:pPr>
          </w:p>
        </w:tc>
      </w:tr>
      <w:tr>
        <w:trPr>
          <w:trHeight w:val="425"/>
        </w:trPr>
        <w:tc>
          <w:tcPr>
            <w:tcW w:w="8880" w:type="dxa"/>
            <w:vAlign w:val="bottom"/>
            <w:gridSpan w:val="2"/>
          </w:tcPr>
          <w:p>
            <w:pPr>
              <w:spacing w:after="0"/>
              <w:rPr>
                <w:sz w:val="20"/>
                <w:szCs w:val="20"/>
                <w:color w:val="auto"/>
              </w:rPr>
            </w:pPr>
            <w:r>
              <w:rPr>
                <w:rFonts w:ascii="Arial" w:cs="Arial" w:eastAsia="Arial" w:hAnsi="Arial"/>
                <w:sz w:val="19"/>
                <w:szCs w:val="19"/>
                <w:color w:val="auto"/>
              </w:rPr>
              <w:t>Oaktree Opportunities Fund XI (Parallel), L.P.</w:t>
            </w:r>
          </w:p>
        </w:tc>
        <w:tc>
          <w:tcPr>
            <w:tcW w:w="2300" w:type="dxa"/>
            <w:vAlign w:val="bottom"/>
          </w:tcPr>
          <w:p>
            <w:pPr>
              <w:ind w:left="60"/>
              <w:spacing w:after="0"/>
              <w:rPr>
                <w:sz w:val="20"/>
                <w:szCs w:val="20"/>
                <w:color w:val="auto"/>
              </w:rPr>
            </w:pPr>
            <w:r>
              <w:rPr>
                <w:rFonts w:ascii="Arial" w:cs="Arial" w:eastAsia="Arial" w:hAnsi="Arial"/>
                <w:sz w:val="19"/>
                <w:szCs w:val="19"/>
                <w:color w:val="auto"/>
              </w:rPr>
              <w:t>Cayman Islands</w:t>
            </w:r>
          </w:p>
        </w:tc>
        <w:tc>
          <w:tcPr>
            <w:tcW w:w="0" w:type="dxa"/>
            <w:vAlign w:val="bottom"/>
          </w:tcPr>
          <w:p>
            <w:pPr>
              <w:spacing w:after="0"/>
              <w:rPr>
                <w:sz w:val="1"/>
                <w:szCs w:val="1"/>
                <w:color w:val="auto"/>
              </w:rPr>
            </w:pPr>
          </w:p>
        </w:tc>
      </w:tr>
      <w:tr>
        <w:trPr>
          <w:trHeight w:val="425"/>
        </w:trPr>
        <w:tc>
          <w:tcPr>
            <w:tcW w:w="8880" w:type="dxa"/>
            <w:vAlign w:val="bottom"/>
            <w:gridSpan w:val="2"/>
          </w:tcPr>
          <w:p>
            <w:pPr>
              <w:spacing w:after="0"/>
              <w:rPr>
                <w:sz w:val="20"/>
                <w:szCs w:val="20"/>
                <w:color w:val="auto"/>
              </w:rPr>
            </w:pPr>
            <w:r>
              <w:rPr>
                <w:rFonts w:ascii="Arial" w:cs="Arial" w:eastAsia="Arial" w:hAnsi="Arial"/>
                <w:sz w:val="19"/>
                <w:szCs w:val="19"/>
                <w:color w:val="auto"/>
              </w:rPr>
              <w:t>Oaktree Opportunities Fund XI (Parallel) AIV (Cayman), L.P.</w:t>
            </w:r>
          </w:p>
        </w:tc>
        <w:tc>
          <w:tcPr>
            <w:tcW w:w="2300" w:type="dxa"/>
            <w:vAlign w:val="bottom"/>
          </w:tcPr>
          <w:p>
            <w:pPr>
              <w:ind w:left="60"/>
              <w:spacing w:after="0"/>
              <w:rPr>
                <w:sz w:val="20"/>
                <w:szCs w:val="20"/>
                <w:color w:val="auto"/>
              </w:rPr>
            </w:pPr>
            <w:r>
              <w:rPr>
                <w:rFonts w:ascii="Arial" w:cs="Arial" w:eastAsia="Arial" w:hAnsi="Arial"/>
                <w:sz w:val="19"/>
                <w:szCs w:val="19"/>
                <w:color w:val="auto"/>
              </w:rPr>
              <w:t>Cayman Islands</w:t>
            </w:r>
          </w:p>
        </w:tc>
        <w:tc>
          <w:tcPr>
            <w:tcW w:w="0" w:type="dxa"/>
            <w:vAlign w:val="bottom"/>
          </w:tcPr>
          <w:p>
            <w:pPr>
              <w:spacing w:after="0"/>
              <w:rPr>
                <w:sz w:val="1"/>
                <w:szCs w:val="1"/>
                <w:color w:val="auto"/>
              </w:rPr>
            </w:pPr>
          </w:p>
        </w:tc>
      </w:tr>
      <w:tr>
        <w:trPr>
          <w:trHeight w:val="425"/>
        </w:trPr>
        <w:tc>
          <w:tcPr>
            <w:tcW w:w="8880" w:type="dxa"/>
            <w:vAlign w:val="bottom"/>
            <w:gridSpan w:val="2"/>
          </w:tcPr>
          <w:p>
            <w:pPr>
              <w:spacing w:after="0"/>
              <w:rPr>
                <w:sz w:val="20"/>
                <w:szCs w:val="20"/>
                <w:color w:val="auto"/>
              </w:rPr>
            </w:pPr>
            <w:r>
              <w:rPr>
                <w:rFonts w:ascii="Arial" w:cs="Arial" w:eastAsia="Arial" w:hAnsi="Arial"/>
                <w:sz w:val="19"/>
                <w:szCs w:val="19"/>
                <w:color w:val="auto"/>
              </w:rPr>
              <w:t>Oaktree Opportunities Fund XI (Parallel) AIV (Delaware), L.P.</w:t>
            </w:r>
          </w:p>
        </w:tc>
        <w:tc>
          <w:tcPr>
            <w:tcW w:w="2300" w:type="dxa"/>
            <w:vAlign w:val="bottom"/>
          </w:tcPr>
          <w:p>
            <w:pPr>
              <w:ind w:left="60"/>
              <w:spacing w:after="0"/>
              <w:rPr>
                <w:sz w:val="20"/>
                <w:szCs w:val="20"/>
                <w:color w:val="auto"/>
              </w:rPr>
            </w:pPr>
            <w:r>
              <w:rPr>
                <w:rFonts w:ascii="Arial" w:cs="Arial" w:eastAsia="Arial" w:hAnsi="Arial"/>
                <w:sz w:val="19"/>
                <w:szCs w:val="19"/>
                <w:color w:val="auto"/>
              </w:rPr>
              <w:t>USA</w:t>
            </w:r>
          </w:p>
        </w:tc>
        <w:tc>
          <w:tcPr>
            <w:tcW w:w="0" w:type="dxa"/>
            <w:vAlign w:val="bottom"/>
          </w:tcPr>
          <w:p>
            <w:pPr>
              <w:spacing w:after="0"/>
              <w:rPr>
                <w:sz w:val="1"/>
                <w:szCs w:val="1"/>
                <w:color w:val="auto"/>
              </w:rPr>
            </w:pPr>
          </w:p>
        </w:tc>
      </w:tr>
      <w:tr>
        <w:trPr>
          <w:trHeight w:val="425"/>
        </w:trPr>
        <w:tc>
          <w:tcPr>
            <w:tcW w:w="8880" w:type="dxa"/>
            <w:vAlign w:val="bottom"/>
            <w:gridSpan w:val="2"/>
          </w:tcPr>
          <w:p>
            <w:pPr>
              <w:spacing w:after="0"/>
              <w:rPr>
                <w:sz w:val="20"/>
                <w:szCs w:val="20"/>
                <w:color w:val="auto"/>
              </w:rPr>
            </w:pPr>
            <w:r>
              <w:rPr>
                <w:rFonts w:ascii="Arial" w:cs="Arial" w:eastAsia="Arial" w:hAnsi="Arial"/>
                <w:sz w:val="19"/>
                <w:szCs w:val="19"/>
                <w:color w:val="auto"/>
              </w:rPr>
              <w:t>Oaktree Opportunities Fund XI Holdings (Cayman), L.P.</w:t>
            </w:r>
          </w:p>
        </w:tc>
        <w:tc>
          <w:tcPr>
            <w:tcW w:w="2300" w:type="dxa"/>
            <w:vAlign w:val="bottom"/>
          </w:tcPr>
          <w:p>
            <w:pPr>
              <w:ind w:left="60"/>
              <w:spacing w:after="0"/>
              <w:rPr>
                <w:sz w:val="20"/>
                <w:szCs w:val="20"/>
                <w:color w:val="auto"/>
              </w:rPr>
            </w:pPr>
            <w:r>
              <w:rPr>
                <w:rFonts w:ascii="Arial" w:cs="Arial" w:eastAsia="Arial" w:hAnsi="Arial"/>
                <w:sz w:val="19"/>
                <w:szCs w:val="19"/>
                <w:color w:val="auto"/>
              </w:rPr>
              <w:t>Cayman Islands</w:t>
            </w:r>
          </w:p>
        </w:tc>
        <w:tc>
          <w:tcPr>
            <w:tcW w:w="0" w:type="dxa"/>
            <w:vAlign w:val="bottom"/>
          </w:tcPr>
          <w:p>
            <w:pPr>
              <w:spacing w:after="0"/>
              <w:rPr>
                <w:sz w:val="1"/>
                <w:szCs w:val="1"/>
                <w:color w:val="auto"/>
              </w:rPr>
            </w:pPr>
          </w:p>
        </w:tc>
      </w:tr>
      <w:tr>
        <w:trPr>
          <w:trHeight w:val="425"/>
        </w:trPr>
        <w:tc>
          <w:tcPr>
            <w:tcW w:w="8880" w:type="dxa"/>
            <w:vAlign w:val="bottom"/>
            <w:gridSpan w:val="2"/>
          </w:tcPr>
          <w:p>
            <w:pPr>
              <w:spacing w:after="0"/>
              <w:rPr>
                <w:sz w:val="20"/>
                <w:szCs w:val="20"/>
                <w:color w:val="auto"/>
              </w:rPr>
            </w:pPr>
            <w:r>
              <w:rPr>
                <w:rFonts w:ascii="Arial" w:cs="Arial" w:eastAsia="Arial" w:hAnsi="Arial"/>
                <w:sz w:val="19"/>
                <w:szCs w:val="19"/>
                <w:color w:val="auto"/>
              </w:rPr>
              <w:t>Oaktree Opportunities Fund XI Holdings (Delaware), L.P.</w:t>
            </w:r>
          </w:p>
        </w:tc>
        <w:tc>
          <w:tcPr>
            <w:tcW w:w="2300" w:type="dxa"/>
            <w:vAlign w:val="bottom"/>
          </w:tcPr>
          <w:p>
            <w:pPr>
              <w:ind w:left="60"/>
              <w:spacing w:after="0"/>
              <w:rPr>
                <w:sz w:val="20"/>
                <w:szCs w:val="20"/>
                <w:color w:val="auto"/>
              </w:rPr>
            </w:pPr>
            <w:r>
              <w:rPr>
                <w:rFonts w:ascii="Arial" w:cs="Arial" w:eastAsia="Arial" w:hAnsi="Arial"/>
                <w:sz w:val="19"/>
                <w:szCs w:val="19"/>
                <w:color w:val="auto"/>
              </w:rPr>
              <w:t>USA</w:t>
            </w:r>
          </w:p>
        </w:tc>
        <w:tc>
          <w:tcPr>
            <w:tcW w:w="0" w:type="dxa"/>
            <w:vAlign w:val="bottom"/>
          </w:tcPr>
          <w:p>
            <w:pPr>
              <w:spacing w:after="0"/>
              <w:rPr>
                <w:sz w:val="1"/>
                <w:szCs w:val="1"/>
                <w:color w:val="auto"/>
              </w:rPr>
            </w:pPr>
          </w:p>
        </w:tc>
      </w:tr>
      <w:tr>
        <w:trPr>
          <w:trHeight w:val="425"/>
        </w:trPr>
        <w:tc>
          <w:tcPr>
            <w:tcW w:w="8880" w:type="dxa"/>
            <w:vAlign w:val="bottom"/>
            <w:gridSpan w:val="2"/>
          </w:tcPr>
          <w:p>
            <w:pPr>
              <w:spacing w:after="0"/>
              <w:rPr>
                <w:sz w:val="20"/>
                <w:szCs w:val="20"/>
                <w:color w:val="auto"/>
              </w:rPr>
            </w:pPr>
            <w:r>
              <w:rPr>
                <w:rFonts w:ascii="Arial" w:cs="Arial" w:eastAsia="Arial" w:hAnsi="Arial"/>
                <w:sz w:val="19"/>
                <w:szCs w:val="19"/>
                <w:color w:val="auto"/>
              </w:rPr>
              <w:t>OCM Luxembourg Opps XI Sarl</w:t>
            </w:r>
          </w:p>
        </w:tc>
        <w:tc>
          <w:tcPr>
            <w:tcW w:w="2300" w:type="dxa"/>
            <w:vAlign w:val="bottom"/>
          </w:tcPr>
          <w:p>
            <w:pPr>
              <w:ind w:left="60"/>
              <w:spacing w:after="0"/>
              <w:rPr>
                <w:sz w:val="20"/>
                <w:szCs w:val="20"/>
                <w:color w:val="auto"/>
              </w:rPr>
            </w:pPr>
            <w:r>
              <w:rPr>
                <w:rFonts w:ascii="Arial" w:cs="Arial" w:eastAsia="Arial" w:hAnsi="Arial"/>
                <w:sz w:val="19"/>
                <w:szCs w:val="19"/>
                <w:color w:val="auto"/>
              </w:rPr>
              <w:t>Luxembourg</w:t>
            </w:r>
          </w:p>
        </w:tc>
        <w:tc>
          <w:tcPr>
            <w:tcW w:w="0" w:type="dxa"/>
            <w:vAlign w:val="bottom"/>
          </w:tcPr>
          <w:p>
            <w:pPr>
              <w:spacing w:after="0"/>
              <w:rPr>
                <w:sz w:val="1"/>
                <w:szCs w:val="1"/>
                <w:color w:val="auto"/>
              </w:rPr>
            </w:pPr>
          </w:p>
        </w:tc>
      </w:tr>
      <w:tr>
        <w:trPr>
          <w:trHeight w:val="425"/>
        </w:trPr>
        <w:tc>
          <w:tcPr>
            <w:tcW w:w="8880" w:type="dxa"/>
            <w:vAlign w:val="bottom"/>
            <w:gridSpan w:val="2"/>
          </w:tcPr>
          <w:p>
            <w:pPr>
              <w:spacing w:after="0"/>
              <w:rPr>
                <w:sz w:val="20"/>
                <w:szCs w:val="20"/>
                <w:color w:val="auto"/>
              </w:rPr>
            </w:pPr>
            <w:r>
              <w:rPr>
                <w:rFonts w:ascii="Arial" w:cs="Arial" w:eastAsia="Arial" w:hAnsi="Arial"/>
                <w:sz w:val="19"/>
                <w:szCs w:val="19"/>
                <w:color w:val="auto"/>
              </w:rPr>
              <w:t>Oaktree Opportunities Fund XI REIT, LLC</w:t>
            </w:r>
          </w:p>
        </w:tc>
        <w:tc>
          <w:tcPr>
            <w:tcW w:w="2300" w:type="dxa"/>
            <w:vAlign w:val="bottom"/>
          </w:tcPr>
          <w:p>
            <w:pPr>
              <w:ind w:left="100"/>
              <w:spacing w:after="0"/>
              <w:rPr>
                <w:sz w:val="20"/>
                <w:szCs w:val="20"/>
                <w:color w:val="auto"/>
              </w:rPr>
            </w:pPr>
            <w:r>
              <w:rPr>
                <w:rFonts w:ascii="Arial" w:cs="Arial" w:eastAsia="Arial" w:hAnsi="Arial"/>
                <w:sz w:val="19"/>
                <w:szCs w:val="19"/>
                <w:color w:val="auto"/>
              </w:rPr>
              <w:t>USA</w:t>
            </w:r>
          </w:p>
        </w:tc>
        <w:tc>
          <w:tcPr>
            <w:tcW w:w="0" w:type="dxa"/>
            <w:vAlign w:val="bottom"/>
          </w:tcPr>
          <w:p>
            <w:pPr>
              <w:spacing w:after="0"/>
              <w:rPr>
                <w:sz w:val="1"/>
                <w:szCs w:val="1"/>
                <w:color w:val="auto"/>
              </w:rPr>
            </w:pPr>
          </w:p>
        </w:tc>
      </w:tr>
      <w:tr>
        <w:trPr>
          <w:trHeight w:val="425"/>
        </w:trPr>
        <w:tc>
          <w:tcPr>
            <w:tcW w:w="8880" w:type="dxa"/>
            <w:vAlign w:val="bottom"/>
            <w:gridSpan w:val="2"/>
          </w:tcPr>
          <w:p>
            <w:pPr>
              <w:spacing w:after="0"/>
              <w:rPr>
                <w:sz w:val="20"/>
                <w:szCs w:val="20"/>
                <w:color w:val="auto"/>
              </w:rPr>
            </w:pPr>
            <w:r>
              <w:rPr>
                <w:rFonts w:ascii="Arial" w:cs="Arial" w:eastAsia="Arial" w:hAnsi="Arial"/>
                <w:sz w:val="19"/>
                <w:szCs w:val="19"/>
                <w:color w:val="auto"/>
              </w:rPr>
              <w:t>Feeder 3 Opps CFO Sub LLC</w:t>
            </w:r>
          </w:p>
        </w:tc>
        <w:tc>
          <w:tcPr>
            <w:tcW w:w="2300" w:type="dxa"/>
            <w:vAlign w:val="bottom"/>
          </w:tcPr>
          <w:p>
            <w:pPr>
              <w:ind w:left="100"/>
              <w:spacing w:after="0"/>
              <w:rPr>
                <w:sz w:val="20"/>
                <w:szCs w:val="20"/>
                <w:color w:val="auto"/>
              </w:rPr>
            </w:pPr>
            <w:r>
              <w:rPr>
                <w:rFonts w:ascii="Arial" w:cs="Arial" w:eastAsia="Arial" w:hAnsi="Arial"/>
                <w:sz w:val="19"/>
                <w:szCs w:val="19"/>
                <w:color w:val="auto"/>
              </w:rPr>
              <w:t>USA</w:t>
            </w:r>
          </w:p>
        </w:tc>
        <w:tc>
          <w:tcPr>
            <w:tcW w:w="0" w:type="dxa"/>
            <w:vAlign w:val="bottom"/>
          </w:tcPr>
          <w:p>
            <w:pPr>
              <w:spacing w:after="0"/>
              <w:rPr>
                <w:sz w:val="1"/>
                <w:szCs w:val="1"/>
                <w:color w:val="auto"/>
              </w:rPr>
            </w:pPr>
          </w:p>
        </w:tc>
      </w:tr>
      <w:tr>
        <w:trPr>
          <w:trHeight w:val="425"/>
        </w:trPr>
        <w:tc>
          <w:tcPr>
            <w:tcW w:w="8880" w:type="dxa"/>
            <w:vAlign w:val="bottom"/>
            <w:gridSpan w:val="2"/>
          </w:tcPr>
          <w:p>
            <w:pPr>
              <w:spacing w:after="0"/>
              <w:rPr>
                <w:sz w:val="20"/>
                <w:szCs w:val="20"/>
                <w:color w:val="auto"/>
              </w:rPr>
            </w:pPr>
            <w:r>
              <w:rPr>
                <w:rFonts w:ascii="Arial" w:cs="Arial" w:eastAsia="Arial" w:hAnsi="Arial"/>
                <w:sz w:val="19"/>
                <w:szCs w:val="19"/>
                <w:color w:val="auto"/>
              </w:rPr>
              <w:t>Feeder 3 Opps Sub LLC</w:t>
            </w:r>
          </w:p>
        </w:tc>
        <w:tc>
          <w:tcPr>
            <w:tcW w:w="2300" w:type="dxa"/>
            <w:vAlign w:val="bottom"/>
          </w:tcPr>
          <w:p>
            <w:pPr>
              <w:ind w:left="100"/>
              <w:spacing w:after="0"/>
              <w:rPr>
                <w:sz w:val="20"/>
                <w:szCs w:val="20"/>
                <w:color w:val="auto"/>
              </w:rPr>
            </w:pPr>
            <w:r>
              <w:rPr>
                <w:rFonts w:ascii="Arial" w:cs="Arial" w:eastAsia="Arial" w:hAnsi="Arial"/>
                <w:sz w:val="19"/>
                <w:szCs w:val="19"/>
                <w:color w:val="auto"/>
              </w:rPr>
              <w:t>USA</w:t>
            </w:r>
          </w:p>
        </w:tc>
        <w:tc>
          <w:tcPr>
            <w:tcW w:w="0" w:type="dxa"/>
            <w:vAlign w:val="bottom"/>
          </w:tcPr>
          <w:p>
            <w:pPr>
              <w:spacing w:after="0"/>
              <w:rPr>
                <w:sz w:val="1"/>
                <w:szCs w:val="1"/>
                <w:color w:val="auto"/>
              </w:rPr>
            </w:pPr>
          </w:p>
        </w:tc>
      </w:tr>
      <w:tr>
        <w:trPr>
          <w:trHeight w:val="425"/>
        </w:trPr>
        <w:tc>
          <w:tcPr>
            <w:tcW w:w="8880" w:type="dxa"/>
            <w:vAlign w:val="bottom"/>
            <w:gridSpan w:val="2"/>
          </w:tcPr>
          <w:p>
            <w:pPr>
              <w:spacing w:after="0"/>
              <w:rPr>
                <w:sz w:val="20"/>
                <w:szCs w:val="20"/>
                <w:color w:val="auto"/>
              </w:rPr>
            </w:pPr>
            <w:r>
              <w:rPr>
                <w:rFonts w:ascii="Arial" w:cs="Arial" w:eastAsia="Arial" w:hAnsi="Arial"/>
                <w:sz w:val="19"/>
                <w:szCs w:val="19"/>
                <w:color w:val="auto"/>
              </w:rPr>
              <w:t>Feeder 3 CFO Sub LLC</w:t>
            </w:r>
          </w:p>
        </w:tc>
        <w:tc>
          <w:tcPr>
            <w:tcW w:w="2300" w:type="dxa"/>
            <w:vAlign w:val="bottom"/>
          </w:tcPr>
          <w:p>
            <w:pPr>
              <w:ind w:left="100"/>
              <w:spacing w:after="0"/>
              <w:rPr>
                <w:sz w:val="20"/>
                <w:szCs w:val="20"/>
                <w:color w:val="auto"/>
              </w:rPr>
            </w:pPr>
            <w:r>
              <w:rPr>
                <w:rFonts w:ascii="Arial" w:cs="Arial" w:eastAsia="Arial" w:hAnsi="Arial"/>
                <w:sz w:val="19"/>
                <w:szCs w:val="19"/>
                <w:color w:val="auto"/>
              </w:rPr>
              <w:t>USA</w:t>
            </w:r>
          </w:p>
        </w:tc>
        <w:tc>
          <w:tcPr>
            <w:tcW w:w="0" w:type="dxa"/>
            <w:vAlign w:val="bottom"/>
          </w:tcPr>
          <w:p>
            <w:pPr>
              <w:spacing w:after="0"/>
              <w:rPr>
                <w:sz w:val="1"/>
                <w:szCs w:val="1"/>
                <w:color w:val="auto"/>
              </w:rPr>
            </w:pPr>
          </w:p>
        </w:tc>
      </w:tr>
      <w:tr>
        <w:trPr>
          <w:trHeight w:val="425"/>
        </w:trPr>
        <w:tc>
          <w:tcPr>
            <w:tcW w:w="8880" w:type="dxa"/>
            <w:vAlign w:val="bottom"/>
            <w:gridSpan w:val="2"/>
          </w:tcPr>
          <w:p>
            <w:pPr>
              <w:spacing w:after="0"/>
              <w:rPr>
                <w:sz w:val="20"/>
                <w:szCs w:val="20"/>
                <w:color w:val="auto"/>
              </w:rPr>
            </w:pPr>
            <w:r>
              <w:rPr>
                <w:rFonts w:ascii="Arial" w:cs="Arial" w:eastAsia="Arial" w:hAnsi="Arial"/>
                <w:sz w:val="19"/>
                <w:szCs w:val="19"/>
                <w:color w:val="auto"/>
              </w:rPr>
              <w:t>Feeder 3 CFO Pledgor LLC</w:t>
            </w:r>
          </w:p>
        </w:tc>
        <w:tc>
          <w:tcPr>
            <w:tcW w:w="2300" w:type="dxa"/>
            <w:vAlign w:val="bottom"/>
          </w:tcPr>
          <w:p>
            <w:pPr>
              <w:ind w:left="100"/>
              <w:spacing w:after="0"/>
              <w:rPr>
                <w:sz w:val="20"/>
                <w:szCs w:val="20"/>
                <w:color w:val="auto"/>
              </w:rPr>
            </w:pPr>
            <w:r>
              <w:rPr>
                <w:rFonts w:ascii="Arial" w:cs="Arial" w:eastAsia="Arial" w:hAnsi="Arial"/>
                <w:sz w:val="19"/>
                <w:szCs w:val="19"/>
                <w:color w:val="auto"/>
              </w:rPr>
              <w:t>USA</w:t>
            </w:r>
          </w:p>
        </w:tc>
        <w:tc>
          <w:tcPr>
            <w:tcW w:w="0" w:type="dxa"/>
            <w:vAlign w:val="bottom"/>
          </w:tcPr>
          <w:p>
            <w:pPr>
              <w:spacing w:after="0"/>
              <w:rPr>
                <w:sz w:val="1"/>
                <w:szCs w:val="1"/>
                <w:color w:val="auto"/>
              </w:rPr>
            </w:pPr>
          </w:p>
        </w:tc>
      </w:tr>
      <w:tr>
        <w:trPr>
          <w:trHeight w:val="425"/>
        </w:trPr>
        <w:tc>
          <w:tcPr>
            <w:tcW w:w="8880" w:type="dxa"/>
            <w:vAlign w:val="bottom"/>
            <w:gridSpan w:val="2"/>
          </w:tcPr>
          <w:p>
            <w:pPr>
              <w:spacing w:after="0"/>
              <w:rPr>
                <w:sz w:val="20"/>
                <w:szCs w:val="20"/>
                <w:color w:val="auto"/>
              </w:rPr>
            </w:pPr>
            <w:r>
              <w:rPr>
                <w:rFonts w:ascii="Arial" w:cs="Arial" w:eastAsia="Arial" w:hAnsi="Arial"/>
                <w:sz w:val="19"/>
                <w:szCs w:val="19"/>
                <w:color w:val="auto"/>
              </w:rPr>
              <w:t>Feeder 3 Sub, LLC</w:t>
            </w:r>
          </w:p>
        </w:tc>
        <w:tc>
          <w:tcPr>
            <w:tcW w:w="2300" w:type="dxa"/>
            <w:vAlign w:val="bottom"/>
          </w:tcPr>
          <w:p>
            <w:pPr>
              <w:ind w:left="100"/>
              <w:spacing w:after="0"/>
              <w:rPr>
                <w:sz w:val="20"/>
                <w:szCs w:val="20"/>
                <w:color w:val="auto"/>
              </w:rPr>
            </w:pPr>
            <w:r>
              <w:rPr>
                <w:rFonts w:ascii="Arial" w:cs="Arial" w:eastAsia="Arial" w:hAnsi="Arial"/>
                <w:sz w:val="19"/>
                <w:szCs w:val="19"/>
                <w:color w:val="auto"/>
              </w:rPr>
              <w:t>USA</w:t>
            </w:r>
          </w:p>
        </w:tc>
        <w:tc>
          <w:tcPr>
            <w:tcW w:w="0" w:type="dxa"/>
            <w:vAlign w:val="bottom"/>
          </w:tcPr>
          <w:p>
            <w:pPr>
              <w:spacing w:after="0"/>
              <w:rPr>
                <w:sz w:val="1"/>
                <w:szCs w:val="1"/>
                <w:color w:val="auto"/>
              </w:rPr>
            </w:pPr>
          </w:p>
        </w:tc>
      </w:tr>
      <w:tr>
        <w:trPr>
          <w:trHeight w:val="425"/>
        </w:trPr>
        <w:tc>
          <w:tcPr>
            <w:tcW w:w="8880" w:type="dxa"/>
            <w:vAlign w:val="bottom"/>
            <w:gridSpan w:val="2"/>
          </w:tcPr>
          <w:p>
            <w:pPr>
              <w:spacing w:after="0"/>
              <w:rPr>
                <w:sz w:val="20"/>
                <w:szCs w:val="20"/>
                <w:color w:val="auto"/>
              </w:rPr>
            </w:pPr>
            <w:r>
              <w:rPr>
                <w:rFonts w:ascii="Arial" w:cs="Arial" w:eastAsia="Arial" w:hAnsi="Arial"/>
                <w:sz w:val="19"/>
                <w:szCs w:val="19"/>
                <w:color w:val="auto"/>
              </w:rPr>
              <w:t>Feeder 3 Pledgor, LLC</w:t>
            </w:r>
          </w:p>
        </w:tc>
        <w:tc>
          <w:tcPr>
            <w:tcW w:w="2300" w:type="dxa"/>
            <w:vAlign w:val="bottom"/>
          </w:tcPr>
          <w:p>
            <w:pPr>
              <w:ind w:left="100"/>
              <w:spacing w:after="0"/>
              <w:rPr>
                <w:sz w:val="20"/>
                <w:szCs w:val="20"/>
                <w:color w:val="auto"/>
              </w:rPr>
            </w:pPr>
            <w:r>
              <w:rPr>
                <w:rFonts w:ascii="Arial" w:cs="Arial" w:eastAsia="Arial" w:hAnsi="Arial"/>
                <w:sz w:val="19"/>
                <w:szCs w:val="19"/>
                <w:color w:val="auto"/>
              </w:rPr>
              <w:t>USA</w:t>
            </w:r>
          </w:p>
        </w:tc>
        <w:tc>
          <w:tcPr>
            <w:tcW w:w="0" w:type="dxa"/>
            <w:vAlign w:val="bottom"/>
          </w:tcPr>
          <w:p>
            <w:pPr>
              <w:spacing w:after="0"/>
              <w:rPr>
                <w:sz w:val="1"/>
                <w:szCs w:val="1"/>
                <w:color w:val="auto"/>
              </w:rPr>
            </w:pPr>
          </w:p>
        </w:tc>
      </w:tr>
      <w:tr>
        <w:trPr>
          <w:trHeight w:val="425"/>
        </w:trPr>
        <w:tc>
          <w:tcPr>
            <w:tcW w:w="8880" w:type="dxa"/>
            <w:vAlign w:val="bottom"/>
            <w:gridSpan w:val="2"/>
          </w:tcPr>
          <w:p>
            <w:pPr>
              <w:spacing w:after="0"/>
              <w:rPr>
                <w:sz w:val="20"/>
                <w:szCs w:val="20"/>
                <w:color w:val="auto"/>
              </w:rPr>
            </w:pPr>
            <w:r>
              <w:rPr>
                <w:rFonts w:ascii="Arial" w:cs="Arial" w:eastAsia="Arial" w:hAnsi="Arial"/>
                <w:sz w:val="19"/>
                <w:szCs w:val="19"/>
                <w:color w:val="auto"/>
              </w:rPr>
              <w:t>BOH Opps XI LLC</w:t>
            </w:r>
          </w:p>
        </w:tc>
        <w:tc>
          <w:tcPr>
            <w:tcW w:w="2300" w:type="dxa"/>
            <w:vAlign w:val="bottom"/>
          </w:tcPr>
          <w:p>
            <w:pPr>
              <w:ind w:left="100"/>
              <w:spacing w:after="0"/>
              <w:rPr>
                <w:sz w:val="20"/>
                <w:szCs w:val="20"/>
                <w:color w:val="auto"/>
              </w:rPr>
            </w:pPr>
            <w:r>
              <w:rPr>
                <w:rFonts w:ascii="Arial" w:cs="Arial" w:eastAsia="Arial" w:hAnsi="Arial"/>
                <w:sz w:val="19"/>
                <w:szCs w:val="19"/>
                <w:color w:val="auto"/>
              </w:rPr>
              <w:t>USA</w:t>
            </w:r>
          </w:p>
        </w:tc>
        <w:tc>
          <w:tcPr>
            <w:tcW w:w="0" w:type="dxa"/>
            <w:vAlign w:val="bottom"/>
          </w:tcPr>
          <w:p>
            <w:pPr>
              <w:spacing w:after="0"/>
              <w:rPr>
                <w:sz w:val="1"/>
                <w:szCs w:val="1"/>
                <w:color w:val="auto"/>
              </w:rPr>
            </w:pPr>
          </w:p>
        </w:tc>
      </w:tr>
      <w:tr>
        <w:trPr>
          <w:trHeight w:val="425"/>
        </w:trPr>
        <w:tc>
          <w:tcPr>
            <w:tcW w:w="8880" w:type="dxa"/>
            <w:vAlign w:val="bottom"/>
            <w:gridSpan w:val="2"/>
          </w:tcPr>
          <w:p>
            <w:pPr>
              <w:spacing w:after="0"/>
              <w:rPr>
                <w:sz w:val="20"/>
                <w:szCs w:val="20"/>
                <w:color w:val="auto"/>
              </w:rPr>
            </w:pPr>
            <w:r>
              <w:rPr>
                <w:rFonts w:ascii="Arial" w:cs="Arial" w:eastAsia="Arial" w:hAnsi="Arial"/>
                <w:sz w:val="19"/>
                <w:szCs w:val="19"/>
                <w:color w:val="auto"/>
              </w:rPr>
              <w:t>Oaktree Opportunities Fund XII (Parallel), L.P.</w:t>
            </w:r>
          </w:p>
        </w:tc>
        <w:tc>
          <w:tcPr>
            <w:tcW w:w="2300" w:type="dxa"/>
            <w:vAlign w:val="bottom"/>
          </w:tcPr>
          <w:p>
            <w:pPr>
              <w:ind w:left="60"/>
              <w:spacing w:after="0"/>
              <w:rPr>
                <w:sz w:val="20"/>
                <w:szCs w:val="20"/>
                <w:color w:val="auto"/>
              </w:rPr>
            </w:pPr>
            <w:r>
              <w:rPr>
                <w:rFonts w:ascii="Arial" w:cs="Arial" w:eastAsia="Arial" w:hAnsi="Arial"/>
                <w:sz w:val="19"/>
                <w:szCs w:val="19"/>
                <w:color w:val="auto"/>
              </w:rPr>
              <w:t>Cayman Islands</w:t>
            </w:r>
          </w:p>
        </w:tc>
        <w:tc>
          <w:tcPr>
            <w:tcW w:w="0" w:type="dxa"/>
            <w:vAlign w:val="bottom"/>
          </w:tcPr>
          <w:p>
            <w:pPr>
              <w:spacing w:after="0"/>
              <w:rPr>
                <w:sz w:val="1"/>
                <w:szCs w:val="1"/>
                <w:color w:val="auto"/>
              </w:rPr>
            </w:pPr>
          </w:p>
        </w:tc>
      </w:tr>
      <w:tr>
        <w:trPr>
          <w:trHeight w:val="425"/>
        </w:trPr>
        <w:tc>
          <w:tcPr>
            <w:tcW w:w="8880" w:type="dxa"/>
            <w:vAlign w:val="bottom"/>
            <w:gridSpan w:val="2"/>
          </w:tcPr>
          <w:p>
            <w:pPr>
              <w:spacing w:after="0"/>
              <w:rPr>
                <w:sz w:val="20"/>
                <w:szCs w:val="20"/>
                <w:color w:val="auto"/>
              </w:rPr>
            </w:pPr>
            <w:r>
              <w:rPr>
                <w:rFonts w:ascii="Arial" w:cs="Arial" w:eastAsia="Arial" w:hAnsi="Arial"/>
                <w:sz w:val="19"/>
                <w:szCs w:val="19"/>
                <w:color w:val="auto"/>
              </w:rPr>
              <w:t>Oaktree Opportunities Fund XII (Parallel) AIV 2 (Cayman), L.P.</w:t>
            </w:r>
          </w:p>
        </w:tc>
        <w:tc>
          <w:tcPr>
            <w:tcW w:w="2300" w:type="dxa"/>
            <w:vAlign w:val="bottom"/>
          </w:tcPr>
          <w:p>
            <w:pPr>
              <w:ind w:left="60"/>
              <w:spacing w:after="0"/>
              <w:rPr>
                <w:sz w:val="20"/>
                <w:szCs w:val="20"/>
                <w:color w:val="auto"/>
              </w:rPr>
            </w:pPr>
            <w:r>
              <w:rPr>
                <w:rFonts w:ascii="Arial" w:cs="Arial" w:eastAsia="Arial" w:hAnsi="Arial"/>
                <w:sz w:val="19"/>
                <w:szCs w:val="19"/>
                <w:color w:val="auto"/>
              </w:rPr>
              <w:t>Cayman Islands</w:t>
            </w:r>
          </w:p>
        </w:tc>
        <w:tc>
          <w:tcPr>
            <w:tcW w:w="0" w:type="dxa"/>
            <w:vAlign w:val="bottom"/>
          </w:tcPr>
          <w:p>
            <w:pPr>
              <w:spacing w:after="0"/>
              <w:rPr>
                <w:sz w:val="1"/>
                <w:szCs w:val="1"/>
                <w:color w:val="auto"/>
              </w:rPr>
            </w:pPr>
          </w:p>
        </w:tc>
      </w:tr>
      <w:tr>
        <w:trPr>
          <w:trHeight w:val="425"/>
        </w:trPr>
        <w:tc>
          <w:tcPr>
            <w:tcW w:w="8880" w:type="dxa"/>
            <w:vAlign w:val="bottom"/>
            <w:gridSpan w:val="2"/>
          </w:tcPr>
          <w:p>
            <w:pPr>
              <w:spacing w:after="0"/>
              <w:rPr>
                <w:sz w:val="20"/>
                <w:szCs w:val="20"/>
                <w:color w:val="auto"/>
              </w:rPr>
            </w:pPr>
            <w:r>
              <w:rPr>
                <w:rFonts w:ascii="Arial" w:cs="Arial" w:eastAsia="Arial" w:hAnsi="Arial"/>
                <w:sz w:val="19"/>
                <w:szCs w:val="19"/>
                <w:color w:val="auto"/>
              </w:rPr>
              <w:t>Oaktree Opportunities Fund XII (Parallel) AIV 1 (Cayman), L.P.</w:t>
            </w:r>
          </w:p>
        </w:tc>
        <w:tc>
          <w:tcPr>
            <w:tcW w:w="2300" w:type="dxa"/>
            <w:vAlign w:val="bottom"/>
          </w:tcPr>
          <w:p>
            <w:pPr>
              <w:ind w:left="60"/>
              <w:spacing w:after="0"/>
              <w:rPr>
                <w:sz w:val="20"/>
                <w:szCs w:val="20"/>
                <w:color w:val="auto"/>
              </w:rPr>
            </w:pPr>
            <w:r>
              <w:rPr>
                <w:rFonts w:ascii="Arial" w:cs="Arial" w:eastAsia="Arial" w:hAnsi="Arial"/>
                <w:sz w:val="19"/>
                <w:szCs w:val="19"/>
                <w:color w:val="auto"/>
              </w:rPr>
              <w:t>Cayman Islands</w:t>
            </w:r>
          </w:p>
        </w:tc>
        <w:tc>
          <w:tcPr>
            <w:tcW w:w="0" w:type="dxa"/>
            <w:vAlign w:val="bottom"/>
          </w:tcPr>
          <w:p>
            <w:pPr>
              <w:spacing w:after="0"/>
              <w:rPr>
                <w:sz w:val="1"/>
                <w:szCs w:val="1"/>
                <w:color w:val="auto"/>
              </w:rPr>
            </w:pPr>
          </w:p>
        </w:tc>
      </w:tr>
      <w:tr>
        <w:trPr>
          <w:trHeight w:val="425"/>
        </w:trPr>
        <w:tc>
          <w:tcPr>
            <w:tcW w:w="8880" w:type="dxa"/>
            <w:vAlign w:val="bottom"/>
            <w:gridSpan w:val="2"/>
          </w:tcPr>
          <w:p>
            <w:pPr>
              <w:spacing w:after="0"/>
              <w:rPr>
                <w:sz w:val="20"/>
                <w:szCs w:val="20"/>
                <w:color w:val="auto"/>
              </w:rPr>
            </w:pPr>
            <w:r>
              <w:rPr>
                <w:rFonts w:ascii="Arial" w:cs="Arial" w:eastAsia="Arial" w:hAnsi="Arial"/>
                <w:sz w:val="19"/>
                <w:szCs w:val="19"/>
                <w:color w:val="auto"/>
              </w:rPr>
              <w:t>Oaktree Opportunities Fund XII Holdings (Cayman), L.P.</w:t>
            </w:r>
          </w:p>
        </w:tc>
        <w:tc>
          <w:tcPr>
            <w:tcW w:w="2300" w:type="dxa"/>
            <w:vAlign w:val="bottom"/>
          </w:tcPr>
          <w:p>
            <w:pPr>
              <w:ind w:left="60"/>
              <w:spacing w:after="0"/>
              <w:rPr>
                <w:sz w:val="20"/>
                <w:szCs w:val="20"/>
                <w:color w:val="auto"/>
              </w:rPr>
            </w:pPr>
            <w:r>
              <w:rPr>
                <w:rFonts w:ascii="Arial" w:cs="Arial" w:eastAsia="Arial" w:hAnsi="Arial"/>
                <w:sz w:val="19"/>
                <w:szCs w:val="19"/>
                <w:color w:val="auto"/>
              </w:rPr>
              <w:t>Cayman Islands</w:t>
            </w:r>
          </w:p>
        </w:tc>
        <w:tc>
          <w:tcPr>
            <w:tcW w:w="0" w:type="dxa"/>
            <w:vAlign w:val="bottom"/>
          </w:tcPr>
          <w:p>
            <w:pPr>
              <w:spacing w:after="0"/>
              <w:rPr>
                <w:sz w:val="1"/>
                <w:szCs w:val="1"/>
                <w:color w:val="auto"/>
              </w:rPr>
            </w:pPr>
          </w:p>
        </w:tc>
      </w:tr>
      <w:tr>
        <w:trPr>
          <w:trHeight w:val="425"/>
        </w:trPr>
        <w:tc>
          <w:tcPr>
            <w:tcW w:w="8880" w:type="dxa"/>
            <w:vAlign w:val="bottom"/>
            <w:gridSpan w:val="2"/>
          </w:tcPr>
          <w:p>
            <w:pPr>
              <w:spacing w:after="0"/>
              <w:rPr>
                <w:sz w:val="20"/>
                <w:szCs w:val="20"/>
                <w:color w:val="auto"/>
              </w:rPr>
            </w:pPr>
            <w:r>
              <w:rPr>
                <w:rFonts w:ascii="Arial" w:cs="Arial" w:eastAsia="Arial" w:hAnsi="Arial"/>
                <w:sz w:val="19"/>
                <w:szCs w:val="19"/>
                <w:color w:val="auto"/>
              </w:rPr>
              <w:t>Oaktree Opportunities Fund XII Holdings (Delaware), L.P.</w:t>
            </w:r>
          </w:p>
        </w:tc>
        <w:tc>
          <w:tcPr>
            <w:tcW w:w="2300" w:type="dxa"/>
            <w:vAlign w:val="bottom"/>
          </w:tcPr>
          <w:p>
            <w:pPr>
              <w:ind w:left="60"/>
              <w:spacing w:after="0"/>
              <w:rPr>
                <w:sz w:val="20"/>
                <w:szCs w:val="20"/>
                <w:color w:val="auto"/>
              </w:rPr>
            </w:pPr>
            <w:r>
              <w:rPr>
                <w:rFonts w:ascii="Arial" w:cs="Arial" w:eastAsia="Arial" w:hAnsi="Arial"/>
                <w:sz w:val="19"/>
                <w:szCs w:val="19"/>
                <w:color w:val="auto"/>
              </w:rPr>
              <w:t>USA</w:t>
            </w:r>
          </w:p>
        </w:tc>
        <w:tc>
          <w:tcPr>
            <w:tcW w:w="0" w:type="dxa"/>
            <w:vAlign w:val="bottom"/>
          </w:tcPr>
          <w:p>
            <w:pPr>
              <w:spacing w:after="0"/>
              <w:rPr>
                <w:sz w:val="1"/>
                <w:szCs w:val="1"/>
                <w:color w:val="auto"/>
              </w:rPr>
            </w:pPr>
          </w:p>
        </w:tc>
      </w:tr>
      <w:tr>
        <w:trPr>
          <w:trHeight w:val="425"/>
        </w:trPr>
        <w:tc>
          <w:tcPr>
            <w:tcW w:w="8880" w:type="dxa"/>
            <w:vAlign w:val="bottom"/>
            <w:gridSpan w:val="2"/>
          </w:tcPr>
          <w:p>
            <w:pPr>
              <w:spacing w:after="0"/>
              <w:rPr>
                <w:sz w:val="20"/>
                <w:szCs w:val="20"/>
                <w:color w:val="auto"/>
              </w:rPr>
            </w:pPr>
            <w:r>
              <w:rPr>
                <w:rFonts w:ascii="Arial" w:cs="Arial" w:eastAsia="Arial" w:hAnsi="Arial"/>
                <w:sz w:val="19"/>
                <w:szCs w:val="19"/>
                <w:color w:val="auto"/>
              </w:rPr>
              <w:t>OCM Luxembourg OPPS XII S.à r.l.</w:t>
            </w:r>
          </w:p>
        </w:tc>
        <w:tc>
          <w:tcPr>
            <w:tcW w:w="2300" w:type="dxa"/>
            <w:vAlign w:val="bottom"/>
          </w:tcPr>
          <w:p>
            <w:pPr>
              <w:ind w:left="60"/>
              <w:spacing w:after="0"/>
              <w:rPr>
                <w:sz w:val="20"/>
                <w:szCs w:val="20"/>
                <w:color w:val="auto"/>
              </w:rPr>
            </w:pPr>
            <w:r>
              <w:rPr>
                <w:rFonts w:ascii="Arial" w:cs="Arial" w:eastAsia="Arial" w:hAnsi="Arial"/>
                <w:sz w:val="19"/>
                <w:szCs w:val="19"/>
                <w:color w:val="auto"/>
              </w:rPr>
              <w:t>Luxembourg</w:t>
            </w:r>
          </w:p>
        </w:tc>
        <w:tc>
          <w:tcPr>
            <w:tcW w:w="0" w:type="dxa"/>
            <w:vAlign w:val="bottom"/>
          </w:tcPr>
          <w:p>
            <w:pPr>
              <w:spacing w:after="0"/>
              <w:rPr>
                <w:sz w:val="1"/>
                <w:szCs w:val="1"/>
                <w:color w:val="auto"/>
              </w:rPr>
            </w:pPr>
          </w:p>
        </w:tc>
      </w:tr>
    </w:tbl>
    <w:p>
      <w:pPr>
        <w:sectPr>
          <w:pgSz w:w="11900" w:h="16838" w:orient="portrait"/>
          <w:cols w:equalWidth="0" w:num="1">
            <w:col w:w="11180"/>
          </w:cols>
          <w:pgMar w:left="380" w:top="118" w:right="339" w:bottom="1440" w:gutter="0" w:footer="0" w:header="0"/>
        </w:sectPr>
      </w:pPr>
    </w:p>
    <w:bookmarkStart w:id="131" w:name="page132"/>
    <w:bookmarkEnd w:id="131"/>
    <w:p>
      <w:pPr>
        <w:spacing w:after="0" w:line="122" w:lineRule="exact"/>
        <w:rPr>
          <w:sz w:val="20"/>
          <w:szCs w:val="20"/>
          <w:color w:val="auto"/>
        </w:rPr>
      </w:pPr>
    </w:p>
    <w:p>
      <w:pPr>
        <w:spacing w:after="0"/>
        <w:rPr>
          <w:sz w:val="20"/>
          <w:szCs w:val="20"/>
          <w:color w:val="auto"/>
        </w:rPr>
      </w:pPr>
      <w:r>
        <w:rPr>
          <w:rFonts w:ascii="Arial" w:cs="Arial" w:eastAsia="Arial" w:hAnsi="Arial"/>
          <w:sz w:val="18"/>
          <w:szCs w:val="18"/>
          <w:color w:val="auto"/>
        </w:rPr>
        <w:t>Oaktree Opportunities XII (Singapore) Holdings Pte. Ltd.</w:t>
      </w:r>
    </w:p>
    <w:p>
      <w:pPr>
        <w:spacing w:after="0" w:line="20" w:lineRule="exact"/>
        <w:rPr>
          <w:sz w:val="20"/>
          <w:szCs w:val="20"/>
          <w:color w:val="auto"/>
        </w:rPr>
      </w:pPr>
      <w:r>
        <w:rPr>
          <w:sz w:val="20"/>
          <w:szCs w:val="20"/>
          <w:color w:val="auto"/>
        </w:rPr>
        <w:br w:type="column"/>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color w:val="auto"/>
        </w:rPr>
        <w:t>Singapore</w:t>
      </w:r>
    </w:p>
    <w:p>
      <w:pPr>
        <w:spacing w:after="0" w:line="200" w:lineRule="exact"/>
        <w:rPr>
          <w:sz w:val="20"/>
          <w:szCs w:val="20"/>
          <w:color w:val="auto"/>
        </w:rPr>
      </w:pPr>
    </w:p>
    <w:p>
      <w:pPr>
        <w:sectPr>
          <w:pgSz w:w="11900" w:h="16838" w:orient="portrait"/>
          <w:cols w:equalWidth="0" w:num="2">
            <w:col w:w="8220" w:space="720"/>
            <w:col w:w="1400"/>
          </w:cols>
          <w:pgMar w:left="380" w:top="1440" w:right="1179" w:bottom="1440" w:gutter="0" w:footer="0" w:header="0"/>
        </w:sectPr>
      </w:pPr>
    </w:p>
    <w:p>
      <w:pPr>
        <w:spacing w:after="0" w:line="18" w:lineRule="exact"/>
        <w:rPr>
          <w:sz w:val="20"/>
          <w:szCs w:val="20"/>
          <w:color w:val="auto"/>
        </w:rPr>
      </w:pPr>
    </w:p>
    <w:p>
      <w:pPr>
        <w:spacing w:after="0"/>
        <w:rPr>
          <w:sz w:val="20"/>
          <w:szCs w:val="20"/>
          <w:color w:val="auto"/>
        </w:rPr>
      </w:pPr>
      <w:r>
        <w:rPr>
          <w:rFonts w:ascii="Arial" w:cs="Arial" w:eastAsia="Arial" w:hAnsi="Arial"/>
          <w:sz w:val="19"/>
          <w:szCs w:val="19"/>
          <w:color w:val="auto"/>
        </w:rPr>
        <w:t>Feeder 6 Opps Sub LLC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USA</w:t>
      </w:r>
    </w:p>
    <w:p>
      <w:pPr>
        <w:spacing w:after="0" w:line="200" w:lineRule="exact"/>
        <w:rPr>
          <w:sz w:val="20"/>
          <w:szCs w:val="20"/>
          <w:color w:val="auto"/>
        </w:rPr>
      </w:pPr>
    </w:p>
    <w:p>
      <w:pPr>
        <w:sectPr>
          <w:pgSz w:w="11900" w:h="16838" w:orient="portrait"/>
          <w:cols w:equalWidth="0" w:num="2">
            <w:col w:w="8260" w:space="720"/>
            <w:col w:w="1360"/>
          </w:cols>
          <w:pgMar w:left="380" w:top="1440" w:right="1179"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Arial" w:cs="Arial" w:eastAsia="Arial" w:hAnsi="Arial"/>
          <w:sz w:val="19"/>
          <w:szCs w:val="19"/>
          <w:color w:val="auto"/>
        </w:rPr>
        <w:t>Feeder 6 Sub LLC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USA</w:t>
      </w:r>
    </w:p>
    <w:p>
      <w:pPr>
        <w:spacing w:after="0" w:line="200" w:lineRule="exact"/>
        <w:rPr>
          <w:sz w:val="20"/>
          <w:szCs w:val="20"/>
          <w:color w:val="auto"/>
        </w:rPr>
      </w:pPr>
    </w:p>
    <w:p>
      <w:pPr>
        <w:sectPr>
          <w:pgSz w:w="11900" w:h="16838" w:orient="portrait"/>
          <w:cols w:equalWidth="0" w:num="2">
            <w:col w:w="8260" w:space="720"/>
            <w:col w:w="1360"/>
          </w:cols>
          <w:pgMar w:left="380" w:top="1440" w:right="1179"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Feeder 6 Pledgor LLC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USA</w:t>
      </w:r>
    </w:p>
    <w:p>
      <w:pPr>
        <w:spacing w:after="0" w:line="200" w:lineRule="exact"/>
        <w:rPr>
          <w:sz w:val="20"/>
          <w:szCs w:val="20"/>
          <w:color w:val="auto"/>
        </w:rPr>
      </w:pPr>
    </w:p>
    <w:p>
      <w:pPr>
        <w:sectPr>
          <w:pgSz w:w="11900" w:h="16838" w:orient="portrait"/>
          <w:cols w:equalWidth="0" w:num="2">
            <w:col w:w="8260" w:space="720"/>
            <w:col w:w="1360"/>
          </w:cols>
          <w:pgMar w:left="380" w:top="1440" w:right="1179"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Oaktree Opportunities Fund XII BF AIV (Cayman), L.P.</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Cayman Islands</w:t>
      </w:r>
    </w:p>
    <w:p>
      <w:pPr>
        <w:spacing w:after="0" w:line="200" w:lineRule="exact"/>
        <w:rPr>
          <w:sz w:val="20"/>
          <w:szCs w:val="20"/>
          <w:color w:val="auto"/>
        </w:rPr>
      </w:pPr>
    </w:p>
    <w:p>
      <w:pPr>
        <w:sectPr>
          <w:pgSz w:w="11900" w:h="16838" w:orient="portrait"/>
          <w:cols w:equalWidth="0" w:num="2">
            <w:col w:w="8260" w:space="720"/>
            <w:col w:w="1360"/>
          </w:cols>
          <w:pgMar w:left="380" w:top="1440" w:right="1179" w:bottom="1440" w:gutter="0" w:footer="0" w:header="0"/>
          <w:type w:val="continuous"/>
        </w:sectPr>
      </w:pP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Oaktree Opportunities Fund XII (Main-Parallel) AIV (Acquisition), L.P.</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USA</w:t>
      </w:r>
    </w:p>
    <w:p>
      <w:pPr>
        <w:spacing w:after="0" w:line="200" w:lineRule="exact"/>
        <w:rPr>
          <w:sz w:val="20"/>
          <w:szCs w:val="20"/>
          <w:color w:val="auto"/>
        </w:rPr>
      </w:pPr>
    </w:p>
    <w:p>
      <w:pPr>
        <w:sectPr>
          <w:pgSz w:w="11900" w:h="16838" w:orient="portrait"/>
          <w:cols w:equalWidth="0" w:num="2">
            <w:col w:w="8260" w:space="720"/>
            <w:col w:w="1360"/>
          </w:cols>
          <w:pgMar w:left="380" w:top="1440" w:right="1179"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Opportunities Fund XII (Parallel) AIV (Acquisition), L.P</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USA</w:t>
      </w:r>
    </w:p>
    <w:p>
      <w:pPr>
        <w:spacing w:after="0" w:line="200" w:lineRule="exact"/>
        <w:rPr>
          <w:sz w:val="20"/>
          <w:szCs w:val="20"/>
          <w:color w:val="auto"/>
        </w:rPr>
      </w:pPr>
    </w:p>
    <w:p>
      <w:pPr>
        <w:sectPr>
          <w:pgSz w:w="11900" w:h="16838" w:orient="portrait"/>
          <w:cols w:equalWidth="0" w:num="2">
            <w:col w:w="8260" w:space="720"/>
            <w:col w:w="1360"/>
          </w:cols>
          <w:pgMar w:left="380" w:top="1440" w:right="1179"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Oaktree Opportunities Fund XII (Parallel) AIV (PT), L.P.</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USA</w:t>
      </w:r>
    </w:p>
    <w:p>
      <w:pPr>
        <w:sectPr>
          <w:pgSz w:w="11900" w:h="16838" w:orient="portrait"/>
          <w:cols w:equalWidth="0" w:num="2">
            <w:col w:w="8260" w:space="720"/>
            <w:col w:w="1360"/>
          </w:cols>
          <w:pgMar w:left="380" w:top="1440" w:right="1179" w:bottom="1440" w:gutter="0" w:footer="0" w:header="0"/>
          <w:type w:val="continuous"/>
        </w:sectPr>
      </w:pPr>
    </w:p>
    <w:bookmarkStart w:id="132" w:name="page133"/>
    <w:bookmarkEnd w:id="132"/>
    <w:p>
      <w:pPr>
        <w:jc w:val="right"/>
        <w:ind w:right="99"/>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205105</wp:posOffset>
            </wp:positionH>
            <wp:positionV relativeFrom="page">
              <wp:posOffset>88900</wp:posOffset>
            </wp:positionV>
            <wp:extent cx="7138670" cy="105156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98">
                      <a:extLst>
                        <a:ext uri="{28A0092B-C50C-407E-A947-70E740481C1C}"/>
                      </a:extLst>
                    </a:blip>
                    <a:srcRect/>
                    <a:stretch>
                      <a:fillRect/>
                    </a:stretch>
                  </pic:blipFill>
                  <pic:spPr bwMode="auto">
                    <a:xfrm>
                      <a:off x="0" y="0"/>
                      <a:ext cx="7138670" cy="10515600"/>
                    </a:xfrm>
                    <a:prstGeom prst="rect">
                      <a:avLst/>
                    </a:prstGeom>
                    <a:noFill/>
                  </pic:spPr>
                </pic:pic>
              </a:graphicData>
            </a:graphic>
          </wp:anchor>
        </w:drawing>
        <w:t>Exhibit 31.1</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CERTIFICATION</w:t>
      </w:r>
    </w:p>
    <w:p>
      <w:pPr>
        <w:spacing w:after="0" w:line="206" w:lineRule="exact"/>
        <w:rPr>
          <w:sz w:val="20"/>
          <w:szCs w:val="20"/>
          <w:color w:val="auto"/>
        </w:rPr>
      </w:pPr>
    </w:p>
    <w:p>
      <w:pPr>
        <w:ind w:left="100"/>
        <w:spacing w:after="0"/>
        <w:rPr>
          <w:sz w:val="20"/>
          <w:szCs w:val="20"/>
          <w:color w:val="auto"/>
        </w:rPr>
      </w:pPr>
      <w:r>
        <w:rPr>
          <w:rFonts w:ascii="Arial" w:cs="Arial" w:eastAsia="Arial" w:hAnsi="Arial"/>
          <w:sz w:val="17"/>
          <w:szCs w:val="17"/>
          <w:color w:val="auto"/>
        </w:rPr>
        <w:t>I, Nicholas Goodman, certify that:</w:t>
      </w:r>
    </w:p>
    <w:p>
      <w:pPr>
        <w:spacing w:after="0" w:line="191" w:lineRule="exact"/>
        <w:rPr>
          <w:sz w:val="20"/>
          <w:szCs w:val="20"/>
          <w:color w:val="auto"/>
        </w:rPr>
      </w:pPr>
    </w:p>
    <w:p>
      <w:pPr>
        <w:ind w:left="520" w:right="739" w:hanging="383"/>
        <w:spacing w:after="0" w:line="337" w:lineRule="auto"/>
        <w:tabs>
          <w:tab w:leader="none" w:pos="507" w:val="left"/>
        </w:tabs>
        <w:numPr>
          <w:ilvl w:val="0"/>
          <w:numId w:val="54"/>
        </w:numPr>
        <w:rPr>
          <w:rFonts w:ascii="Arial" w:cs="Arial" w:eastAsia="Arial" w:hAnsi="Arial"/>
          <w:sz w:val="17"/>
          <w:szCs w:val="17"/>
          <w:color w:val="auto"/>
        </w:rPr>
      </w:pPr>
      <w:r>
        <w:rPr>
          <w:rFonts w:ascii="Arial" w:cs="Arial" w:eastAsia="Arial" w:hAnsi="Arial"/>
          <w:sz w:val="17"/>
          <w:szCs w:val="17"/>
          <w:color w:val="auto"/>
        </w:rPr>
        <w:t>I have reviewed this Annual Report on Form 10-K for the year ended December 31, 2025 of Brookfield Oaktree Holdings, LLC;</w:t>
      </w:r>
    </w:p>
    <w:p>
      <w:pPr>
        <w:spacing w:after="0" w:line="82" w:lineRule="exact"/>
        <w:rPr>
          <w:rFonts w:ascii="Arial" w:cs="Arial" w:eastAsia="Arial" w:hAnsi="Arial"/>
          <w:sz w:val="17"/>
          <w:szCs w:val="17"/>
          <w:color w:val="auto"/>
        </w:rPr>
      </w:pPr>
    </w:p>
    <w:p>
      <w:pPr>
        <w:ind w:left="520" w:right="159" w:hanging="383"/>
        <w:spacing w:after="0" w:line="311" w:lineRule="auto"/>
        <w:tabs>
          <w:tab w:leader="none" w:pos="507" w:val="left"/>
        </w:tabs>
        <w:numPr>
          <w:ilvl w:val="0"/>
          <w:numId w:val="54"/>
        </w:numPr>
        <w:rPr>
          <w:rFonts w:ascii="Arial" w:cs="Arial" w:eastAsia="Arial" w:hAnsi="Arial"/>
          <w:sz w:val="17"/>
          <w:szCs w:val="17"/>
          <w:color w:val="auto"/>
        </w:rPr>
      </w:pPr>
      <w:r>
        <w:rPr>
          <w:rFonts w:ascii="Arial" w:cs="Arial" w:eastAsia="Arial" w:hAnsi="Arial"/>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6" w:lineRule="exact"/>
        <w:rPr>
          <w:rFonts w:ascii="Arial" w:cs="Arial" w:eastAsia="Arial" w:hAnsi="Arial"/>
          <w:sz w:val="17"/>
          <w:szCs w:val="17"/>
          <w:color w:val="auto"/>
        </w:rPr>
      </w:pPr>
    </w:p>
    <w:p>
      <w:pPr>
        <w:jc w:val="both"/>
        <w:ind w:left="520" w:right="159" w:hanging="383"/>
        <w:spacing w:after="0" w:line="311" w:lineRule="auto"/>
        <w:tabs>
          <w:tab w:leader="none" w:pos="507" w:val="left"/>
        </w:tabs>
        <w:numPr>
          <w:ilvl w:val="0"/>
          <w:numId w:val="5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7"/>
          <w:szCs w:val="17"/>
          <w:color w:val="auto"/>
        </w:rPr>
      </w:pPr>
    </w:p>
    <w:p>
      <w:pPr>
        <w:ind w:left="520" w:right="119" w:hanging="383"/>
        <w:spacing w:after="0" w:line="311" w:lineRule="auto"/>
        <w:tabs>
          <w:tab w:leader="none" w:pos="507" w:val="left"/>
        </w:tabs>
        <w:numPr>
          <w:ilvl w:val="0"/>
          <w:numId w:val="54"/>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3" w:lineRule="exact"/>
        <w:rPr>
          <w:rFonts w:ascii="Arial" w:cs="Arial" w:eastAsia="Arial" w:hAnsi="Arial"/>
          <w:sz w:val="17"/>
          <w:szCs w:val="17"/>
          <w:color w:val="auto"/>
        </w:rPr>
      </w:pPr>
    </w:p>
    <w:p>
      <w:pPr>
        <w:ind w:left="920" w:right="299" w:hanging="397"/>
        <w:spacing w:after="0" w:line="307" w:lineRule="auto"/>
        <w:tabs>
          <w:tab w:leader="none" w:pos="916" w:val="left"/>
        </w:tabs>
        <w:numPr>
          <w:ilvl w:val="1"/>
          <w:numId w:val="54"/>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8" w:lineRule="exact"/>
        <w:rPr>
          <w:rFonts w:ascii="Arial" w:cs="Arial" w:eastAsia="Arial" w:hAnsi="Arial"/>
          <w:sz w:val="17"/>
          <w:szCs w:val="17"/>
          <w:color w:val="auto"/>
        </w:rPr>
      </w:pPr>
    </w:p>
    <w:p>
      <w:pPr>
        <w:ind w:left="920" w:right="139" w:hanging="397"/>
        <w:spacing w:after="0" w:line="307" w:lineRule="auto"/>
        <w:tabs>
          <w:tab w:leader="none" w:pos="916" w:val="left"/>
        </w:tabs>
        <w:numPr>
          <w:ilvl w:val="1"/>
          <w:numId w:val="54"/>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8" w:lineRule="exact"/>
        <w:rPr>
          <w:rFonts w:ascii="Arial" w:cs="Arial" w:eastAsia="Arial" w:hAnsi="Arial"/>
          <w:sz w:val="17"/>
          <w:szCs w:val="17"/>
          <w:color w:val="auto"/>
        </w:rPr>
      </w:pPr>
    </w:p>
    <w:p>
      <w:pPr>
        <w:ind w:left="920" w:right="139" w:hanging="397"/>
        <w:spacing w:after="0" w:line="311" w:lineRule="auto"/>
        <w:tabs>
          <w:tab w:leader="none" w:pos="916" w:val="left"/>
        </w:tabs>
        <w:numPr>
          <w:ilvl w:val="1"/>
          <w:numId w:val="54"/>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6" w:lineRule="exact"/>
        <w:rPr>
          <w:rFonts w:ascii="Arial" w:cs="Arial" w:eastAsia="Arial" w:hAnsi="Arial"/>
          <w:sz w:val="17"/>
          <w:szCs w:val="17"/>
          <w:color w:val="auto"/>
        </w:rPr>
      </w:pPr>
    </w:p>
    <w:p>
      <w:pPr>
        <w:ind w:left="920" w:right="119" w:hanging="397"/>
        <w:spacing w:after="0" w:line="307" w:lineRule="auto"/>
        <w:tabs>
          <w:tab w:leader="none" w:pos="916" w:val="left"/>
        </w:tabs>
        <w:numPr>
          <w:ilvl w:val="1"/>
          <w:numId w:val="54"/>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8" w:lineRule="exact"/>
        <w:rPr>
          <w:rFonts w:ascii="Arial" w:cs="Arial" w:eastAsia="Arial" w:hAnsi="Arial"/>
          <w:sz w:val="17"/>
          <w:szCs w:val="17"/>
          <w:color w:val="auto"/>
        </w:rPr>
      </w:pPr>
    </w:p>
    <w:p>
      <w:pPr>
        <w:jc w:val="both"/>
        <w:ind w:left="520" w:right="159" w:hanging="383"/>
        <w:spacing w:after="0" w:line="311" w:lineRule="auto"/>
        <w:tabs>
          <w:tab w:leader="none" w:pos="507" w:val="left"/>
        </w:tabs>
        <w:numPr>
          <w:ilvl w:val="0"/>
          <w:numId w:val="54"/>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6" w:lineRule="exact"/>
        <w:rPr>
          <w:rFonts w:ascii="Arial" w:cs="Arial" w:eastAsia="Arial" w:hAnsi="Arial"/>
          <w:sz w:val="17"/>
          <w:szCs w:val="17"/>
          <w:color w:val="auto"/>
        </w:rPr>
      </w:pPr>
    </w:p>
    <w:p>
      <w:pPr>
        <w:ind w:left="920" w:right="439" w:hanging="397"/>
        <w:spacing w:after="0" w:line="311" w:lineRule="auto"/>
        <w:tabs>
          <w:tab w:leader="none" w:pos="916" w:val="left"/>
        </w:tabs>
        <w:numPr>
          <w:ilvl w:val="1"/>
          <w:numId w:val="54"/>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3" w:lineRule="exact"/>
        <w:rPr>
          <w:rFonts w:ascii="Arial" w:cs="Arial" w:eastAsia="Arial" w:hAnsi="Arial"/>
          <w:sz w:val="17"/>
          <w:szCs w:val="17"/>
          <w:color w:val="auto"/>
        </w:rPr>
      </w:pPr>
    </w:p>
    <w:p>
      <w:pPr>
        <w:ind w:left="920" w:right="159" w:hanging="397"/>
        <w:spacing w:after="0" w:line="337" w:lineRule="auto"/>
        <w:tabs>
          <w:tab w:leader="none" w:pos="916" w:val="left"/>
        </w:tabs>
        <w:numPr>
          <w:ilvl w:val="1"/>
          <w:numId w:val="54"/>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83" w:lineRule="exact"/>
        <w:rPr>
          <w:sz w:val="20"/>
          <w:szCs w:val="20"/>
          <w:color w:val="auto"/>
        </w:rPr>
      </w:pPr>
    </w:p>
    <w:p>
      <w:pPr>
        <w:ind w:left="100"/>
        <w:spacing w:after="0"/>
        <w:rPr>
          <w:sz w:val="20"/>
          <w:szCs w:val="20"/>
          <w:color w:val="auto"/>
        </w:rPr>
      </w:pPr>
      <w:r>
        <w:rPr>
          <w:rFonts w:ascii="Arial" w:cs="Arial" w:eastAsia="Arial" w:hAnsi="Arial"/>
          <w:sz w:val="17"/>
          <w:szCs w:val="17"/>
          <w:color w:val="auto"/>
        </w:rPr>
        <w:t>Date: March 24, 2026</w:t>
      </w:r>
    </w:p>
    <w:p>
      <w:pPr>
        <w:sectPr>
          <w:pgSz w:w="11900" w:h="16838" w:orient="portrait"/>
          <w:cols w:equalWidth="0" w:num="1">
            <w:col w:w="9019"/>
          </w:cols>
          <w:pgMar w:left="1440" w:top="830" w:right="1440" w:bottom="38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5000"/>
        <w:spacing w:after="0"/>
        <w:rPr>
          <w:sz w:val="20"/>
          <w:szCs w:val="20"/>
          <w:color w:val="auto"/>
        </w:rPr>
      </w:pPr>
      <w:r>
        <w:rPr>
          <w:rFonts w:ascii="Arial" w:cs="Arial" w:eastAsia="Arial" w:hAnsi="Arial"/>
          <w:sz w:val="17"/>
          <w:szCs w:val="17"/>
          <w:color w:val="auto"/>
        </w:rPr>
        <w:t>/s/ Nicholas Goodman</w:t>
      </w:r>
    </w:p>
    <w:p>
      <w:pPr>
        <w:spacing w:after="0" w:line="27" w:lineRule="exact"/>
        <w:rPr>
          <w:sz w:val="20"/>
          <w:szCs w:val="20"/>
          <w:color w:val="auto"/>
        </w:rPr>
      </w:pPr>
    </w:p>
    <w:p>
      <w:pPr>
        <w:ind w:left="5000"/>
        <w:spacing w:after="0"/>
        <w:rPr>
          <w:sz w:val="20"/>
          <w:szCs w:val="20"/>
          <w:color w:val="auto"/>
        </w:rPr>
      </w:pPr>
      <w:r>
        <w:rPr>
          <w:rFonts w:ascii="Arial" w:cs="Arial" w:eastAsia="Arial" w:hAnsi="Arial"/>
          <w:sz w:val="17"/>
          <w:szCs w:val="17"/>
          <w:color w:val="auto"/>
        </w:rPr>
        <w:t>Nicholas Goodman</w:t>
      </w:r>
    </w:p>
    <w:p>
      <w:pPr>
        <w:spacing w:after="0" w:line="14" w:lineRule="exact"/>
        <w:rPr>
          <w:sz w:val="20"/>
          <w:szCs w:val="20"/>
          <w:color w:val="auto"/>
        </w:rPr>
      </w:pPr>
    </w:p>
    <w:p>
      <w:pPr>
        <w:ind w:left="5000"/>
        <w:spacing w:after="0"/>
        <w:rPr>
          <w:sz w:val="20"/>
          <w:szCs w:val="20"/>
          <w:color w:val="auto"/>
        </w:rPr>
      </w:pPr>
      <w:r>
        <w:rPr>
          <w:rFonts w:ascii="Arial" w:cs="Arial" w:eastAsia="Arial" w:hAnsi="Arial"/>
          <w:sz w:val="17"/>
          <w:szCs w:val="17"/>
          <w:i w:val="1"/>
          <w:iCs w:val="1"/>
          <w:color w:val="auto"/>
        </w:rPr>
        <w:t>Chief Executive Officer</w:t>
      </w:r>
    </w:p>
    <w:p>
      <w:pPr>
        <w:spacing w:after="0" w:line="24" w:lineRule="exact"/>
        <w:rPr>
          <w:sz w:val="20"/>
          <w:szCs w:val="20"/>
          <w:color w:val="auto"/>
        </w:rPr>
      </w:pPr>
    </w:p>
    <w:p>
      <w:pPr>
        <w:ind w:left="5000"/>
        <w:spacing w:after="0"/>
        <w:rPr>
          <w:sz w:val="20"/>
          <w:szCs w:val="20"/>
          <w:color w:val="auto"/>
        </w:rPr>
      </w:pPr>
      <w:r>
        <w:rPr>
          <w:rFonts w:ascii="Arial" w:cs="Arial" w:eastAsia="Arial" w:hAnsi="Arial"/>
          <w:sz w:val="17"/>
          <w:szCs w:val="17"/>
          <w:i w:val="1"/>
          <w:iCs w:val="1"/>
          <w:color w:val="auto"/>
        </w:rPr>
        <w:t>(Principal Executive Officer)</w:t>
      </w:r>
    </w:p>
    <w:p>
      <w:pPr>
        <w:sectPr>
          <w:pgSz w:w="11900" w:h="16838" w:orient="portrait"/>
          <w:cols w:equalWidth="0" w:num="1">
            <w:col w:w="9019"/>
          </w:cols>
          <w:pgMar w:left="1440" w:top="830" w:right="1440" w:bottom="388" w:gutter="0" w:footer="0" w:header="0"/>
          <w:type w:val="continuous"/>
        </w:sectPr>
      </w:pPr>
    </w:p>
    <w:bookmarkStart w:id="133" w:name="page134"/>
    <w:bookmarkEnd w:id="13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205105</wp:posOffset>
            </wp:positionH>
            <wp:positionV relativeFrom="page">
              <wp:posOffset>88900</wp:posOffset>
            </wp:positionV>
            <wp:extent cx="7138670" cy="688657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99">
                      <a:extLst>
                        <a:ext uri="{28A0092B-C50C-407E-A947-70E740481C1C}"/>
                      </a:extLst>
                    </a:blip>
                    <a:srcRect/>
                    <a:stretch>
                      <a:fillRect/>
                    </a:stretch>
                  </pic:blipFill>
                  <pic:spPr bwMode="auto">
                    <a:xfrm>
                      <a:off x="0" y="0"/>
                      <a:ext cx="7138670" cy="68865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4" w:name="page135"/>
    <w:bookmarkEnd w:id="134"/>
    <w:p>
      <w:pPr>
        <w:jc w:val="right"/>
        <w:ind w:right="99"/>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205105</wp:posOffset>
            </wp:positionH>
            <wp:positionV relativeFrom="page">
              <wp:posOffset>88900</wp:posOffset>
            </wp:positionV>
            <wp:extent cx="7138670" cy="866330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00">
                      <a:extLst>
                        <a:ext uri="{28A0092B-C50C-407E-A947-70E740481C1C}"/>
                      </a:extLst>
                    </a:blip>
                    <a:srcRect/>
                    <a:stretch>
                      <a:fillRect/>
                    </a:stretch>
                  </pic:blipFill>
                  <pic:spPr bwMode="auto">
                    <a:xfrm>
                      <a:off x="0" y="0"/>
                      <a:ext cx="7138670" cy="8663305"/>
                    </a:xfrm>
                    <a:prstGeom prst="rect">
                      <a:avLst/>
                    </a:prstGeom>
                    <a:noFill/>
                  </pic:spPr>
                </pic:pic>
              </a:graphicData>
            </a:graphic>
          </wp:anchor>
        </w:drawing>
        <w:t>Exhibit 31.2</w:t>
      </w: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CERTIFICATION</w:t>
      </w:r>
    </w:p>
    <w:p>
      <w:pPr>
        <w:spacing w:after="0" w:line="193" w:lineRule="exact"/>
        <w:rPr>
          <w:sz w:val="20"/>
          <w:szCs w:val="20"/>
          <w:color w:val="auto"/>
        </w:rPr>
      </w:pPr>
    </w:p>
    <w:p>
      <w:pPr>
        <w:ind w:left="100"/>
        <w:spacing w:after="0"/>
        <w:rPr>
          <w:sz w:val="20"/>
          <w:szCs w:val="20"/>
          <w:color w:val="auto"/>
        </w:rPr>
      </w:pPr>
      <w:r>
        <w:rPr>
          <w:rFonts w:ascii="Arial" w:cs="Arial" w:eastAsia="Arial" w:hAnsi="Arial"/>
          <w:sz w:val="17"/>
          <w:szCs w:val="17"/>
          <w:color w:val="auto"/>
        </w:rPr>
        <w:t>I, Daniel D. Levin, certify that:</w:t>
      </w:r>
    </w:p>
    <w:p>
      <w:pPr>
        <w:spacing w:after="0" w:line="204" w:lineRule="exact"/>
        <w:rPr>
          <w:sz w:val="20"/>
          <w:szCs w:val="20"/>
          <w:color w:val="auto"/>
        </w:rPr>
      </w:pPr>
    </w:p>
    <w:p>
      <w:pPr>
        <w:ind w:left="520" w:right="739" w:hanging="383"/>
        <w:spacing w:after="0" w:line="321" w:lineRule="auto"/>
        <w:tabs>
          <w:tab w:leader="none" w:pos="507" w:val="left"/>
        </w:tabs>
        <w:numPr>
          <w:ilvl w:val="0"/>
          <w:numId w:val="55"/>
        </w:numPr>
        <w:rPr>
          <w:rFonts w:ascii="Arial" w:cs="Arial" w:eastAsia="Arial" w:hAnsi="Arial"/>
          <w:sz w:val="17"/>
          <w:szCs w:val="17"/>
          <w:color w:val="auto"/>
        </w:rPr>
      </w:pPr>
      <w:r>
        <w:rPr>
          <w:rFonts w:ascii="Arial" w:cs="Arial" w:eastAsia="Arial" w:hAnsi="Arial"/>
          <w:sz w:val="17"/>
          <w:szCs w:val="17"/>
          <w:color w:val="auto"/>
        </w:rPr>
        <w:t>I have reviewed this Annual Report on Form 10-K for the year ended December 31, 2025 of Brookfield Oaktree Holdings, LLC;</w:t>
      </w:r>
    </w:p>
    <w:p>
      <w:pPr>
        <w:spacing w:after="0" w:line="108" w:lineRule="exact"/>
        <w:rPr>
          <w:rFonts w:ascii="Arial" w:cs="Arial" w:eastAsia="Arial" w:hAnsi="Arial"/>
          <w:sz w:val="17"/>
          <w:szCs w:val="17"/>
          <w:color w:val="auto"/>
        </w:rPr>
      </w:pPr>
    </w:p>
    <w:p>
      <w:pPr>
        <w:ind w:left="520" w:hanging="383"/>
        <w:spacing w:after="0"/>
        <w:tabs>
          <w:tab w:leader="none" w:pos="520" w:val="left"/>
        </w:tabs>
        <w:numPr>
          <w:ilvl w:val="0"/>
          <w:numId w:val="55"/>
        </w:numPr>
        <w:rPr>
          <w:rFonts w:ascii="Arial" w:cs="Arial" w:eastAsia="Arial" w:hAnsi="Arial"/>
          <w:sz w:val="17"/>
          <w:szCs w:val="17"/>
          <w:color w:val="auto"/>
        </w:rPr>
      </w:pPr>
      <w:r>
        <w:rPr>
          <w:rFonts w:ascii="Arial" w:cs="Arial" w:eastAsia="Arial" w:hAnsi="Arial"/>
          <w:sz w:val="17"/>
          <w:szCs w:val="17"/>
          <w:color w:val="auto"/>
        </w:rPr>
        <w:t>Based on my knowledge, this report does not contain any untrue statement of a material fact or omit to state a</w:t>
      </w:r>
    </w:p>
    <w:p>
      <w:pPr>
        <w:spacing w:after="0" w:line="49" w:lineRule="exact"/>
        <w:rPr>
          <w:rFonts w:ascii="Arial" w:cs="Arial" w:eastAsia="Arial" w:hAnsi="Arial"/>
          <w:sz w:val="17"/>
          <w:szCs w:val="17"/>
          <w:color w:val="auto"/>
        </w:rPr>
      </w:pPr>
    </w:p>
    <w:p>
      <w:pPr>
        <w:ind w:left="520" w:right="819"/>
        <w:spacing w:after="0" w:line="321" w:lineRule="auto"/>
        <w:rPr>
          <w:rFonts w:ascii="Arial" w:cs="Arial" w:eastAsia="Arial" w:hAnsi="Arial"/>
          <w:sz w:val="17"/>
          <w:szCs w:val="17"/>
          <w:color w:val="auto"/>
        </w:rPr>
      </w:pPr>
      <w:r>
        <w:rPr>
          <w:rFonts w:ascii="Arial" w:cs="Arial" w:eastAsia="Arial" w:hAnsi="Arial"/>
          <w:sz w:val="17"/>
          <w:szCs w:val="17"/>
          <w:color w:val="auto"/>
        </w:rPr>
        <w:t>material fact necessary to make the statements made, in light of the circumstances under which such statements were made, not misleading with respect to the period covered by this report;</w:t>
      </w:r>
    </w:p>
    <w:p>
      <w:pPr>
        <w:spacing w:after="0" w:line="108" w:lineRule="exact"/>
        <w:rPr>
          <w:rFonts w:ascii="Arial" w:cs="Arial" w:eastAsia="Arial" w:hAnsi="Arial"/>
          <w:sz w:val="17"/>
          <w:szCs w:val="17"/>
          <w:color w:val="auto"/>
        </w:rPr>
      </w:pPr>
    </w:p>
    <w:p>
      <w:pPr>
        <w:jc w:val="both"/>
        <w:ind w:left="520" w:right="159" w:hanging="383"/>
        <w:spacing w:after="0" w:line="311" w:lineRule="auto"/>
        <w:tabs>
          <w:tab w:leader="none" w:pos="507" w:val="left"/>
        </w:tabs>
        <w:numPr>
          <w:ilvl w:val="0"/>
          <w:numId w:val="5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3" w:lineRule="exact"/>
        <w:rPr>
          <w:rFonts w:ascii="Arial" w:cs="Arial" w:eastAsia="Arial" w:hAnsi="Arial"/>
          <w:sz w:val="17"/>
          <w:szCs w:val="17"/>
          <w:color w:val="auto"/>
        </w:rPr>
      </w:pPr>
    </w:p>
    <w:p>
      <w:pPr>
        <w:ind w:left="520" w:hanging="383"/>
        <w:spacing w:after="0"/>
        <w:tabs>
          <w:tab w:leader="none" w:pos="520" w:val="left"/>
        </w:tabs>
        <w:numPr>
          <w:ilvl w:val="0"/>
          <w:numId w:val="55"/>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w:t>
      </w:r>
    </w:p>
    <w:p>
      <w:pPr>
        <w:spacing w:after="0" w:line="49" w:lineRule="exact"/>
        <w:rPr>
          <w:rFonts w:ascii="Arial" w:cs="Arial" w:eastAsia="Arial" w:hAnsi="Arial"/>
          <w:sz w:val="17"/>
          <w:szCs w:val="17"/>
          <w:color w:val="auto"/>
        </w:rPr>
      </w:pPr>
    </w:p>
    <w:p>
      <w:pPr>
        <w:ind w:left="520" w:right="119"/>
        <w:spacing w:after="0" w:line="321" w:lineRule="auto"/>
        <w:rPr>
          <w:rFonts w:ascii="Arial" w:cs="Arial" w:eastAsia="Arial" w:hAnsi="Arial"/>
          <w:sz w:val="17"/>
          <w:szCs w:val="17"/>
          <w:color w:val="auto"/>
        </w:rPr>
      </w:pPr>
      <w:r>
        <w:rPr>
          <w:rFonts w:ascii="Arial" w:cs="Arial" w:eastAsia="Arial" w:hAnsi="Arial"/>
          <w:sz w:val="17"/>
          <w:szCs w:val="17"/>
          <w:color w:val="auto"/>
        </w:rPr>
        <w:t>controls and procedures (as defined in Exchange Act Rules 13a-15(e) and 15d-15(e)) and internal control over financial reporting (as defined in Exchange Act Rules 13a-15(f) and 15d-15(f)) for the registrant and have:</w:t>
      </w:r>
    </w:p>
    <w:p>
      <w:pPr>
        <w:spacing w:after="0" w:line="108" w:lineRule="exact"/>
        <w:rPr>
          <w:rFonts w:ascii="Arial" w:cs="Arial" w:eastAsia="Arial" w:hAnsi="Arial"/>
          <w:sz w:val="17"/>
          <w:szCs w:val="17"/>
          <w:color w:val="auto"/>
        </w:rPr>
      </w:pPr>
    </w:p>
    <w:p>
      <w:pPr>
        <w:ind w:left="920" w:right="299" w:hanging="397"/>
        <w:spacing w:after="0" w:line="292" w:lineRule="auto"/>
        <w:tabs>
          <w:tab w:leader="none" w:pos="916" w:val="left"/>
        </w:tabs>
        <w:numPr>
          <w:ilvl w:val="1"/>
          <w:numId w:val="55"/>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w:t>
      </w:r>
    </w:p>
    <w:p>
      <w:pPr>
        <w:spacing w:after="0" w:line="1" w:lineRule="exact"/>
        <w:rPr>
          <w:rFonts w:ascii="Arial" w:cs="Arial" w:eastAsia="Arial" w:hAnsi="Arial"/>
          <w:sz w:val="17"/>
          <w:szCs w:val="17"/>
          <w:color w:val="auto"/>
        </w:rPr>
      </w:pPr>
    </w:p>
    <w:p>
      <w:pPr>
        <w:ind w:left="920" w:right="359"/>
        <w:spacing w:after="0" w:line="321" w:lineRule="auto"/>
        <w:rPr>
          <w:rFonts w:ascii="Arial" w:cs="Arial" w:eastAsia="Arial" w:hAnsi="Arial"/>
          <w:sz w:val="17"/>
          <w:szCs w:val="17"/>
          <w:color w:val="auto"/>
        </w:rPr>
      </w:pPr>
      <w:r>
        <w:rPr>
          <w:rFonts w:ascii="Arial" w:cs="Arial" w:eastAsia="Arial" w:hAnsi="Arial"/>
          <w:sz w:val="17"/>
          <w:szCs w:val="17"/>
          <w:color w:val="auto"/>
        </w:rPr>
        <w:t>including its consolidated subsidiaries, is made known to us by others within those entities, particularly during the period in which this report is being prepared;</w:t>
      </w:r>
    </w:p>
    <w:p>
      <w:pPr>
        <w:spacing w:after="0" w:line="108" w:lineRule="exact"/>
        <w:rPr>
          <w:rFonts w:ascii="Arial" w:cs="Arial" w:eastAsia="Arial" w:hAnsi="Arial"/>
          <w:sz w:val="17"/>
          <w:szCs w:val="17"/>
          <w:color w:val="auto"/>
        </w:rPr>
      </w:pPr>
    </w:p>
    <w:p>
      <w:pPr>
        <w:ind w:left="920" w:right="139" w:hanging="397"/>
        <w:spacing w:after="0" w:line="307" w:lineRule="auto"/>
        <w:tabs>
          <w:tab w:leader="none" w:pos="916" w:val="left"/>
        </w:tabs>
        <w:numPr>
          <w:ilvl w:val="1"/>
          <w:numId w:val="55"/>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8" w:lineRule="exact"/>
        <w:rPr>
          <w:rFonts w:ascii="Arial" w:cs="Arial" w:eastAsia="Arial" w:hAnsi="Arial"/>
          <w:sz w:val="17"/>
          <w:szCs w:val="17"/>
          <w:color w:val="auto"/>
        </w:rPr>
      </w:pPr>
    </w:p>
    <w:p>
      <w:pPr>
        <w:ind w:left="900" w:hanging="377"/>
        <w:spacing w:after="0"/>
        <w:tabs>
          <w:tab w:leader="none" w:pos="900" w:val="left"/>
        </w:tabs>
        <w:numPr>
          <w:ilvl w:val="1"/>
          <w:numId w:val="55"/>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w:t>
      </w:r>
    </w:p>
    <w:p>
      <w:pPr>
        <w:spacing w:after="0" w:line="49" w:lineRule="exact"/>
        <w:rPr>
          <w:rFonts w:ascii="Arial" w:cs="Arial" w:eastAsia="Arial" w:hAnsi="Arial"/>
          <w:sz w:val="17"/>
          <w:szCs w:val="17"/>
          <w:color w:val="auto"/>
        </w:rPr>
      </w:pPr>
    </w:p>
    <w:p>
      <w:pPr>
        <w:ind w:left="920" w:right="139"/>
        <w:spacing w:after="0" w:line="321" w:lineRule="auto"/>
        <w:rPr>
          <w:rFonts w:ascii="Arial" w:cs="Arial" w:eastAsia="Arial" w:hAnsi="Arial"/>
          <w:sz w:val="17"/>
          <w:szCs w:val="17"/>
          <w:color w:val="auto"/>
        </w:rPr>
      </w:pPr>
      <w:r>
        <w:rPr>
          <w:rFonts w:ascii="Arial" w:cs="Arial" w:eastAsia="Arial" w:hAnsi="Arial"/>
          <w:sz w:val="17"/>
          <w:szCs w:val="17"/>
          <w:color w:val="auto"/>
        </w:rPr>
        <w:t>report our conclusions about the effectiveness of the disclosure controls and procedures, as of the end of the period covered by this report based on such evaluation; and</w:t>
      </w:r>
    </w:p>
    <w:p>
      <w:pPr>
        <w:spacing w:after="0" w:line="108" w:lineRule="exact"/>
        <w:rPr>
          <w:rFonts w:ascii="Arial" w:cs="Arial" w:eastAsia="Arial" w:hAnsi="Arial"/>
          <w:sz w:val="17"/>
          <w:szCs w:val="17"/>
          <w:color w:val="auto"/>
        </w:rPr>
      </w:pPr>
    </w:p>
    <w:p>
      <w:pPr>
        <w:ind w:left="920" w:right="139" w:hanging="397"/>
        <w:spacing w:after="0" w:line="292" w:lineRule="auto"/>
        <w:tabs>
          <w:tab w:leader="none" w:pos="916" w:val="left"/>
        </w:tabs>
        <w:numPr>
          <w:ilvl w:val="1"/>
          <w:numId w:val="55"/>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w:t>
      </w:r>
    </w:p>
    <w:p>
      <w:pPr>
        <w:spacing w:after="0" w:line="1" w:lineRule="exact"/>
        <w:rPr>
          <w:rFonts w:ascii="Arial" w:cs="Arial" w:eastAsia="Arial" w:hAnsi="Arial"/>
          <w:sz w:val="17"/>
          <w:szCs w:val="17"/>
          <w:color w:val="auto"/>
        </w:rPr>
      </w:pPr>
    </w:p>
    <w:p>
      <w:pPr>
        <w:ind w:left="920" w:right="119"/>
        <w:spacing w:after="0" w:line="321" w:lineRule="auto"/>
        <w:rPr>
          <w:rFonts w:ascii="Arial" w:cs="Arial" w:eastAsia="Arial" w:hAnsi="Arial"/>
          <w:sz w:val="17"/>
          <w:szCs w:val="17"/>
          <w:color w:val="auto"/>
        </w:rPr>
      </w:pPr>
      <w:r>
        <w:rPr>
          <w:rFonts w:ascii="Arial" w:cs="Arial" w:eastAsia="Arial" w:hAnsi="Arial"/>
          <w:sz w:val="17"/>
          <w:szCs w:val="17"/>
          <w:color w:val="auto"/>
        </w:rPr>
        <w:t>of an annual report) that has materially affected, or is reasonably likely to materially affect, the registrant's internal control over financial reporting; and</w:t>
      </w:r>
    </w:p>
    <w:p>
      <w:pPr>
        <w:spacing w:after="0" w:line="108" w:lineRule="exact"/>
        <w:rPr>
          <w:rFonts w:ascii="Arial" w:cs="Arial" w:eastAsia="Arial" w:hAnsi="Arial"/>
          <w:sz w:val="17"/>
          <w:szCs w:val="17"/>
          <w:color w:val="auto"/>
        </w:rPr>
      </w:pPr>
    </w:p>
    <w:p>
      <w:pPr>
        <w:jc w:val="both"/>
        <w:ind w:left="520" w:right="159" w:hanging="383"/>
        <w:spacing w:after="0" w:line="311" w:lineRule="auto"/>
        <w:tabs>
          <w:tab w:leader="none" w:pos="507" w:val="left"/>
        </w:tabs>
        <w:numPr>
          <w:ilvl w:val="0"/>
          <w:numId w:val="55"/>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3" w:lineRule="exact"/>
        <w:rPr>
          <w:rFonts w:ascii="Arial" w:cs="Arial" w:eastAsia="Arial" w:hAnsi="Arial"/>
          <w:sz w:val="17"/>
          <w:szCs w:val="17"/>
          <w:color w:val="auto"/>
        </w:rPr>
      </w:pPr>
    </w:p>
    <w:p>
      <w:pPr>
        <w:ind w:left="900" w:hanging="377"/>
        <w:spacing w:after="0"/>
        <w:tabs>
          <w:tab w:leader="none" w:pos="900" w:val="left"/>
        </w:tabs>
        <w:numPr>
          <w:ilvl w:val="1"/>
          <w:numId w:val="55"/>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w:t>
      </w:r>
    </w:p>
    <w:p>
      <w:pPr>
        <w:spacing w:after="0" w:line="49" w:lineRule="exact"/>
        <w:rPr>
          <w:rFonts w:ascii="Arial" w:cs="Arial" w:eastAsia="Arial" w:hAnsi="Arial"/>
          <w:sz w:val="17"/>
          <w:szCs w:val="17"/>
          <w:color w:val="auto"/>
        </w:rPr>
      </w:pPr>
    </w:p>
    <w:p>
      <w:pPr>
        <w:ind w:left="920" w:right="779"/>
        <w:spacing w:after="0" w:line="321" w:lineRule="auto"/>
        <w:rPr>
          <w:rFonts w:ascii="Arial" w:cs="Arial" w:eastAsia="Arial" w:hAnsi="Arial"/>
          <w:sz w:val="17"/>
          <w:szCs w:val="17"/>
          <w:color w:val="auto"/>
        </w:rPr>
      </w:pPr>
      <w:r>
        <w:rPr>
          <w:rFonts w:ascii="Arial" w:cs="Arial" w:eastAsia="Arial" w:hAnsi="Arial"/>
          <w:sz w:val="17"/>
          <w:szCs w:val="17"/>
          <w:color w:val="auto"/>
        </w:rPr>
        <w:t>financial reporting which are reasonably likely to adversely affect the registrant's ability to record, process, summarize and report financial information; and</w:t>
      </w:r>
    </w:p>
    <w:p>
      <w:pPr>
        <w:spacing w:after="0" w:line="108" w:lineRule="exact"/>
        <w:rPr>
          <w:rFonts w:ascii="Arial" w:cs="Arial" w:eastAsia="Arial" w:hAnsi="Arial"/>
          <w:sz w:val="17"/>
          <w:szCs w:val="17"/>
          <w:color w:val="auto"/>
        </w:rPr>
      </w:pPr>
    </w:p>
    <w:p>
      <w:pPr>
        <w:ind w:left="920" w:right="159" w:hanging="397"/>
        <w:spacing w:after="0" w:line="337" w:lineRule="auto"/>
        <w:tabs>
          <w:tab w:leader="none" w:pos="916" w:val="left"/>
        </w:tabs>
        <w:numPr>
          <w:ilvl w:val="1"/>
          <w:numId w:val="55"/>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83" w:lineRule="exact"/>
        <w:rPr>
          <w:sz w:val="20"/>
          <w:szCs w:val="20"/>
          <w:color w:val="auto"/>
        </w:rPr>
      </w:pPr>
    </w:p>
    <w:p>
      <w:pPr>
        <w:ind w:left="100"/>
        <w:spacing w:after="0"/>
        <w:rPr>
          <w:sz w:val="20"/>
          <w:szCs w:val="20"/>
          <w:color w:val="auto"/>
        </w:rPr>
      </w:pPr>
      <w:r>
        <w:rPr>
          <w:rFonts w:ascii="Arial" w:cs="Arial" w:eastAsia="Arial" w:hAnsi="Arial"/>
          <w:sz w:val="17"/>
          <w:szCs w:val="17"/>
          <w:color w:val="auto"/>
        </w:rPr>
        <w:t>Date: March 24, 2026</w:t>
      </w:r>
    </w:p>
    <w:p>
      <w:pPr>
        <w:spacing w:after="0" w:line="200" w:lineRule="exact"/>
        <w:rPr>
          <w:sz w:val="20"/>
          <w:szCs w:val="20"/>
          <w:color w:val="auto"/>
        </w:rPr>
      </w:pPr>
    </w:p>
    <w:p>
      <w:pPr>
        <w:spacing w:after="0" w:line="223" w:lineRule="exact"/>
        <w:rPr>
          <w:sz w:val="20"/>
          <w:szCs w:val="20"/>
          <w:color w:val="auto"/>
        </w:rPr>
      </w:pPr>
    </w:p>
    <w:p>
      <w:pPr>
        <w:ind w:left="5000"/>
        <w:spacing w:after="0"/>
        <w:rPr>
          <w:sz w:val="20"/>
          <w:szCs w:val="20"/>
          <w:color w:val="auto"/>
        </w:rPr>
      </w:pPr>
      <w:r>
        <w:rPr>
          <w:rFonts w:ascii="Arial" w:cs="Arial" w:eastAsia="Arial" w:hAnsi="Arial"/>
          <w:sz w:val="17"/>
          <w:szCs w:val="17"/>
          <w:color w:val="auto"/>
        </w:rPr>
        <w:t>/s/ Daniel D. Levin</w:t>
      </w:r>
    </w:p>
    <w:p>
      <w:pPr>
        <w:spacing w:after="0" w:line="27" w:lineRule="exact"/>
        <w:rPr>
          <w:sz w:val="20"/>
          <w:szCs w:val="20"/>
          <w:color w:val="auto"/>
        </w:rPr>
      </w:pPr>
    </w:p>
    <w:p>
      <w:pPr>
        <w:ind w:left="5000"/>
        <w:spacing w:after="0"/>
        <w:rPr>
          <w:sz w:val="20"/>
          <w:szCs w:val="20"/>
          <w:color w:val="auto"/>
        </w:rPr>
      </w:pPr>
      <w:r>
        <w:rPr>
          <w:rFonts w:ascii="Arial" w:cs="Arial" w:eastAsia="Arial" w:hAnsi="Arial"/>
          <w:sz w:val="17"/>
          <w:szCs w:val="17"/>
          <w:color w:val="auto"/>
        </w:rPr>
        <w:t>Daniel D. Levin</w:t>
      </w:r>
    </w:p>
    <w:p>
      <w:pPr>
        <w:spacing w:after="0" w:line="14" w:lineRule="exact"/>
        <w:rPr>
          <w:sz w:val="20"/>
          <w:szCs w:val="20"/>
          <w:color w:val="auto"/>
        </w:rPr>
      </w:pPr>
    </w:p>
    <w:p>
      <w:pPr>
        <w:ind w:left="5000"/>
        <w:spacing w:after="0"/>
        <w:rPr>
          <w:sz w:val="20"/>
          <w:szCs w:val="20"/>
          <w:color w:val="auto"/>
        </w:rPr>
      </w:pPr>
      <w:r>
        <w:rPr>
          <w:rFonts w:ascii="Arial" w:cs="Arial" w:eastAsia="Arial" w:hAnsi="Arial"/>
          <w:sz w:val="17"/>
          <w:szCs w:val="17"/>
          <w:i w:val="1"/>
          <w:iCs w:val="1"/>
          <w:color w:val="auto"/>
        </w:rPr>
        <w:t>Chief Financial Officer</w:t>
      </w:r>
    </w:p>
    <w:p>
      <w:pPr>
        <w:spacing w:after="0" w:line="24" w:lineRule="exact"/>
        <w:rPr>
          <w:sz w:val="20"/>
          <w:szCs w:val="20"/>
          <w:color w:val="auto"/>
        </w:rPr>
      </w:pPr>
    </w:p>
    <w:p>
      <w:pPr>
        <w:ind w:left="5000"/>
        <w:spacing w:after="0"/>
        <w:rPr>
          <w:sz w:val="20"/>
          <w:szCs w:val="20"/>
          <w:color w:val="auto"/>
        </w:rPr>
      </w:pPr>
      <w:r>
        <w:rPr>
          <w:rFonts w:ascii="Arial" w:cs="Arial" w:eastAsia="Arial" w:hAnsi="Arial"/>
          <w:sz w:val="17"/>
          <w:szCs w:val="17"/>
          <w:i w:val="1"/>
          <w:iCs w:val="1"/>
          <w:color w:val="auto"/>
        </w:rPr>
        <w:t>(Principal Financial Officer)</w:t>
      </w:r>
    </w:p>
    <w:p>
      <w:pPr>
        <w:sectPr>
          <w:pgSz w:w="11900" w:h="16838" w:orient="portrait"/>
          <w:cols w:equalWidth="0" w:num="1">
            <w:col w:w="9019"/>
          </w:cols>
          <w:pgMar w:left="1440" w:top="611" w:right="1440" w:bottom="1440" w:gutter="0" w:footer="0" w:header="0"/>
        </w:sectPr>
      </w:pPr>
    </w:p>
    <w:bookmarkStart w:id="135" w:name="page136"/>
    <w:bookmarkEnd w:id="135"/>
    <w:p>
      <w:pPr>
        <w:jc w:val="right"/>
        <w:ind w:right="99"/>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205105</wp:posOffset>
            </wp:positionH>
            <wp:positionV relativeFrom="page">
              <wp:posOffset>88900</wp:posOffset>
            </wp:positionV>
            <wp:extent cx="7138670" cy="866330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01">
                      <a:extLst>
                        <a:ext uri="{28A0092B-C50C-407E-A947-70E740481C1C}"/>
                      </a:extLst>
                    </a:blip>
                    <a:srcRect/>
                    <a:stretch>
                      <a:fillRect/>
                    </a:stretch>
                  </pic:blipFill>
                  <pic:spPr bwMode="auto">
                    <a:xfrm>
                      <a:off x="0" y="0"/>
                      <a:ext cx="7138670" cy="8663305"/>
                    </a:xfrm>
                    <a:prstGeom prst="rect">
                      <a:avLst/>
                    </a:prstGeom>
                    <a:noFill/>
                  </pic:spPr>
                </pic:pic>
              </a:graphicData>
            </a:graphic>
          </wp:anchor>
        </w:drawing>
        <w:t>Exhibit 32.1</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Pursuant to 18 U.S.C. Section 1350,</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As Adopted Pursuant to Section 906 of the Sarbanes-Oxley Act of 2002</w:t>
      </w:r>
    </w:p>
    <w:p>
      <w:pPr>
        <w:spacing w:after="0" w:line="193" w:lineRule="exact"/>
        <w:rPr>
          <w:sz w:val="20"/>
          <w:szCs w:val="20"/>
          <w:color w:val="auto"/>
        </w:rPr>
      </w:pPr>
    </w:p>
    <w:p>
      <w:pPr>
        <w:jc w:val="both"/>
        <w:ind w:left="100" w:right="299" w:firstLine="619"/>
        <w:spacing w:after="0" w:line="307" w:lineRule="auto"/>
        <w:rPr>
          <w:sz w:val="20"/>
          <w:szCs w:val="20"/>
          <w:color w:val="auto"/>
        </w:rPr>
      </w:pPr>
      <w:r>
        <w:rPr>
          <w:rFonts w:ascii="Arial" w:cs="Arial" w:eastAsia="Arial" w:hAnsi="Arial"/>
          <w:sz w:val="17"/>
          <w:szCs w:val="17"/>
          <w:color w:val="auto"/>
        </w:rPr>
        <w:t>In connection with the Annual Report on Form 10-K of Brookfield Oaktree Holdings, LLC (the “Company”) for the year ended December 31, 2025 as filed with the Securities and Exchange Commission on the date hereof (the “Report”), I, Nicholas Goodman, certify, pursuant to 18 U.S.C. § 1350, as adopted pursuant to Section 906 of the Sarbanes-Oxley Act of 2002, that:</w:t>
      </w:r>
    </w:p>
    <w:p>
      <w:pPr>
        <w:spacing w:after="0" w:line="109" w:lineRule="exact"/>
        <w:rPr>
          <w:sz w:val="20"/>
          <w:szCs w:val="20"/>
          <w:color w:val="auto"/>
        </w:rPr>
      </w:pPr>
    </w:p>
    <w:p>
      <w:pPr>
        <w:ind w:left="520" w:right="399" w:hanging="383"/>
        <w:spacing w:after="0" w:line="337" w:lineRule="auto"/>
        <w:tabs>
          <w:tab w:leader="none" w:pos="507" w:val="left"/>
        </w:tabs>
        <w:numPr>
          <w:ilvl w:val="0"/>
          <w:numId w:val="56"/>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82" w:lineRule="exact"/>
        <w:rPr>
          <w:rFonts w:ascii="Arial" w:cs="Arial" w:eastAsia="Arial" w:hAnsi="Arial"/>
          <w:sz w:val="17"/>
          <w:szCs w:val="17"/>
          <w:color w:val="auto"/>
        </w:rPr>
      </w:pPr>
    </w:p>
    <w:p>
      <w:pPr>
        <w:ind w:left="520" w:right="479" w:hanging="383"/>
        <w:spacing w:after="0" w:line="337" w:lineRule="auto"/>
        <w:tabs>
          <w:tab w:leader="none" w:pos="507" w:val="left"/>
        </w:tabs>
        <w:numPr>
          <w:ilvl w:val="0"/>
          <w:numId w:val="56"/>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 at the dates and for the periods presented.</w:t>
      </w:r>
    </w:p>
    <w:p>
      <w:pPr>
        <w:sectPr>
          <w:pgSz w:w="11900" w:h="16838" w:orient="portrait"/>
          <w:cols w:equalWidth="0" w:num="1">
            <w:col w:w="9019"/>
          </w:cols>
          <w:pgMar w:left="1440" w:top="830" w:right="1440" w:bottom="1440" w:gutter="0" w:footer="0" w:header="0"/>
        </w:sectPr>
      </w:pPr>
    </w:p>
    <w:p>
      <w:pPr>
        <w:spacing w:after="0" w:line="96" w:lineRule="exact"/>
        <w:rPr>
          <w:sz w:val="20"/>
          <w:szCs w:val="20"/>
          <w:color w:val="auto"/>
        </w:rPr>
      </w:pPr>
    </w:p>
    <w:p>
      <w:pPr>
        <w:ind w:left="100"/>
        <w:spacing w:after="0"/>
        <w:rPr>
          <w:sz w:val="20"/>
          <w:szCs w:val="20"/>
          <w:color w:val="auto"/>
        </w:rPr>
      </w:pPr>
      <w:r>
        <w:rPr>
          <w:rFonts w:ascii="Arial" w:cs="Arial" w:eastAsia="Arial" w:hAnsi="Arial"/>
          <w:sz w:val="17"/>
          <w:szCs w:val="17"/>
          <w:color w:val="auto"/>
        </w:rPr>
        <w:t>Date: March 24, 2026</w:t>
      </w:r>
    </w:p>
    <w:p>
      <w:pPr>
        <w:spacing w:after="0" w:line="243" w:lineRule="exact"/>
        <w:rPr>
          <w:sz w:val="20"/>
          <w:szCs w:val="20"/>
          <w:color w:val="auto"/>
        </w:rPr>
      </w:pPr>
    </w:p>
    <w:p>
      <w:pPr>
        <w:ind w:left="100" w:firstLine="812"/>
        <w:spacing w:after="0" w:line="307" w:lineRule="auto"/>
        <w:rPr>
          <w:sz w:val="20"/>
          <w:szCs w:val="20"/>
          <w:color w:val="auto"/>
        </w:rPr>
      </w:pPr>
      <w:r>
        <w:rPr>
          <w:rFonts w:ascii="Arial" w:cs="Arial" w:eastAsia="Arial" w:hAnsi="Arial"/>
          <w:sz w:val="17"/>
          <w:szCs w:val="17"/>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color w:val="auto"/>
        </w:rPr>
        <w:t>/s/ Nicholas Goodman</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color w:val="auto"/>
        </w:rPr>
        <w:t>Nicholas Goodman</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Chief Executive Officer</w:t>
      </w:r>
    </w:p>
    <w:p>
      <w:pPr>
        <w:spacing w:after="0" w:line="2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(Principal Executive Officer)</w:t>
      </w:r>
    </w:p>
    <w:p>
      <w:pPr>
        <w:spacing w:after="0" w:line="172" w:lineRule="exact"/>
        <w:rPr>
          <w:sz w:val="20"/>
          <w:szCs w:val="20"/>
          <w:color w:val="auto"/>
        </w:rPr>
      </w:pPr>
    </w:p>
    <w:p>
      <w:pPr>
        <w:sectPr>
          <w:pgSz w:w="11900" w:h="16838" w:orient="portrait"/>
          <w:cols w:equalWidth="0" w:num="2">
            <w:col w:w="4720" w:space="280"/>
            <w:col w:w="4019"/>
          </w:cols>
          <w:pgMar w:left="1440" w:top="830" w:right="1440" w:bottom="1440" w:gutter="0" w:footer="0" w:header="0"/>
          <w:type w:val="continuous"/>
        </w:sectPr>
      </w:pPr>
    </w:p>
    <w:p>
      <w:pPr>
        <w:ind w:left="100" w:right="139" w:firstLine="812"/>
        <w:spacing w:after="0" w:line="307" w:lineRule="auto"/>
        <w:rPr>
          <w:sz w:val="20"/>
          <w:szCs w:val="20"/>
          <w:color w:val="auto"/>
        </w:rPr>
      </w:pPr>
      <w:r>
        <w:rPr>
          <w:rFonts w:ascii="Arial" w:cs="Arial" w:eastAsia="Arial" w:hAnsi="Arial"/>
          <w:sz w:val="17"/>
          <w:szCs w:val="17"/>
          <w:color w:val="auto"/>
        </w:rPr>
        <w:t>This Certification is not deemed filed with the Securities and Exchange Commission and is not to be incorporated by reference into any filing of the Company under the Securities Act of 1933, as amended, or the Securities Exchange Act of 1934, as amended (whether made before or after the date of the Report), irrespective of any general incorporation language contained in such filing.</w:t>
      </w:r>
    </w:p>
    <w:p>
      <w:pPr>
        <w:sectPr>
          <w:pgSz w:w="11900" w:h="16838" w:orient="portrait"/>
          <w:cols w:equalWidth="0" w:num="1">
            <w:col w:w="9019"/>
          </w:cols>
          <w:pgMar w:left="1440" w:top="830" w:right="1440" w:bottom="1440" w:gutter="0" w:footer="0" w:header="0"/>
          <w:type w:val="continuous"/>
        </w:sectPr>
      </w:pPr>
    </w:p>
    <w:bookmarkStart w:id="136" w:name="page137"/>
    <w:bookmarkEnd w:id="136"/>
    <w:p>
      <w:pPr>
        <w:jc w:val="right"/>
        <w:ind w:right="99"/>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205105</wp:posOffset>
            </wp:positionH>
            <wp:positionV relativeFrom="page">
              <wp:posOffset>88900</wp:posOffset>
            </wp:positionV>
            <wp:extent cx="7138670" cy="866330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02">
                      <a:extLst>
                        <a:ext uri="{28A0092B-C50C-407E-A947-70E740481C1C}"/>
                      </a:extLst>
                    </a:blip>
                    <a:srcRect/>
                    <a:stretch>
                      <a:fillRect/>
                    </a:stretch>
                  </pic:blipFill>
                  <pic:spPr bwMode="auto">
                    <a:xfrm>
                      <a:off x="0" y="0"/>
                      <a:ext cx="7138670" cy="8663305"/>
                    </a:xfrm>
                    <a:prstGeom prst="rect">
                      <a:avLst/>
                    </a:prstGeom>
                    <a:noFill/>
                  </pic:spPr>
                </pic:pic>
              </a:graphicData>
            </a:graphic>
          </wp:anchor>
        </w:drawing>
        <w:t>Exhibit 32.2</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Pursuant to 18 U.S.C. Section 1350,</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As Adopted Pursuant to Section 906 of the Sarbanes-Oxley Act of 2002</w:t>
      </w:r>
    </w:p>
    <w:p>
      <w:pPr>
        <w:spacing w:after="0" w:line="193" w:lineRule="exact"/>
        <w:rPr>
          <w:sz w:val="20"/>
          <w:szCs w:val="20"/>
          <w:color w:val="auto"/>
        </w:rPr>
      </w:pPr>
    </w:p>
    <w:p>
      <w:pPr>
        <w:jc w:val="both"/>
        <w:ind w:left="100" w:right="299" w:firstLine="619"/>
        <w:spacing w:after="0" w:line="307" w:lineRule="auto"/>
        <w:rPr>
          <w:sz w:val="20"/>
          <w:szCs w:val="20"/>
          <w:color w:val="auto"/>
        </w:rPr>
      </w:pPr>
      <w:r>
        <w:rPr>
          <w:rFonts w:ascii="Arial" w:cs="Arial" w:eastAsia="Arial" w:hAnsi="Arial"/>
          <w:sz w:val="17"/>
          <w:szCs w:val="17"/>
          <w:color w:val="auto"/>
        </w:rPr>
        <w:t>In connection with the Annual Report on Form 10-K of Brookfield Oaktree Holdings, LLC (the “Company”) for the year ended December 31, 2025 as filed with the Securities and Exchange Commission on the date hereof (the “Report”), I, Daniel D. Levin, certify, pursuant to 18 U.S.C. § 1350, as adopted pursuant to Section 906 of the Sarbanes-Oxley Act of 2002, that:</w:t>
      </w:r>
    </w:p>
    <w:p>
      <w:pPr>
        <w:spacing w:after="0" w:line="109" w:lineRule="exact"/>
        <w:rPr>
          <w:sz w:val="20"/>
          <w:szCs w:val="20"/>
          <w:color w:val="auto"/>
        </w:rPr>
      </w:pPr>
    </w:p>
    <w:p>
      <w:pPr>
        <w:ind w:left="520" w:right="399" w:hanging="383"/>
        <w:spacing w:after="0" w:line="337" w:lineRule="auto"/>
        <w:tabs>
          <w:tab w:leader="none" w:pos="507" w:val="left"/>
        </w:tabs>
        <w:numPr>
          <w:ilvl w:val="0"/>
          <w:numId w:val="57"/>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82" w:lineRule="exact"/>
        <w:rPr>
          <w:rFonts w:ascii="Arial" w:cs="Arial" w:eastAsia="Arial" w:hAnsi="Arial"/>
          <w:sz w:val="17"/>
          <w:szCs w:val="17"/>
          <w:color w:val="auto"/>
        </w:rPr>
      </w:pPr>
    </w:p>
    <w:p>
      <w:pPr>
        <w:ind w:left="520" w:right="479" w:hanging="383"/>
        <w:spacing w:after="0" w:line="337" w:lineRule="auto"/>
        <w:tabs>
          <w:tab w:leader="none" w:pos="507" w:val="left"/>
        </w:tabs>
        <w:numPr>
          <w:ilvl w:val="0"/>
          <w:numId w:val="57"/>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 at the dates and for the periods presented.</w:t>
      </w:r>
    </w:p>
    <w:p>
      <w:pPr>
        <w:sectPr>
          <w:pgSz w:w="11900" w:h="16838" w:orient="portrait"/>
          <w:cols w:equalWidth="0" w:num="1">
            <w:col w:w="9019"/>
          </w:cols>
          <w:pgMar w:left="1440" w:top="830" w:right="1440" w:bottom="1440" w:gutter="0" w:footer="0" w:header="0"/>
        </w:sectPr>
      </w:pPr>
    </w:p>
    <w:p>
      <w:pPr>
        <w:spacing w:after="0" w:line="96" w:lineRule="exact"/>
        <w:rPr>
          <w:sz w:val="20"/>
          <w:szCs w:val="20"/>
          <w:color w:val="auto"/>
        </w:rPr>
      </w:pPr>
    </w:p>
    <w:p>
      <w:pPr>
        <w:ind w:left="100"/>
        <w:spacing w:after="0"/>
        <w:rPr>
          <w:sz w:val="20"/>
          <w:szCs w:val="20"/>
          <w:color w:val="auto"/>
        </w:rPr>
      </w:pPr>
      <w:r>
        <w:rPr>
          <w:rFonts w:ascii="Arial" w:cs="Arial" w:eastAsia="Arial" w:hAnsi="Arial"/>
          <w:sz w:val="17"/>
          <w:szCs w:val="17"/>
          <w:color w:val="auto"/>
        </w:rPr>
        <w:t>Date: March 24, 2026</w:t>
      </w:r>
    </w:p>
    <w:p>
      <w:pPr>
        <w:spacing w:after="0" w:line="243" w:lineRule="exact"/>
        <w:rPr>
          <w:sz w:val="20"/>
          <w:szCs w:val="20"/>
          <w:color w:val="auto"/>
        </w:rPr>
      </w:pPr>
    </w:p>
    <w:p>
      <w:pPr>
        <w:ind w:left="100" w:firstLine="812"/>
        <w:spacing w:after="0" w:line="307" w:lineRule="auto"/>
        <w:rPr>
          <w:sz w:val="20"/>
          <w:szCs w:val="20"/>
          <w:color w:val="auto"/>
        </w:rPr>
      </w:pPr>
      <w:r>
        <w:rPr>
          <w:rFonts w:ascii="Arial" w:cs="Arial" w:eastAsia="Arial" w:hAnsi="Arial"/>
          <w:sz w:val="17"/>
          <w:szCs w:val="17"/>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color w:val="auto"/>
        </w:rPr>
        <w:t>/s/ Daniel D. Levin</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color w:val="auto"/>
        </w:rPr>
        <w:t>Daniel D. Levin</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Chief Financial Officer</w:t>
      </w:r>
    </w:p>
    <w:p>
      <w:pPr>
        <w:spacing w:after="0" w:line="2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(Principal Financial Officer)</w:t>
      </w:r>
    </w:p>
    <w:p>
      <w:pPr>
        <w:spacing w:after="0" w:line="172" w:lineRule="exact"/>
        <w:rPr>
          <w:sz w:val="20"/>
          <w:szCs w:val="20"/>
          <w:color w:val="auto"/>
        </w:rPr>
      </w:pPr>
    </w:p>
    <w:p>
      <w:pPr>
        <w:sectPr>
          <w:pgSz w:w="11900" w:h="16838" w:orient="portrait"/>
          <w:cols w:equalWidth="0" w:num="2">
            <w:col w:w="4720" w:space="280"/>
            <w:col w:w="4019"/>
          </w:cols>
          <w:pgMar w:left="1440" w:top="830" w:right="1440" w:bottom="1440" w:gutter="0" w:footer="0" w:header="0"/>
          <w:type w:val="continuous"/>
        </w:sectPr>
      </w:pPr>
    </w:p>
    <w:p>
      <w:pPr>
        <w:ind w:left="100" w:right="139" w:firstLine="812"/>
        <w:spacing w:after="0" w:line="307" w:lineRule="auto"/>
        <w:rPr>
          <w:sz w:val="20"/>
          <w:szCs w:val="20"/>
          <w:color w:val="auto"/>
        </w:rPr>
      </w:pPr>
      <w:r>
        <w:rPr>
          <w:rFonts w:ascii="Arial" w:cs="Arial" w:eastAsia="Arial" w:hAnsi="Arial"/>
          <w:sz w:val="17"/>
          <w:szCs w:val="17"/>
          <w:color w:val="auto"/>
        </w:rPr>
        <w:t>This Certification is not deemed filed with the Securities and Exchange Commission and is not to be incorporated by reference into any filing of the Company under the Securities Act of 1933, as amended, or the Securities Exchange Act of 1934, as amended (whether made before or after the date of the Report), irrespective of any general incorporation language contained in such filing.</w:t>
      </w:r>
    </w:p>
    <w:p>
      <w:pPr>
        <w:sectPr>
          <w:pgSz w:w="11900" w:h="16838" w:orient="portrait"/>
          <w:cols w:equalWidth="0" w:num="1">
            <w:col w:w="9019"/>
          </w:cols>
          <w:pgMar w:left="1440" w:top="830" w:right="1440" w:bottom="1440" w:gutter="0" w:footer="0" w:header="0"/>
          <w:type w:val="continuous"/>
        </w:sectPr>
      </w:pPr>
    </w:p>
    <w:bookmarkStart w:id="137" w:name="page138"/>
    <w:bookmarkEnd w:id="137"/>
    <w:p>
      <w:pPr>
        <w:jc w:val="right"/>
        <w:spacing w:after="0"/>
        <w:rPr>
          <w:sz w:val="20"/>
          <w:szCs w:val="20"/>
          <w:color w:val="auto"/>
        </w:rPr>
      </w:pPr>
      <w:r>
        <w:rPr>
          <w:rFonts w:ascii="Arial" w:cs="Arial" w:eastAsia="Arial" w:hAnsi="Arial"/>
          <w:sz w:val="17"/>
          <w:szCs w:val="17"/>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00"/>
        <w:spacing w:after="0"/>
        <w:rPr>
          <w:sz w:val="20"/>
          <w:szCs w:val="20"/>
          <w:color w:val="auto"/>
        </w:rPr>
      </w:pPr>
      <w:r>
        <w:rPr>
          <w:rFonts w:ascii="Arial" w:cs="Arial" w:eastAsia="Arial" w:hAnsi="Arial"/>
          <w:sz w:val="27"/>
          <w:szCs w:val="27"/>
          <w:b w:val="1"/>
          <w:bCs w:val="1"/>
          <w:color w:val="auto"/>
        </w:rPr>
        <w:t>Oaktree Capital I, L.P.</w:t>
      </w:r>
    </w:p>
    <w:p>
      <w:pPr>
        <w:spacing w:after="0" w:line="13" w:lineRule="exact"/>
        <w:rPr>
          <w:sz w:val="20"/>
          <w:szCs w:val="20"/>
          <w:color w:val="auto"/>
        </w:rPr>
      </w:pPr>
    </w:p>
    <w:p>
      <w:pPr>
        <w:jc w:val="center"/>
        <w:ind w:right="100"/>
        <w:spacing w:after="0"/>
        <w:rPr>
          <w:sz w:val="20"/>
          <w:szCs w:val="20"/>
          <w:color w:val="auto"/>
        </w:rPr>
      </w:pPr>
      <w:r>
        <w:rPr>
          <w:rFonts w:ascii="Arial" w:cs="Arial" w:eastAsia="Arial" w:hAnsi="Arial"/>
          <w:sz w:val="27"/>
          <w:szCs w:val="27"/>
          <w:b w:val="1"/>
          <w:bCs w:val="1"/>
          <w:color w:val="auto"/>
        </w:rPr>
        <w:t>Consolidated Financial Statements</w:t>
      </w:r>
    </w:p>
    <w:p>
      <w:pPr>
        <w:jc w:val="center"/>
        <w:ind w:right="100"/>
        <w:spacing w:after="0"/>
        <w:rPr>
          <w:sz w:val="20"/>
          <w:szCs w:val="20"/>
          <w:color w:val="auto"/>
        </w:rPr>
      </w:pPr>
      <w:r>
        <w:rPr>
          <w:rFonts w:ascii="Arial" w:cs="Arial" w:eastAsia="Arial" w:hAnsi="Arial"/>
          <w:sz w:val="27"/>
          <w:szCs w:val="27"/>
          <w:b w:val="1"/>
          <w:bCs w:val="1"/>
          <w:color w:val="auto"/>
        </w:rPr>
        <w:t>For the year ended December 31, 2025 and the six months ended December 31, 2024</w:t>
      </w:r>
    </w:p>
    <w:p>
      <w:pPr>
        <w:sectPr>
          <w:pgSz w:w="11900" w:h="16838" w:orient="portrait"/>
          <w:cols w:equalWidth="0" w:num="1">
            <w:col w:w="11140"/>
          </w:cols>
          <w:pgMar w:left="420" w:top="843" w:right="339" w:bottom="1440" w:gutter="0" w:footer="0" w:header="0"/>
        </w:sectPr>
      </w:pPr>
    </w:p>
    <w:bookmarkStart w:id="138" w:name="page139"/>
    <w:bookmarkEnd w:id="138"/>
    <w:p>
      <w:pPr>
        <w:jc w:val="center"/>
        <w:spacing w:after="0"/>
        <w:rPr>
          <w:sz w:val="20"/>
          <w:szCs w:val="20"/>
          <w:color w:val="auto"/>
        </w:rPr>
      </w:pPr>
      <w:r>
        <w:rPr>
          <w:rFonts w:ascii="Arial" w:cs="Arial" w:eastAsia="Arial" w:hAnsi="Arial"/>
          <w:sz w:val="17"/>
          <w:szCs w:val="17"/>
          <w:b w:val="1"/>
          <w:bCs w:val="1"/>
          <w:color w:val="auto"/>
        </w:rPr>
        <w:t>Report of Independent Auditors</w:t>
      </w: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color w:val="auto"/>
        </w:rPr>
        <w:t>To the Unitholders of Oaktree Capital I, L.P.</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Opinion</w:t>
      </w:r>
    </w:p>
    <w:p>
      <w:pPr>
        <w:spacing w:after="0" w:line="232" w:lineRule="exact"/>
        <w:rPr>
          <w:sz w:val="20"/>
          <w:szCs w:val="20"/>
          <w:color w:val="auto"/>
        </w:rPr>
      </w:pPr>
    </w:p>
    <w:p>
      <w:pPr>
        <w:jc w:val="both"/>
        <w:spacing w:after="0" w:line="249" w:lineRule="auto"/>
        <w:rPr>
          <w:sz w:val="20"/>
          <w:szCs w:val="20"/>
          <w:color w:val="auto"/>
        </w:rPr>
      </w:pPr>
      <w:r>
        <w:rPr>
          <w:rFonts w:ascii="Arial" w:cs="Arial" w:eastAsia="Arial" w:hAnsi="Arial"/>
          <w:sz w:val="17"/>
          <w:szCs w:val="17"/>
          <w:color w:val="auto"/>
        </w:rPr>
        <w:t>We have audited the consolidated financial statements of Oaktree Capital I, L.P. (the “Company”), which comprise the consolidated statements of financial condition as of December 31, 2025 and 2024, and the consolidated statements of operations, cash flows and changes in unitholders’ capital for the year ended December 31, 2025 and the six months ended December 31, 2024, and the related notes (collectively referred to as the “financial statements”).</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In our opinion, the accompanying financial statements present fairly, in all material respects, the financial position of the Company at December 31, 2025 and 2024, and the results of its operations and its cash flows for the year ended December 31, 2025 and the six months ended December 31, 2024 in accordance with accounting principles generally accepted in the United States of America.</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Basis for Opinion</w:t>
      </w:r>
    </w:p>
    <w:p>
      <w:pPr>
        <w:spacing w:after="0" w:line="232" w:lineRule="exact"/>
        <w:rPr>
          <w:sz w:val="20"/>
          <w:szCs w:val="20"/>
          <w:color w:val="auto"/>
        </w:rPr>
      </w:pPr>
    </w:p>
    <w:p>
      <w:pPr>
        <w:jc w:val="both"/>
        <w:spacing w:after="0" w:line="249" w:lineRule="auto"/>
        <w:rPr>
          <w:sz w:val="20"/>
          <w:szCs w:val="20"/>
          <w:color w:val="auto"/>
        </w:rPr>
      </w:pPr>
      <w:r>
        <w:rPr>
          <w:rFonts w:ascii="Arial" w:cs="Arial" w:eastAsia="Arial" w:hAnsi="Arial"/>
          <w:sz w:val="17"/>
          <w:szCs w:val="17"/>
          <w:color w:val="auto"/>
        </w:rPr>
        <w:t>We conducted our audits in accordance with auditing standards generally accepted in the United States of America (GAAS). Our responsibilities under those standards are further described in the Auditor’s Responsibilities for the Audit of the Financial Statements section of our report. We are required to be independent of the Company and to meet our other ethical responsibilities in accordance with the relevant ethical requirements relating to our audits. We believe that the audit evidence we have obtained is sufficient and appropriate to provide a basis for our audit opinion.</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Responsibilities of Management for the Financial Statements</w:t>
      </w:r>
    </w:p>
    <w:p>
      <w:pPr>
        <w:spacing w:after="0" w:line="232"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Management is responsible for the preparation and fair presentation of the financial statements in accordance with accounting principles generally accepted in the United States of America, and for the design, implementation, and maintenance of internal control relevant to the preparation and fair presentation of financial statements that are free of material misstatement, whether due to fraud or error.</w:t>
      </w:r>
    </w:p>
    <w:p>
      <w:pPr>
        <w:spacing w:after="0" w:line="189" w:lineRule="exact"/>
        <w:rPr>
          <w:sz w:val="20"/>
          <w:szCs w:val="20"/>
          <w:color w:val="auto"/>
        </w:rPr>
      </w:pPr>
    </w:p>
    <w:p>
      <w:pPr>
        <w:jc w:val="both"/>
        <w:spacing w:after="0" w:line="239" w:lineRule="auto"/>
        <w:rPr>
          <w:sz w:val="20"/>
          <w:szCs w:val="20"/>
          <w:color w:val="auto"/>
        </w:rPr>
      </w:pPr>
      <w:r>
        <w:rPr>
          <w:rFonts w:ascii="Arial" w:cs="Arial" w:eastAsia="Arial" w:hAnsi="Arial"/>
          <w:sz w:val="17"/>
          <w:szCs w:val="17"/>
          <w:color w:val="auto"/>
        </w:rPr>
        <w:t>In preparing the financial statements, management is required to evaluate whether there are conditions or events, considered in the aggregate, that raise substantial doubt about the Company’s ability to continue as a going concern for one year after the date that the financial statements are</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available to be issued.</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Auditor’s Responsibilities for the Audit of the Financial Statements</w:t>
      </w:r>
    </w:p>
    <w:p>
      <w:pPr>
        <w:spacing w:after="0" w:line="16" w:lineRule="exact"/>
        <w:rPr>
          <w:sz w:val="20"/>
          <w:szCs w:val="20"/>
          <w:color w:val="auto"/>
        </w:rPr>
      </w:pPr>
    </w:p>
    <w:p>
      <w:pPr>
        <w:jc w:val="both"/>
        <w:spacing w:after="0"/>
        <w:rPr>
          <w:sz w:val="20"/>
          <w:szCs w:val="20"/>
          <w:color w:val="auto"/>
        </w:rPr>
      </w:pPr>
      <w:r>
        <w:rPr>
          <w:rFonts w:ascii="Arial" w:cs="Arial" w:eastAsia="Arial" w:hAnsi="Arial"/>
          <w:sz w:val="17"/>
          <w:szCs w:val="17"/>
          <w:color w:val="auto"/>
        </w:rPr>
        <w:t>Our objectives are to obtain reasonable assurance about whether the financial statements as a whole are free of material misstatement, whether due to fraud or error, and to issue an auditor’s report that includes our opinion. Reasonable assurance is a high level of assurance but is not absolute assurance and therefore is not a guarantee that an audit conducted in accordance with GAAS will always detect a material misstatement when it exists. The risk of not detecting a material misstatement resulting from fraud is higher than for one resulting from error, as fraud may involve collusion, forgery, intentional omissions, misrepresentations, or the override of internal control. Misstatements are considered material if there is a substantial likelihood that, individually or in the aggregate, they would influence the judgment made by a reasonable user based on the financial statements.</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color w:val="auto"/>
        </w:rPr>
        <w:t>In performing an audit in accordance with GAAS, we:</w:t>
      </w:r>
    </w:p>
    <w:p>
      <w:pPr>
        <w:spacing w:after="0" w:line="256" w:lineRule="exact"/>
        <w:rPr>
          <w:sz w:val="20"/>
          <w:szCs w:val="20"/>
          <w:color w:val="auto"/>
        </w:rPr>
      </w:pPr>
    </w:p>
    <w:p>
      <w:pPr>
        <w:ind w:left="580" w:hanging="267"/>
        <w:spacing w:after="0"/>
        <w:tabs>
          <w:tab w:leader="none" w:pos="580" w:val="left"/>
        </w:tabs>
        <w:numPr>
          <w:ilvl w:val="0"/>
          <w:numId w:val="58"/>
        </w:numPr>
        <w:rPr>
          <w:rFonts w:ascii="Arial" w:cs="Arial" w:eastAsia="Arial" w:hAnsi="Arial"/>
          <w:sz w:val="19"/>
          <w:szCs w:val="19"/>
          <w:color w:val="auto"/>
        </w:rPr>
      </w:pPr>
      <w:r>
        <w:rPr>
          <w:rFonts w:ascii="Arial" w:cs="Arial" w:eastAsia="Arial" w:hAnsi="Arial"/>
          <w:sz w:val="17"/>
          <w:szCs w:val="17"/>
          <w:color w:val="auto"/>
        </w:rPr>
        <w:t>Exercise professional judgment and maintain professional skepticism throughout the audit.</w:t>
      </w:r>
    </w:p>
    <w:p>
      <w:pPr>
        <w:spacing w:after="0" w:line="232" w:lineRule="exact"/>
        <w:rPr>
          <w:rFonts w:ascii="Arial" w:cs="Arial" w:eastAsia="Arial" w:hAnsi="Arial"/>
          <w:sz w:val="19"/>
          <w:szCs w:val="19"/>
          <w:color w:val="auto"/>
        </w:rPr>
      </w:pPr>
    </w:p>
    <w:p>
      <w:pPr>
        <w:jc w:val="both"/>
        <w:ind w:left="620" w:hanging="307"/>
        <w:spacing w:after="0" w:line="236" w:lineRule="auto"/>
        <w:tabs>
          <w:tab w:leader="none" w:pos="583" w:val="left"/>
        </w:tabs>
        <w:numPr>
          <w:ilvl w:val="0"/>
          <w:numId w:val="58"/>
        </w:numPr>
        <w:rPr>
          <w:rFonts w:ascii="Arial" w:cs="Arial" w:eastAsia="Arial" w:hAnsi="Arial"/>
          <w:sz w:val="19"/>
          <w:szCs w:val="19"/>
          <w:color w:val="auto"/>
        </w:rPr>
      </w:pPr>
      <w:r>
        <w:rPr>
          <w:rFonts w:ascii="Arial" w:cs="Arial" w:eastAsia="Arial" w:hAnsi="Arial"/>
          <w:sz w:val="17"/>
          <w:szCs w:val="17"/>
          <w:color w:val="auto"/>
        </w:rPr>
        <w:t>Identify and assess the risks of material misstatement of the financial statements, whether due to fraud or error, and design and perform audit procedures responsive to those risks. Such procedures include examining, on a test basis, evidence regarding the amounts and disclosures in the financial statements.</w:t>
      </w:r>
    </w:p>
    <w:p>
      <w:pPr>
        <w:spacing w:after="0" w:line="225" w:lineRule="exact"/>
        <w:rPr>
          <w:rFonts w:ascii="Arial" w:cs="Arial" w:eastAsia="Arial" w:hAnsi="Arial"/>
          <w:sz w:val="19"/>
          <w:szCs w:val="19"/>
          <w:color w:val="auto"/>
        </w:rPr>
      </w:pPr>
    </w:p>
    <w:p>
      <w:pPr>
        <w:jc w:val="both"/>
        <w:ind w:left="620" w:hanging="307"/>
        <w:spacing w:after="0" w:line="241" w:lineRule="auto"/>
        <w:tabs>
          <w:tab w:leader="none" w:pos="583" w:val="left"/>
        </w:tabs>
        <w:numPr>
          <w:ilvl w:val="0"/>
          <w:numId w:val="58"/>
        </w:numPr>
        <w:rPr>
          <w:rFonts w:ascii="Arial" w:cs="Arial" w:eastAsia="Arial" w:hAnsi="Arial"/>
          <w:sz w:val="19"/>
          <w:szCs w:val="19"/>
          <w:color w:val="auto"/>
        </w:rPr>
      </w:pPr>
      <w:r>
        <w:rPr>
          <w:rFonts w:ascii="Arial" w:cs="Arial" w:eastAsia="Arial" w:hAnsi="Arial"/>
          <w:sz w:val="17"/>
          <w:szCs w:val="17"/>
          <w:color w:val="auto"/>
        </w:rPr>
        <w:t>Obtain an understanding of internal control relevant to the audit in order to design audit procedures that are appropriate in the circumstances, but not for the purpose of expressing an opinion on the effectiveness of the Company’s internal control. Accordingly, no such opinion is expressed.</w:t>
      </w:r>
    </w:p>
    <w:p>
      <w:pPr>
        <w:sectPr>
          <w:pgSz w:w="11900" w:h="16838" w:orient="portrait"/>
          <w:cols w:equalWidth="0" w:num="1">
            <w:col w:w="11240"/>
          </w:cols>
          <w:pgMar w:left="320" w:top="843" w:right="339" w:bottom="1440" w:gutter="0" w:footer="0" w:header="0"/>
        </w:sectPr>
      </w:pPr>
    </w:p>
    <w:bookmarkStart w:id="139" w:name="page140"/>
    <w:bookmarkEnd w:id="139"/>
    <w:p>
      <w:pPr>
        <w:ind w:left="620" w:hanging="307"/>
        <w:spacing w:after="0" w:line="246" w:lineRule="auto"/>
        <w:tabs>
          <w:tab w:leader="none" w:pos="583" w:val="left"/>
        </w:tabs>
        <w:numPr>
          <w:ilvl w:val="0"/>
          <w:numId w:val="59"/>
        </w:numPr>
        <w:rPr>
          <w:rFonts w:ascii="Arial" w:cs="Arial" w:eastAsia="Arial" w:hAnsi="Arial"/>
          <w:sz w:val="19"/>
          <w:szCs w:val="19"/>
          <w:color w:val="auto"/>
        </w:rPr>
      </w:pPr>
      <w:r>
        <w:rPr>
          <w:rFonts w:ascii="Arial" w:cs="Arial" w:eastAsia="Arial" w:hAnsi="Arial"/>
          <w:sz w:val="17"/>
          <w:szCs w:val="17"/>
          <w:color w:val="auto"/>
        </w:rPr>
        <w:t>Evaluate the appropriateness of accounting policies used and the reasonableness of significant accounting estimates made by management, as well as evaluate the overall presentation of the financial statements.</w:t>
      </w:r>
    </w:p>
    <w:p>
      <w:pPr>
        <w:spacing w:after="0" w:line="220" w:lineRule="exact"/>
        <w:rPr>
          <w:rFonts w:ascii="Arial" w:cs="Arial" w:eastAsia="Arial" w:hAnsi="Arial"/>
          <w:sz w:val="19"/>
          <w:szCs w:val="19"/>
          <w:color w:val="auto"/>
        </w:rPr>
      </w:pPr>
    </w:p>
    <w:p>
      <w:pPr>
        <w:ind w:left="620" w:hanging="307"/>
        <w:spacing w:after="0" w:line="246" w:lineRule="auto"/>
        <w:tabs>
          <w:tab w:leader="none" w:pos="583" w:val="left"/>
        </w:tabs>
        <w:numPr>
          <w:ilvl w:val="0"/>
          <w:numId w:val="59"/>
        </w:numPr>
        <w:rPr>
          <w:rFonts w:ascii="Arial" w:cs="Arial" w:eastAsia="Arial" w:hAnsi="Arial"/>
          <w:sz w:val="19"/>
          <w:szCs w:val="19"/>
          <w:color w:val="auto"/>
        </w:rPr>
      </w:pPr>
      <w:r>
        <w:rPr>
          <w:rFonts w:ascii="Arial" w:cs="Arial" w:eastAsia="Arial" w:hAnsi="Arial"/>
          <w:sz w:val="17"/>
          <w:szCs w:val="17"/>
          <w:color w:val="auto"/>
        </w:rPr>
        <w:t>Conclude whether, in our judgment, there are conditions or events, considered in the aggregate, that raise substantial doubt about the Company’s ability to continue as a going concern for a reasonable period of time.</w:t>
      </w:r>
    </w:p>
    <w:p>
      <w:pPr>
        <w:spacing w:after="0" w:line="195" w:lineRule="exact"/>
        <w:rPr>
          <w:sz w:val="20"/>
          <w:szCs w:val="20"/>
          <w:color w:val="auto"/>
        </w:rPr>
      </w:pPr>
    </w:p>
    <w:p>
      <w:pPr>
        <w:spacing w:after="0" w:line="274" w:lineRule="auto"/>
        <w:rPr>
          <w:sz w:val="20"/>
          <w:szCs w:val="20"/>
          <w:color w:val="auto"/>
        </w:rPr>
      </w:pPr>
      <w:r>
        <w:rPr>
          <w:rFonts w:ascii="Arial" w:cs="Arial" w:eastAsia="Arial" w:hAnsi="Arial"/>
          <w:sz w:val="17"/>
          <w:szCs w:val="17"/>
          <w:color w:val="auto"/>
        </w:rPr>
        <w:t>We are required to communicate with those charged with governance regarding, among other matters, the planned scope and timing of the audit, significant audit findings, and certain internal control related matters that we identified during the audit.</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color w:val="auto"/>
        </w:rPr>
        <w:t>/s/ Ernst &amp; Young LLP</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color w:val="auto"/>
        </w:rPr>
        <w:t>Los Angeles, California</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March 24, 2026</w:t>
      </w:r>
    </w:p>
    <w:p>
      <w:pPr>
        <w:sectPr>
          <w:pgSz w:w="11900" w:h="16838" w:orient="portrait"/>
          <w:cols w:equalWidth="0" w:num="1">
            <w:col w:w="11240"/>
          </w:cols>
          <w:pgMar w:left="320" w:top="870" w:right="339" w:bottom="1440" w:gutter="0" w:footer="0" w:header="0"/>
        </w:sectPr>
      </w:pPr>
    </w:p>
    <w:bookmarkStart w:id="140" w:name="page141"/>
    <w:bookmarkEnd w:id="140"/>
    <w:p>
      <w:pPr>
        <w:jc w:val="center"/>
        <w:ind w:right="20"/>
        <w:spacing w:after="0"/>
        <w:rPr>
          <w:sz w:val="20"/>
          <w:szCs w:val="20"/>
          <w:color w:val="auto"/>
        </w:rPr>
      </w:pPr>
      <w:r>
        <w:rPr>
          <w:rFonts w:ascii="Arial" w:cs="Arial" w:eastAsia="Arial" w:hAnsi="Arial"/>
          <w:sz w:val="17"/>
          <w:szCs w:val="17"/>
          <w:b w:val="1"/>
          <w:bCs w:val="1"/>
          <w:color w:val="auto"/>
        </w:rPr>
        <w:t>PART I. FINANCIAL INFORMATION</w:t>
      </w:r>
    </w:p>
    <w:p>
      <w:pPr>
        <w:spacing w:after="0" w:line="29"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Oaktree Capital I, L.P.</w:t>
      </w:r>
    </w:p>
    <w:p>
      <w:pPr>
        <w:spacing w:after="0" w:line="11"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Consolidated Statement of Financial Condition</w:t>
      </w:r>
    </w:p>
    <w:p>
      <w:pPr>
        <w:spacing w:after="0" w:line="11"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 in thousands)</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802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3"/>
          </w:tcPr>
          <w:p>
            <w:pPr>
              <w:jc w:val="right"/>
              <w:ind w:right="11"/>
              <w:spacing w:after="0"/>
              <w:rPr>
                <w:sz w:val="20"/>
                <w:szCs w:val="20"/>
                <w:color w:val="auto"/>
              </w:rPr>
            </w:pPr>
            <w:r>
              <w:rPr>
                <w:rFonts w:ascii="Arial" w:cs="Arial" w:eastAsia="Arial" w:hAnsi="Arial"/>
                <w:sz w:val="12"/>
                <w:szCs w:val="12"/>
                <w:b w:val="1"/>
                <w:bCs w:val="1"/>
                <w:color w:val="auto"/>
              </w:rPr>
              <w:t>As of December 31,</w:t>
            </w:r>
          </w:p>
        </w:tc>
        <w:tc>
          <w:tcPr>
            <w:tcW w:w="9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02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52"/>
              <w:spacing w:after="0"/>
              <w:rPr>
                <w:sz w:val="20"/>
                <w:szCs w:val="20"/>
                <w:color w:val="auto"/>
              </w:rPr>
            </w:pPr>
            <w:r>
              <w:rPr>
                <w:rFonts w:ascii="Arial" w:cs="Arial" w:eastAsia="Arial" w:hAnsi="Arial"/>
                <w:sz w:val="12"/>
                <w:szCs w:val="12"/>
                <w:b w:val="1"/>
                <w:bCs w:val="1"/>
                <w:color w:val="auto"/>
              </w:rPr>
              <w:t>2025</w:t>
            </w:r>
          </w:p>
        </w:tc>
        <w:tc>
          <w:tcPr>
            <w:tcW w:w="20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532"/>
              <w:spacing w:after="0"/>
              <w:rPr>
                <w:sz w:val="20"/>
                <w:szCs w:val="20"/>
                <w:color w:val="auto"/>
              </w:rPr>
            </w:pPr>
            <w:r>
              <w:rPr>
                <w:rFonts w:ascii="Arial" w:cs="Arial" w:eastAsia="Arial" w:hAnsi="Arial"/>
                <w:sz w:val="12"/>
                <w:szCs w:val="12"/>
                <w:b w:val="1"/>
                <w:bCs w:val="1"/>
                <w:color w:val="auto"/>
              </w:rPr>
              <w:t>2024</w:t>
            </w:r>
          </w:p>
        </w:tc>
        <w:tc>
          <w:tcPr>
            <w:tcW w:w="0" w:type="dxa"/>
            <w:vAlign w:val="bottom"/>
          </w:tcPr>
          <w:p>
            <w:pPr>
              <w:spacing w:after="0"/>
              <w:rPr>
                <w:sz w:val="1"/>
                <w:szCs w:val="1"/>
                <w:color w:val="auto"/>
              </w:rPr>
            </w:pPr>
          </w:p>
        </w:tc>
      </w:tr>
      <w:tr>
        <w:trPr>
          <w:trHeight w:val="175"/>
        </w:trPr>
        <w:tc>
          <w:tcPr>
            <w:tcW w:w="8020" w:type="dxa"/>
            <w:vAlign w:val="bottom"/>
          </w:tcPr>
          <w:p>
            <w:pPr>
              <w:spacing w:after="0"/>
              <w:rPr>
                <w:sz w:val="20"/>
                <w:szCs w:val="20"/>
                <w:color w:val="auto"/>
              </w:rPr>
            </w:pPr>
            <w:r>
              <w:rPr>
                <w:rFonts w:ascii="Arial" w:cs="Arial" w:eastAsia="Arial" w:hAnsi="Arial"/>
                <w:sz w:val="14"/>
                <w:szCs w:val="14"/>
                <w:b w:val="1"/>
                <w:bCs w:val="1"/>
                <w:color w:val="auto"/>
              </w:rPr>
              <w:t>Assets</w:t>
            </w:r>
          </w:p>
        </w:tc>
        <w:tc>
          <w:tcPr>
            <w:tcW w:w="3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8020" w:type="dxa"/>
            <w:vAlign w:val="bottom"/>
          </w:tcPr>
          <w:p>
            <w:pPr>
              <w:spacing w:after="0"/>
              <w:rPr>
                <w:sz w:val="20"/>
                <w:szCs w:val="20"/>
                <w:color w:val="auto"/>
              </w:rPr>
            </w:pPr>
            <w:r>
              <w:rPr>
                <w:rFonts w:ascii="Arial" w:cs="Arial" w:eastAsia="Arial" w:hAnsi="Arial"/>
                <w:sz w:val="14"/>
                <w:szCs w:val="14"/>
                <w:color w:val="auto"/>
              </w:rPr>
              <w:t>Cash and cash-equivalents</w:t>
            </w:r>
          </w:p>
        </w:tc>
        <w:tc>
          <w:tcPr>
            <w:tcW w:w="360" w:type="dxa"/>
            <w:vAlign w:val="bottom"/>
          </w:tcPr>
          <w:p>
            <w:pPr>
              <w:jc w:val="right"/>
              <w:ind w:right="191"/>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26,984</w:t>
            </w:r>
          </w:p>
        </w:tc>
        <w:tc>
          <w:tcPr>
            <w:tcW w:w="200" w:type="dxa"/>
            <w:vAlign w:val="bottom"/>
          </w:tcPr>
          <w:p>
            <w:pPr>
              <w:spacing w:after="0"/>
              <w:rPr>
                <w:sz w:val="16"/>
                <w:szCs w:val="16"/>
                <w:color w:val="auto"/>
              </w:rPr>
            </w:pPr>
          </w:p>
        </w:tc>
        <w:tc>
          <w:tcPr>
            <w:tcW w:w="540" w:type="dxa"/>
            <w:vAlign w:val="bottom"/>
          </w:tcPr>
          <w:p>
            <w:pPr>
              <w:jc w:val="right"/>
              <w:ind w:right="371"/>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34,589</w:t>
            </w:r>
          </w:p>
        </w:tc>
        <w:tc>
          <w:tcPr>
            <w:tcW w:w="0" w:type="dxa"/>
            <w:vAlign w:val="bottom"/>
          </w:tcPr>
          <w:p>
            <w:pPr>
              <w:spacing w:after="0"/>
              <w:rPr>
                <w:sz w:val="1"/>
                <w:szCs w:val="1"/>
                <w:color w:val="auto"/>
              </w:rPr>
            </w:pPr>
          </w:p>
        </w:tc>
      </w:tr>
      <w:tr>
        <w:trPr>
          <w:trHeight w:val="193"/>
        </w:trPr>
        <w:tc>
          <w:tcPr>
            <w:tcW w:w="8020" w:type="dxa"/>
            <w:vAlign w:val="bottom"/>
          </w:tcPr>
          <w:p>
            <w:pPr>
              <w:spacing w:after="0"/>
              <w:rPr>
                <w:sz w:val="20"/>
                <w:szCs w:val="20"/>
                <w:color w:val="auto"/>
              </w:rPr>
            </w:pPr>
            <w:r>
              <w:rPr>
                <w:rFonts w:ascii="Arial" w:cs="Arial" w:eastAsia="Arial" w:hAnsi="Arial"/>
                <w:sz w:val="14"/>
                <w:szCs w:val="14"/>
                <w:color w:val="auto"/>
              </w:rPr>
              <w:t>U.S. Treasury and other securities</w:t>
            </w:r>
          </w:p>
        </w:tc>
        <w:tc>
          <w:tcPr>
            <w:tcW w:w="3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236,287</w:t>
            </w:r>
          </w:p>
        </w:tc>
        <w:tc>
          <w:tcPr>
            <w:tcW w:w="2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572</w:t>
            </w:r>
          </w:p>
        </w:tc>
        <w:tc>
          <w:tcPr>
            <w:tcW w:w="0" w:type="dxa"/>
            <w:vAlign w:val="bottom"/>
          </w:tcPr>
          <w:p>
            <w:pPr>
              <w:spacing w:after="0"/>
              <w:rPr>
                <w:sz w:val="1"/>
                <w:szCs w:val="1"/>
                <w:color w:val="auto"/>
              </w:rPr>
            </w:pPr>
          </w:p>
        </w:tc>
      </w:tr>
      <w:tr>
        <w:trPr>
          <w:trHeight w:val="193"/>
        </w:trPr>
        <w:tc>
          <w:tcPr>
            <w:tcW w:w="8020" w:type="dxa"/>
            <w:vAlign w:val="bottom"/>
          </w:tcPr>
          <w:p>
            <w:pPr>
              <w:spacing w:after="0"/>
              <w:rPr>
                <w:sz w:val="20"/>
                <w:szCs w:val="20"/>
                <w:color w:val="auto"/>
              </w:rPr>
            </w:pPr>
            <w:r>
              <w:rPr>
                <w:rFonts w:ascii="Arial" w:cs="Arial" w:eastAsia="Arial" w:hAnsi="Arial"/>
                <w:sz w:val="14"/>
                <w:szCs w:val="14"/>
                <w:color w:val="auto"/>
                <w:w w:val="99"/>
              </w:rPr>
              <w:t>Corporate investments (includes $221,685 and $172,053 measured at fair value as of December 31, 2025 and 2024, respectively)</w:t>
            </w:r>
          </w:p>
        </w:tc>
        <w:tc>
          <w:tcPr>
            <w:tcW w:w="3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987,061</w:t>
            </w:r>
          </w:p>
        </w:tc>
        <w:tc>
          <w:tcPr>
            <w:tcW w:w="2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1,065,148</w:t>
            </w:r>
          </w:p>
        </w:tc>
        <w:tc>
          <w:tcPr>
            <w:tcW w:w="0" w:type="dxa"/>
            <w:vAlign w:val="bottom"/>
          </w:tcPr>
          <w:p>
            <w:pPr>
              <w:spacing w:after="0"/>
              <w:rPr>
                <w:sz w:val="1"/>
                <w:szCs w:val="1"/>
                <w:color w:val="auto"/>
              </w:rPr>
            </w:pPr>
          </w:p>
        </w:tc>
      </w:tr>
      <w:tr>
        <w:trPr>
          <w:trHeight w:val="193"/>
        </w:trPr>
        <w:tc>
          <w:tcPr>
            <w:tcW w:w="8020" w:type="dxa"/>
            <w:vAlign w:val="bottom"/>
          </w:tcPr>
          <w:p>
            <w:pPr>
              <w:spacing w:after="0"/>
              <w:rPr>
                <w:sz w:val="20"/>
                <w:szCs w:val="20"/>
                <w:color w:val="auto"/>
              </w:rPr>
            </w:pPr>
            <w:r>
              <w:rPr>
                <w:rFonts w:ascii="Arial" w:cs="Arial" w:eastAsia="Arial" w:hAnsi="Arial"/>
                <w:sz w:val="14"/>
                <w:szCs w:val="14"/>
                <w:color w:val="auto"/>
              </w:rPr>
              <w:t>Due from affiliates</w:t>
            </w:r>
          </w:p>
        </w:tc>
        <w:tc>
          <w:tcPr>
            <w:tcW w:w="3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421,766</w:t>
            </w:r>
          </w:p>
        </w:tc>
        <w:tc>
          <w:tcPr>
            <w:tcW w:w="2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447,366</w:t>
            </w:r>
          </w:p>
        </w:tc>
        <w:tc>
          <w:tcPr>
            <w:tcW w:w="0" w:type="dxa"/>
            <w:vAlign w:val="bottom"/>
          </w:tcPr>
          <w:p>
            <w:pPr>
              <w:spacing w:after="0"/>
              <w:rPr>
                <w:sz w:val="1"/>
                <w:szCs w:val="1"/>
                <w:color w:val="auto"/>
              </w:rPr>
            </w:pPr>
          </w:p>
        </w:tc>
      </w:tr>
      <w:tr>
        <w:trPr>
          <w:trHeight w:val="193"/>
        </w:trPr>
        <w:tc>
          <w:tcPr>
            <w:tcW w:w="8020" w:type="dxa"/>
            <w:vAlign w:val="bottom"/>
          </w:tcPr>
          <w:p>
            <w:pPr>
              <w:spacing w:after="0"/>
              <w:rPr>
                <w:sz w:val="20"/>
                <w:szCs w:val="20"/>
                <w:color w:val="auto"/>
              </w:rPr>
            </w:pPr>
            <w:r>
              <w:rPr>
                <w:rFonts w:ascii="Arial" w:cs="Arial" w:eastAsia="Arial" w:hAnsi="Arial"/>
                <w:sz w:val="14"/>
                <w:szCs w:val="14"/>
                <w:color w:val="auto"/>
              </w:rPr>
              <w:t>Other assets</w:t>
            </w:r>
          </w:p>
        </w:tc>
        <w:tc>
          <w:tcPr>
            <w:tcW w:w="3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33,408</w:t>
            </w:r>
          </w:p>
        </w:tc>
        <w:tc>
          <w:tcPr>
            <w:tcW w:w="2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35,685</w:t>
            </w:r>
          </w:p>
        </w:tc>
        <w:tc>
          <w:tcPr>
            <w:tcW w:w="0" w:type="dxa"/>
            <w:vAlign w:val="bottom"/>
          </w:tcPr>
          <w:p>
            <w:pPr>
              <w:spacing w:after="0"/>
              <w:rPr>
                <w:sz w:val="1"/>
                <w:szCs w:val="1"/>
                <w:color w:val="auto"/>
              </w:rPr>
            </w:pPr>
          </w:p>
        </w:tc>
      </w:tr>
      <w:tr>
        <w:trPr>
          <w:trHeight w:val="193"/>
        </w:trPr>
        <w:tc>
          <w:tcPr>
            <w:tcW w:w="8020" w:type="dxa"/>
            <w:vAlign w:val="bottom"/>
          </w:tcPr>
          <w:p>
            <w:pPr>
              <w:ind w:left="300"/>
              <w:spacing w:after="0"/>
              <w:rPr>
                <w:sz w:val="20"/>
                <w:szCs w:val="20"/>
                <w:color w:val="auto"/>
              </w:rPr>
            </w:pPr>
            <w:r>
              <w:rPr>
                <w:rFonts w:ascii="Arial" w:cs="Arial" w:eastAsia="Arial" w:hAnsi="Arial"/>
                <w:sz w:val="14"/>
                <w:szCs w:val="14"/>
                <w:i w:val="1"/>
                <w:iCs w:val="1"/>
                <w:color w:val="auto"/>
              </w:rPr>
              <w:t>Assets of consolidated funds:</w:t>
            </w:r>
          </w:p>
        </w:tc>
        <w:tc>
          <w:tcPr>
            <w:tcW w:w="3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8020" w:type="dxa"/>
            <w:vAlign w:val="bottom"/>
          </w:tcPr>
          <w:p>
            <w:pPr>
              <w:spacing w:after="0"/>
              <w:rPr>
                <w:sz w:val="20"/>
                <w:szCs w:val="20"/>
                <w:color w:val="auto"/>
              </w:rPr>
            </w:pPr>
            <w:r>
              <w:rPr>
                <w:rFonts w:ascii="Arial" w:cs="Arial" w:eastAsia="Arial" w:hAnsi="Arial"/>
                <w:sz w:val="14"/>
                <w:szCs w:val="14"/>
                <w:color w:val="auto"/>
              </w:rPr>
              <w:t>Cash and cash-equivalents</w:t>
            </w:r>
          </w:p>
        </w:tc>
        <w:tc>
          <w:tcPr>
            <w:tcW w:w="3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584,353</w:t>
            </w:r>
          </w:p>
        </w:tc>
        <w:tc>
          <w:tcPr>
            <w:tcW w:w="2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383,908</w:t>
            </w:r>
          </w:p>
        </w:tc>
        <w:tc>
          <w:tcPr>
            <w:tcW w:w="0" w:type="dxa"/>
            <w:vAlign w:val="bottom"/>
          </w:tcPr>
          <w:p>
            <w:pPr>
              <w:spacing w:after="0"/>
              <w:rPr>
                <w:sz w:val="1"/>
                <w:szCs w:val="1"/>
                <w:color w:val="auto"/>
              </w:rPr>
            </w:pPr>
          </w:p>
        </w:tc>
      </w:tr>
      <w:tr>
        <w:trPr>
          <w:trHeight w:val="193"/>
        </w:trPr>
        <w:tc>
          <w:tcPr>
            <w:tcW w:w="8020" w:type="dxa"/>
            <w:vAlign w:val="bottom"/>
          </w:tcPr>
          <w:p>
            <w:pPr>
              <w:spacing w:after="0"/>
              <w:rPr>
                <w:sz w:val="20"/>
                <w:szCs w:val="20"/>
                <w:color w:val="auto"/>
              </w:rPr>
            </w:pPr>
            <w:r>
              <w:rPr>
                <w:rFonts w:ascii="Arial" w:cs="Arial" w:eastAsia="Arial" w:hAnsi="Arial"/>
                <w:sz w:val="14"/>
                <w:szCs w:val="14"/>
                <w:color w:val="auto"/>
              </w:rPr>
              <w:t>Investments, at fair value</w:t>
            </w:r>
          </w:p>
        </w:tc>
        <w:tc>
          <w:tcPr>
            <w:tcW w:w="3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4,690,467</w:t>
            </w:r>
          </w:p>
        </w:tc>
        <w:tc>
          <w:tcPr>
            <w:tcW w:w="2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2,426,357</w:t>
            </w:r>
          </w:p>
        </w:tc>
        <w:tc>
          <w:tcPr>
            <w:tcW w:w="0" w:type="dxa"/>
            <w:vAlign w:val="bottom"/>
          </w:tcPr>
          <w:p>
            <w:pPr>
              <w:spacing w:after="0"/>
              <w:rPr>
                <w:sz w:val="1"/>
                <w:szCs w:val="1"/>
                <w:color w:val="auto"/>
              </w:rPr>
            </w:pPr>
          </w:p>
        </w:tc>
      </w:tr>
      <w:tr>
        <w:trPr>
          <w:trHeight w:val="193"/>
        </w:trPr>
        <w:tc>
          <w:tcPr>
            <w:tcW w:w="8020" w:type="dxa"/>
            <w:vAlign w:val="bottom"/>
          </w:tcPr>
          <w:p>
            <w:pPr>
              <w:spacing w:after="0"/>
              <w:rPr>
                <w:sz w:val="20"/>
                <w:szCs w:val="20"/>
                <w:color w:val="auto"/>
              </w:rPr>
            </w:pPr>
            <w:r>
              <w:rPr>
                <w:rFonts w:ascii="Arial" w:cs="Arial" w:eastAsia="Arial" w:hAnsi="Arial"/>
                <w:sz w:val="14"/>
                <w:szCs w:val="14"/>
                <w:color w:val="auto"/>
              </w:rPr>
              <w:t>Dividends and interest receivable</w:t>
            </w:r>
          </w:p>
        </w:tc>
        <w:tc>
          <w:tcPr>
            <w:tcW w:w="3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21,625</w:t>
            </w:r>
          </w:p>
        </w:tc>
        <w:tc>
          <w:tcPr>
            <w:tcW w:w="2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12,992</w:t>
            </w:r>
          </w:p>
        </w:tc>
        <w:tc>
          <w:tcPr>
            <w:tcW w:w="0" w:type="dxa"/>
            <w:vAlign w:val="bottom"/>
          </w:tcPr>
          <w:p>
            <w:pPr>
              <w:spacing w:after="0"/>
              <w:rPr>
                <w:sz w:val="1"/>
                <w:szCs w:val="1"/>
                <w:color w:val="auto"/>
              </w:rPr>
            </w:pPr>
          </w:p>
        </w:tc>
      </w:tr>
      <w:tr>
        <w:trPr>
          <w:trHeight w:val="193"/>
        </w:trPr>
        <w:tc>
          <w:tcPr>
            <w:tcW w:w="8020" w:type="dxa"/>
            <w:vAlign w:val="bottom"/>
          </w:tcPr>
          <w:p>
            <w:pPr>
              <w:spacing w:after="0"/>
              <w:rPr>
                <w:sz w:val="20"/>
                <w:szCs w:val="20"/>
                <w:color w:val="auto"/>
              </w:rPr>
            </w:pPr>
            <w:r>
              <w:rPr>
                <w:rFonts w:ascii="Arial" w:cs="Arial" w:eastAsia="Arial" w:hAnsi="Arial"/>
                <w:sz w:val="14"/>
                <w:szCs w:val="14"/>
                <w:color w:val="auto"/>
              </w:rPr>
              <w:t>Due from brokers</w:t>
            </w:r>
          </w:p>
        </w:tc>
        <w:tc>
          <w:tcPr>
            <w:tcW w:w="3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16</w:t>
            </w:r>
          </w:p>
        </w:tc>
        <w:tc>
          <w:tcPr>
            <w:tcW w:w="2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3"/>
        </w:trPr>
        <w:tc>
          <w:tcPr>
            <w:tcW w:w="8020" w:type="dxa"/>
            <w:vAlign w:val="bottom"/>
          </w:tcPr>
          <w:p>
            <w:pPr>
              <w:spacing w:after="0"/>
              <w:rPr>
                <w:sz w:val="20"/>
                <w:szCs w:val="20"/>
                <w:color w:val="auto"/>
              </w:rPr>
            </w:pPr>
            <w:r>
              <w:rPr>
                <w:rFonts w:ascii="Arial" w:cs="Arial" w:eastAsia="Arial" w:hAnsi="Arial"/>
                <w:sz w:val="14"/>
                <w:szCs w:val="14"/>
                <w:color w:val="auto"/>
              </w:rPr>
              <w:t>Receivable for securities sold</w:t>
            </w:r>
          </w:p>
        </w:tc>
        <w:tc>
          <w:tcPr>
            <w:tcW w:w="3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16,844</w:t>
            </w:r>
          </w:p>
        </w:tc>
        <w:tc>
          <w:tcPr>
            <w:tcW w:w="2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40,096</w:t>
            </w:r>
          </w:p>
        </w:tc>
        <w:tc>
          <w:tcPr>
            <w:tcW w:w="0" w:type="dxa"/>
            <w:vAlign w:val="bottom"/>
          </w:tcPr>
          <w:p>
            <w:pPr>
              <w:spacing w:after="0"/>
              <w:rPr>
                <w:sz w:val="1"/>
                <w:szCs w:val="1"/>
                <w:color w:val="auto"/>
              </w:rPr>
            </w:pPr>
          </w:p>
        </w:tc>
      </w:tr>
      <w:tr>
        <w:trPr>
          <w:trHeight w:val="193"/>
        </w:trPr>
        <w:tc>
          <w:tcPr>
            <w:tcW w:w="8020" w:type="dxa"/>
            <w:vAlign w:val="bottom"/>
          </w:tcPr>
          <w:p>
            <w:pPr>
              <w:spacing w:after="0"/>
              <w:rPr>
                <w:sz w:val="20"/>
                <w:szCs w:val="20"/>
                <w:color w:val="auto"/>
              </w:rPr>
            </w:pPr>
            <w:r>
              <w:rPr>
                <w:rFonts w:ascii="Arial" w:cs="Arial" w:eastAsia="Arial" w:hAnsi="Arial"/>
                <w:sz w:val="14"/>
                <w:szCs w:val="14"/>
                <w:color w:val="auto"/>
              </w:rPr>
              <w:t>Derivative assets, at fair value</w:t>
            </w:r>
          </w:p>
        </w:tc>
        <w:tc>
          <w:tcPr>
            <w:tcW w:w="3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1,769</w:t>
            </w:r>
          </w:p>
        </w:tc>
        <w:tc>
          <w:tcPr>
            <w:tcW w:w="2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3,654</w:t>
            </w:r>
          </w:p>
        </w:tc>
        <w:tc>
          <w:tcPr>
            <w:tcW w:w="0" w:type="dxa"/>
            <w:vAlign w:val="bottom"/>
          </w:tcPr>
          <w:p>
            <w:pPr>
              <w:spacing w:after="0"/>
              <w:rPr>
                <w:sz w:val="1"/>
                <w:szCs w:val="1"/>
                <w:color w:val="auto"/>
              </w:rPr>
            </w:pPr>
          </w:p>
        </w:tc>
      </w:tr>
      <w:tr>
        <w:trPr>
          <w:trHeight w:val="197"/>
        </w:trPr>
        <w:tc>
          <w:tcPr>
            <w:tcW w:w="8020" w:type="dxa"/>
            <w:vAlign w:val="bottom"/>
          </w:tcPr>
          <w:p>
            <w:pPr>
              <w:spacing w:after="0"/>
              <w:rPr>
                <w:sz w:val="20"/>
                <w:szCs w:val="20"/>
                <w:color w:val="auto"/>
              </w:rPr>
            </w:pPr>
            <w:r>
              <w:rPr>
                <w:rFonts w:ascii="Arial" w:cs="Arial" w:eastAsia="Arial" w:hAnsi="Arial"/>
                <w:sz w:val="14"/>
                <w:szCs w:val="14"/>
                <w:color w:val="auto"/>
              </w:rPr>
              <w:t>Other assets, net</w:t>
            </w:r>
          </w:p>
        </w:tc>
        <w:tc>
          <w:tcPr>
            <w:tcW w:w="3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2,882</w:t>
            </w:r>
          </w:p>
        </w:tc>
        <w:tc>
          <w:tcPr>
            <w:tcW w:w="200" w:type="dxa"/>
            <w:vAlign w:val="bottom"/>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550</w:t>
            </w:r>
          </w:p>
        </w:tc>
        <w:tc>
          <w:tcPr>
            <w:tcW w:w="0" w:type="dxa"/>
            <w:vAlign w:val="bottom"/>
          </w:tcPr>
          <w:p>
            <w:pPr>
              <w:spacing w:after="0"/>
              <w:rPr>
                <w:sz w:val="1"/>
                <w:szCs w:val="1"/>
                <w:color w:val="auto"/>
              </w:rPr>
            </w:pPr>
          </w:p>
        </w:tc>
      </w:tr>
      <w:tr>
        <w:trPr>
          <w:trHeight w:val="190"/>
        </w:trPr>
        <w:tc>
          <w:tcPr>
            <w:tcW w:w="8020" w:type="dxa"/>
            <w:vAlign w:val="bottom"/>
          </w:tcPr>
          <w:p>
            <w:pPr>
              <w:ind w:left="300"/>
              <w:spacing w:after="0"/>
              <w:rPr>
                <w:sz w:val="20"/>
                <w:szCs w:val="20"/>
                <w:color w:val="auto"/>
              </w:rPr>
            </w:pPr>
            <w:r>
              <w:rPr>
                <w:rFonts w:ascii="Arial" w:cs="Arial" w:eastAsia="Arial" w:hAnsi="Arial"/>
                <w:sz w:val="14"/>
                <w:szCs w:val="14"/>
                <w:color w:val="auto"/>
              </w:rPr>
              <w:t>Total assets</w:t>
            </w:r>
          </w:p>
        </w:tc>
        <w:tc>
          <w:tcPr>
            <w:tcW w:w="36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7,023,462</w:t>
            </w:r>
          </w:p>
        </w:tc>
        <w:tc>
          <w:tcPr>
            <w:tcW w:w="200" w:type="dxa"/>
            <w:vAlign w:val="bottom"/>
          </w:tcPr>
          <w:p>
            <w:pPr>
              <w:spacing w:after="0"/>
              <w:rPr>
                <w:sz w:val="16"/>
                <w:szCs w:val="16"/>
                <w:color w:val="auto"/>
              </w:rPr>
            </w:pPr>
          </w:p>
        </w:tc>
        <w:tc>
          <w:tcPr>
            <w:tcW w:w="54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4,450,917</w:t>
            </w:r>
          </w:p>
        </w:tc>
        <w:tc>
          <w:tcPr>
            <w:tcW w:w="0" w:type="dxa"/>
            <w:vAlign w:val="bottom"/>
          </w:tcPr>
          <w:p>
            <w:pPr>
              <w:spacing w:after="0"/>
              <w:rPr>
                <w:sz w:val="1"/>
                <w:szCs w:val="1"/>
                <w:color w:val="auto"/>
              </w:rPr>
            </w:pPr>
          </w:p>
        </w:tc>
      </w:tr>
      <w:tr>
        <w:trPr>
          <w:trHeight w:val="20"/>
        </w:trPr>
        <w:tc>
          <w:tcPr>
            <w:tcW w:w="8020" w:type="dxa"/>
            <w:vAlign w:val="bottom"/>
            <w:vMerge w:val="restart"/>
          </w:tcPr>
          <w:p>
            <w:pPr>
              <w:spacing w:after="0"/>
              <w:rPr>
                <w:sz w:val="20"/>
                <w:szCs w:val="20"/>
                <w:color w:val="auto"/>
              </w:rPr>
            </w:pPr>
            <w:r>
              <w:rPr>
                <w:rFonts w:ascii="Arial" w:cs="Arial" w:eastAsia="Arial" w:hAnsi="Arial"/>
                <w:sz w:val="14"/>
                <w:szCs w:val="14"/>
                <w:b w:val="1"/>
                <w:bCs w:val="1"/>
                <w:color w:val="auto"/>
              </w:rPr>
              <w:t>Liabilities and Unitholders’ Capital</w:t>
            </w: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8020" w:type="dxa"/>
            <w:vAlign w:val="bottom"/>
            <w:vMerge w:val="continue"/>
          </w:tcPr>
          <w:p>
            <w:pPr>
              <w:spacing w:after="0"/>
              <w:rPr>
                <w:sz w:val="13"/>
                <w:szCs w:val="13"/>
                <w:color w:val="auto"/>
              </w:rPr>
            </w:pPr>
          </w:p>
        </w:tc>
        <w:tc>
          <w:tcPr>
            <w:tcW w:w="3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8020" w:type="dxa"/>
            <w:vAlign w:val="bottom"/>
          </w:tcPr>
          <w:p>
            <w:pPr>
              <w:spacing w:after="0"/>
              <w:rPr>
                <w:sz w:val="20"/>
                <w:szCs w:val="20"/>
                <w:color w:val="auto"/>
              </w:rPr>
            </w:pPr>
            <w:r>
              <w:rPr>
                <w:rFonts w:ascii="Arial" w:cs="Arial" w:eastAsia="Arial" w:hAnsi="Arial"/>
                <w:sz w:val="14"/>
                <w:szCs w:val="14"/>
                <w:color w:val="auto"/>
              </w:rPr>
              <w:t>Liabilities:</w:t>
            </w:r>
          </w:p>
        </w:tc>
        <w:tc>
          <w:tcPr>
            <w:tcW w:w="3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8020" w:type="dxa"/>
            <w:vAlign w:val="bottom"/>
          </w:tcPr>
          <w:p>
            <w:pPr>
              <w:ind w:left="300"/>
              <w:spacing w:after="0"/>
              <w:rPr>
                <w:sz w:val="20"/>
                <w:szCs w:val="20"/>
                <w:color w:val="auto"/>
              </w:rPr>
            </w:pPr>
            <w:r>
              <w:rPr>
                <w:rFonts w:ascii="Arial" w:cs="Arial" w:eastAsia="Arial" w:hAnsi="Arial"/>
                <w:sz w:val="14"/>
                <w:szCs w:val="14"/>
                <w:color w:val="auto"/>
              </w:rPr>
              <w:t>Accrued compensation expense</w:t>
            </w:r>
          </w:p>
        </w:tc>
        <w:tc>
          <w:tcPr>
            <w:tcW w:w="360" w:type="dxa"/>
            <w:vAlign w:val="bottom"/>
          </w:tcPr>
          <w:p>
            <w:pPr>
              <w:jc w:val="right"/>
              <w:ind w:right="191"/>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124,190</w:t>
            </w:r>
          </w:p>
        </w:tc>
        <w:tc>
          <w:tcPr>
            <w:tcW w:w="200" w:type="dxa"/>
            <w:vAlign w:val="bottom"/>
          </w:tcPr>
          <w:p>
            <w:pPr>
              <w:spacing w:after="0"/>
              <w:rPr>
                <w:sz w:val="16"/>
                <w:szCs w:val="16"/>
                <w:color w:val="auto"/>
              </w:rPr>
            </w:pPr>
          </w:p>
        </w:tc>
        <w:tc>
          <w:tcPr>
            <w:tcW w:w="540" w:type="dxa"/>
            <w:vAlign w:val="bottom"/>
          </w:tcPr>
          <w:p>
            <w:pPr>
              <w:jc w:val="right"/>
              <w:ind w:right="371"/>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96,913</w:t>
            </w:r>
          </w:p>
        </w:tc>
        <w:tc>
          <w:tcPr>
            <w:tcW w:w="0" w:type="dxa"/>
            <w:vAlign w:val="bottom"/>
          </w:tcPr>
          <w:p>
            <w:pPr>
              <w:spacing w:after="0"/>
              <w:rPr>
                <w:sz w:val="1"/>
                <w:szCs w:val="1"/>
                <w:color w:val="auto"/>
              </w:rPr>
            </w:pPr>
          </w:p>
        </w:tc>
      </w:tr>
      <w:tr>
        <w:trPr>
          <w:trHeight w:val="193"/>
        </w:trPr>
        <w:tc>
          <w:tcPr>
            <w:tcW w:w="8020" w:type="dxa"/>
            <w:vAlign w:val="bottom"/>
          </w:tcPr>
          <w:p>
            <w:pPr>
              <w:ind w:left="300"/>
              <w:spacing w:after="0"/>
              <w:rPr>
                <w:sz w:val="20"/>
                <w:szCs w:val="20"/>
                <w:color w:val="auto"/>
              </w:rPr>
            </w:pPr>
            <w:r>
              <w:rPr>
                <w:rFonts w:ascii="Arial" w:cs="Arial" w:eastAsia="Arial" w:hAnsi="Arial"/>
                <w:sz w:val="14"/>
                <w:szCs w:val="14"/>
                <w:color w:val="auto"/>
              </w:rPr>
              <w:t>Accounts payable, accrued expenses and other liabilities</w:t>
            </w:r>
          </w:p>
        </w:tc>
        <w:tc>
          <w:tcPr>
            <w:tcW w:w="3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12,953</w:t>
            </w:r>
          </w:p>
        </w:tc>
        <w:tc>
          <w:tcPr>
            <w:tcW w:w="2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13,277</w:t>
            </w:r>
          </w:p>
        </w:tc>
        <w:tc>
          <w:tcPr>
            <w:tcW w:w="0" w:type="dxa"/>
            <w:vAlign w:val="bottom"/>
          </w:tcPr>
          <w:p>
            <w:pPr>
              <w:spacing w:after="0"/>
              <w:rPr>
                <w:sz w:val="1"/>
                <w:szCs w:val="1"/>
                <w:color w:val="auto"/>
              </w:rPr>
            </w:pPr>
          </w:p>
        </w:tc>
      </w:tr>
      <w:tr>
        <w:trPr>
          <w:trHeight w:val="193"/>
        </w:trPr>
        <w:tc>
          <w:tcPr>
            <w:tcW w:w="8020" w:type="dxa"/>
            <w:vAlign w:val="bottom"/>
          </w:tcPr>
          <w:p>
            <w:pPr>
              <w:ind w:left="300"/>
              <w:spacing w:after="0"/>
              <w:rPr>
                <w:sz w:val="20"/>
                <w:szCs w:val="20"/>
                <w:color w:val="auto"/>
              </w:rPr>
            </w:pPr>
            <w:r>
              <w:rPr>
                <w:rFonts w:ascii="Arial" w:cs="Arial" w:eastAsia="Arial" w:hAnsi="Arial"/>
                <w:sz w:val="14"/>
                <w:szCs w:val="14"/>
                <w:color w:val="auto"/>
              </w:rPr>
              <w:t>Due to affiliates</w:t>
            </w:r>
          </w:p>
        </w:tc>
        <w:tc>
          <w:tcPr>
            <w:tcW w:w="3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7,954</w:t>
            </w:r>
          </w:p>
        </w:tc>
        <w:tc>
          <w:tcPr>
            <w:tcW w:w="2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24,315</w:t>
            </w:r>
          </w:p>
        </w:tc>
        <w:tc>
          <w:tcPr>
            <w:tcW w:w="0" w:type="dxa"/>
            <w:vAlign w:val="bottom"/>
          </w:tcPr>
          <w:p>
            <w:pPr>
              <w:spacing w:after="0"/>
              <w:rPr>
                <w:sz w:val="1"/>
                <w:szCs w:val="1"/>
                <w:color w:val="auto"/>
              </w:rPr>
            </w:pPr>
          </w:p>
        </w:tc>
      </w:tr>
      <w:tr>
        <w:trPr>
          <w:trHeight w:val="193"/>
        </w:trPr>
        <w:tc>
          <w:tcPr>
            <w:tcW w:w="8020" w:type="dxa"/>
            <w:vAlign w:val="bottom"/>
          </w:tcPr>
          <w:p>
            <w:pPr>
              <w:ind w:left="300"/>
              <w:spacing w:after="0"/>
              <w:rPr>
                <w:sz w:val="20"/>
                <w:szCs w:val="20"/>
                <w:color w:val="auto"/>
              </w:rPr>
            </w:pPr>
            <w:r>
              <w:rPr>
                <w:rFonts w:ascii="Arial" w:cs="Arial" w:eastAsia="Arial" w:hAnsi="Arial"/>
                <w:sz w:val="14"/>
                <w:szCs w:val="14"/>
                <w:color w:val="auto"/>
              </w:rPr>
              <w:t>Debt obligations (Note 9)</w:t>
            </w:r>
          </w:p>
        </w:tc>
        <w:tc>
          <w:tcPr>
            <w:tcW w:w="3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532,333</w:t>
            </w:r>
          </w:p>
        </w:tc>
        <w:tc>
          <w:tcPr>
            <w:tcW w:w="2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206,482</w:t>
            </w:r>
          </w:p>
        </w:tc>
        <w:tc>
          <w:tcPr>
            <w:tcW w:w="0" w:type="dxa"/>
            <w:vAlign w:val="bottom"/>
          </w:tcPr>
          <w:p>
            <w:pPr>
              <w:spacing w:after="0"/>
              <w:rPr>
                <w:sz w:val="1"/>
                <w:szCs w:val="1"/>
                <w:color w:val="auto"/>
              </w:rPr>
            </w:pPr>
          </w:p>
        </w:tc>
      </w:tr>
      <w:tr>
        <w:trPr>
          <w:trHeight w:val="193"/>
        </w:trPr>
        <w:tc>
          <w:tcPr>
            <w:tcW w:w="8020" w:type="dxa"/>
            <w:vAlign w:val="bottom"/>
          </w:tcPr>
          <w:p>
            <w:pPr>
              <w:ind w:left="620"/>
              <w:spacing w:after="0"/>
              <w:rPr>
                <w:sz w:val="20"/>
                <w:szCs w:val="20"/>
                <w:color w:val="auto"/>
              </w:rPr>
            </w:pPr>
            <w:r>
              <w:rPr>
                <w:rFonts w:ascii="Arial" w:cs="Arial" w:eastAsia="Arial" w:hAnsi="Arial"/>
                <w:sz w:val="14"/>
                <w:szCs w:val="14"/>
                <w:i w:val="1"/>
                <w:iCs w:val="1"/>
                <w:color w:val="auto"/>
              </w:rPr>
              <w:t>Liabilities of consolidated funds:</w:t>
            </w:r>
          </w:p>
        </w:tc>
        <w:tc>
          <w:tcPr>
            <w:tcW w:w="3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8020" w:type="dxa"/>
            <w:vAlign w:val="bottom"/>
          </w:tcPr>
          <w:p>
            <w:pPr>
              <w:ind w:left="300"/>
              <w:spacing w:after="0"/>
              <w:rPr>
                <w:sz w:val="20"/>
                <w:szCs w:val="20"/>
                <w:color w:val="auto"/>
              </w:rPr>
            </w:pPr>
            <w:r>
              <w:rPr>
                <w:rFonts w:ascii="Arial" w:cs="Arial" w:eastAsia="Arial" w:hAnsi="Arial"/>
                <w:sz w:val="14"/>
                <w:szCs w:val="14"/>
                <w:color w:val="auto"/>
              </w:rPr>
              <w:t>Accounts payable, accrued expenses and other liabilities</w:t>
            </w:r>
          </w:p>
        </w:tc>
        <w:tc>
          <w:tcPr>
            <w:tcW w:w="3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87,469</w:t>
            </w:r>
          </w:p>
        </w:tc>
        <w:tc>
          <w:tcPr>
            <w:tcW w:w="2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31,163</w:t>
            </w:r>
          </w:p>
        </w:tc>
        <w:tc>
          <w:tcPr>
            <w:tcW w:w="0" w:type="dxa"/>
            <w:vAlign w:val="bottom"/>
          </w:tcPr>
          <w:p>
            <w:pPr>
              <w:spacing w:after="0"/>
              <w:rPr>
                <w:sz w:val="1"/>
                <w:szCs w:val="1"/>
                <w:color w:val="auto"/>
              </w:rPr>
            </w:pPr>
          </w:p>
        </w:tc>
      </w:tr>
      <w:tr>
        <w:trPr>
          <w:trHeight w:val="193"/>
        </w:trPr>
        <w:tc>
          <w:tcPr>
            <w:tcW w:w="8020" w:type="dxa"/>
            <w:vAlign w:val="bottom"/>
          </w:tcPr>
          <w:p>
            <w:pPr>
              <w:ind w:left="300"/>
              <w:spacing w:after="0"/>
              <w:rPr>
                <w:sz w:val="20"/>
                <w:szCs w:val="20"/>
                <w:color w:val="auto"/>
              </w:rPr>
            </w:pPr>
            <w:r>
              <w:rPr>
                <w:rFonts w:ascii="Arial" w:cs="Arial" w:eastAsia="Arial" w:hAnsi="Arial"/>
                <w:sz w:val="14"/>
                <w:szCs w:val="14"/>
                <w:color w:val="auto"/>
              </w:rPr>
              <w:t>Payables for securities purchased</w:t>
            </w:r>
          </w:p>
        </w:tc>
        <w:tc>
          <w:tcPr>
            <w:tcW w:w="3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202,370</w:t>
            </w:r>
          </w:p>
        </w:tc>
        <w:tc>
          <w:tcPr>
            <w:tcW w:w="2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256,529</w:t>
            </w:r>
          </w:p>
        </w:tc>
        <w:tc>
          <w:tcPr>
            <w:tcW w:w="0" w:type="dxa"/>
            <w:vAlign w:val="bottom"/>
          </w:tcPr>
          <w:p>
            <w:pPr>
              <w:spacing w:after="0"/>
              <w:rPr>
                <w:sz w:val="1"/>
                <w:szCs w:val="1"/>
                <w:color w:val="auto"/>
              </w:rPr>
            </w:pPr>
          </w:p>
        </w:tc>
      </w:tr>
      <w:tr>
        <w:trPr>
          <w:trHeight w:val="193"/>
        </w:trPr>
        <w:tc>
          <w:tcPr>
            <w:tcW w:w="8020" w:type="dxa"/>
            <w:vAlign w:val="bottom"/>
          </w:tcPr>
          <w:p>
            <w:pPr>
              <w:ind w:left="300"/>
              <w:spacing w:after="0"/>
              <w:rPr>
                <w:sz w:val="20"/>
                <w:szCs w:val="20"/>
                <w:color w:val="auto"/>
              </w:rPr>
            </w:pPr>
            <w:r>
              <w:rPr>
                <w:rFonts w:ascii="Arial" w:cs="Arial" w:eastAsia="Arial" w:hAnsi="Arial"/>
                <w:sz w:val="14"/>
                <w:szCs w:val="14"/>
                <w:color w:val="auto"/>
              </w:rPr>
              <w:t>Derivative liabilities, at fair value</w:t>
            </w:r>
          </w:p>
        </w:tc>
        <w:tc>
          <w:tcPr>
            <w:tcW w:w="3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846</w:t>
            </w:r>
          </w:p>
        </w:tc>
        <w:tc>
          <w:tcPr>
            <w:tcW w:w="2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374</w:t>
            </w:r>
          </w:p>
        </w:tc>
        <w:tc>
          <w:tcPr>
            <w:tcW w:w="0" w:type="dxa"/>
            <w:vAlign w:val="bottom"/>
          </w:tcPr>
          <w:p>
            <w:pPr>
              <w:spacing w:after="0"/>
              <w:rPr>
                <w:sz w:val="1"/>
                <w:szCs w:val="1"/>
                <w:color w:val="auto"/>
              </w:rPr>
            </w:pPr>
          </w:p>
        </w:tc>
      </w:tr>
      <w:tr>
        <w:trPr>
          <w:trHeight w:val="193"/>
        </w:trPr>
        <w:tc>
          <w:tcPr>
            <w:tcW w:w="8020" w:type="dxa"/>
            <w:vAlign w:val="bottom"/>
          </w:tcPr>
          <w:p>
            <w:pPr>
              <w:ind w:left="300"/>
              <w:spacing w:after="0"/>
              <w:rPr>
                <w:sz w:val="20"/>
                <w:szCs w:val="20"/>
                <w:color w:val="auto"/>
              </w:rPr>
            </w:pPr>
            <w:r>
              <w:rPr>
                <w:rFonts w:ascii="Arial" w:cs="Arial" w:eastAsia="Arial" w:hAnsi="Arial"/>
                <w:sz w:val="14"/>
                <w:szCs w:val="14"/>
                <w:color w:val="auto"/>
              </w:rPr>
              <w:t>Distributions payable</w:t>
            </w:r>
          </w:p>
        </w:tc>
        <w:tc>
          <w:tcPr>
            <w:tcW w:w="3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798</w:t>
            </w:r>
          </w:p>
        </w:tc>
        <w:tc>
          <w:tcPr>
            <w:tcW w:w="2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574</w:t>
            </w:r>
          </w:p>
        </w:tc>
        <w:tc>
          <w:tcPr>
            <w:tcW w:w="0" w:type="dxa"/>
            <w:vAlign w:val="bottom"/>
          </w:tcPr>
          <w:p>
            <w:pPr>
              <w:spacing w:after="0"/>
              <w:rPr>
                <w:sz w:val="1"/>
                <w:szCs w:val="1"/>
                <w:color w:val="auto"/>
              </w:rPr>
            </w:pPr>
          </w:p>
        </w:tc>
      </w:tr>
      <w:tr>
        <w:trPr>
          <w:trHeight w:val="193"/>
        </w:trPr>
        <w:tc>
          <w:tcPr>
            <w:tcW w:w="8020" w:type="dxa"/>
            <w:vAlign w:val="bottom"/>
          </w:tcPr>
          <w:p>
            <w:pPr>
              <w:ind w:left="300"/>
              <w:spacing w:after="0"/>
              <w:rPr>
                <w:sz w:val="20"/>
                <w:szCs w:val="20"/>
                <w:color w:val="auto"/>
              </w:rPr>
            </w:pPr>
            <w:r>
              <w:rPr>
                <w:rFonts w:ascii="Arial" w:cs="Arial" w:eastAsia="Arial" w:hAnsi="Arial"/>
                <w:sz w:val="14"/>
                <w:szCs w:val="14"/>
                <w:color w:val="auto"/>
              </w:rPr>
              <w:t>Debt obligations of the consolidated funds</w:t>
            </w:r>
          </w:p>
        </w:tc>
        <w:tc>
          <w:tcPr>
            <w:tcW w:w="3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99,500</w:t>
            </w:r>
          </w:p>
        </w:tc>
        <w:tc>
          <w:tcPr>
            <w:tcW w:w="2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74,500</w:t>
            </w:r>
          </w:p>
        </w:tc>
        <w:tc>
          <w:tcPr>
            <w:tcW w:w="0" w:type="dxa"/>
            <w:vAlign w:val="bottom"/>
          </w:tcPr>
          <w:p>
            <w:pPr>
              <w:spacing w:after="0"/>
              <w:rPr>
                <w:sz w:val="1"/>
                <w:szCs w:val="1"/>
                <w:color w:val="auto"/>
              </w:rPr>
            </w:pPr>
          </w:p>
        </w:tc>
      </w:tr>
      <w:tr>
        <w:trPr>
          <w:trHeight w:val="194"/>
        </w:trPr>
        <w:tc>
          <w:tcPr>
            <w:tcW w:w="8020" w:type="dxa"/>
            <w:vAlign w:val="bottom"/>
          </w:tcPr>
          <w:p>
            <w:pPr>
              <w:ind w:left="300"/>
              <w:spacing w:after="0"/>
              <w:rPr>
                <w:sz w:val="20"/>
                <w:szCs w:val="20"/>
                <w:color w:val="auto"/>
              </w:rPr>
            </w:pPr>
            <w:r>
              <w:rPr>
                <w:rFonts w:ascii="Arial" w:cs="Arial" w:eastAsia="Arial" w:hAnsi="Arial"/>
                <w:sz w:val="14"/>
                <w:szCs w:val="14"/>
                <w:color w:val="auto"/>
              </w:rPr>
              <w:t>Debt obligations of CLOs</w:t>
            </w: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3,408,362</w:t>
            </w:r>
          </w:p>
        </w:tc>
        <w:tc>
          <w:tcPr>
            <w:tcW w:w="200" w:type="dxa"/>
            <w:vAlign w:val="bottom"/>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1,670,352</w:t>
            </w:r>
          </w:p>
        </w:tc>
        <w:tc>
          <w:tcPr>
            <w:tcW w:w="0" w:type="dxa"/>
            <w:vAlign w:val="bottom"/>
          </w:tcPr>
          <w:p>
            <w:pPr>
              <w:spacing w:after="0"/>
              <w:rPr>
                <w:sz w:val="1"/>
                <w:szCs w:val="1"/>
                <w:color w:val="auto"/>
              </w:rPr>
            </w:pPr>
          </w:p>
        </w:tc>
      </w:tr>
      <w:tr>
        <w:trPr>
          <w:trHeight w:val="186"/>
        </w:trPr>
        <w:tc>
          <w:tcPr>
            <w:tcW w:w="8020" w:type="dxa"/>
            <w:vAlign w:val="bottom"/>
          </w:tcPr>
          <w:p>
            <w:pPr>
              <w:ind w:left="620"/>
              <w:spacing w:after="0"/>
              <w:rPr>
                <w:sz w:val="20"/>
                <w:szCs w:val="20"/>
                <w:color w:val="auto"/>
              </w:rPr>
            </w:pPr>
            <w:r>
              <w:rPr>
                <w:rFonts w:ascii="Arial" w:cs="Arial" w:eastAsia="Arial" w:hAnsi="Arial"/>
                <w:sz w:val="14"/>
                <w:szCs w:val="14"/>
                <w:color w:val="auto"/>
              </w:rPr>
              <w:t>Total liabilities</w:t>
            </w: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4,476,775</w:t>
            </w:r>
          </w:p>
        </w:tc>
        <w:tc>
          <w:tcPr>
            <w:tcW w:w="200" w:type="dxa"/>
            <w:vAlign w:val="bottom"/>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2,374,479</w:t>
            </w:r>
          </w:p>
        </w:tc>
        <w:tc>
          <w:tcPr>
            <w:tcW w:w="0" w:type="dxa"/>
            <w:vAlign w:val="bottom"/>
          </w:tcPr>
          <w:p>
            <w:pPr>
              <w:spacing w:after="0"/>
              <w:rPr>
                <w:sz w:val="1"/>
                <w:szCs w:val="1"/>
                <w:color w:val="auto"/>
              </w:rPr>
            </w:pPr>
          </w:p>
        </w:tc>
      </w:tr>
      <w:tr>
        <w:trPr>
          <w:trHeight w:val="173"/>
        </w:trPr>
        <w:tc>
          <w:tcPr>
            <w:tcW w:w="8020" w:type="dxa"/>
            <w:vAlign w:val="bottom"/>
          </w:tcPr>
          <w:p>
            <w:pPr>
              <w:spacing w:after="0"/>
              <w:rPr>
                <w:sz w:val="20"/>
                <w:szCs w:val="20"/>
                <w:color w:val="auto"/>
              </w:rPr>
            </w:pPr>
            <w:r>
              <w:rPr>
                <w:rFonts w:ascii="Arial" w:cs="Arial" w:eastAsia="Arial" w:hAnsi="Arial"/>
                <w:sz w:val="14"/>
                <w:szCs w:val="14"/>
                <w:color w:val="auto"/>
              </w:rPr>
              <w:t>Commitments and contingencies (Note 11)</w:t>
            </w:r>
          </w:p>
        </w:tc>
        <w:tc>
          <w:tcPr>
            <w:tcW w:w="3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8020" w:type="dxa"/>
            <w:vAlign w:val="bottom"/>
          </w:tcPr>
          <w:p>
            <w:pPr>
              <w:spacing w:after="0"/>
              <w:rPr>
                <w:sz w:val="20"/>
                <w:szCs w:val="20"/>
                <w:color w:val="auto"/>
              </w:rPr>
            </w:pPr>
            <w:r>
              <w:rPr>
                <w:rFonts w:ascii="Arial" w:cs="Arial" w:eastAsia="Arial" w:hAnsi="Arial"/>
                <w:sz w:val="14"/>
                <w:szCs w:val="14"/>
                <w:color w:val="auto"/>
              </w:rPr>
              <w:t>Non-controlling redeemable interests in consolidated funds</w:t>
            </w: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1,107,603</w:t>
            </w:r>
          </w:p>
        </w:tc>
        <w:tc>
          <w:tcPr>
            <w:tcW w:w="200" w:type="dxa"/>
            <w:vAlign w:val="bottom"/>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545,198</w:t>
            </w:r>
          </w:p>
        </w:tc>
        <w:tc>
          <w:tcPr>
            <w:tcW w:w="0" w:type="dxa"/>
            <w:vAlign w:val="bottom"/>
          </w:tcPr>
          <w:p>
            <w:pPr>
              <w:spacing w:after="0"/>
              <w:rPr>
                <w:sz w:val="1"/>
                <w:szCs w:val="1"/>
                <w:color w:val="auto"/>
              </w:rPr>
            </w:pPr>
          </w:p>
        </w:tc>
      </w:tr>
      <w:tr>
        <w:trPr>
          <w:trHeight w:val="173"/>
        </w:trPr>
        <w:tc>
          <w:tcPr>
            <w:tcW w:w="8020" w:type="dxa"/>
            <w:vAlign w:val="bottom"/>
          </w:tcPr>
          <w:p>
            <w:pPr>
              <w:spacing w:after="0"/>
              <w:rPr>
                <w:sz w:val="20"/>
                <w:szCs w:val="20"/>
                <w:color w:val="auto"/>
              </w:rPr>
            </w:pPr>
            <w:r>
              <w:rPr>
                <w:rFonts w:ascii="Arial" w:cs="Arial" w:eastAsia="Arial" w:hAnsi="Arial"/>
                <w:sz w:val="14"/>
                <w:szCs w:val="14"/>
                <w:color w:val="auto"/>
              </w:rPr>
              <w:t>Unitholders’ capital:</w:t>
            </w:r>
          </w:p>
        </w:tc>
        <w:tc>
          <w:tcPr>
            <w:tcW w:w="3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8020" w:type="dxa"/>
            <w:vAlign w:val="bottom"/>
          </w:tcPr>
          <w:p>
            <w:pPr>
              <w:ind w:left="300"/>
              <w:spacing w:after="0"/>
              <w:rPr>
                <w:sz w:val="20"/>
                <w:szCs w:val="20"/>
                <w:color w:val="auto"/>
              </w:rPr>
            </w:pPr>
            <w:r>
              <w:rPr>
                <w:rFonts w:ascii="Arial" w:cs="Arial" w:eastAsia="Arial" w:hAnsi="Arial"/>
                <w:sz w:val="14"/>
                <w:szCs w:val="14"/>
                <w:color w:val="auto"/>
              </w:rPr>
              <w:t>Series A preferred units, 7,200,000 units issued and outstanding as of December 31, 2025 and 2024</w:t>
            </w:r>
          </w:p>
        </w:tc>
        <w:tc>
          <w:tcPr>
            <w:tcW w:w="3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173,669</w:t>
            </w:r>
          </w:p>
        </w:tc>
        <w:tc>
          <w:tcPr>
            <w:tcW w:w="2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173,669</w:t>
            </w:r>
          </w:p>
        </w:tc>
        <w:tc>
          <w:tcPr>
            <w:tcW w:w="0" w:type="dxa"/>
            <w:vAlign w:val="bottom"/>
          </w:tcPr>
          <w:p>
            <w:pPr>
              <w:spacing w:after="0"/>
              <w:rPr>
                <w:sz w:val="1"/>
                <w:szCs w:val="1"/>
                <w:color w:val="auto"/>
              </w:rPr>
            </w:pPr>
          </w:p>
        </w:tc>
      </w:tr>
      <w:tr>
        <w:trPr>
          <w:trHeight w:val="193"/>
        </w:trPr>
        <w:tc>
          <w:tcPr>
            <w:tcW w:w="8020" w:type="dxa"/>
            <w:vAlign w:val="bottom"/>
          </w:tcPr>
          <w:p>
            <w:pPr>
              <w:ind w:left="300"/>
              <w:spacing w:after="0"/>
              <w:rPr>
                <w:sz w:val="20"/>
                <w:szCs w:val="20"/>
                <w:color w:val="auto"/>
              </w:rPr>
            </w:pPr>
            <w:r>
              <w:rPr>
                <w:rFonts w:ascii="Arial" w:cs="Arial" w:eastAsia="Arial" w:hAnsi="Arial"/>
                <w:sz w:val="14"/>
                <w:szCs w:val="14"/>
                <w:color w:val="auto"/>
              </w:rPr>
              <w:t>Series B preferred units, 9,400,000 units issued and outstanding as of December 31, 2025 and 2024</w:t>
            </w:r>
          </w:p>
        </w:tc>
        <w:tc>
          <w:tcPr>
            <w:tcW w:w="3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226,915</w:t>
            </w:r>
          </w:p>
        </w:tc>
        <w:tc>
          <w:tcPr>
            <w:tcW w:w="2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226,915</w:t>
            </w:r>
          </w:p>
        </w:tc>
        <w:tc>
          <w:tcPr>
            <w:tcW w:w="0" w:type="dxa"/>
            <w:vAlign w:val="bottom"/>
          </w:tcPr>
          <w:p>
            <w:pPr>
              <w:spacing w:after="0"/>
              <w:rPr>
                <w:sz w:val="1"/>
                <w:szCs w:val="1"/>
                <w:color w:val="auto"/>
              </w:rPr>
            </w:pPr>
          </w:p>
        </w:tc>
      </w:tr>
      <w:tr>
        <w:trPr>
          <w:trHeight w:val="194"/>
        </w:trPr>
        <w:tc>
          <w:tcPr>
            <w:tcW w:w="8020" w:type="dxa"/>
            <w:vAlign w:val="bottom"/>
          </w:tcPr>
          <w:p>
            <w:pPr>
              <w:ind w:left="300"/>
              <w:spacing w:after="0"/>
              <w:rPr>
                <w:sz w:val="20"/>
                <w:szCs w:val="20"/>
                <w:color w:val="auto"/>
              </w:rPr>
            </w:pPr>
            <w:r>
              <w:rPr>
                <w:rFonts w:ascii="Arial" w:cs="Arial" w:eastAsia="Arial" w:hAnsi="Arial"/>
                <w:sz w:val="14"/>
                <w:szCs w:val="14"/>
                <w:color w:val="auto"/>
              </w:rPr>
              <w:t>Unitholders’ capital</w:t>
            </w: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1,038,500</w:t>
            </w:r>
          </w:p>
        </w:tc>
        <w:tc>
          <w:tcPr>
            <w:tcW w:w="200" w:type="dxa"/>
            <w:vAlign w:val="bottom"/>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1,130,656</w:t>
            </w:r>
          </w:p>
        </w:tc>
        <w:tc>
          <w:tcPr>
            <w:tcW w:w="0" w:type="dxa"/>
            <w:vAlign w:val="bottom"/>
          </w:tcPr>
          <w:p>
            <w:pPr>
              <w:spacing w:after="0"/>
              <w:rPr>
                <w:sz w:val="1"/>
                <w:szCs w:val="1"/>
                <w:color w:val="auto"/>
              </w:rPr>
            </w:pPr>
          </w:p>
        </w:tc>
      </w:tr>
      <w:tr>
        <w:trPr>
          <w:trHeight w:val="190"/>
        </w:trPr>
        <w:tc>
          <w:tcPr>
            <w:tcW w:w="8020" w:type="dxa"/>
            <w:vAlign w:val="bottom"/>
          </w:tcPr>
          <w:p>
            <w:pPr>
              <w:ind w:left="620"/>
              <w:spacing w:after="0"/>
              <w:rPr>
                <w:sz w:val="20"/>
                <w:szCs w:val="20"/>
                <w:color w:val="auto"/>
              </w:rPr>
            </w:pPr>
            <w:r>
              <w:rPr>
                <w:rFonts w:ascii="Arial" w:cs="Arial" w:eastAsia="Arial" w:hAnsi="Arial"/>
                <w:sz w:val="14"/>
                <w:szCs w:val="14"/>
                <w:color w:val="auto"/>
              </w:rPr>
              <w:t>Total unitholders’ capital</w:t>
            </w: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1,439,084</w:t>
            </w:r>
          </w:p>
        </w:tc>
        <w:tc>
          <w:tcPr>
            <w:tcW w:w="200" w:type="dxa"/>
            <w:vAlign w:val="bottom"/>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1,531,240</w:t>
            </w:r>
          </w:p>
        </w:tc>
        <w:tc>
          <w:tcPr>
            <w:tcW w:w="0" w:type="dxa"/>
            <w:vAlign w:val="bottom"/>
          </w:tcPr>
          <w:p>
            <w:pPr>
              <w:spacing w:after="0"/>
              <w:rPr>
                <w:sz w:val="1"/>
                <w:szCs w:val="1"/>
                <w:color w:val="auto"/>
              </w:rPr>
            </w:pPr>
          </w:p>
        </w:tc>
      </w:tr>
      <w:tr>
        <w:trPr>
          <w:trHeight w:val="190"/>
        </w:trPr>
        <w:tc>
          <w:tcPr>
            <w:tcW w:w="8020" w:type="dxa"/>
            <w:vAlign w:val="bottom"/>
          </w:tcPr>
          <w:p>
            <w:pPr>
              <w:ind w:left="620"/>
              <w:spacing w:after="0"/>
              <w:rPr>
                <w:sz w:val="20"/>
                <w:szCs w:val="20"/>
                <w:color w:val="auto"/>
              </w:rPr>
            </w:pPr>
            <w:r>
              <w:rPr>
                <w:rFonts w:ascii="Arial" w:cs="Arial" w:eastAsia="Arial" w:hAnsi="Arial"/>
                <w:sz w:val="14"/>
                <w:szCs w:val="14"/>
                <w:color w:val="auto"/>
              </w:rPr>
              <w:t>Total liabilities and unitholders’ capital</w:t>
            </w:r>
          </w:p>
        </w:tc>
        <w:tc>
          <w:tcPr>
            <w:tcW w:w="36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7,023,462</w:t>
            </w:r>
          </w:p>
        </w:tc>
        <w:tc>
          <w:tcPr>
            <w:tcW w:w="200" w:type="dxa"/>
            <w:vAlign w:val="bottom"/>
          </w:tcPr>
          <w:p>
            <w:pPr>
              <w:spacing w:after="0"/>
              <w:rPr>
                <w:sz w:val="16"/>
                <w:szCs w:val="16"/>
                <w:color w:val="auto"/>
              </w:rPr>
            </w:pPr>
          </w:p>
        </w:tc>
        <w:tc>
          <w:tcPr>
            <w:tcW w:w="54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4,450,917</w:t>
            </w:r>
          </w:p>
        </w:tc>
        <w:tc>
          <w:tcPr>
            <w:tcW w:w="0" w:type="dxa"/>
            <w:vAlign w:val="bottom"/>
          </w:tcPr>
          <w:p>
            <w:pPr>
              <w:spacing w:after="0"/>
              <w:rPr>
                <w:sz w:val="1"/>
                <w:szCs w:val="1"/>
                <w:color w:val="auto"/>
              </w:rPr>
            </w:pPr>
          </w:p>
        </w:tc>
      </w:tr>
      <w:tr>
        <w:trPr>
          <w:trHeight w:val="20"/>
        </w:trPr>
        <w:tc>
          <w:tcPr>
            <w:tcW w:w="80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5" w:lineRule="exact"/>
        <w:rPr>
          <w:sz w:val="20"/>
          <w:szCs w:val="20"/>
          <w:color w:val="auto"/>
        </w:rPr>
      </w:pPr>
    </w:p>
    <w:p>
      <w:pPr>
        <w:jc w:val="center"/>
        <w:ind w:right="20"/>
        <w:spacing w:after="0"/>
        <w:rPr>
          <w:sz w:val="20"/>
          <w:szCs w:val="20"/>
          <w:color w:val="auto"/>
        </w:rPr>
      </w:pPr>
      <w:r>
        <w:rPr>
          <w:rFonts w:ascii="Arial" w:cs="Arial" w:eastAsia="Arial" w:hAnsi="Arial"/>
          <w:sz w:val="17"/>
          <w:szCs w:val="17"/>
          <w:i w:val="1"/>
          <w:iCs w:val="1"/>
          <w:color w:val="auto"/>
        </w:rPr>
        <w:t>Please see accompanying notes to consolidated financial statements.</w:t>
      </w:r>
    </w:p>
    <w:p>
      <w:pPr>
        <w:spacing w:after="0" w:line="200" w:lineRule="exact"/>
        <w:rPr>
          <w:sz w:val="20"/>
          <w:szCs w:val="20"/>
          <w:color w:val="auto"/>
        </w:rPr>
      </w:pPr>
    </w:p>
    <w:p>
      <w:pPr>
        <w:spacing w:after="0" w:line="337"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220"/>
          </w:cols>
          <w:pgMar w:left="340" w:top="855" w:right="339" w:bottom="1440" w:gutter="0" w:footer="0" w:header="0"/>
        </w:sectPr>
      </w:pPr>
    </w:p>
    <w:bookmarkStart w:id="141" w:name="page142"/>
    <w:bookmarkEnd w:id="141"/>
    <w:p>
      <w:pPr>
        <w:jc w:val="center"/>
        <w:ind w:right="20"/>
        <w:spacing w:after="0"/>
        <w:rPr>
          <w:sz w:val="20"/>
          <w:szCs w:val="20"/>
          <w:color w:val="auto"/>
        </w:rPr>
      </w:pPr>
      <w:r>
        <w:rPr>
          <w:rFonts w:ascii="Arial" w:cs="Arial" w:eastAsia="Arial" w:hAnsi="Arial"/>
          <w:sz w:val="17"/>
          <w:szCs w:val="17"/>
          <w:b w:val="1"/>
          <w:bCs w:val="1"/>
          <w:color w:val="auto"/>
        </w:rPr>
        <w:t>Oaktree Capital I, L.P.</w:t>
      </w:r>
    </w:p>
    <w:p>
      <w:pPr>
        <w:spacing w:after="0" w:line="16"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Consolidated Statement of Operations</w:t>
      </w:r>
    </w:p>
    <w:p>
      <w:pPr>
        <w:spacing w:after="0" w:line="11"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(in thousands, except per unit amounts)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7180" w:type="dxa"/>
            <w:vAlign w:val="bottom"/>
          </w:tcPr>
          <w:p>
            <w:pPr>
              <w:spacing w:after="0"/>
              <w:rPr>
                <w:sz w:val="12"/>
                <w:szCs w:val="12"/>
                <w:color w:val="auto"/>
              </w:rPr>
            </w:pPr>
          </w:p>
        </w:tc>
        <w:tc>
          <w:tcPr>
            <w:tcW w:w="2120" w:type="dxa"/>
            <w:vAlign w:val="bottom"/>
            <w:gridSpan w:val="3"/>
          </w:tcPr>
          <w:p>
            <w:pPr>
              <w:ind w:left="20"/>
              <w:spacing w:after="0"/>
              <w:rPr>
                <w:sz w:val="20"/>
                <w:szCs w:val="20"/>
                <w:color w:val="auto"/>
              </w:rPr>
            </w:pPr>
            <w:r>
              <w:rPr>
                <w:rFonts w:ascii="Arial" w:cs="Arial" w:eastAsia="Arial" w:hAnsi="Arial"/>
                <w:sz w:val="12"/>
                <w:szCs w:val="12"/>
                <w:b w:val="1"/>
                <w:bCs w:val="1"/>
                <w:color w:val="auto"/>
              </w:rPr>
              <w:t>Twelve months ended December</w:t>
            </w:r>
          </w:p>
        </w:tc>
        <w:tc>
          <w:tcPr>
            <w:tcW w:w="1920" w:type="dxa"/>
            <w:vAlign w:val="bottom"/>
            <w:gridSpan w:val="2"/>
          </w:tcPr>
          <w:p>
            <w:pPr>
              <w:ind w:left="40"/>
              <w:spacing w:after="0"/>
              <w:rPr>
                <w:sz w:val="20"/>
                <w:szCs w:val="20"/>
                <w:color w:val="auto"/>
              </w:rPr>
            </w:pPr>
            <w:r>
              <w:rPr>
                <w:rFonts w:ascii="Arial" w:cs="Arial" w:eastAsia="Arial" w:hAnsi="Arial"/>
                <w:sz w:val="12"/>
                <w:szCs w:val="12"/>
                <w:b w:val="1"/>
                <w:bCs w:val="1"/>
                <w:color w:val="auto"/>
              </w:rPr>
              <w:t>Six months ended December 31,</w:t>
            </w:r>
          </w:p>
        </w:tc>
      </w:tr>
      <w:tr>
        <w:trPr>
          <w:trHeight w:val="173"/>
        </w:trPr>
        <w:tc>
          <w:tcPr>
            <w:tcW w:w="718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right"/>
              <w:ind w:right="644"/>
              <w:spacing w:after="0"/>
              <w:rPr>
                <w:sz w:val="20"/>
                <w:szCs w:val="20"/>
                <w:color w:val="auto"/>
              </w:rPr>
            </w:pPr>
            <w:r>
              <w:rPr>
                <w:rFonts w:ascii="Arial" w:cs="Arial" w:eastAsia="Arial" w:hAnsi="Arial"/>
                <w:sz w:val="12"/>
                <w:szCs w:val="12"/>
                <w:b w:val="1"/>
                <w:bCs w:val="1"/>
                <w:color w:val="auto"/>
              </w:rPr>
              <w:t>31, 2025</w:t>
            </w:r>
          </w:p>
        </w:tc>
        <w:tc>
          <w:tcPr>
            <w:tcW w:w="20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ind w:right="744"/>
              <w:spacing w:after="0"/>
              <w:rPr>
                <w:sz w:val="20"/>
                <w:szCs w:val="20"/>
                <w:color w:val="auto"/>
              </w:rPr>
            </w:pPr>
            <w:r>
              <w:rPr>
                <w:rFonts w:ascii="Arial" w:cs="Arial" w:eastAsia="Arial" w:hAnsi="Arial"/>
                <w:sz w:val="12"/>
                <w:szCs w:val="12"/>
                <w:b w:val="1"/>
                <w:bCs w:val="1"/>
                <w:color w:val="auto"/>
              </w:rPr>
              <w:t>2024</w:t>
            </w:r>
          </w:p>
        </w:tc>
      </w:tr>
      <w:tr>
        <w:trPr>
          <w:trHeight w:val="205"/>
        </w:trPr>
        <w:tc>
          <w:tcPr>
            <w:tcW w:w="7180" w:type="dxa"/>
            <w:vAlign w:val="bottom"/>
          </w:tcPr>
          <w:p>
            <w:pPr>
              <w:spacing w:after="0"/>
              <w:rPr>
                <w:sz w:val="20"/>
                <w:szCs w:val="20"/>
                <w:color w:val="auto"/>
              </w:rPr>
            </w:pPr>
            <w:r>
              <w:rPr>
                <w:rFonts w:ascii="Arial" w:cs="Arial" w:eastAsia="Arial" w:hAnsi="Arial"/>
                <w:sz w:val="15"/>
                <w:szCs w:val="15"/>
                <w:color w:val="auto"/>
              </w:rPr>
              <w:t>Revenues:</w:t>
            </w:r>
          </w:p>
        </w:tc>
        <w:tc>
          <w:tcPr>
            <w:tcW w:w="4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06"/>
        </w:trPr>
        <w:tc>
          <w:tcPr>
            <w:tcW w:w="7180" w:type="dxa"/>
            <w:vAlign w:val="bottom"/>
          </w:tcPr>
          <w:p>
            <w:pPr>
              <w:ind w:left="300"/>
              <w:spacing w:after="0"/>
              <w:rPr>
                <w:sz w:val="20"/>
                <w:szCs w:val="20"/>
                <w:color w:val="auto"/>
              </w:rPr>
            </w:pPr>
            <w:r>
              <w:rPr>
                <w:rFonts w:ascii="Arial" w:cs="Arial" w:eastAsia="Arial" w:hAnsi="Arial"/>
                <w:sz w:val="15"/>
                <w:szCs w:val="15"/>
                <w:color w:val="auto"/>
              </w:rPr>
              <w:t>Incentive income</w:t>
            </w:r>
          </w:p>
        </w:tc>
        <w:tc>
          <w:tcPr>
            <w:tcW w:w="420" w:type="dxa"/>
            <w:vAlign w:val="bottom"/>
          </w:tcPr>
          <w:p>
            <w:pPr>
              <w:ind w:left="20"/>
              <w:spacing w:after="0"/>
              <w:rPr>
                <w:sz w:val="20"/>
                <w:szCs w:val="20"/>
                <w:color w:val="auto"/>
              </w:rPr>
            </w:pPr>
            <w:r>
              <w:rPr>
                <w:rFonts w:ascii="Arial" w:cs="Arial" w:eastAsia="Arial" w:hAnsi="Arial"/>
                <w:sz w:val="15"/>
                <w:szCs w:val="15"/>
                <w:color w:val="auto"/>
              </w:rPr>
              <w:t>$</w:t>
            </w:r>
          </w:p>
        </w:tc>
        <w:tc>
          <w:tcPr>
            <w:tcW w:w="1500" w:type="dxa"/>
            <w:vAlign w:val="bottom"/>
          </w:tcPr>
          <w:p>
            <w:pPr>
              <w:jc w:val="right"/>
              <w:ind w:right="4"/>
              <w:spacing w:after="0"/>
              <w:rPr>
                <w:sz w:val="20"/>
                <w:szCs w:val="20"/>
                <w:color w:val="auto"/>
              </w:rPr>
            </w:pPr>
            <w:r>
              <w:rPr>
                <w:rFonts w:ascii="Arial" w:cs="Arial" w:eastAsia="Arial" w:hAnsi="Arial"/>
                <w:sz w:val="15"/>
                <w:szCs w:val="15"/>
                <w:color w:val="auto"/>
              </w:rPr>
              <w:t>411,478</w:t>
            </w:r>
          </w:p>
        </w:tc>
        <w:tc>
          <w:tcPr>
            <w:tcW w:w="200" w:type="dxa"/>
            <w:vAlign w:val="bottom"/>
          </w:tcPr>
          <w:p>
            <w:pPr>
              <w:spacing w:after="0"/>
              <w:rPr>
                <w:sz w:val="17"/>
                <w:szCs w:val="17"/>
                <w:color w:val="auto"/>
              </w:rPr>
            </w:pPr>
          </w:p>
        </w:tc>
        <w:tc>
          <w:tcPr>
            <w:tcW w:w="460" w:type="dxa"/>
            <w:vAlign w:val="bottom"/>
          </w:tcPr>
          <w:p>
            <w:pPr>
              <w:ind w:left="20"/>
              <w:spacing w:after="0"/>
              <w:rPr>
                <w:sz w:val="20"/>
                <w:szCs w:val="20"/>
                <w:color w:val="auto"/>
              </w:rPr>
            </w:pPr>
            <w:r>
              <w:rPr>
                <w:rFonts w:ascii="Arial" w:cs="Arial" w:eastAsia="Arial" w:hAnsi="Arial"/>
                <w:sz w:val="15"/>
                <w:szCs w:val="15"/>
                <w:color w:val="auto"/>
              </w:rPr>
              <w:t>$</w:t>
            </w:r>
          </w:p>
        </w:tc>
        <w:tc>
          <w:tcPr>
            <w:tcW w:w="1460" w:type="dxa"/>
            <w:vAlign w:val="bottom"/>
          </w:tcPr>
          <w:p>
            <w:pPr>
              <w:jc w:val="right"/>
              <w:spacing w:after="0"/>
              <w:rPr>
                <w:sz w:val="20"/>
                <w:szCs w:val="20"/>
                <w:color w:val="auto"/>
              </w:rPr>
            </w:pPr>
            <w:r>
              <w:rPr>
                <w:rFonts w:ascii="Arial" w:cs="Arial" w:eastAsia="Arial" w:hAnsi="Arial"/>
                <w:sz w:val="15"/>
                <w:szCs w:val="15"/>
                <w:color w:val="auto"/>
              </w:rPr>
              <w:t>239,786</w:t>
            </w:r>
          </w:p>
        </w:tc>
      </w:tr>
      <w:tr>
        <w:trPr>
          <w:trHeight w:val="206"/>
        </w:trPr>
        <w:tc>
          <w:tcPr>
            <w:tcW w:w="7180" w:type="dxa"/>
            <w:vAlign w:val="bottom"/>
          </w:tcPr>
          <w:p>
            <w:pPr>
              <w:spacing w:after="0"/>
              <w:rPr>
                <w:sz w:val="20"/>
                <w:szCs w:val="20"/>
                <w:color w:val="auto"/>
              </w:rPr>
            </w:pPr>
            <w:r>
              <w:rPr>
                <w:rFonts w:ascii="Arial" w:cs="Arial" w:eastAsia="Arial" w:hAnsi="Arial"/>
                <w:sz w:val="15"/>
                <w:szCs w:val="15"/>
                <w:color w:val="auto"/>
              </w:rPr>
              <w:t>Expenses:</w:t>
            </w:r>
          </w:p>
        </w:tc>
        <w:tc>
          <w:tcPr>
            <w:tcW w:w="4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06"/>
        </w:trPr>
        <w:tc>
          <w:tcPr>
            <w:tcW w:w="7180" w:type="dxa"/>
            <w:vAlign w:val="bottom"/>
          </w:tcPr>
          <w:p>
            <w:pPr>
              <w:ind w:left="300"/>
              <w:spacing w:after="0"/>
              <w:rPr>
                <w:sz w:val="20"/>
                <w:szCs w:val="20"/>
                <w:color w:val="auto"/>
              </w:rPr>
            </w:pPr>
            <w:r>
              <w:rPr>
                <w:rFonts w:ascii="Arial" w:cs="Arial" w:eastAsia="Arial" w:hAnsi="Arial"/>
                <w:sz w:val="15"/>
                <w:szCs w:val="15"/>
                <w:color w:val="auto"/>
              </w:rPr>
              <w:t>Incentive income compensation</w:t>
            </w:r>
          </w:p>
        </w:tc>
        <w:tc>
          <w:tcPr>
            <w:tcW w:w="42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(142,035)</w:t>
            </w:r>
          </w:p>
        </w:tc>
        <w:tc>
          <w:tcPr>
            <w:tcW w:w="20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(78,948)</w:t>
            </w:r>
          </w:p>
        </w:tc>
      </w:tr>
      <w:tr>
        <w:trPr>
          <w:trHeight w:val="199"/>
        </w:trPr>
        <w:tc>
          <w:tcPr>
            <w:tcW w:w="7180" w:type="dxa"/>
            <w:vAlign w:val="bottom"/>
          </w:tcPr>
          <w:p>
            <w:pPr>
              <w:ind w:left="620"/>
              <w:spacing w:after="0"/>
              <w:rPr>
                <w:sz w:val="20"/>
                <w:szCs w:val="20"/>
                <w:color w:val="auto"/>
              </w:rPr>
            </w:pPr>
            <w:r>
              <w:rPr>
                <w:rFonts w:ascii="Arial" w:cs="Arial" w:eastAsia="Arial" w:hAnsi="Arial"/>
                <w:sz w:val="15"/>
                <w:szCs w:val="15"/>
                <w:color w:val="auto"/>
              </w:rPr>
              <w:t>Total compensation and benefits expense</w:t>
            </w:r>
          </w:p>
        </w:tc>
        <w:tc>
          <w:tcPr>
            <w:tcW w:w="42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5"/>
                <w:szCs w:val="15"/>
                <w:color w:val="auto"/>
              </w:rPr>
              <w:t>(142,035)</w:t>
            </w: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5"/>
                <w:szCs w:val="15"/>
                <w:color w:val="auto"/>
              </w:rPr>
              <w:t>(78,948)</w:t>
            </w:r>
          </w:p>
        </w:tc>
      </w:tr>
      <w:tr>
        <w:trPr>
          <w:trHeight w:val="206"/>
        </w:trPr>
        <w:tc>
          <w:tcPr>
            <w:tcW w:w="7180" w:type="dxa"/>
            <w:vAlign w:val="bottom"/>
          </w:tcPr>
          <w:p>
            <w:pPr>
              <w:ind w:left="300"/>
              <w:spacing w:after="0"/>
              <w:rPr>
                <w:sz w:val="20"/>
                <w:szCs w:val="20"/>
                <w:color w:val="auto"/>
              </w:rPr>
            </w:pPr>
            <w:r>
              <w:rPr>
                <w:rFonts w:ascii="Arial" w:cs="Arial" w:eastAsia="Arial" w:hAnsi="Arial"/>
                <w:sz w:val="15"/>
                <w:szCs w:val="15"/>
                <w:color w:val="auto"/>
              </w:rPr>
              <w:t>General and administrative</w:t>
            </w:r>
          </w:p>
        </w:tc>
        <w:tc>
          <w:tcPr>
            <w:tcW w:w="42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5"/>
                <w:szCs w:val="15"/>
                <w:color w:val="auto"/>
              </w:rPr>
              <w:t>(5,471)</w:t>
            </w: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5"/>
                <w:szCs w:val="15"/>
                <w:color w:val="auto"/>
              </w:rPr>
              <w:t>(2,973)</w:t>
            </w:r>
          </w:p>
        </w:tc>
      </w:tr>
      <w:tr>
        <w:trPr>
          <w:trHeight w:val="206"/>
        </w:trPr>
        <w:tc>
          <w:tcPr>
            <w:tcW w:w="7180" w:type="dxa"/>
            <w:vAlign w:val="bottom"/>
          </w:tcPr>
          <w:p>
            <w:pPr>
              <w:ind w:left="300"/>
              <w:spacing w:after="0"/>
              <w:rPr>
                <w:sz w:val="20"/>
                <w:szCs w:val="20"/>
                <w:color w:val="auto"/>
              </w:rPr>
            </w:pPr>
            <w:r>
              <w:rPr>
                <w:rFonts w:ascii="Arial" w:cs="Arial" w:eastAsia="Arial" w:hAnsi="Arial"/>
                <w:sz w:val="15"/>
                <w:szCs w:val="15"/>
                <w:color w:val="auto"/>
              </w:rPr>
              <w:t>Consolidated fund expenses</w:t>
            </w:r>
          </w:p>
        </w:tc>
        <w:tc>
          <w:tcPr>
            <w:tcW w:w="42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(12,928)</w:t>
            </w:r>
          </w:p>
        </w:tc>
        <w:tc>
          <w:tcPr>
            <w:tcW w:w="20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(5,373)</w:t>
            </w:r>
          </w:p>
        </w:tc>
      </w:tr>
      <w:tr>
        <w:trPr>
          <w:trHeight w:val="199"/>
        </w:trPr>
        <w:tc>
          <w:tcPr>
            <w:tcW w:w="7180" w:type="dxa"/>
            <w:vAlign w:val="bottom"/>
          </w:tcPr>
          <w:p>
            <w:pPr>
              <w:ind w:left="620"/>
              <w:spacing w:after="0"/>
              <w:rPr>
                <w:sz w:val="20"/>
                <w:szCs w:val="20"/>
                <w:color w:val="auto"/>
              </w:rPr>
            </w:pPr>
            <w:r>
              <w:rPr>
                <w:rFonts w:ascii="Arial" w:cs="Arial" w:eastAsia="Arial" w:hAnsi="Arial"/>
                <w:sz w:val="15"/>
                <w:szCs w:val="15"/>
                <w:color w:val="auto"/>
              </w:rPr>
              <w:t>Total expenses</w:t>
            </w:r>
          </w:p>
        </w:tc>
        <w:tc>
          <w:tcPr>
            <w:tcW w:w="42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(160,434)</w:t>
            </w:r>
          </w:p>
        </w:tc>
        <w:tc>
          <w:tcPr>
            <w:tcW w:w="20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(87,294)</w:t>
            </w:r>
          </w:p>
        </w:tc>
      </w:tr>
      <w:tr>
        <w:trPr>
          <w:trHeight w:val="186"/>
        </w:trPr>
        <w:tc>
          <w:tcPr>
            <w:tcW w:w="7180" w:type="dxa"/>
            <w:vAlign w:val="bottom"/>
          </w:tcPr>
          <w:p>
            <w:pPr>
              <w:spacing w:after="0"/>
              <w:rPr>
                <w:sz w:val="20"/>
                <w:szCs w:val="20"/>
                <w:color w:val="auto"/>
              </w:rPr>
            </w:pPr>
            <w:r>
              <w:rPr>
                <w:rFonts w:ascii="Arial" w:cs="Arial" w:eastAsia="Arial" w:hAnsi="Arial"/>
                <w:sz w:val="15"/>
                <w:szCs w:val="15"/>
                <w:color w:val="auto"/>
              </w:rPr>
              <w:t>Other income:</w:t>
            </w:r>
          </w:p>
        </w:tc>
        <w:tc>
          <w:tcPr>
            <w:tcW w:w="4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60" w:type="dxa"/>
            <w:vAlign w:val="bottom"/>
          </w:tcPr>
          <w:p>
            <w:pPr>
              <w:spacing w:after="0"/>
              <w:rPr>
                <w:sz w:val="16"/>
                <w:szCs w:val="16"/>
                <w:color w:val="auto"/>
              </w:rPr>
            </w:pPr>
          </w:p>
        </w:tc>
      </w:tr>
      <w:tr>
        <w:trPr>
          <w:trHeight w:val="206"/>
        </w:trPr>
        <w:tc>
          <w:tcPr>
            <w:tcW w:w="7180" w:type="dxa"/>
            <w:vAlign w:val="bottom"/>
          </w:tcPr>
          <w:p>
            <w:pPr>
              <w:ind w:left="300"/>
              <w:spacing w:after="0"/>
              <w:rPr>
                <w:sz w:val="20"/>
                <w:szCs w:val="20"/>
                <w:color w:val="auto"/>
              </w:rPr>
            </w:pPr>
            <w:r>
              <w:rPr>
                <w:rFonts w:ascii="Arial" w:cs="Arial" w:eastAsia="Arial" w:hAnsi="Arial"/>
                <w:sz w:val="15"/>
                <w:szCs w:val="15"/>
                <w:color w:val="auto"/>
              </w:rPr>
              <w:t>Interest expense</w:t>
            </w:r>
          </w:p>
        </w:tc>
        <w:tc>
          <w:tcPr>
            <w:tcW w:w="42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5"/>
                <w:szCs w:val="15"/>
                <w:color w:val="auto"/>
              </w:rPr>
              <w:t>(59,242)</w:t>
            </w: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5"/>
                <w:szCs w:val="15"/>
                <w:color w:val="auto"/>
              </w:rPr>
              <w:t>(20,632)</w:t>
            </w:r>
          </w:p>
        </w:tc>
      </w:tr>
      <w:tr>
        <w:trPr>
          <w:trHeight w:val="206"/>
        </w:trPr>
        <w:tc>
          <w:tcPr>
            <w:tcW w:w="7180" w:type="dxa"/>
            <w:vAlign w:val="bottom"/>
          </w:tcPr>
          <w:p>
            <w:pPr>
              <w:ind w:left="300"/>
              <w:spacing w:after="0"/>
              <w:rPr>
                <w:sz w:val="20"/>
                <w:szCs w:val="20"/>
                <w:color w:val="auto"/>
              </w:rPr>
            </w:pPr>
            <w:r>
              <w:rPr>
                <w:rFonts w:ascii="Arial" w:cs="Arial" w:eastAsia="Arial" w:hAnsi="Arial"/>
                <w:sz w:val="15"/>
                <w:szCs w:val="15"/>
                <w:color w:val="auto"/>
              </w:rPr>
              <w:t>Interest and dividend income</w:t>
            </w:r>
          </w:p>
        </w:tc>
        <w:tc>
          <w:tcPr>
            <w:tcW w:w="420" w:type="dxa"/>
            <w:vAlign w:val="bottom"/>
          </w:tcPr>
          <w:p>
            <w:pPr>
              <w:spacing w:after="0"/>
              <w:rPr>
                <w:sz w:val="17"/>
                <w:szCs w:val="17"/>
                <w:color w:val="auto"/>
              </w:rPr>
            </w:pPr>
          </w:p>
        </w:tc>
        <w:tc>
          <w:tcPr>
            <w:tcW w:w="1500" w:type="dxa"/>
            <w:vAlign w:val="bottom"/>
          </w:tcPr>
          <w:p>
            <w:pPr>
              <w:jc w:val="right"/>
              <w:ind w:right="4"/>
              <w:spacing w:after="0"/>
              <w:rPr>
                <w:sz w:val="20"/>
                <w:szCs w:val="20"/>
                <w:color w:val="auto"/>
              </w:rPr>
            </w:pPr>
            <w:r>
              <w:rPr>
                <w:rFonts w:ascii="Arial" w:cs="Arial" w:eastAsia="Arial" w:hAnsi="Arial"/>
                <w:sz w:val="15"/>
                <w:szCs w:val="15"/>
                <w:color w:val="auto"/>
              </w:rPr>
              <w:t>137,854</w:t>
            </w: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5"/>
                <w:szCs w:val="15"/>
                <w:color w:val="auto"/>
              </w:rPr>
              <w:t>57,757</w:t>
            </w:r>
          </w:p>
        </w:tc>
      </w:tr>
      <w:tr>
        <w:trPr>
          <w:trHeight w:val="206"/>
        </w:trPr>
        <w:tc>
          <w:tcPr>
            <w:tcW w:w="7180" w:type="dxa"/>
            <w:vAlign w:val="bottom"/>
          </w:tcPr>
          <w:p>
            <w:pPr>
              <w:ind w:left="300"/>
              <w:spacing w:after="0"/>
              <w:rPr>
                <w:sz w:val="20"/>
                <w:szCs w:val="20"/>
                <w:color w:val="auto"/>
              </w:rPr>
            </w:pPr>
            <w:r>
              <w:rPr>
                <w:rFonts w:ascii="Arial" w:cs="Arial" w:eastAsia="Arial" w:hAnsi="Arial"/>
                <w:sz w:val="15"/>
                <w:szCs w:val="15"/>
                <w:color w:val="auto"/>
              </w:rPr>
              <w:t>Net realized (loss) gain on consolidated funds’ investments</w:t>
            </w:r>
          </w:p>
        </w:tc>
        <w:tc>
          <w:tcPr>
            <w:tcW w:w="42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5"/>
                <w:szCs w:val="15"/>
                <w:color w:val="auto"/>
              </w:rPr>
              <w:t>(2,301)</w:t>
            </w: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5"/>
                <w:szCs w:val="15"/>
                <w:color w:val="auto"/>
              </w:rPr>
              <w:t>(329)</w:t>
            </w:r>
          </w:p>
        </w:tc>
      </w:tr>
      <w:tr>
        <w:trPr>
          <w:trHeight w:val="206"/>
        </w:trPr>
        <w:tc>
          <w:tcPr>
            <w:tcW w:w="7180" w:type="dxa"/>
            <w:vAlign w:val="bottom"/>
          </w:tcPr>
          <w:p>
            <w:pPr>
              <w:ind w:left="300"/>
              <w:spacing w:after="0"/>
              <w:rPr>
                <w:sz w:val="20"/>
                <w:szCs w:val="20"/>
                <w:color w:val="auto"/>
              </w:rPr>
            </w:pPr>
            <w:r>
              <w:rPr>
                <w:rFonts w:ascii="Arial" w:cs="Arial" w:eastAsia="Arial" w:hAnsi="Arial"/>
                <w:sz w:val="15"/>
                <w:szCs w:val="15"/>
                <w:color w:val="auto"/>
              </w:rPr>
              <w:t>Net change in unrealized (depreciation) appreciation on consolidated funds’ investments</w:t>
            </w:r>
          </w:p>
        </w:tc>
        <w:tc>
          <w:tcPr>
            <w:tcW w:w="42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5"/>
                <w:szCs w:val="15"/>
                <w:color w:val="auto"/>
              </w:rPr>
              <w:t>(4,283)</w:t>
            </w: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5"/>
                <w:szCs w:val="15"/>
                <w:color w:val="auto"/>
              </w:rPr>
              <w:t>6,197</w:t>
            </w:r>
          </w:p>
        </w:tc>
      </w:tr>
      <w:tr>
        <w:trPr>
          <w:trHeight w:val="206"/>
        </w:trPr>
        <w:tc>
          <w:tcPr>
            <w:tcW w:w="7180" w:type="dxa"/>
            <w:vAlign w:val="bottom"/>
          </w:tcPr>
          <w:p>
            <w:pPr>
              <w:ind w:left="300"/>
              <w:spacing w:after="0"/>
              <w:rPr>
                <w:sz w:val="20"/>
                <w:szCs w:val="20"/>
                <w:color w:val="auto"/>
              </w:rPr>
            </w:pPr>
            <w:r>
              <w:rPr>
                <w:rFonts w:ascii="Arial" w:cs="Arial" w:eastAsia="Arial" w:hAnsi="Arial"/>
                <w:sz w:val="15"/>
                <w:szCs w:val="15"/>
                <w:color w:val="auto"/>
              </w:rPr>
              <w:t>Investment income</w:t>
            </w:r>
          </w:p>
        </w:tc>
        <w:tc>
          <w:tcPr>
            <w:tcW w:w="420" w:type="dxa"/>
            <w:vAlign w:val="bottom"/>
          </w:tcPr>
          <w:p>
            <w:pPr>
              <w:spacing w:after="0"/>
              <w:rPr>
                <w:sz w:val="17"/>
                <w:szCs w:val="17"/>
                <w:color w:val="auto"/>
              </w:rPr>
            </w:pPr>
          </w:p>
        </w:tc>
        <w:tc>
          <w:tcPr>
            <w:tcW w:w="1500" w:type="dxa"/>
            <w:vAlign w:val="bottom"/>
          </w:tcPr>
          <w:p>
            <w:pPr>
              <w:jc w:val="right"/>
              <w:ind w:right="4"/>
              <w:spacing w:after="0"/>
              <w:rPr>
                <w:sz w:val="20"/>
                <w:szCs w:val="20"/>
                <w:color w:val="auto"/>
              </w:rPr>
            </w:pPr>
            <w:r>
              <w:rPr>
                <w:rFonts w:ascii="Arial" w:cs="Arial" w:eastAsia="Arial" w:hAnsi="Arial"/>
                <w:sz w:val="15"/>
                <w:szCs w:val="15"/>
                <w:color w:val="auto"/>
              </w:rPr>
              <w:t>10,340</w:t>
            </w: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5"/>
                <w:szCs w:val="15"/>
                <w:color w:val="auto"/>
              </w:rPr>
              <w:t>25,716</w:t>
            </w:r>
          </w:p>
        </w:tc>
      </w:tr>
      <w:tr>
        <w:trPr>
          <w:trHeight w:val="206"/>
        </w:trPr>
        <w:tc>
          <w:tcPr>
            <w:tcW w:w="7180" w:type="dxa"/>
            <w:vAlign w:val="bottom"/>
          </w:tcPr>
          <w:p>
            <w:pPr>
              <w:ind w:left="300"/>
              <w:spacing w:after="0"/>
              <w:rPr>
                <w:sz w:val="20"/>
                <w:szCs w:val="20"/>
                <w:color w:val="auto"/>
              </w:rPr>
            </w:pPr>
            <w:r>
              <w:rPr>
                <w:rFonts w:ascii="Arial" w:cs="Arial" w:eastAsia="Arial" w:hAnsi="Arial"/>
                <w:sz w:val="15"/>
                <w:szCs w:val="15"/>
                <w:color w:val="auto"/>
              </w:rPr>
              <w:t>Other expense, net</w:t>
            </w:r>
          </w:p>
        </w:tc>
        <w:tc>
          <w:tcPr>
            <w:tcW w:w="420" w:type="dxa"/>
            <w:vAlign w:val="bottom"/>
          </w:tcPr>
          <w:p>
            <w:pPr>
              <w:spacing w:after="0"/>
              <w:rPr>
                <w:sz w:val="17"/>
                <w:szCs w:val="17"/>
                <w:color w:val="auto"/>
              </w:rPr>
            </w:pPr>
          </w:p>
        </w:tc>
        <w:tc>
          <w:tcPr>
            <w:tcW w:w="170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46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5"/>
                <w:szCs w:val="15"/>
                <w:color w:val="auto"/>
              </w:rPr>
              <w:t>(425)</w:t>
            </w:r>
          </w:p>
        </w:tc>
      </w:tr>
      <w:tr>
        <w:trPr>
          <w:trHeight w:val="199"/>
        </w:trPr>
        <w:tc>
          <w:tcPr>
            <w:tcW w:w="7180" w:type="dxa"/>
            <w:vAlign w:val="bottom"/>
          </w:tcPr>
          <w:p>
            <w:pPr>
              <w:ind w:left="620"/>
              <w:spacing w:after="0"/>
              <w:rPr>
                <w:sz w:val="20"/>
                <w:szCs w:val="20"/>
                <w:color w:val="auto"/>
              </w:rPr>
            </w:pPr>
            <w:r>
              <w:rPr>
                <w:rFonts w:ascii="Arial" w:cs="Arial" w:eastAsia="Arial" w:hAnsi="Arial"/>
                <w:sz w:val="15"/>
                <w:szCs w:val="15"/>
                <w:color w:val="auto"/>
              </w:rPr>
              <w:t>Total other income</w:t>
            </w:r>
          </w:p>
        </w:tc>
        <w:tc>
          <w:tcPr>
            <w:tcW w:w="420" w:type="dxa"/>
            <w:vAlign w:val="bottom"/>
            <w:tcBorders>
              <w:top w:val="single" w:sz="8" w:color="auto"/>
              <w:bottom w:val="single" w:sz="8" w:color="auto"/>
            </w:tcBorders>
          </w:tcPr>
          <w:p>
            <w:pPr>
              <w:spacing w:after="0"/>
              <w:rPr>
                <w:sz w:val="17"/>
                <w:szCs w:val="17"/>
                <w:color w:val="auto"/>
              </w:rPr>
            </w:pPr>
          </w:p>
        </w:tc>
        <w:tc>
          <w:tcPr>
            <w:tcW w:w="150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5"/>
                <w:szCs w:val="15"/>
                <w:color w:val="auto"/>
              </w:rPr>
              <w:t>82,368</w:t>
            </w:r>
          </w:p>
        </w:tc>
        <w:tc>
          <w:tcPr>
            <w:tcW w:w="200" w:type="dxa"/>
            <w:vAlign w:val="bottom"/>
          </w:tcPr>
          <w:p>
            <w:pPr>
              <w:spacing w:after="0"/>
              <w:rPr>
                <w:sz w:val="17"/>
                <w:szCs w:val="17"/>
                <w:color w:val="auto"/>
              </w:rPr>
            </w:pPr>
          </w:p>
        </w:tc>
        <w:tc>
          <w:tcPr>
            <w:tcW w:w="460" w:type="dxa"/>
            <w:vAlign w:val="bottom"/>
            <w:tcBorders>
              <w:top w:val="single" w:sz="8" w:color="auto"/>
              <w:bottom w:val="single" w:sz="8" w:color="auto"/>
            </w:tcBorders>
          </w:tcPr>
          <w:p>
            <w:pPr>
              <w:spacing w:after="0"/>
              <w:rPr>
                <w:sz w:val="17"/>
                <w:szCs w:val="17"/>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68,284</w:t>
            </w:r>
          </w:p>
        </w:tc>
      </w:tr>
      <w:tr>
        <w:trPr>
          <w:trHeight w:val="199"/>
        </w:trPr>
        <w:tc>
          <w:tcPr>
            <w:tcW w:w="7180" w:type="dxa"/>
            <w:vAlign w:val="bottom"/>
          </w:tcPr>
          <w:p>
            <w:pPr>
              <w:spacing w:after="0"/>
              <w:rPr>
                <w:sz w:val="20"/>
                <w:szCs w:val="20"/>
                <w:color w:val="auto"/>
              </w:rPr>
            </w:pPr>
            <w:r>
              <w:rPr>
                <w:rFonts w:ascii="Arial" w:cs="Arial" w:eastAsia="Arial" w:hAnsi="Arial"/>
                <w:sz w:val="15"/>
                <w:szCs w:val="15"/>
                <w:color w:val="auto"/>
              </w:rPr>
              <w:t>Net income</w:t>
            </w:r>
          </w:p>
        </w:tc>
        <w:tc>
          <w:tcPr>
            <w:tcW w:w="420" w:type="dxa"/>
            <w:vAlign w:val="bottom"/>
          </w:tcPr>
          <w:p>
            <w:pPr>
              <w:spacing w:after="0"/>
              <w:rPr>
                <w:sz w:val="17"/>
                <w:szCs w:val="17"/>
                <w:color w:val="auto"/>
              </w:rPr>
            </w:pPr>
          </w:p>
        </w:tc>
        <w:tc>
          <w:tcPr>
            <w:tcW w:w="1500" w:type="dxa"/>
            <w:vAlign w:val="bottom"/>
          </w:tcPr>
          <w:p>
            <w:pPr>
              <w:jc w:val="right"/>
              <w:ind w:right="4"/>
              <w:spacing w:after="0"/>
              <w:rPr>
                <w:sz w:val="20"/>
                <w:szCs w:val="20"/>
                <w:color w:val="auto"/>
              </w:rPr>
            </w:pPr>
            <w:r>
              <w:rPr>
                <w:rFonts w:ascii="Arial" w:cs="Arial" w:eastAsia="Arial" w:hAnsi="Arial"/>
                <w:sz w:val="15"/>
                <w:szCs w:val="15"/>
                <w:color w:val="auto"/>
              </w:rPr>
              <w:t>333,412</w:t>
            </w: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5"/>
                <w:szCs w:val="15"/>
                <w:color w:val="auto"/>
              </w:rPr>
              <w:t>220,776</w:t>
            </w:r>
          </w:p>
        </w:tc>
      </w:tr>
      <w:tr>
        <w:trPr>
          <w:trHeight w:val="206"/>
        </w:trPr>
        <w:tc>
          <w:tcPr>
            <w:tcW w:w="7180" w:type="dxa"/>
            <w:vAlign w:val="bottom"/>
          </w:tcPr>
          <w:p>
            <w:pPr>
              <w:spacing w:after="0"/>
              <w:rPr>
                <w:sz w:val="20"/>
                <w:szCs w:val="20"/>
                <w:color w:val="auto"/>
              </w:rPr>
            </w:pPr>
            <w:r>
              <w:rPr>
                <w:rFonts w:ascii="Arial" w:cs="Arial" w:eastAsia="Arial" w:hAnsi="Arial"/>
                <w:sz w:val="15"/>
                <w:szCs w:val="15"/>
                <w:color w:val="auto"/>
              </w:rPr>
              <w:t>Less:</w:t>
            </w:r>
          </w:p>
        </w:tc>
        <w:tc>
          <w:tcPr>
            <w:tcW w:w="4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06"/>
        </w:trPr>
        <w:tc>
          <w:tcPr>
            <w:tcW w:w="7180" w:type="dxa"/>
            <w:vAlign w:val="bottom"/>
          </w:tcPr>
          <w:p>
            <w:pPr>
              <w:ind w:left="300"/>
              <w:spacing w:after="0"/>
              <w:rPr>
                <w:sz w:val="20"/>
                <w:szCs w:val="20"/>
                <w:color w:val="auto"/>
              </w:rPr>
            </w:pPr>
            <w:r>
              <w:rPr>
                <w:rFonts w:ascii="Arial" w:cs="Arial" w:eastAsia="Arial" w:hAnsi="Arial"/>
                <w:sz w:val="15"/>
                <w:szCs w:val="15"/>
                <w:color w:val="auto"/>
              </w:rPr>
              <w:t>Net income attributable to non-controlling interests in consolidated funds</w:t>
            </w:r>
          </w:p>
        </w:tc>
        <w:tc>
          <w:tcPr>
            <w:tcW w:w="42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(40,396)</w:t>
            </w:r>
          </w:p>
        </w:tc>
        <w:tc>
          <w:tcPr>
            <w:tcW w:w="20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(18,077)</w:t>
            </w:r>
          </w:p>
        </w:tc>
      </w:tr>
      <w:tr>
        <w:trPr>
          <w:trHeight w:val="199"/>
        </w:trPr>
        <w:tc>
          <w:tcPr>
            <w:tcW w:w="7180" w:type="dxa"/>
            <w:vAlign w:val="bottom"/>
          </w:tcPr>
          <w:p>
            <w:pPr>
              <w:spacing w:after="0"/>
              <w:rPr>
                <w:sz w:val="20"/>
                <w:szCs w:val="20"/>
                <w:color w:val="auto"/>
              </w:rPr>
            </w:pPr>
            <w:r>
              <w:rPr>
                <w:rFonts w:ascii="Arial" w:cs="Arial" w:eastAsia="Arial" w:hAnsi="Arial"/>
                <w:sz w:val="15"/>
                <w:szCs w:val="15"/>
                <w:color w:val="auto"/>
              </w:rPr>
              <w:t>Net income attributable to Oaktree Capital I, L.P.</w:t>
            </w:r>
          </w:p>
        </w:tc>
        <w:tc>
          <w:tcPr>
            <w:tcW w:w="420" w:type="dxa"/>
            <w:vAlign w:val="bottom"/>
          </w:tcPr>
          <w:p>
            <w:pPr>
              <w:spacing w:after="0"/>
              <w:rPr>
                <w:sz w:val="17"/>
                <w:szCs w:val="17"/>
                <w:color w:val="auto"/>
              </w:rPr>
            </w:pPr>
          </w:p>
        </w:tc>
        <w:tc>
          <w:tcPr>
            <w:tcW w:w="1500" w:type="dxa"/>
            <w:vAlign w:val="bottom"/>
          </w:tcPr>
          <w:p>
            <w:pPr>
              <w:jc w:val="right"/>
              <w:ind w:right="4"/>
              <w:spacing w:after="0"/>
              <w:rPr>
                <w:sz w:val="20"/>
                <w:szCs w:val="20"/>
                <w:color w:val="auto"/>
              </w:rPr>
            </w:pPr>
            <w:r>
              <w:rPr>
                <w:rFonts w:ascii="Arial" w:cs="Arial" w:eastAsia="Arial" w:hAnsi="Arial"/>
                <w:sz w:val="15"/>
                <w:szCs w:val="15"/>
                <w:color w:val="auto"/>
              </w:rPr>
              <w:t>293,016</w:t>
            </w: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5"/>
                <w:szCs w:val="15"/>
                <w:color w:val="auto"/>
              </w:rPr>
              <w:t>202,699</w:t>
            </w:r>
          </w:p>
        </w:tc>
      </w:tr>
      <w:tr>
        <w:trPr>
          <w:trHeight w:val="207"/>
        </w:trPr>
        <w:tc>
          <w:tcPr>
            <w:tcW w:w="7180" w:type="dxa"/>
            <w:vAlign w:val="bottom"/>
          </w:tcPr>
          <w:p>
            <w:pPr>
              <w:ind w:left="300"/>
              <w:spacing w:after="0"/>
              <w:rPr>
                <w:sz w:val="20"/>
                <w:szCs w:val="20"/>
                <w:color w:val="auto"/>
              </w:rPr>
            </w:pPr>
            <w:r>
              <w:rPr>
                <w:rFonts w:ascii="Arial" w:cs="Arial" w:eastAsia="Arial" w:hAnsi="Arial"/>
                <w:sz w:val="15"/>
                <w:szCs w:val="15"/>
                <w:color w:val="auto"/>
              </w:rPr>
              <w:t>Net income attributable to preferred unitholders</w:t>
            </w:r>
          </w:p>
        </w:tc>
        <w:tc>
          <w:tcPr>
            <w:tcW w:w="42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(27,316)</w:t>
            </w:r>
          </w:p>
        </w:tc>
        <w:tc>
          <w:tcPr>
            <w:tcW w:w="20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(13,658)</w:t>
            </w:r>
          </w:p>
        </w:tc>
      </w:tr>
      <w:tr>
        <w:trPr>
          <w:trHeight w:val="200"/>
        </w:trPr>
        <w:tc>
          <w:tcPr>
            <w:tcW w:w="7180" w:type="dxa"/>
            <w:vAlign w:val="bottom"/>
          </w:tcPr>
          <w:p>
            <w:pPr>
              <w:spacing w:after="0"/>
              <w:rPr>
                <w:sz w:val="20"/>
                <w:szCs w:val="20"/>
                <w:color w:val="auto"/>
              </w:rPr>
            </w:pPr>
            <w:r>
              <w:rPr>
                <w:rFonts w:ascii="Arial" w:cs="Arial" w:eastAsia="Arial" w:hAnsi="Arial"/>
                <w:sz w:val="15"/>
                <w:szCs w:val="15"/>
                <w:color w:val="auto"/>
              </w:rPr>
              <w:t>Net income attributable to Oaktree Capital I, L.P. unitholders</w:t>
            </w:r>
          </w:p>
        </w:tc>
        <w:tc>
          <w:tcPr>
            <w:tcW w:w="42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w:t>
            </w:r>
          </w:p>
        </w:tc>
        <w:tc>
          <w:tcPr>
            <w:tcW w:w="150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265,700</w:t>
            </w:r>
          </w:p>
        </w:tc>
        <w:tc>
          <w:tcPr>
            <w:tcW w:w="200" w:type="dxa"/>
            <w:vAlign w:val="bottom"/>
          </w:tcPr>
          <w:p>
            <w:pPr>
              <w:spacing w:after="0"/>
              <w:rPr>
                <w:sz w:val="17"/>
                <w:szCs w:val="17"/>
                <w:color w:val="auto"/>
              </w:rPr>
            </w:pPr>
          </w:p>
        </w:tc>
        <w:tc>
          <w:tcPr>
            <w:tcW w:w="46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189,041</w:t>
            </w:r>
          </w:p>
        </w:tc>
      </w:tr>
      <w:tr>
        <w:trPr>
          <w:trHeight w:val="20"/>
        </w:trPr>
        <w:tc>
          <w:tcPr>
            <w:tcW w:w="71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20"/>
        <w:spacing w:after="0"/>
        <w:rPr>
          <w:sz w:val="20"/>
          <w:szCs w:val="20"/>
          <w:color w:val="auto"/>
        </w:rPr>
      </w:pPr>
      <w:r>
        <w:rPr>
          <w:rFonts w:ascii="Arial" w:cs="Arial" w:eastAsia="Arial" w:hAnsi="Arial"/>
          <w:sz w:val="17"/>
          <w:szCs w:val="17"/>
          <w:i w:val="1"/>
          <w:iCs w:val="1"/>
          <w:color w:val="auto"/>
        </w:rPr>
        <w:t>Please see accompanying notes to consolidated financial statements.</w:t>
      </w:r>
    </w:p>
    <w:p>
      <w:pPr>
        <w:spacing w:after="0" w:line="200" w:lineRule="exact"/>
        <w:rPr>
          <w:sz w:val="20"/>
          <w:szCs w:val="20"/>
          <w:color w:val="auto"/>
        </w:rPr>
      </w:pPr>
    </w:p>
    <w:p>
      <w:pPr>
        <w:spacing w:after="0" w:line="337"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220"/>
          </w:cols>
          <w:pgMar w:left="340" w:top="855" w:right="339" w:bottom="1440" w:gutter="0" w:footer="0" w:header="0"/>
        </w:sectPr>
      </w:pPr>
    </w:p>
    <w:bookmarkStart w:id="142" w:name="page143"/>
    <w:bookmarkEnd w:id="142"/>
    <w:p>
      <w:pPr>
        <w:jc w:val="center"/>
        <w:ind w:right="20"/>
        <w:spacing w:after="0"/>
        <w:rPr>
          <w:sz w:val="20"/>
          <w:szCs w:val="20"/>
          <w:color w:val="auto"/>
        </w:rPr>
      </w:pPr>
      <w:r>
        <w:rPr>
          <w:rFonts w:ascii="Arial" w:cs="Arial" w:eastAsia="Arial" w:hAnsi="Arial"/>
          <w:sz w:val="17"/>
          <w:szCs w:val="17"/>
          <w:b w:val="1"/>
          <w:bCs w:val="1"/>
          <w:color w:val="auto"/>
        </w:rPr>
        <w:t>Oaktree Capital I, L.P.</w:t>
      </w:r>
    </w:p>
    <w:p>
      <w:pPr>
        <w:spacing w:after="0" w:line="16"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Consolidated Statement of Cash Flows</w:t>
      </w:r>
    </w:p>
    <w:p>
      <w:pPr>
        <w:spacing w:after="0" w:line="11"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(in thousands)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8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0" w:type="dxa"/>
            <w:vAlign w:val="bottom"/>
            <w:gridSpan w:val="2"/>
          </w:tcPr>
          <w:p>
            <w:pPr>
              <w:jc w:val="center"/>
              <w:ind w:right="320"/>
              <w:spacing w:after="0"/>
              <w:rPr>
                <w:sz w:val="20"/>
                <w:szCs w:val="20"/>
                <w:color w:val="auto"/>
              </w:rPr>
            </w:pPr>
            <w:r>
              <w:rPr>
                <w:rFonts w:ascii="Arial" w:cs="Arial" w:eastAsia="Arial" w:hAnsi="Arial"/>
                <w:sz w:val="12"/>
                <w:szCs w:val="12"/>
                <w:b w:val="1"/>
                <w:bCs w:val="1"/>
                <w:color w:val="auto"/>
                <w:w w:val="98"/>
              </w:rPr>
              <w:t>Twelve months ended</w:t>
            </w:r>
          </w:p>
        </w:tc>
        <w:tc>
          <w:tcPr>
            <w:tcW w:w="1160" w:type="dxa"/>
            <w:vAlign w:val="bottom"/>
            <w:gridSpan w:val="2"/>
          </w:tcPr>
          <w:p>
            <w:pPr>
              <w:jc w:val="right"/>
              <w:spacing w:after="0"/>
              <w:rPr>
                <w:sz w:val="20"/>
                <w:szCs w:val="20"/>
                <w:color w:val="auto"/>
              </w:rPr>
            </w:pPr>
            <w:r>
              <w:rPr>
                <w:rFonts w:ascii="Arial" w:cs="Arial" w:eastAsia="Arial" w:hAnsi="Arial"/>
                <w:sz w:val="12"/>
                <w:szCs w:val="12"/>
                <w:b w:val="1"/>
                <w:bCs w:val="1"/>
                <w:color w:val="auto"/>
              </w:rPr>
              <w:t>Six months ended</w:t>
            </w:r>
          </w:p>
        </w:tc>
      </w:tr>
      <w:tr>
        <w:trPr>
          <w:trHeight w:val="165"/>
        </w:trPr>
        <w:tc>
          <w:tcPr>
            <w:tcW w:w="8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0" w:type="dxa"/>
            <w:vAlign w:val="bottom"/>
            <w:gridSpan w:val="2"/>
          </w:tcPr>
          <w:p>
            <w:pPr>
              <w:jc w:val="center"/>
              <w:ind w:right="320"/>
              <w:spacing w:after="0"/>
              <w:rPr>
                <w:sz w:val="20"/>
                <w:szCs w:val="20"/>
                <w:color w:val="auto"/>
              </w:rPr>
            </w:pPr>
            <w:r>
              <w:rPr>
                <w:rFonts w:ascii="Arial" w:cs="Arial" w:eastAsia="Arial" w:hAnsi="Arial"/>
                <w:sz w:val="12"/>
                <w:szCs w:val="12"/>
                <w:b w:val="1"/>
                <w:bCs w:val="1"/>
                <w:color w:val="auto"/>
                <w:w w:val="99"/>
              </w:rPr>
              <w:t>December 31, 2025</w:t>
            </w:r>
          </w:p>
        </w:tc>
        <w:tc>
          <w:tcPr>
            <w:tcW w:w="1160" w:type="dxa"/>
            <w:vAlign w:val="bottom"/>
            <w:gridSpan w:val="2"/>
          </w:tcPr>
          <w:p>
            <w:pPr>
              <w:jc w:val="right"/>
              <w:spacing w:after="0"/>
              <w:rPr>
                <w:sz w:val="20"/>
                <w:szCs w:val="20"/>
                <w:color w:val="auto"/>
              </w:rPr>
            </w:pPr>
            <w:r>
              <w:rPr>
                <w:rFonts w:ascii="Arial" w:cs="Arial" w:eastAsia="Arial" w:hAnsi="Arial"/>
                <w:sz w:val="12"/>
                <w:szCs w:val="12"/>
                <w:b w:val="1"/>
                <w:bCs w:val="1"/>
                <w:color w:val="auto"/>
              </w:rPr>
              <w:t>December 31, 2024</w:t>
            </w:r>
          </w:p>
        </w:tc>
      </w:tr>
      <w:tr>
        <w:trPr>
          <w:trHeight w:val="205"/>
        </w:trPr>
        <w:tc>
          <w:tcPr>
            <w:tcW w:w="8340" w:type="dxa"/>
            <w:vAlign w:val="bottom"/>
          </w:tcPr>
          <w:p>
            <w:pPr>
              <w:spacing w:after="0"/>
              <w:rPr>
                <w:sz w:val="20"/>
                <w:szCs w:val="20"/>
                <w:color w:val="auto"/>
              </w:rPr>
            </w:pPr>
            <w:r>
              <w:rPr>
                <w:rFonts w:ascii="Arial" w:cs="Arial" w:eastAsia="Arial" w:hAnsi="Arial"/>
                <w:sz w:val="15"/>
                <w:szCs w:val="15"/>
                <w:color w:val="auto"/>
              </w:rPr>
              <w:t>Cash flows from operating activities:</w:t>
            </w:r>
          </w:p>
        </w:tc>
        <w:tc>
          <w:tcPr>
            <w:tcW w:w="120" w:type="dxa"/>
            <w:vAlign w:val="bottom"/>
            <w:tcBorders>
              <w:top w:val="single" w:sz="8" w:color="auto"/>
            </w:tcBorders>
          </w:tcPr>
          <w:p>
            <w:pPr>
              <w:spacing w:after="0"/>
              <w:rPr>
                <w:sz w:val="17"/>
                <w:szCs w:val="17"/>
                <w:color w:val="auto"/>
              </w:rPr>
            </w:pPr>
          </w:p>
        </w:tc>
        <w:tc>
          <w:tcPr>
            <w:tcW w:w="140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r>
      <w:tr>
        <w:trPr>
          <w:trHeight w:val="206"/>
        </w:trPr>
        <w:tc>
          <w:tcPr>
            <w:tcW w:w="8340" w:type="dxa"/>
            <w:vAlign w:val="bottom"/>
          </w:tcPr>
          <w:p>
            <w:pPr>
              <w:ind w:left="300"/>
              <w:spacing w:after="0"/>
              <w:rPr>
                <w:sz w:val="20"/>
                <w:szCs w:val="20"/>
                <w:color w:val="auto"/>
              </w:rPr>
            </w:pPr>
            <w:r>
              <w:rPr>
                <w:rFonts w:ascii="Arial" w:cs="Arial" w:eastAsia="Arial" w:hAnsi="Arial"/>
                <w:sz w:val="15"/>
                <w:szCs w:val="15"/>
                <w:color w:val="auto"/>
              </w:rPr>
              <w:t>Net income</w:t>
            </w: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400" w:type="dxa"/>
            <w:vAlign w:val="bottom"/>
          </w:tcPr>
          <w:p>
            <w:pPr>
              <w:jc w:val="right"/>
              <w:ind w:right="4"/>
              <w:spacing w:after="0"/>
              <w:rPr>
                <w:sz w:val="20"/>
                <w:szCs w:val="20"/>
                <w:color w:val="auto"/>
              </w:rPr>
            </w:pPr>
            <w:r>
              <w:rPr>
                <w:rFonts w:ascii="Arial" w:cs="Arial" w:eastAsia="Arial" w:hAnsi="Arial"/>
                <w:sz w:val="15"/>
                <w:szCs w:val="15"/>
                <w:color w:val="auto"/>
              </w:rPr>
              <w:t>333,412</w:t>
            </w:r>
          </w:p>
        </w:tc>
        <w:tc>
          <w:tcPr>
            <w:tcW w:w="200" w:type="dxa"/>
            <w:vAlign w:val="bottom"/>
          </w:tcPr>
          <w:p>
            <w:pPr>
              <w:spacing w:after="0"/>
              <w:rPr>
                <w:sz w:val="17"/>
                <w:szCs w:val="17"/>
                <w:color w:val="auto"/>
              </w:rPr>
            </w:pPr>
          </w:p>
        </w:tc>
        <w:tc>
          <w:tcPr>
            <w:tcW w:w="220" w:type="dxa"/>
            <w:vAlign w:val="bottom"/>
          </w:tcPr>
          <w:p>
            <w:pPr>
              <w:jc w:val="right"/>
              <w:ind w:right="54"/>
              <w:spacing w:after="0"/>
              <w:rPr>
                <w:sz w:val="20"/>
                <w:szCs w:val="20"/>
                <w:color w:val="auto"/>
              </w:rPr>
            </w:pPr>
            <w:r>
              <w:rPr>
                <w:rFonts w:ascii="Arial" w:cs="Arial" w:eastAsia="Arial" w:hAnsi="Arial"/>
                <w:sz w:val="15"/>
                <w:szCs w:val="15"/>
                <w:color w:val="auto"/>
                <w:w w:val="95"/>
              </w:rPr>
              <w:t>$</w:t>
            </w:r>
          </w:p>
        </w:tc>
        <w:tc>
          <w:tcPr>
            <w:tcW w:w="940" w:type="dxa"/>
            <w:vAlign w:val="bottom"/>
          </w:tcPr>
          <w:p>
            <w:pPr>
              <w:jc w:val="right"/>
              <w:spacing w:after="0"/>
              <w:rPr>
                <w:sz w:val="20"/>
                <w:szCs w:val="20"/>
                <w:color w:val="auto"/>
              </w:rPr>
            </w:pPr>
            <w:r>
              <w:rPr>
                <w:rFonts w:ascii="Arial" w:cs="Arial" w:eastAsia="Arial" w:hAnsi="Arial"/>
                <w:sz w:val="15"/>
                <w:szCs w:val="15"/>
                <w:color w:val="auto"/>
              </w:rPr>
              <w:t>220,776</w:t>
            </w:r>
          </w:p>
        </w:tc>
      </w:tr>
      <w:tr>
        <w:trPr>
          <w:trHeight w:val="206"/>
        </w:trPr>
        <w:tc>
          <w:tcPr>
            <w:tcW w:w="8340" w:type="dxa"/>
            <w:vAlign w:val="bottom"/>
          </w:tcPr>
          <w:p>
            <w:pPr>
              <w:ind w:left="300"/>
              <w:spacing w:after="0"/>
              <w:rPr>
                <w:sz w:val="20"/>
                <w:szCs w:val="20"/>
                <w:color w:val="auto"/>
              </w:rPr>
            </w:pPr>
            <w:r>
              <w:rPr>
                <w:rFonts w:ascii="Arial" w:cs="Arial" w:eastAsia="Arial" w:hAnsi="Arial"/>
                <w:sz w:val="15"/>
                <w:szCs w:val="15"/>
                <w:color w:val="auto"/>
              </w:rPr>
              <w:t>Adjustments to reconcile net income to net cash used in operating activities:</w:t>
            </w:r>
          </w:p>
        </w:tc>
        <w:tc>
          <w:tcPr>
            <w:tcW w:w="1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6"/>
        </w:trPr>
        <w:tc>
          <w:tcPr>
            <w:tcW w:w="8340" w:type="dxa"/>
            <w:vAlign w:val="bottom"/>
          </w:tcPr>
          <w:p>
            <w:pPr>
              <w:ind w:left="620"/>
              <w:spacing w:after="0"/>
              <w:rPr>
                <w:sz w:val="20"/>
                <w:szCs w:val="20"/>
                <w:color w:val="auto"/>
              </w:rPr>
            </w:pPr>
            <w:r>
              <w:rPr>
                <w:rFonts w:ascii="Arial" w:cs="Arial" w:eastAsia="Arial" w:hAnsi="Arial"/>
                <w:sz w:val="15"/>
                <w:szCs w:val="15"/>
                <w:color w:val="auto"/>
              </w:rPr>
              <w:t>Investment income</w:t>
            </w:r>
          </w:p>
        </w:tc>
        <w:tc>
          <w:tcPr>
            <w:tcW w:w="12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5"/>
                <w:szCs w:val="15"/>
                <w:color w:val="auto"/>
              </w:rPr>
              <w:t>(10,340)</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(25,716)</w:t>
            </w:r>
          </w:p>
        </w:tc>
      </w:tr>
      <w:tr>
        <w:trPr>
          <w:trHeight w:val="206"/>
        </w:trPr>
        <w:tc>
          <w:tcPr>
            <w:tcW w:w="8340" w:type="dxa"/>
            <w:vAlign w:val="bottom"/>
          </w:tcPr>
          <w:p>
            <w:pPr>
              <w:ind w:left="620"/>
              <w:spacing w:after="0"/>
              <w:rPr>
                <w:sz w:val="20"/>
                <w:szCs w:val="20"/>
                <w:color w:val="auto"/>
              </w:rPr>
            </w:pPr>
            <w:r>
              <w:rPr>
                <w:rFonts w:ascii="Arial" w:cs="Arial" w:eastAsia="Arial" w:hAnsi="Arial"/>
                <w:sz w:val="15"/>
                <w:szCs w:val="15"/>
                <w:color w:val="auto"/>
              </w:rPr>
              <w:t>Net realized and unrealized gain from consolidated funds’ investments</w:t>
            </w:r>
          </w:p>
        </w:tc>
        <w:tc>
          <w:tcPr>
            <w:tcW w:w="120" w:type="dxa"/>
            <w:vAlign w:val="bottom"/>
          </w:tcPr>
          <w:p>
            <w:pPr>
              <w:spacing w:after="0"/>
              <w:rPr>
                <w:sz w:val="17"/>
                <w:szCs w:val="17"/>
                <w:color w:val="auto"/>
              </w:rPr>
            </w:pPr>
          </w:p>
        </w:tc>
        <w:tc>
          <w:tcPr>
            <w:tcW w:w="1400" w:type="dxa"/>
            <w:vAlign w:val="bottom"/>
          </w:tcPr>
          <w:p>
            <w:pPr>
              <w:jc w:val="right"/>
              <w:ind w:right="4"/>
              <w:spacing w:after="0"/>
              <w:rPr>
                <w:sz w:val="20"/>
                <w:szCs w:val="20"/>
                <w:color w:val="auto"/>
              </w:rPr>
            </w:pPr>
            <w:r>
              <w:rPr>
                <w:rFonts w:ascii="Arial" w:cs="Arial" w:eastAsia="Arial" w:hAnsi="Arial"/>
                <w:sz w:val="15"/>
                <w:szCs w:val="15"/>
                <w:color w:val="auto"/>
              </w:rPr>
              <w:t>6,584</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(5,868)</w:t>
            </w:r>
          </w:p>
        </w:tc>
      </w:tr>
      <w:tr>
        <w:trPr>
          <w:trHeight w:val="206"/>
        </w:trPr>
        <w:tc>
          <w:tcPr>
            <w:tcW w:w="8340" w:type="dxa"/>
            <w:vAlign w:val="bottom"/>
          </w:tcPr>
          <w:p>
            <w:pPr>
              <w:ind w:left="620"/>
              <w:spacing w:after="0"/>
              <w:rPr>
                <w:sz w:val="20"/>
                <w:szCs w:val="20"/>
                <w:color w:val="auto"/>
              </w:rPr>
            </w:pPr>
            <w:r>
              <w:rPr>
                <w:rFonts w:ascii="Arial" w:cs="Arial" w:eastAsia="Arial" w:hAnsi="Arial"/>
                <w:sz w:val="15"/>
                <w:szCs w:val="15"/>
                <w:color w:val="auto"/>
              </w:rPr>
              <w:t>Accretion of original issue and market discount of consolidated funds’ investments, net</w:t>
            </w:r>
          </w:p>
        </w:tc>
        <w:tc>
          <w:tcPr>
            <w:tcW w:w="12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5"/>
                <w:szCs w:val="15"/>
                <w:color w:val="auto"/>
              </w:rPr>
              <w:t>(1,312)</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5,465</w:t>
            </w:r>
          </w:p>
        </w:tc>
      </w:tr>
      <w:tr>
        <w:trPr>
          <w:trHeight w:val="206"/>
        </w:trPr>
        <w:tc>
          <w:tcPr>
            <w:tcW w:w="8340" w:type="dxa"/>
            <w:vAlign w:val="bottom"/>
          </w:tcPr>
          <w:p>
            <w:pPr>
              <w:ind w:left="620"/>
              <w:spacing w:after="0"/>
              <w:rPr>
                <w:sz w:val="20"/>
                <w:szCs w:val="20"/>
                <w:color w:val="auto"/>
              </w:rPr>
            </w:pPr>
            <w:r>
              <w:rPr>
                <w:rFonts w:ascii="Arial" w:cs="Arial" w:eastAsia="Arial" w:hAnsi="Arial"/>
                <w:sz w:val="15"/>
                <w:szCs w:val="15"/>
                <w:color w:val="auto"/>
              </w:rPr>
              <w:t>Income distributions from corporate investments in funds and companies</w:t>
            </w:r>
          </w:p>
        </w:tc>
        <w:tc>
          <w:tcPr>
            <w:tcW w:w="120" w:type="dxa"/>
            <w:vAlign w:val="bottom"/>
          </w:tcPr>
          <w:p>
            <w:pPr>
              <w:spacing w:after="0"/>
              <w:rPr>
                <w:sz w:val="17"/>
                <w:szCs w:val="17"/>
                <w:color w:val="auto"/>
              </w:rPr>
            </w:pPr>
          </w:p>
        </w:tc>
        <w:tc>
          <w:tcPr>
            <w:tcW w:w="1400" w:type="dxa"/>
            <w:vAlign w:val="bottom"/>
          </w:tcPr>
          <w:p>
            <w:pPr>
              <w:jc w:val="right"/>
              <w:ind w:right="4"/>
              <w:spacing w:after="0"/>
              <w:rPr>
                <w:sz w:val="20"/>
                <w:szCs w:val="20"/>
                <w:color w:val="auto"/>
              </w:rPr>
            </w:pPr>
            <w:r>
              <w:rPr>
                <w:rFonts w:ascii="Arial" w:cs="Arial" w:eastAsia="Arial" w:hAnsi="Arial"/>
                <w:sz w:val="15"/>
                <w:szCs w:val="15"/>
                <w:color w:val="auto"/>
              </w:rPr>
              <w:t>126,846</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131,741</w:t>
            </w:r>
          </w:p>
        </w:tc>
      </w:tr>
      <w:tr>
        <w:trPr>
          <w:trHeight w:val="206"/>
        </w:trPr>
        <w:tc>
          <w:tcPr>
            <w:tcW w:w="8340" w:type="dxa"/>
            <w:vAlign w:val="bottom"/>
          </w:tcPr>
          <w:p>
            <w:pPr>
              <w:ind w:left="620"/>
              <w:spacing w:after="0"/>
              <w:rPr>
                <w:sz w:val="20"/>
                <w:szCs w:val="20"/>
                <w:color w:val="auto"/>
              </w:rPr>
            </w:pPr>
            <w:r>
              <w:rPr>
                <w:rFonts w:ascii="Arial" w:cs="Arial" w:eastAsia="Arial" w:hAnsi="Arial"/>
                <w:sz w:val="15"/>
                <w:szCs w:val="15"/>
                <w:color w:val="auto"/>
              </w:rPr>
              <w:t>Other non-cash items</w:t>
            </w:r>
          </w:p>
        </w:tc>
        <w:tc>
          <w:tcPr>
            <w:tcW w:w="120" w:type="dxa"/>
            <w:vAlign w:val="bottom"/>
          </w:tcPr>
          <w:p>
            <w:pPr>
              <w:spacing w:after="0"/>
              <w:rPr>
                <w:sz w:val="17"/>
                <w:szCs w:val="17"/>
                <w:color w:val="auto"/>
              </w:rPr>
            </w:pPr>
          </w:p>
        </w:tc>
        <w:tc>
          <w:tcPr>
            <w:tcW w:w="1400" w:type="dxa"/>
            <w:vAlign w:val="bottom"/>
          </w:tcPr>
          <w:p>
            <w:pPr>
              <w:jc w:val="right"/>
              <w:ind w:right="4"/>
              <w:spacing w:after="0"/>
              <w:rPr>
                <w:sz w:val="20"/>
                <w:szCs w:val="20"/>
                <w:color w:val="auto"/>
              </w:rPr>
            </w:pPr>
            <w:r>
              <w:rPr>
                <w:rFonts w:ascii="Arial" w:cs="Arial" w:eastAsia="Arial" w:hAnsi="Arial"/>
                <w:sz w:val="15"/>
                <w:szCs w:val="15"/>
                <w:color w:val="auto"/>
              </w:rPr>
              <w:t>219</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(3,330)</w:t>
            </w:r>
          </w:p>
        </w:tc>
      </w:tr>
      <w:tr>
        <w:trPr>
          <w:trHeight w:val="206"/>
        </w:trPr>
        <w:tc>
          <w:tcPr>
            <w:tcW w:w="8340" w:type="dxa"/>
            <w:vAlign w:val="bottom"/>
          </w:tcPr>
          <w:p>
            <w:pPr>
              <w:ind w:left="300"/>
              <w:spacing w:after="0"/>
              <w:rPr>
                <w:sz w:val="20"/>
                <w:szCs w:val="20"/>
                <w:color w:val="auto"/>
              </w:rPr>
            </w:pPr>
            <w:r>
              <w:rPr>
                <w:rFonts w:ascii="Arial" w:cs="Arial" w:eastAsia="Arial" w:hAnsi="Arial"/>
                <w:sz w:val="15"/>
                <w:szCs w:val="15"/>
                <w:color w:val="auto"/>
              </w:rPr>
              <w:t>Cash flows due to changes in operating assets and liabilities:</w:t>
            </w:r>
          </w:p>
        </w:tc>
        <w:tc>
          <w:tcPr>
            <w:tcW w:w="1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6"/>
        </w:trPr>
        <w:tc>
          <w:tcPr>
            <w:tcW w:w="8340" w:type="dxa"/>
            <w:vAlign w:val="bottom"/>
          </w:tcPr>
          <w:p>
            <w:pPr>
              <w:ind w:left="620"/>
              <w:spacing w:after="0"/>
              <w:rPr>
                <w:sz w:val="20"/>
                <w:szCs w:val="20"/>
                <w:color w:val="auto"/>
              </w:rPr>
            </w:pPr>
            <w:r>
              <w:rPr>
                <w:rFonts w:ascii="Arial" w:cs="Arial" w:eastAsia="Arial" w:hAnsi="Arial"/>
                <w:sz w:val="15"/>
                <w:szCs w:val="15"/>
                <w:color w:val="auto"/>
              </w:rPr>
              <w:t>Decrease in other assets</w:t>
            </w:r>
          </w:p>
        </w:tc>
        <w:tc>
          <w:tcPr>
            <w:tcW w:w="120" w:type="dxa"/>
            <w:vAlign w:val="bottom"/>
          </w:tcPr>
          <w:p>
            <w:pPr>
              <w:spacing w:after="0"/>
              <w:rPr>
                <w:sz w:val="17"/>
                <w:szCs w:val="17"/>
                <w:color w:val="auto"/>
              </w:rPr>
            </w:pPr>
          </w:p>
        </w:tc>
        <w:tc>
          <w:tcPr>
            <w:tcW w:w="1400" w:type="dxa"/>
            <w:vAlign w:val="bottom"/>
          </w:tcPr>
          <w:p>
            <w:pPr>
              <w:jc w:val="right"/>
              <w:ind w:right="4"/>
              <w:spacing w:after="0"/>
              <w:rPr>
                <w:sz w:val="20"/>
                <w:szCs w:val="20"/>
                <w:color w:val="auto"/>
              </w:rPr>
            </w:pPr>
            <w:r>
              <w:rPr>
                <w:rFonts w:ascii="Arial" w:cs="Arial" w:eastAsia="Arial" w:hAnsi="Arial"/>
                <w:sz w:val="15"/>
                <w:szCs w:val="15"/>
                <w:color w:val="auto"/>
              </w:rPr>
              <w:t>1,926</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22,164</w:t>
            </w:r>
          </w:p>
        </w:tc>
      </w:tr>
      <w:tr>
        <w:trPr>
          <w:trHeight w:val="206"/>
        </w:trPr>
        <w:tc>
          <w:tcPr>
            <w:tcW w:w="8340" w:type="dxa"/>
            <w:vAlign w:val="bottom"/>
          </w:tcPr>
          <w:p>
            <w:pPr>
              <w:ind w:left="620"/>
              <w:spacing w:after="0"/>
              <w:rPr>
                <w:sz w:val="20"/>
                <w:szCs w:val="20"/>
                <w:color w:val="auto"/>
              </w:rPr>
            </w:pPr>
            <w:r>
              <w:rPr>
                <w:rFonts w:ascii="Arial" w:cs="Arial" w:eastAsia="Arial" w:hAnsi="Arial"/>
                <w:sz w:val="15"/>
                <w:szCs w:val="15"/>
                <w:color w:val="auto"/>
              </w:rPr>
              <w:t>Increase in net due from affiliates</w:t>
            </w:r>
          </w:p>
        </w:tc>
        <w:tc>
          <w:tcPr>
            <w:tcW w:w="12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5"/>
                <w:szCs w:val="15"/>
                <w:color w:val="auto"/>
              </w:rPr>
              <w:t>(12,612)</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(488,851)</w:t>
            </w:r>
          </w:p>
        </w:tc>
      </w:tr>
      <w:tr>
        <w:trPr>
          <w:trHeight w:val="206"/>
        </w:trPr>
        <w:tc>
          <w:tcPr>
            <w:tcW w:w="8340" w:type="dxa"/>
            <w:vAlign w:val="bottom"/>
          </w:tcPr>
          <w:p>
            <w:pPr>
              <w:ind w:left="620"/>
              <w:spacing w:after="0"/>
              <w:rPr>
                <w:sz w:val="20"/>
                <w:szCs w:val="20"/>
                <w:color w:val="auto"/>
              </w:rPr>
            </w:pPr>
            <w:r>
              <w:rPr>
                <w:rFonts w:ascii="Arial" w:cs="Arial" w:eastAsia="Arial" w:hAnsi="Arial"/>
                <w:sz w:val="15"/>
                <w:szCs w:val="15"/>
                <w:color w:val="auto"/>
              </w:rPr>
              <w:t>Increase in accrued compensation expense</w:t>
            </w:r>
          </w:p>
        </w:tc>
        <w:tc>
          <w:tcPr>
            <w:tcW w:w="120" w:type="dxa"/>
            <w:vAlign w:val="bottom"/>
          </w:tcPr>
          <w:p>
            <w:pPr>
              <w:spacing w:after="0"/>
              <w:rPr>
                <w:sz w:val="17"/>
                <w:szCs w:val="17"/>
                <w:color w:val="auto"/>
              </w:rPr>
            </w:pPr>
          </w:p>
        </w:tc>
        <w:tc>
          <w:tcPr>
            <w:tcW w:w="1400" w:type="dxa"/>
            <w:vAlign w:val="bottom"/>
          </w:tcPr>
          <w:p>
            <w:pPr>
              <w:jc w:val="right"/>
              <w:ind w:right="4"/>
              <w:spacing w:after="0"/>
              <w:rPr>
                <w:sz w:val="20"/>
                <w:szCs w:val="20"/>
                <w:color w:val="auto"/>
              </w:rPr>
            </w:pPr>
            <w:r>
              <w:rPr>
                <w:rFonts w:ascii="Arial" w:cs="Arial" w:eastAsia="Arial" w:hAnsi="Arial"/>
                <w:sz w:val="15"/>
                <w:szCs w:val="15"/>
                <w:color w:val="auto"/>
              </w:rPr>
              <w:t>27,277</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50,237</w:t>
            </w:r>
          </w:p>
        </w:tc>
      </w:tr>
      <w:tr>
        <w:trPr>
          <w:trHeight w:val="206"/>
        </w:trPr>
        <w:tc>
          <w:tcPr>
            <w:tcW w:w="8340" w:type="dxa"/>
            <w:vAlign w:val="bottom"/>
          </w:tcPr>
          <w:p>
            <w:pPr>
              <w:ind w:left="620"/>
              <w:spacing w:after="0"/>
              <w:rPr>
                <w:sz w:val="20"/>
                <w:szCs w:val="20"/>
                <w:color w:val="auto"/>
              </w:rPr>
            </w:pPr>
            <w:r>
              <w:rPr>
                <w:rFonts w:ascii="Arial" w:cs="Arial" w:eastAsia="Arial" w:hAnsi="Arial"/>
                <w:sz w:val="15"/>
                <w:szCs w:val="15"/>
                <w:color w:val="auto"/>
              </w:rPr>
              <w:t>(Decrease) increase in accounts payable, accrued expenses and other liabilities</w:t>
            </w:r>
          </w:p>
        </w:tc>
        <w:tc>
          <w:tcPr>
            <w:tcW w:w="12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5"/>
                <w:szCs w:val="15"/>
                <w:color w:val="auto"/>
              </w:rPr>
              <w:t>(327)</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10,780</w:t>
            </w:r>
          </w:p>
        </w:tc>
      </w:tr>
      <w:tr>
        <w:trPr>
          <w:trHeight w:val="206"/>
        </w:trPr>
        <w:tc>
          <w:tcPr>
            <w:tcW w:w="8340" w:type="dxa"/>
            <w:vAlign w:val="bottom"/>
          </w:tcPr>
          <w:p>
            <w:pPr>
              <w:ind w:left="300"/>
              <w:spacing w:after="0"/>
              <w:rPr>
                <w:sz w:val="20"/>
                <w:szCs w:val="20"/>
                <w:color w:val="auto"/>
              </w:rPr>
            </w:pPr>
            <w:r>
              <w:rPr>
                <w:rFonts w:ascii="Arial" w:cs="Arial" w:eastAsia="Arial" w:hAnsi="Arial"/>
                <w:sz w:val="15"/>
                <w:szCs w:val="15"/>
                <w:color w:val="auto"/>
              </w:rPr>
              <w:t>Cash flows due to changes in operating assets and liabilities of consolidated funds:</w:t>
            </w:r>
          </w:p>
        </w:tc>
        <w:tc>
          <w:tcPr>
            <w:tcW w:w="1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6"/>
        </w:trPr>
        <w:tc>
          <w:tcPr>
            <w:tcW w:w="8340" w:type="dxa"/>
            <w:vAlign w:val="bottom"/>
          </w:tcPr>
          <w:p>
            <w:pPr>
              <w:ind w:left="620"/>
              <w:spacing w:after="0"/>
              <w:rPr>
                <w:sz w:val="20"/>
                <w:szCs w:val="20"/>
                <w:color w:val="auto"/>
              </w:rPr>
            </w:pPr>
            <w:r>
              <w:rPr>
                <w:rFonts w:ascii="Arial" w:cs="Arial" w:eastAsia="Arial" w:hAnsi="Arial"/>
                <w:sz w:val="15"/>
                <w:szCs w:val="15"/>
                <w:color w:val="auto"/>
              </w:rPr>
              <w:t>Increase in dividends and interest receivable</w:t>
            </w:r>
          </w:p>
        </w:tc>
        <w:tc>
          <w:tcPr>
            <w:tcW w:w="12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5"/>
                <w:szCs w:val="15"/>
                <w:color w:val="auto"/>
              </w:rPr>
              <w:t>(20,161)</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(7,381)</w:t>
            </w:r>
          </w:p>
        </w:tc>
      </w:tr>
      <w:tr>
        <w:trPr>
          <w:trHeight w:val="206"/>
        </w:trPr>
        <w:tc>
          <w:tcPr>
            <w:tcW w:w="8340" w:type="dxa"/>
            <w:vAlign w:val="bottom"/>
          </w:tcPr>
          <w:p>
            <w:pPr>
              <w:ind w:left="620"/>
              <w:spacing w:after="0"/>
              <w:rPr>
                <w:sz w:val="20"/>
                <w:szCs w:val="20"/>
                <w:color w:val="auto"/>
              </w:rPr>
            </w:pPr>
            <w:r>
              <w:rPr>
                <w:rFonts w:ascii="Arial" w:cs="Arial" w:eastAsia="Arial" w:hAnsi="Arial"/>
                <w:sz w:val="15"/>
                <w:szCs w:val="15"/>
                <w:color w:val="auto"/>
              </w:rPr>
              <w:t>Increase in due from brokers</w:t>
            </w:r>
          </w:p>
        </w:tc>
        <w:tc>
          <w:tcPr>
            <w:tcW w:w="12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5"/>
                <w:szCs w:val="15"/>
                <w:color w:val="auto"/>
              </w:rPr>
              <w:t>(16)</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6"/>
        </w:trPr>
        <w:tc>
          <w:tcPr>
            <w:tcW w:w="8340" w:type="dxa"/>
            <w:vAlign w:val="bottom"/>
          </w:tcPr>
          <w:p>
            <w:pPr>
              <w:ind w:left="620"/>
              <w:spacing w:after="0"/>
              <w:rPr>
                <w:sz w:val="20"/>
                <w:szCs w:val="20"/>
                <w:color w:val="auto"/>
              </w:rPr>
            </w:pPr>
            <w:r>
              <w:rPr>
                <w:rFonts w:ascii="Arial" w:cs="Arial" w:eastAsia="Arial" w:hAnsi="Arial"/>
                <w:sz w:val="15"/>
                <w:szCs w:val="15"/>
                <w:color w:val="auto"/>
              </w:rPr>
              <w:t>Decrease in receivables for securities sold</w:t>
            </w:r>
          </w:p>
        </w:tc>
        <w:tc>
          <w:tcPr>
            <w:tcW w:w="120" w:type="dxa"/>
            <w:vAlign w:val="bottom"/>
          </w:tcPr>
          <w:p>
            <w:pPr>
              <w:spacing w:after="0"/>
              <w:rPr>
                <w:sz w:val="17"/>
                <w:szCs w:val="17"/>
                <w:color w:val="auto"/>
              </w:rPr>
            </w:pPr>
          </w:p>
        </w:tc>
        <w:tc>
          <w:tcPr>
            <w:tcW w:w="1400" w:type="dxa"/>
            <w:vAlign w:val="bottom"/>
          </w:tcPr>
          <w:p>
            <w:pPr>
              <w:jc w:val="right"/>
              <w:ind w:right="4"/>
              <w:spacing w:after="0"/>
              <w:rPr>
                <w:sz w:val="20"/>
                <w:szCs w:val="20"/>
                <w:color w:val="auto"/>
              </w:rPr>
            </w:pPr>
            <w:r>
              <w:rPr>
                <w:rFonts w:ascii="Arial" w:cs="Arial" w:eastAsia="Arial" w:hAnsi="Arial"/>
                <w:sz w:val="15"/>
                <w:szCs w:val="15"/>
                <w:color w:val="auto"/>
              </w:rPr>
              <w:t>19,179</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25,621</w:t>
            </w:r>
          </w:p>
        </w:tc>
      </w:tr>
      <w:tr>
        <w:trPr>
          <w:trHeight w:val="206"/>
        </w:trPr>
        <w:tc>
          <w:tcPr>
            <w:tcW w:w="8340" w:type="dxa"/>
            <w:vAlign w:val="bottom"/>
          </w:tcPr>
          <w:p>
            <w:pPr>
              <w:ind w:left="620"/>
              <w:spacing w:after="0"/>
              <w:rPr>
                <w:sz w:val="20"/>
                <w:szCs w:val="20"/>
                <w:color w:val="auto"/>
              </w:rPr>
            </w:pPr>
            <w:r>
              <w:rPr>
                <w:rFonts w:ascii="Arial" w:cs="Arial" w:eastAsia="Arial" w:hAnsi="Arial"/>
                <w:sz w:val="15"/>
                <w:szCs w:val="15"/>
                <w:color w:val="auto"/>
              </w:rPr>
              <w:t>Decrease (increase) in other assets</w:t>
            </w:r>
          </w:p>
        </w:tc>
        <w:tc>
          <w:tcPr>
            <w:tcW w:w="120" w:type="dxa"/>
            <w:vAlign w:val="bottom"/>
          </w:tcPr>
          <w:p>
            <w:pPr>
              <w:spacing w:after="0"/>
              <w:rPr>
                <w:sz w:val="17"/>
                <w:szCs w:val="17"/>
                <w:color w:val="auto"/>
              </w:rPr>
            </w:pPr>
          </w:p>
        </w:tc>
        <w:tc>
          <w:tcPr>
            <w:tcW w:w="1400" w:type="dxa"/>
            <w:vAlign w:val="bottom"/>
          </w:tcPr>
          <w:p>
            <w:pPr>
              <w:jc w:val="right"/>
              <w:ind w:right="4"/>
              <w:spacing w:after="0"/>
              <w:rPr>
                <w:sz w:val="20"/>
                <w:szCs w:val="20"/>
                <w:color w:val="auto"/>
              </w:rPr>
            </w:pPr>
            <w:r>
              <w:rPr>
                <w:rFonts w:ascii="Arial" w:cs="Arial" w:eastAsia="Arial" w:hAnsi="Arial"/>
                <w:sz w:val="15"/>
                <w:szCs w:val="15"/>
                <w:color w:val="auto"/>
              </w:rPr>
              <w:t>2,801</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(6,240)</w:t>
            </w:r>
          </w:p>
        </w:tc>
      </w:tr>
      <w:tr>
        <w:trPr>
          <w:trHeight w:val="206"/>
        </w:trPr>
        <w:tc>
          <w:tcPr>
            <w:tcW w:w="8340" w:type="dxa"/>
            <w:vAlign w:val="bottom"/>
          </w:tcPr>
          <w:p>
            <w:pPr>
              <w:ind w:left="620"/>
              <w:spacing w:after="0"/>
              <w:rPr>
                <w:sz w:val="20"/>
                <w:szCs w:val="20"/>
                <w:color w:val="auto"/>
              </w:rPr>
            </w:pPr>
            <w:r>
              <w:rPr>
                <w:rFonts w:ascii="Arial" w:cs="Arial" w:eastAsia="Arial" w:hAnsi="Arial"/>
                <w:sz w:val="15"/>
                <w:szCs w:val="15"/>
                <w:color w:val="auto"/>
              </w:rPr>
              <w:t>Increase in accounts payable, accrued expenses and other liabilities</w:t>
            </w:r>
          </w:p>
        </w:tc>
        <w:tc>
          <w:tcPr>
            <w:tcW w:w="120" w:type="dxa"/>
            <w:vAlign w:val="bottom"/>
          </w:tcPr>
          <w:p>
            <w:pPr>
              <w:spacing w:after="0"/>
              <w:rPr>
                <w:sz w:val="17"/>
                <w:szCs w:val="17"/>
                <w:color w:val="auto"/>
              </w:rPr>
            </w:pPr>
          </w:p>
        </w:tc>
        <w:tc>
          <w:tcPr>
            <w:tcW w:w="1400" w:type="dxa"/>
            <w:vAlign w:val="bottom"/>
          </w:tcPr>
          <w:p>
            <w:pPr>
              <w:jc w:val="right"/>
              <w:ind w:right="4"/>
              <w:spacing w:after="0"/>
              <w:rPr>
                <w:sz w:val="20"/>
                <w:szCs w:val="20"/>
                <w:color w:val="auto"/>
              </w:rPr>
            </w:pPr>
            <w:r>
              <w:rPr>
                <w:rFonts w:ascii="Arial" w:cs="Arial" w:eastAsia="Arial" w:hAnsi="Arial"/>
                <w:sz w:val="15"/>
                <w:szCs w:val="15"/>
                <w:color w:val="auto"/>
              </w:rPr>
              <w:t>64,572</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2,462</w:t>
            </w:r>
          </w:p>
        </w:tc>
      </w:tr>
      <w:tr>
        <w:trPr>
          <w:trHeight w:val="206"/>
        </w:trPr>
        <w:tc>
          <w:tcPr>
            <w:tcW w:w="8340" w:type="dxa"/>
            <w:vAlign w:val="bottom"/>
          </w:tcPr>
          <w:p>
            <w:pPr>
              <w:ind w:left="620"/>
              <w:spacing w:after="0"/>
              <w:rPr>
                <w:sz w:val="20"/>
                <w:szCs w:val="20"/>
                <w:color w:val="auto"/>
              </w:rPr>
            </w:pPr>
            <w:r>
              <w:rPr>
                <w:rFonts w:ascii="Arial" w:cs="Arial" w:eastAsia="Arial" w:hAnsi="Arial"/>
                <w:sz w:val="15"/>
                <w:szCs w:val="15"/>
                <w:color w:val="auto"/>
              </w:rPr>
              <w:t>(Decrease) increase in payables for securities purchased</w:t>
            </w:r>
          </w:p>
        </w:tc>
        <w:tc>
          <w:tcPr>
            <w:tcW w:w="12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5"/>
                <w:szCs w:val="15"/>
                <w:color w:val="auto"/>
              </w:rPr>
              <w:t>(33,145)</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72,368</w:t>
            </w:r>
          </w:p>
        </w:tc>
      </w:tr>
      <w:tr>
        <w:trPr>
          <w:trHeight w:val="206"/>
        </w:trPr>
        <w:tc>
          <w:tcPr>
            <w:tcW w:w="8340" w:type="dxa"/>
            <w:vAlign w:val="bottom"/>
          </w:tcPr>
          <w:p>
            <w:pPr>
              <w:ind w:left="620"/>
              <w:spacing w:after="0"/>
              <w:rPr>
                <w:sz w:val="20"/>
                <w:szCs w:val="20"/>
                <w:color w:val="auto"/>
              </w:rPr>
            </w:pPr>
            <w:r>
              <w:rPr>
                <w:rFonts w:ascii="Arial" w:cs="Arial" w:eastAsia="Arial" w:hAnsi="Arial"/>
                <w:sz w:val="15"/>
                <w:szCs w:val="15"/>
                <w:color w:val="auto"/>
              </w:rPr>
              <w:t>Purchases of securities</w:t>
            </w:r>
          </w:p>
        </w:tc>
        <w:tc>
          <w:tcPr>
            <w:tcW w:w="12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5"/>
                <w:szCs w:val="15"/>
                <w:color w:val="auto"/>
              </w:rPr>
              <w:t>(4,145,719)</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(1,404,703)</w:t>
            </w:r>
          </w:p>
        </w:tc>
      </w:tr>
      <w:tr>
        <w:trPr>
          <w:trHeight w:val="206"/>
        </w:trPr>
        <w:tc>
          <w:tcPr>
            <w:tcW w:w="8340" w:type="dxa"/>
            <w:vAlign w:val="bottom"/>
          </w:tcPr>
          <w:p>
            <w:pPr>
              <w:ind w:left="620"/>
              <w:spacing w:after="0"/>
              <w:rPr>
                <w:sz w:val="20"/>
                <w:szCs w:val="20"/>
                <w:color w:val="auto"/>
              </w:rPr>
            </w:pPr>
            <w:r>
              <w:rPr>
                <w:rFonts w:ascii="Arial" w:cs="Arial" w:eastAsia="Arial" w:hAnsi="Arial"/>
                <w:sz w:val="15"/>
                <w:szCs w:val="15"/>
                <w:color w:val="auto"/>
              </w:rPr>
              <w:t>Proceeds from maturities and sales of securities</w:t>
            </w:r>
          </w:p>
        </w:tc>
        <w:tc>
          <w:tcPr>
            <w:tcW w:w="1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1,903,464</w:t>
            </w:r>
          </w:p>
        </w:tc>
        <w:tc>
          <w:tcPr>
            <w:tcW w:w="2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494,983</w:t>
            </w:r>
          </w:p>
        </w:tc>
      </w:tr>
      <w:tr>
        <w:trPr>
          <w:trHeight w:val="199"/>
        </w:trPr>
        <w:tc>
          <w:tcPr>
            <w:tcW w:w="8340" w:type="dxa"/>
            <w:vAlign w:val="bottom"/>
          </w:tcPr>
          <w:p>
            <w:pPr>
              <w:ind w:left="620"/>
              <w:spacing w:after="0"/>
              <w:rPr>
                <w:sz w:val="20"/>
                <w:szCs w:val="20"/>
                <w:color w:val="auto"/>
              </w:rPr>
            </w:pPr>
            <w:r>
              <w:rPr>
                <w:rFonts w:ascii="Arial" w:cs="Arial" w:eastAsia="Arial" w:hAnsi="Arial"/>
                <w:sz w:val="15"/>
                <w:szCs w:val="15"/>
                <w:color w:val="auto"/>
              </w:rPr>
              <w:t>Net cash used in operating activities</w:t>
            </w:r>
          </w:p>
        </w:tc>
        <w:tc>
          <w:tcPr>
            <w:tcW w:w="1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(1,737,352)</w:t>
            </w:r>
          </w:p>
        </w:tc>
        <w:tc>
          <w:tcPr>
            <w:tcW w:w="2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(905,492)</w:t>
            </w:r>
          </w:p>
        </w:tc>
      </w:tr>
      <w:tr>
        <w:trPr>
          <w:trHeight w:val="186"/>
        </w:trPr>
        <w:tc>
          <w:tcPr>
            <w:tcW w:w="8340" w:type="dxa"/>
            <w:vAlign w:val="bottom"/>
          </w:tcPr>
          <w:p>
            <w:pPr>
              <w:spacing w:after="0"/>
              <w:rPr>
                <w:sz w:val="20"/>
                <w:szCs w:val="20"/>
                <w:color w:val="auto"/>
              </w:rPr>
            </w:pPr>
            <w:r>
              <w:rPr>
                <w:rFonts w:ascii="Arial" w:cs="Arial" w:eastAsia="Arial" w:hAnsi="Arial"/>
                <w:sz w:val="15"/>
                <w:szCs w:val="15"/>
                <w:color w:val="auto"/>
              </w:rPr>
              <w:t>Cash flows from investing activities:</w:t>
            </w:r>
          </w:p>
        </w:tc>
        <w:tc>
          <w:tcPr>
            <w:tcW w:w="1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206"/>
        </w:trPr>
        <w:tc>
          <w:tcPr>
            <w:tcW w:w="8340" w:type="dxa"/>
            <w:vAlign w:val="bottom"/>
          </w:tcPr>
          <w:p>
            <w:pPr>
              <w:ind w:left="300"/>
              <w:spacing w:after="0"/>
              <w:rPr>
                <w:sz w:val="20"/>
                <w:szCs w:val="20"/>
                <w:color w:val="auto"/>
              </w:rPr>
            </w:pPr>
            <w:r>
              <w:rPr>
                <w:rFonts w:ascii="Arial" w:cs="Arial" w:eastAsia="Arial" w:hAnsi="Arial"/>
                <w:sz w:val="15"/>
                <w:szCs w:val="15"/>
                <w:color w:val="auto"/>
              </w:rPr>
              <w:t>Purchases of U.S. Treasury and other securities</w:t>
            </w:r>
          </w:p>
        </w:tc>
        <w:tc>
          <w:tcPr>
            <w:tcW w:w="12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5"/>
                <w:szCs w:val="15"/>
                <w:color w:val="auto"/>
              </w:rPr>
              <w:t>(591,287)</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(44,045)</w:t>
            </w:r>
          </w:p>
        </w:tc>
      </w:tr>
      <w:tr>
        <w:trPr>
          <w:trHeight w:val="206"/>
        </w:trPr>
        <w:tc>
          <w:tcPr>
            <w:tcW w:w="8340" w:type="dxa"/>
            <w:vAlign w:val="bottom"/>
          </w:tcPr>
          <w:p>
            <w:pPr>
              <w:ind w:left="300"/>
              <w:spacing w:after="0"/>
              <w:rPr>
                <w:sz w:val="20"/>
                <w:szCs w:val="20"/>
                <w:color w:val="auto"/>
              </w:rPr>
            </w:pPr>
            <w:r>
              <w:rPr>
                <w:rFonts w:ascii="Arial" w:cs="Arial" w:eastAsia="Arial" w:hAnsi="Arial"/>
                <w:sz w:val="15"/>
                <w:szCs w:val="15"/>
                <w:color w:val="auto"/>
              </w:rPr>
              <w:t>Proceeds from maturities and sales of U.S. Treasury and other securities</w:t>
            </w:r>
          </w:p>
        </w:tc>
        <w:tc>
          <w:tcPr>
            <w:tcW w:w="120" w:type="dxa"/>
            <w:vAlign w:val="bottom"/>
          </w:tcPr>
          <w:p>
            <w:pPr>
              <w:spacing w:after="0"/>
              <w:rPr>
                <w:sz w:val="17"/>
                <w:szCs w:val="17"/>
                <w:color w:val="auto"/>
              </w:rPr>
            </w:pPr>
          </w:p>
        </w:tc>
        <w:tc>
          <w:tcPr>
            <w:tcW w:w="1400" w:type="dxa"/>
            <w:vAlign w:val="bottom"/>
          </w:tcPr>
          <w:p>
            <w:pPr>
              <w:jc w:val="right"/>
              <w:ind w:right="4"/>
              <w:spacing w:after="0"/>
              <w:rPr>
                <w:sz w:val="20"/>
                <w:szCs w:val="20"/>
                <w:color w:val="auto"/>
              </w:rPr>
            </w:pPr>
            <w:r>
              <w:rPr>
                <w:rFonts w:ascii="Arial" w:cs="Arial" w:eastAsia="Arial" w:hAnsi="Arial"/>
                <w:sz w:val="15"/>
                <w:szCs w:val="15"/>
                <w:color w:val="auto"/>
              </w:rPr>
              <w:t>355,572</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213,473</w:t>
            </w:r>
          </w:p>
        </w:tc>
      </w:tr>
      <w:tr>
        <w:trPr>
          <w:trHeight w:val="206"/>
        </w:trPr>
        <w:tc>
          <w:tcPr>
            <w:tcW w:w="8340" w:type="dxa"/>
            <w:vAlign w:val="bottom"/>
          </w:tcPr>
          <w:p>
            <w:pPr>
              <w:ind w:left="300"/>
              <w:spacing w:after="0"/>
              <w:rPr>
                <w:sz w:val="20"/>
                <w:szCs w:val="20"/>
                <w:color w:val="auto"/>
              </w:rPr>
            </w:pPr>
            <w:r>
              <w:rPr>
                <w:rFonts w:ascii="Arial" w:cs="Arial" w:eastAsia="Arial" w:hAnsi="Arial"/>
                <w:sz w:val="15"/>
                <w:szCs w:val="15"/>
                <w:color w:val="auto"/>
              </w:rPr>
              <w:t>Corporate investments in funds and companies</w:t>
            </w:r>
          </w:p>
        </w:tc>
        <w:tc>
          <w:tcPr>
            <w:tcW w:w="12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5"/>
                <w:szCs w:val="15"/>
                <w:color w:val="auto"/>
              </w:rPr>
              <w:t>(278,322)</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(177,025)</w:t>
            </w:r>
          </w:p>
        </w:tc>
      </w:tr>
      <w:tr>
        <w:trPr>
          <w:trHeight w:val="206"/>
        </w:trPr>
        <w:tc>
          <w:tcPr>
            <w:tcW w:w="8340" w:type="dxa"/>
            <w:vAlign w:val="bottom"/>
          </w:tcPr>
          <w:p>
            <w:pPr>
              <w:ind w:left="300"/>
              <w:spacing w:after="0"/>
              <w:rPr>
                <w:sz w:val="20"/>
                <w:szCs w:val="20"/>
                <w:color w:val="auto"/>
              </w:rPr>
            </w:pPr>
            <w:r>
              <w:rPr>
                <w:rFonts w:ascii="Arial" w:cs="Arial" w:eastAsia="Arial" w:hAnsi="Arial"/>
                <w:sz w:val="15"/>
                <w:szCs w:val="15"/>
                <w:color w:val="auto"/>
              </w:rPr>
              <w:t>Distributions and proceeds from corporate investments in funds and companies</w:t>
            </w:r>
          </w:p>
        </w:tc>
        <w:tc>
          <w:tcPr>
            <w:tcW w:w="1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214,951</w:t>
            </w:r>
          </w:p>
        </w:tc>
        <w:tc>
          <w:tcPr>
            <w:tcW w:w="2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216,034</w:t>
            </w:r>
          </w:p>
        </w:tc>
      </w:tr>
      <w:tr>
        <w:trPr>
          <w:trHeight w:val="200"/>
        </w:trPr>
        <w:tc>
          <w:tcPr>
            <w:tcW w:w="8340" w:type="dxa"/>
            <w:vAlign w:val="bottom"/>
          </w:tcPr>
          <w:p>
            <w:pPr>
              <w:ind w:left="620"/>
              <w:spacing w:after="0"/>
              <w:rPr>
                <w:sz w:val="20"/>
                <w:szCs w:val="20"/>
                <w:color w:val="auto"/>
              </w:rPr>
            </w:pPr>
            <w:r>
              <w:rPr>
                <w:rFonts w:ascii="Arial" w:cs="Arial" w:eastAsia="Arial" w:hAnsi="Arial"/>
                <w:sz w:val="15"/>
                <w:szCs w:val="15"/>
                <w:color w:val="auto"/>
              </w:rPr>
              <w:t>Net cash (used) provided by investing activities</w:t>
            </w:r>
          </w:p>
        </w:tc>
        <w:tc>
          <w:tcPr>
            <w:tcW w:w="1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(299,086)</w:t>
            </w:r>
          </w:p>
        </w:tc>
        <w:tc>
          <w:tcPr>
            <w:tcW w:w="2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208,437</w:t>
            </w:r>
          </w:p>
        </w:tc>
      </w:tr>
    </w:tbl>
    <w:p>
      <w:pPr>
        <w:spacing w:after="0" w:line="307" w:lineRule="exact"/>
        <w:rPr>
          <w:sz w:val="20"/>
          <w:szCs w:val="20"/>
          <w:color w:val="auto"/>
        </w:rPr>
      </w:pPr>
    </w:p>
    <w:p>
      <w:pPr>
        <w:jc w:val="center"/>
        <w:ind w:right="20"/>
        <w:spacing w:after="0"/>
        <w:rPr>
          <w:sz w:val="20"/>
          <w:szCs w:val="20"/>
          <w:color w:val="auto"/>
        </w:rPr>
      </w:pPr>
      <w:r>
        <w:rPr>
          <w:rFonts w:ascii="Arial" w:cs="Arial" w:eastAsia="Arial" w:hAnsi="Arial"/>
          <w:sz w:val="17"/>
          <w:szCs w:val="17"/>
          <w:i w:val="1"/>
          <w:i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20"/>
        <w:spacing w:after="0"/>
        <w:rPr>
          <w:sz w:val="20"/>
          <w:szCs w:val="20"/>
          <w:color w:val="auto"/>
        </w:rPr>
      </w:pPr>
      <w:r>
        <w:rPr>
          <w:rFonts w:ascii="Arial" w:cs="Arial" w:eastAsia="Arial" w:hAnsi="Arial"/>
          <w:sz w:val="17"/>
          <w:szCs w:val="17"/>
          <w:i w:val="1"/>
          <w:iCs w:val="1"/>
          <w:color w:val="auto"/>
        </w:rPr>
        <w:t>Please see accompanying notes to consolidated financial statements.</w:t>
      </w:r>
    </w:p>
    <w:p>
      <w:pPr>
        <w:spacing w:after="0" w:line="200" w:lineRule="exact"/>
        <w:rPr>
          <w:sz w:val="20"/>
          <w:szCs w:val="20"/>
          <w:color w:val="auto"/>
        </w:rPr>
      </w:pPr>
    </w:p>
    <w:p>
      <w:pPr>
        <w:spacing w:after="0" w:line="337"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220"/>
          </w:cols>
          <w:pgMar w:left="340" w:top="856" w:right="339" w:bottom="1440" w:gutter="0" w:footer="0" w:header="0"/>
        </w:sectPr>
      </w:pPr>
    </w:p>
    <w:bookmarkStart w:id="143" w:name="page144"/>
    <w:bookmarkEnd w:id="143"/>
    <w:p>
      <w:pPr>
        <w:jc w:val="center"/>
        <w:ind w:right="20"/>
        <w:spacing w:after="0"/>
        <w:rPr>
          <w:sz w:val="20"/>
          <w:szCs w:val="20"/>
          <w:color w:val="auto"/>
        </w:rPr>
      </w:pPr>
      <w:r>
        <w:rPr>
          <w:rFonts w:ascii="Arial" w:cs="Arial" w:eastAsia="Arial" w:hAnsi="Arial"/>
          <w:sz w:val="17"/>
          <w:szCs w:val="17"/>
          <w:b w:val="1"/>
          <w:bCs w:val="1"/>
          <w:color w:val="auto"/>
        </w:rPr>
        <w:t>Oaktree Capital I, L.P.</w:t>
      </w:r>
    </w:p>
    <w:p>
      <w:pPr>
        <w:spacing w:after="0" w:line="16"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Consolidated Statement of Cash Flows — (Continued)</w:t>
      </w:r>
    </w:p>
    <w:p>
      <w:pPr>
        <w:spacing w:after="0" w:line="11"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(in thousands)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5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540" w:type="dxa"/>
            <w:vAlign w:val="bottom"/>
          </w:tcPr>
          <w:p>
            <w:pPr>
              <w:spacing w:after="0"/>
              <w:rPr>
                <w:sz w:val="12"/>
                <w:szCs w:val="12"/>
                <w:color w:val="auto"/>
              </w:rPr>
            </w:pPr>
          </w:p>
        </w:tc>
        <w:tc>
          <w:tcPr>
            <w:tcW w:w="1520" w:type="dxa"/>
            <w:vAlign w:val="bottom"/>
            <w:gridSpan w:val="3"/>
          </w:tcPr>
          <w:p>
            <w:pPr>
              <w:jc w:val="center"/>
              <w:ind w:right="180"/>
              <w:spacing w:after="0"/>
              <w:rPr>
                <w:sz w:val="20"/>
                <w:szCs w:val="20"/>
                <w:color w:val="auto"/>
              </w:rPr>
            </w:pPr>
            <w:r>
              <w:rPr>
                <w:rFonts w:ascii="Arial" w:cs="Arial" w:eastAsia="Arial" w:hAnsi="Arial"/>
                <w:sz w:val="12"/>
                <w:szCs w:val="12"/>
                <w:b w:val="1"/>
                <w:bCs w:val="1"/>
                <w:color w:val="auto"/>
              </w:rPr>
              <w:t>Twelve months ended</w:t>
            </w:r>
          </w:p>
        </w:tc>
        <w:tc>
          <w:tcPr>
            <w:tcW w:w="1140" w:type="dxa"/>
            <w:vAlign w:val="bottom"/>
            <w:gridSpan w:val="2"/>
          </w:tcPr>
          <w:p>
            <w:pPr>
              <w:jc w:val="right"/>
              <w:spacing w:after="0"/>
              <w:rPr>
                <w:sz w:val="20"/>
                <w:szCs w:val="20"/>
                <w:color w:val="auto"/>
              </w:rPr>
            </w:pPr>
            <w:r>
              <w:rPr>
                <w:rFonts w:ascii="Arial" w:cs="Arial" w:eastAsia="Arial" w:hAnsi="Arial"/>
                <w:sz w:val="12"/>
                <w:szCs w:val="12"/>
                <w:b w:val="1"/>
                <w:bCs w:val="1"/>
                <w:color w:val="auto"/>
              </w:rPr>
              <w:t>Six months ended</w:t>
            </w:r>
          </w:p>
        </w:tc>
        <w:tc>
          <w:tcPr>
            <w:tcW w:w="0" w:type="dxa"/>
            <w:vAlign w:val="bottom"/>
          </w:tcPr>
          <w:p>
            <w:pPr>
              <w:spacing w:after="0"/>
              <w:rPr>
                <w:sz w:val="1"/>
                <w:szCs w:val="1"/>
                <w:color w:val="auto"/>
              </w:rPr>
            </w:pPr>
          </w:p>
        </w:tc>
      </w:tr>
      <w:tr>
        <w:trPr>
          <w:trHeight w:val="173"/>
        </w:trPr>
        <w:tc>
          <w:tcPr>
            <w:tcW w:w="25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gridSpan w:val="2"/>
          </w:tcPr>
          <w:p>
            <w:pPr>
              <w:jc w:val="center"/>
              <w:ind w:right="320"/>
              <w:spacing w:after="0"/>
              <w:rPr>
                <w:sz w:val="20"/>
                <w:szCs w:val="20"/>
                <w:color w:val="auto"/>
              </w:rPr>
            </w:pPr>
            <w:r>
              <w:rPr>
                <w:rFonts w:ascii="Arial" w:cs="Arial" w:eastAsia="Arial" w:hAnsi="Arial"/>
                <w:sz w:val="12"/>
                <w:szCs w:val="12"/>
                <w:b w:val="1"/>
                <w:bCs w:val="1"/>
                <w:color w:val="auto"/>
                <w:w w:val="99"/>
              </w:rPr>
              <w:t>December 31, 2025</w:t>
            </w:r>
          </w:p>
        </w:tc>
        <w:tc>
          <w:tcPr>
            <w:tcW w:w="1140" w:type="dxa"/>
            <w:vAlign w:val="bottom"/>
            <w:gridSpan w:val="2"/>
          </w:tcPr>
          <w:p>
            <w:pPr>
              <w:ind w:left="20"/>
              <w:spacing w:after="0"/>
              <w:rPr>
                <w:sz w:val="20"/>
                <w:szCs w:val="20"/>
                <w:color w:val="auto"/>
              </w:rPr>
            </w:pPr>
            <w:r>
              <w:rPr>
                <w:rFonts w:ascii="Arial" w:cs="Arial" w:eastAsia="Arial" w:hAnsi="Arial"/>
                <w:sz w:val="12"/>
                <w:szCs w:val="12"/>
                <w:b w:val="1"/>
                <w:bCs w:val="1"/>
                <w:color w:val="auto"/>
              </w:rPr>
              <w:t>December 31, 2024</w:t>
            </w:r>
          </w:p>
        </w:tc>
        <w:tc>
          <w:tcPr>
            <w:tcW w:w="0" w:type="dxa"/>
            <w:vAlign w:val="bottom"/>
          </w:tcPr>
          <w:p>
            <w:pPr>
              <w:spacing w:after="0"/>
              <w:rPr>
                <w:sz w:val="1"/>
                <w:szCs w:val="1"/>
                <w:color w:val="auto"/>
              </w:rPr>
            </w:pPr>
          </w:p>
        </w:tc>
      </w:tr>
      <w:tr>
        <w:trPr>
          <w:trHeight w:val="192"/>
        </w:trPr>
        <w:tc>
          <w:tcPr>
            <w:tcW w:w="8560" w:type="dxa"/>
            <w:vAlign w:val="bottom"/>
            <w:gridSpan w:val="3"/>
          </w:tcPr>
          <w:p>
            <w:pPr>
              <w:spacing w:after="0"/>
              <w:rPr>
                <w:sz w:val="20"/>
                <w:szCs w:val="20"/>
                <w:color w:val="auto"/>
              </w:rPr>
            </w:pPr>
            <w:r>
              <w:rPr>
                <w:rFonts w:ascii="Arial" w:cs="Arial" w:eastAsia="Arial" w:hAnsi="Arial"/>
                <w:sz w:val="15"/>
                <w:szCs w:val="15"/>
                <w:color w:val="auto"/>
              </w:rPr>
              <w:t>Cash flows from financing activities:</w:t>
            </w:r>
          </w:p>
        </w:tc>
        <w:tc>
          <w:tcPr>
            <w:tcW w:w="12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8560" w:type="dxa"/>
            <w:vAlign w:val="bottom"/>
            <w:gridSpan w:val="3"/>
          </w:tcPr>
          <w:p>
            <w:pPr>
              <w:ind w:left="300"/>
              <w:spacing w:after="0"/>
              <w:rPr>
                <w:sz w:val="20"/>
                <w:szCs w:val="20"/>
                <w:color w:val="auto"/>
              </w:rPr>
            </w:pPr>
            <w:r>
              <w:rPr>
                <w:rFonts w:ascii="Arial" w:cs="Arial" w:eastAsia="Arial" w:hAnsi="Arial"/>
                <w:sz w:val="15"/>
                <w:szCs w:val="15"/>
                <w:color w:val="auto"/>
              </w:rPr>
              <w:t>Capital contributions, net</w:t>
            </w: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40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240" w:type="dxa"/>
            <w:vAlign w:val="bottom"/>
          </w:tcPr>
          <w:p>
            <w:pPr>
              <w:ind w:left="20"/>
              <w:spacing w:after="0"/>
              <w:rPr>
                <w:sz w:val="20"/>
                <w:szCs w:val="20"/>
                <w:color w:val="auto"/>
              </w:rPr>
            </w:pPr>
            <w:r>
              <w:rPr>
                <w:rFonts w:ascii="Arial" w:cs="Arial" w:eastAsia="Arial" w:hAnsi="Arial"/>
                <w:sz w:val="15"/>
                <w:szCs w:val="15"/>
                <w:color w:val="auto"/>
              </w:rPr>
              <w:t>$</w:t>
            </w:r>
          </w:p>
        </w:tc>
        <w:tc>
          <w:tcPr>
            <w:tcW w:w="900" w:type="dxa"/>
            <w:vAlign w:val="bottom"/>
          </w:tcPr>
          <w:p>
            <w:pPr>
              <w:jc w:val="right"/>
              <w:spacing w:after="0"/>
              <w:rPr>
                <w:sz w:val="20"/>
                <w:szCs w:val="20"/>
                <w:color w:val="auto"/>
              </w:rPr>
            </w:pPr>
            <w:r>
              <w:rPr>
                <w:rFonts w:ascii="Arial" w:cs="Arial" w:eastAsia="Arial" w:hAnsi="Arial"/>
                <w:sz w:val="15"/>
                <w:szCs w:val="15"/>
                <w:color w:val="auto"/>
              </w:rPr>
              <w:t>200</w:t>
            </w:r>
          </w:p>
        </w:tc>
        <w:tc>
          <w:tcPr>
            <w:tcW w:w="0" w:type="dxa"/>
            <w:vAlign w:val="bottom"/>
          </w:tcPr>
          <w:p>
            <w:pPr>
              <w:spacing w:after="0"/>
              <w:rPr>
                <w:sz w:val="1"/>
                <w:szCs w:val="1"/>
                <w:color w:val="auto"/>
              </w:rPr>
            </w:pPr>
          </w:p>
        </w:tc>
      </w:tr>
      <w:tr>
        <w:trPr>
          <w:trHeight w:val="206"/>
        </w:trPr>
        <w:tc>
          <w:tcPr>
            <w:tcW w:w="8560" w:type="dxa"/>
            <w:vAlign w:val="bottom"/>
            <w:gridSpan w:val="3"/>
          </w:tcPr>
          <w:p>
            <w:pPr>
              <w:ind w:left="300"/>
              <w:spacing w:after="0"/>
              <w:rPr>
                <w:sz w:val="20"/>
                <w:szCs w:val="20"/>
                <w:color w:val="auto"/>
              </w:rPr>
            </w:pPr>
            <w:r>
              <w:rPr>
                <w:rFonts w:ascii="Arial" w:cs="Arial" w:eastAsia="Arial" w:hAnsi="Arial"/>
                <w:sz w:val="15"/>
                <w:szCs w:val="15"/>
                <w:color w:val="auto"/>
              </w:rPr>
              <w:t>Distributions to unitholders</w:t>
            </w:r>
          </w:p>
        </w:tc>
        <w:tc>
          <w:tcPr>
            <w:tcW w:w="1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(331,180)</w:t>
            </w: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(89,280)</w:t>
            </w:r>
          </w:p>
        </w:tc>
        <w:tc>
          <w:tcPr>
            <w:tcW w:w="0" w:type="dxa"/>
            <w:vAlign w:val="bottom"/>
          </w:tcPr>
          <w:p>
            <w:pPr>
              <w:spacing w:after="0"/>
              <w:rPr>
                <w:sz w:val="1"/>
                <w:szCs w:val="1"/>
                <w:color w:val="auto"/>
              </w:rPr>
            </w:pPr>
          </w:p>
        </w:tc>
      </w:tr>
      <w:tr>
        <w:trPr>
          <w:trHeight w:val="206"/>
        </w:trPr>
        <w:tc>
          <w:tcPr>
            <w:tcW w:w="8560" w:type="dxa"/>
            <w:vAlign w:val="bottom"/>
            <w:gridSpan w:val="3"/>
          </w:tcPr>
          <w:p>
            <w:pPr>
              <w:ind w:left="300"/>
              <w:spacing w:after="0"/>
              <w:rPr>
                <w:sz w:val="20"/>
                <w:szCs w:val="20"/>
                <w:color w:val="auto"/>
              </w:rPr>
            </w:pPr>
            <w:r>
              <w:rPr>
                <w:rFonts w:ascii="Arial" w:cs="Arial" w:eastAsia="Arial" w:hAnsi="Arial"/>
                <w:sz w:val="15"/>
                <w:szCs w:val="15"/>
                <w:color w:val="auto"/>
              </w:rPr>
              <w:t>Distributions to preferred unitholders</w:t>
            </w:r>
          </w:p>
        </w:tc>
        <w:tc>
          <w:tcPr>
            <w:tcW w:w="1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(27,316)</w:t>
            </w: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(13,658)</w:t>
            </w:r>
          </w:p>
        </w:tc>
        <w:tc>
          <w:tcPr>
            <w:tcW w:w="0" w:type="dxa"/>
            <w:vAlign w:val="bottom"/>
          </w:tcPr>
          <w:p>
            <w:pPr>
              <w:spacing w:after="0"/>
              <w:rPr>
                <w:sz w:val="1"/>
                <w:szCs w:val="1"/>
                <w:color w:val="auto"/>
              </w:rPr>
            </w:pPr>
          </w:p>
        </w:tc>
      </w:tr>
      <w:tr>
        <w:trPr>
          <w:trHeight w:val="206"/>
        </w:trPr>
        <w:tc>
          <w:tcPr>
            <w:tcW w:w="8560" w:type="dxa"/>
            <w:vAlign w:val="bottom"/>
            <w:gridSpan w:val="3"/>
          </w:tcPr>
          <w:p>
            <w:pPr>
              <w:ind w:left="300"/>
              <w:spacing w:after="0"/>
              <w:rPr>
                <w:sz w:val="20"/>
                <w:szCs w:val="20"/>
                <w:color w:val="auto"/>
              </w:rPr>
            </w:pPr>
            <w:r>
              <w:rPr>
                <w:rFonts w:ascii="Arial" w:cs="Arial" w:eastAsia="Arial" w:hAnsi="Arial"/>
                <w:sz w:val="15"/>
                <w:szCs w:val="15"/>
                <w:color w:val="auto"/>
              </w:rPr>
              <w:t>Net proceeds from issuance of debt obligations</w:t>
            </w:r>
          </w:p>
        </w:tc>
        <w:tc>
          <w:tcPr>
            <w:tcW w:w="120" w:type="dxa"/>
            <w:vAlign w:val="bottom"/>
          </w:tcPr>
          <w:p>
            <w:pPr>
              <w:spacing w:after="0"/>
              <w:rPr>
                <w:sz w:val="17"/>
                <w:szCs w:val="17"/>
                <w:color w:val="auto"/>
              </w:rPr>
            </w:pPr>
          </w:p>
        </w:tc>
        <w:tc>
          <w:tcPr>
            <w:tcW w:w="1220" w:type="dxa"/>
            <w:vAlign w:val="bottom"/>
          </w:tcPr>
          <w:p>
            <w:pPr>
              <w:jc w:val="right"/>
              <w:ind w:right="3"/>
              <w:spacing w:after="0"/>
              <w:rPr>
                <w:sz w:val="20"/>
                <w:szCs w:val="20"/>
                <w:color w:val="auto"/>
              </w:rPr>
            </w:pPr>
            <w:r>
              <w:rPr>
                <w:rFonts w:ascii="Arial" w:cs="Arial" w:eastAsia="Arial" w:hAnsi="Arial"/>
                <w:sz w:val="15"/>
                <w:szCs w:val="15"/>
                <w:color w:val="auto"/>
              </w:rPr>
              <w:t>300,000</w:t>
            </w: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6"/>
        </w:trPr>
        <w:tc>
          <w:tcPr>
            <w:tcW w:w="8560" w:type="dxa"/>
            <w:vAlign w:val="bottom"/>
            <w:gridSpan w:val="3"/>
          </w:tcPr>
          <w:p>
            <w:pPr>
              <w:ind w:left="300"/>
              <w:spacing w:after="0"/>
              <w:rPr>
                <w:sz w:val="20"/>
                <w:szCs w:val="20"/>
                <w:color w:val="auto"/>
              </w:rPr>
            </w:pPr>
            <w:r>
              <w:rPr>
                <w:rFonts w:ascii="Arial" w:cs="Arial" w:eastAsia="Arial" w:hAnsi="Arial"/>
                <w:sz w:val="15"/>
                <w:szCs w:val="15"/>
                <w:color w:val="auto"/>
              </w:rPr>
              <w:t>Payment of debt issuance costs</w:t>
            </w:r>
          </w:p>
        </w:tc>
        <w:tc>
          <w:tcPr>
            <w:tcW w:w="1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(1,927)</w:t>
            </w: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6"/>
        </w:trPr>
        <w:tc>
          <w:tcPr>
            <w:tcW w:w="8560" w:type="dxa"/>
            <w:vAlign w:val="bottom"/>
            <w:gridSpan w:val="3"/>
          </w:tcPr>
          <w:p>
            <w:pPr>
              <w:ind w:left="160"/>
              <w:spacing w:after="0"/>
              <w:rPr>
                <w:sz w:val="20"/>
                <w:szCs w:val="20"/>
                <w:color w:val="auto"/>
              </w:rPr>
            </w:pPr>
            <w:r>
              <w:rPr>
                <w:rFonts w:ascii="Arial" w:cs="Arial" w:eastAsia="Arial" w:hAnsi="Arial"/>
                <w:sz w:val="15"/>
                <w:szCs w:val="15"/>
                <w:i w:val="1"/>
                <w:iCs w:val="1"/>
                <w:color w:val="auto"/>
              </w:rPr>
              <w:t>Cash flows from financing activities of consolidated funds:</w:t>
            </w: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8560" w:type="dxa"/>
            <w:vAlign w:val="bottom"/>
            <w:gridSpan w:val="3"/>
          </w:tcPr>
          <w:p>
            <w:pPr>
              <w:ind w:left="300"/>
              <w:spacing w:after="0"/>
              <w:rPr>
                <w:sz w:val="20"/>
                <w:szCs w:val="20"/>
                <w:color w:val="auto"/>
              </w:rPr>
            </w:pPr>
            <w:r>
              <w:rPr>
                <w:rFonts w:ascii="Arial" w:cs="Arial" w:eastAsia="Arial" w:hAnsi="Arial"/>
                <w:sz w:val="15"/>
                <w:szCs w:val="15"/>
                <w:color w:val="auto"/>
              </w:rPr>
              <w:t>Contributions from non-controlling interests</w:t>
            </w:r>
          </w:p>
        </w:tc>
        <w:tc>
          <w:tcPr>
            <w:tcW w:w="120" w:type="dxa"/>
            <w:vAlign w:val="bottom"/>
          </w:tcPr>
          <w:p>
            <w:pPr>
              <w:spacing w:after="0"/>
              <w:rPr>
                <w:sz w:val="17"/>
                <w:szCs w:val="17"/>
                <w:color w:val="auto"/>
              </w:rPr>
            </w:pPr>
          </w:p>
        </w:tc>
        <w:tc>
          <w:tcPr>
            <w:tcW w:w="1220" w:type="dxa"/>
            <w:vAlign w:val="bottom"/>
          </w:tcPr>
          <w:p>
            <w:pPr>
              <w:jc w:val="right"/>
              <w:ind w:right="3"/>
              <w:spacing w:after="0"/>
              <w:rPr>
                <w:sz w:val="20"/>
                <w:szCs w:val="20"/>
                <w:color w:val="auto"/>
              </w:rPr>
            </w:pPr>
            <w:r>
              <w:rPr>
                <w:rFonts w:ascii="Arial" w:cs="Arial" w:eastAsia="Arial" w:hAnsi="Arial"/>
                <w:sz w:val="15"/>
                <w:szCs w:val="15"/>
                <w:color w:val="auto"/>
              </w:rPr>
              <w:t>783,639</w:t>
            </w: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294,401</w:t>
            </w:r>
          </w:p>
        </w:tc>
        <w:tc>
          <w:tcPr>
            <w:tcW w:w="0" w:type="dxa"/>
            <w:vAlign w:val="bottom"/>
          </w:tcPr>
          <w:p>
            <w:pPr>
              <w:spacing w:after="0"/>
              <w:rPr>
                <w:sz w:val="1"/>
                <w:szCs w:val="1"/>
                <w:color w:val="auto"/>
              </w:rPr>
            </w:pPr>
          </w:p>
        </w:tc>
      </w:tr>
      <w:tr>
        <w:trPr>
          <w:trHeight w:val="206"/>
        </w:trPr>
        <w:tc>
          <w:tcPr>
            <w:tcW w:w="8560" w:type="dxa"/>
            <w:vAlign w:val="bottom"/>
            <w:gridSpan w:val="3"/>
          </w:tcPr>
          <w:p>
            <w:pPr>
              <w:ind w:left="300"/>
              <w:spacing w:after="0"/>
              <w:rPr>
                <w:sz w:val="20"/>
                <w:szCs w:val="20"/>
                <w:color w:val="auto"/>
              </w:rPr>
            </w:pPr>
            <w:r>
              <w:rPr>
                <w:rFonts w:ascii="Arial" w:cs="Arial" w:eastAsia="Arial" w:hAnsi="Arial"/>
                <w:sz w:val="15"/>
                <w:szCs w:val="15"/>
                <w:color w:val="auto"/>
              </w:rPr>
              <w:t>Distributions to non-controlling interests</w:t>
            </w:r>
          </w:p>
        </w:tc>
        <w:tc>
          <w:tcPr>
            <w:tcW w:w="1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(277,369)</w:t>
            </w: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(50,390)</w:t>
            </w:r>
          </w:p>
        </w:tc>
        <w:tc>
          <w:tcPr>
            <w:tcW w:w="0" w:type="dxa"/>
            <w:vAlign w:val="bottom"/>
          </w:tcPr>
          <w:p>
            <w:pPr>
              <w:spacing w:after="0"/>
              <w:rPr>
                <w:sz w:val="1"/>
                <w:szCs w:val="1"/>
                <w:color w:val="auto"/>
              </w:rPr>
            </w:pPr>
          </w:p>
        </w:tc>
      </w:tr>
      <w:tr>
        <w:trPr>
          <w:trHeight w:val="206"/>
        </w:trPr>
        <w:tc>
          <w:tcPr>
            <w:tcW w:w="8560" w:type="dxa"/>
            <w:vAlign w:val="bottom"/>
            <w:gridSpan w:val="3"/>
          </w:tcPr>
          <w:p>
            <w:pPr>
              <w:ind w:left="300"/>
              <w:spacing w:after="0"/>
              <w:rPr>
                <w:sz w:val="20"/>
                <w:szCs w:val="20"/>
                <w:color w:val="auto"/>
              </w:rPr>
            </w:pPr>
            <w:r>
              <w:rPr>
                <w:rFonts w:ascii="Arial" w:cs="Arial" w:eastAsia="Arial" w:hAnsi="Arial"/>
                <w:sz w:val="15"/>
                <w:szCs w:val="15"/>
                <w:color w:val="auto"/>
              </w:rPr>
              <w:t>Payment of debt issuance costs</w:t>
            </w:r>
          </w:p>
        </w:tc>
        <w:tc>
          <w:tcPr>
            <w:tcW w:w="1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(7,318)</w:t>
            </w: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(4,277)</w:t>
            </w:r>
          </w:p>
        </w:tc>
        <w:tc>
          <w:tcPr>
            <w:tcW w:w="0" w:type="dxa"/>
            <w:vAlign w:val="bottom"/>
          </w:tcPr>
          <w:p>
            <w:pPr>
              <w:spacing w:after="0"/>
              <w:rPr>
                <w:sz w:val="1"/>
                <w:szCs w:val="1"/>
                <w:color w:val="auto"/>
              </w:rPr>
            </w:pPr>
          </w:p>
        </w:tc>
      </w:tr>
      <w:tr>
        <w:trPr>
          <w:trHeight w:val="206"/>
        </w:trPr>
        <w:tc>
          <w:tcPr>
            <w:tcW w:w="8560" w:type="dxa"/>
            <w:vAlign w:val="bottom"/>
            <w:gridSpan w:val="3"/>
          </w:tcPr>
          <w:p>
            <w:pPr>
              <w:ind w:left="300"/>
              <w:spacing w:after="0"/>
              <w:rPr>
                <w:sz w:val="20"/>
                <w:szCs w:val="20"/>
                <w:color w:val="auto"/>
              </w:rPr>
            </w:pPr>
            <w:r>
              <w:rPr>
                <w:rFonts w:ascii="Arial" w:cs="Arial" w:eastAsia="Arial" w:hAnsi="Arial"/>
                <w:sz w:val="15"/>
                <w:szCs w:val="15"/>
                <w:color w:val="auto"/>
              </w:rPr>
              <w:t>Borrowings on credit facilities</w:t>
            </w:r>
          </w:p>
        </w:tc>
        <w:tc>
          <w:tcPr>
            <w:tcW w:w="120" w:type="dxa"/>
            <w:vAlign w:val="bottom"/>
          </w:tcPr>
          <w:p>
            <w:pPr>
              <w:spacing w:after="0"/>
              <w:rPr>
                <w:sz w:val="17"/>
                <w:szCs w:val="17"/>
                <w:color w:val="auto"/>
              </w:rPr>
            </w:pPr>
          </w:p>
        </w:tc>
        <w:tc>
          <w:tcPr>
            <w:tcW w:w="1220" w:type="dxa"/>
            <w:vAlign w:val="bottom"/>
          </w:tcPr>
          <w:p>
            <w:pPr>
              <w:jc w:val="right"/>
              <w:ind w:right="3"/>
              <w:spacing w:after="0"/>
              <w:rPr>
                <w:sz w:val="20"/>
                <w:szCs w:val="20"/>
                <w:color w:val="auto"/>
              </w:rPr>
            </w:pPr>
            <w:r>
              <w:rPr>
                <w:rFonts w:ascii="Arial" w:cs="Arial" w:eastAsia="Arial" w:hAnsi="Arial"/>
                <w:sz w:val="15"/>
                <w:szCs w:val="15"/>
                <w:color w:val="auto"/>
              </w:rPr>
              <w:t>2,603,878</w:t>
            </w: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1,466,001</w:t>
            </w:r>
          </w:p>
        </w:tc>
        <w:tc>
          <w:tcPr>
            <w:tcW w:w="0" w:type="dxa"/>
            <w:vAlign w:val="bottom"/>
          </w:tcPr>
          <w:p>
            <w:pPr>
              <w:spacing w:after="0"/>
              <w:rPr>
                <w:sz w:val="1"/>
                <w:szCs w:val="1"/>
                <w:color w:val="auto"/>
              </w:rPr>
            </w:pPr>
          </w:p>
        </w:tc>
      </w:tr>
      <w:tr>
        <w:trPr>
          <w:trHeight w:val="206"/>
        </w:trPr>
        <w:tc>
          <w:tcPr>
            <w:tcW w:w="8560" w:type="dxa"/>
            <w:vAlign w:val="bottom"/>
            <w:gridSpan w:val="3"/>
          </w:tcPr>
          <w:p>
            <w:pPr>
              <w:ind w:left="300"/>
              <w:spacing w:after="0"/>
              <w:rPr>
                <w:sz w:val="20"/>
                <w:szCs w:val="20"/>
                <w:color w:val="auto"/>
              </w:rPr>
            </w:pPr>
            <w:r>
              <w:rPr>
                <w:rFonts w:ascii="Arial" w:cs="Arial" w:eastAsia="Arial" w:hAnsi="Arial"/>
                <w:sz w:val="15"/>
                <w:szCs w:val="15"/>
                <w:color w:val="auto"/>
              </w:rPr>
              <w:t>Repayments on credit facilities</w:t>
            </w:r>
          </w:p>
        </w:tc>
        <w:tc>
          <w:tcPr>
            <w:tcW w:w="1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(856,729)</w:t>
            </w:r>
          </w:p>
        </w:tc>
        <w:tc>
          <w:tcPr>
            <w:tcW w:w="1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(597,487)</w:t>
            </w:r>
          </w:p>
        </w:tc>
        <w:tc>
          <w:tcPr>
            <w:tcW w:w="0" w:type="dxa"/>
            <w:vAlign w:val="bottom"/>
          </w:tcPr>
          <w:p>
            <w:pPr>
              <w:spacing w:after="0"/>
              <w:rPr>
                <w:sz w:val="1"/>
                <w:szCs w:val="1"/>
                <w:color w:val="auto"/>
              </w:rPr>
            </w:pPr>
          </w:p>
        </w:tc>
      </w:tr>
      <w:tr>
        <w:trPr>
          <w:trHeight w:val="199"/>
        </w:trPr>
        <w:tc>
          <w:tcPr>
            <w:tcW w:w="8560" w:type="dxa"/>
            <w:vAlign w:val="bottom"/>
            <w:gridSpan w:val="3"/>
          </w:tcPr>
          <w:p>
            <w:pPr>
              <w:ind w:left="620"/>
              <w:spacing w:after="0"/>
              <w:rPr>
                <w:sz w:val="20"/>
                <w:szCs w:val="20"/>
                <w:color w:val="auto"/>
              </w:rPr>
            </w:pPr>
            <w:r>
              <w:rPr>
                <w:rFonts w:ascii="Arial" w:cs="Arial" w:eastAsia="Arial" w:hAnsi="Arial"/>
                <w:sz w:val="15"/>
                <w:szCs w:val="15"/>
                <w:color w:val="auto"/>
              </w:rPr>
              <w:t>Net cash provided by financing activities</w:t>
            </w:r>
          </w:p>
        </w:tc>
        <w:tc>
          <w:tcPr>
            <w:tcW w:w="1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2,185,678</w:t>
            </w:r>
          </w:p>
        </w:tc>
        <w:tc>
          <w:tcPr>
            <w:tcW w:w="1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1,005,510</w:t>
            </w:r>
          </w:p>
        </w:tc>
        <w:tc>
          <w:tcPr>
            <w:tcW w:w="0" w:type="dxa"/>
            <w:vAlign w:val="bottom"/>
          </w:tcPr>
          <w:p>
            <w:pPr>
              <w:spacing w:after="0"/>
              <w:rPr>
                <w:sz w:val="1"/>
                <w:szCs w:val="1"/>
                <w:color w:val="auto"/>
              </w:rPr>
            </w:pPr>
          </w:p>
        </w:tc>
      </w:tr>
      <w:tr>
        <w:trPr>
          <w:trHeight w:val="199"/>
        </w:trPr>
        <w:tc>
          <w:tcPr>
            <w:tcW w:w="8560" w:type="dxa"/>
            <w:vAlign w:val="bottom"/>
            <w:gridSpan w:val="3"/>
          </w:tcPr>
          <w:p>
            <w:pPr>
              <w:spacing w:after="0"/>
              <w:rPr>
                <w:sz w:val="20"/>
                <w:szCs w:val="20"/>
                <w:color w:val="auto"/>
              </w:rPr>
            </w:pPr>
            <w:r>
              <w:rPr>
                <w:rFonts w:ascii="Arial" w:cs="Arial" w:eastAsia="Arial" w:hAnsi="Arial"/>
                <w:sz w:val="15"/>
                <w:szCs w:val="15"/>
                <w:color w:val="auto"/>
              </w:rPr>
              <w:t>Effect of exchange rate changes on cash</w:t>
            </w:r>
          </w:p>
        </w:tc>
        <w:tc>
          <w:tcPr>
            <w:tcW w:w="1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27,298</w:t>
            </w:r>
          </w:p>
        </w:tc>
        <w:tc>
          <w:tcPr>
            <w:tcW w:w="1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(6,696)</w:t>
            </w:r>
          </w:p>
        </w:tc>
        <w:tc>
          <w:tcPr>
            <w:tcW w:w="0" w:type="dxa"/>
            <w:vAlign w:val="bottom"/>
          </w:tcPr>
          <w:p>
            <w:pPr>
              <w:spacing w:after="0"/>
              <w:rPr>
                <w:sz w:val="1"/>
                <w:szCs w:val="1"/>
                <w:color w:val="auto"/>
              </w:rPr>
            </w:pPr>
          </w:p>
        </w:tc>
      </w:tr>
      <w:tr>
        <w:trPr>
          <w:trHeight w:val="199"/>
        </w:trPr>
        <w:tc>
          <w:tcPr>
            <w:tcW w:w="8560" w:type="dxa"/>
            <w:vAlign w:val="bottom"/>
            <w:gridSpan w:val="3"/>
          </w:tcPr>
          <w:p>
            <w:pPr>
              <w:spacing w:after="0"/>
              <w:rPr>
                <w:sz w:val="20"/>
                <w:szCs w:val="20"/>
                <w:color w:val="auto"/>
              </w:rPr>
            </w:pPr>
            <w:r>
              <w:rPr>
                <w:rFonts w:ascii="Arial" w:cs="Arial" w:eastAsia="Arial" w:hAnsi="Arial"/>
                <w:sz w:val="15"/>
                <w:szCs w:val="15"/>
                <w:color w:val="auto"/>
              </w:rPr>
              <w:t>Net increase in cash and cash-equivalents</w:t>
            </w:r>
          </w:p>
        </w:tc>
        <w:tc>
          <w:tcPr>
            <w:tcW w:w="120" w:type="dxa"/>
            <w:vAlign w:val="bottom"/>
          </w:tcPr>
          <w:p>
            <w:pPr>
              <w:spacing w:after="0"/>
              <w:rPr>
                <w:sz w:val="17"/>
                <w:szCs w:val="17"/>
                <w:color w:val="auto"/>
              </w:rPr>
            </w:pPr>
          </w:p>
        </w:tc>
        <w:tc>
          <w:tcPr>
            <w:tcW w:w="1220" w:type="dxa"/>
            <w:vAlign w:val="bottom"/>
          </w:tcPr>
          <w:p>
            <w:pPr>
              <w:jc w:val="right"/>
              <w:ind w:right="3"/>
              <w:spacing w:after="0"/>
              <w:rPr>
                <w:sz w:val="20"/>
                <w:szCs w:val="20"/>
                <w:color w:val="auto"/>
              </w:rPr>
            </w:pPr>
            <w:r>
              <w:rPr>
                <w:rFonts w:ascii="Arial" w:cs="Arial" w:eastAsia="Arial" w:hAnsi="Arial"/>
                <w:sz w:val="15"/>
                <w:szCs w:val="15"/>
                <w:color w:val="auto"/>
              </w:rPr>
              <w:t>176,538</w:t>
            </w: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301,759</w:t>
            </w:r>
          </w:p>
        </w:tc>
        <w:tc>
          <w:tcPr>
            <w:tcW w:w="0" w:type="dxa"/>
            <w:vAlign w:val="bottom"/>
          </w:tcPr>
          <w:p>
            <w:pPr>
              <w:spacing w:after="0"/>
              <w:rPr>
                <w:sz w:val="1"/>
                <w:szCs w:val="1"/>
                <w:color w:val="auto"/>
              </w:rPr>
            </w:pPr>
          </w:p>
        </w:tc>
      </w:tr>
      <w:tr>
        <w:trPr>
          <w:trHeight w:val="206"/>
        </w:trPr>
        <w:tc>
          <w:tcPr>
            <w:tcW w:w="8560" w:type="dxa"/>
            <w:vAlign w:val="bottom"/>
            <w:gridSpan w:val="3"/>
          </w:tcPr>
          <w:p>
            <w:pPr>
              <w:spacing w:after="0"/>
              <w:rPr>
                <w:sz w:val="20"/>
                <w:szCs w:val="20"/>
                <w:color w:val="auto"/>
              </w:rPr>
            </w:pPr>
            <w:r>
              <w:rPr>
                <w:rFonts w:ascii="Arial" w:cs="Arial" w:eastAsia="Arial" w:hAnsi="Arial"/>
                <w:sz w:val="15"/>
                <w:szCs w:val="15"/>
                <w:color w:val="auto"/>
              </w:rPr>
              <w:t>Deconsolidation of funds</w:t>
            </w:r>
          </w:p>
        </w:tc>
        <w:tc>
          <w:tcPr>
            <w:tcW w:w="120" w:type="dxa"/>
            <w:vAlign w:val="bottom"/>
          </w:tcPr>
          <w:p>
            <w:pPr>
              <w:spacing w:after="0"/>
              <w:rPr>
                <w:sz w:val="17"/>
                <w:szCs w:val="17"/>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356</w:t>
            </w:r>
          </w:p>
        </w:tc>
        <w:tc>
          <w:tcPr>
            <w:tcW w:w="0" w:type="dxa"/>
            <w:vAlign w:val="bottom"/>
          </w:tcPr>
          <w:p>
            <w:pPr>
              <w:spacing w:after="0"/>
              <w:rPr>
                <w:sz w:val="1"/>
                <w:szCs w:val="1"/>
                <w:color w:val="auto"/>
              </w:rPr>
            </w:pPr>
          </w:p>
        </w:tc>
      </w:tr>
      <w:tr>
        <w:trPr>
          <w:trHeight w:val="206"/>
        </w:trPr>
        <w:tc>
          <w:tcPr>
            <w:tcW w:w="8560" w:type="dxa"/>
            <w:vAlign w:val="bottom"/>
            <w:gridSpan w:val="3"/>
          </w:tcPr>
          <w:p>
            <w:pPr>
              <w:spacing w:after="0"/>
              <w:rPr>
                <w:sz w:val="20"/>
                <w:szCs w:val="20"/>
                <w:color w:val="auto"/>
              </w:rPr>
            </w:pPr>
            <w:r>
              <w:rPr>
                <w:rFonts w:ascii="Arial" w:cs="Arial" w:eastAsia="Arial" w:hAnsi="Arial"/>
                <w:sz w:val="15"/>
                <w:szCs w:val="15"/>
                <w:color w:val="auto"/>
              </w:rPr>
              <w:t>Initial consolidation of funds</w:t>
            </w:r>
          </w:p>
        </w:tc>
        <w:tc>
          <w:tcPr>
            <w:tcW w:w="120" w:type="dxa"/>
            <w:vAlign w:val="bottom"/>
          </w:tcPr>
          <w:p>
            <w:pPr>
              <w:spacing w:after="0"/>
              <w:rPr>
                <w:sz w:val="17"/>
                <w:szCs w:val="17"/>
                <w:color w:val="auto"/>
              </w:rPr>
            </w:pPr>
          </w:p>
        </w:tc>
        <w:tc>
          <w:tcPr>
            <w:tcW w:w="1220" w:type="dxa"/>
            <w:vAlign w:val="bottom"/>
          </w:tcPr>
          <w:p>
            <w:pPr>
              <w:jc w:val="right"/>
              <w:ind w:right="3"/>
              <w:spacing w:after="0"/>
              <w:rPr>
                <w:sz w:val="20"/>
                <w:szCs w:val="20"/>
                <w:color w:val="auto"/>
              </w:rPr>
            </w:pPr>
            <w:r>
              <w:rPr>
                <w:rFonts w:ascii="Arial" w:cs="Arial" w:eastAsia="Arial" w:hAnsi="Arial"/>
                <w:sz w:val="15"/>
                <w:szCs w:val="15"/>
                <w:color w:val="auto"/>
              </w:rPr>
              <w:t>16,302</w:t>
            </w: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7"/>
        </w:trPr>
        <w:tc>
          <w:tcPr>
            <w:tcW w:w="8560" w:type="dxa"/>
            <w:vAlign w:val="bottom"/>
            <w:gridSpan w:val="3"/>
          </w:tcPr>
          <w:p>
            <w:pPr>
              <w:spacing w:after="0"/>
              <w:rPr>
                <w:sz w:val="20"/>
                <w:szCs w:val="20"/>
                <w:color w:val="auto"/>
              </w:rPr>
            </w:pPr>
            <w:r>
              <w:rPr>
                <w:rFonts w:ascii="Arial" w:cs="Arial" w:eastAsia="Arial" w:hAnsi="Arial"/>
                <w:sz w:val="15"/>
                <w:szCs w:val="15"/>
                <w:color w:val="auto"/>
              </w:rPr>
              <w:t>Cash and cash-equivalents, beginning balance</w:t>
            </w:r>
          </w:p>
        </w:tc>
        <w:tc>
          <w:tcPr>
            <w:tcW w:w="1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418,497</w:t>
            </w:r>
          </w:p>
        </w:tc>
        <w:tc>
          <w:tcPr>
            <w:tcW w:w="1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116,382</w:t>
            </w:r>
          </w:p>
        </w:tc>
        <w:tc>
          <w:tcPr>
            <w:tcW w:w="0" w:type="dxa"/>
            <w:vAlign w:val="bottom"/>
          </w:tcPr>
          <w:p>
            <w:pPr>
              <w:spacing w:after="0"/>
              <w:rPr>
                <w:sz w:val="1"/>
                <w:szCs w:val="1"/>
                <w:color w:val="auto"/>
              </w:rPr>
            </w:pPr>
          </w:p>
        </w:tc>
      </w:tr>
      <w:tr>
        <w:trPr>
          <w:trHeight w:val="200"/>
        </w:trPr>
        <w:tc>
          <w:tcPr>
            <w:tcW w:w="8560" w:type="dxa"/>
            <w:vAlign w:val="bottom"/>
            <w:gridSpan w:val="3"/>
          </w:tcPr>
          <w:p>
            <w:pPr>
              <w:spacing w:after="0"/>
              <w:rPr>
                <w:sz w:val="20"/>
                <w:szCs w:val="20"/>
                <w:color w:val="auto"/>
              </w:rPr>
            </w:pPr>
            <w:r>
              <w:rPr>
                <w:rFonts w:ascii="Arial" w:cs="Arial" w:eastAsia="Arial" w:hAnsi="Arial"/>
                <w:sz w:val="15"/>
                <w:szCs w:val="15"/>
                <w:color w:val="auto"/>
              </w:rPr>
              <w:t>Cash and cash-equivalents, ending balance</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22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611,337</w:t>
            </w:r>
          </w:p>
        </w:tc>
        <w:tc>
          <w:tcPr>
            <w:tcW w:w="180" w:type="dxa"/>
            <w:vAlign w:val="bottom"/>
          </w:tcPr>
          <w:p>
            <w:pPr>
              <w:spacing w:after="0"/>
              <w:rPr>
                <w:sz w:val="17"/>
                <w:szCs w:val="17"/>
                <w:color w:val="auto"/>
              </w:rPr>
            </w:pPr>
          </w:p>
        </w:tc>
        <w:tc>
          <w:tcPr>
            <w:tcW w:w="24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418,497</w:t>
            </w:r>
          </w:p>
        </w:tc>
        <w:tc>
          <w:tcPr>
            <w:tcW w:w="0" w:type="dxa"/>
            <w:vAlign w:val="bottom"/>
          </w:tcPr>
          <w:p>
            <w:pPr>
              <w:spacing w:after="0"/>
              <w:rPr>
                <w:sz w:val="1"/>
                <w:szCs w:val="1"/>
                <w:color w:val="auto"/>
              </w:rPr>
            </w:pPr>
          </w:p>
        </w:tc>
      </w:tr>
      <w:tr>
        <w:trPr>
          <w:trHeight w:val="20"/>
        </w:trPr>
        <w:tc>
          <w:tcPr>
            <w:tcW w:w="2500" w:type="dxa"/>
            <w:vAlign w:val="bottom"/>
            <w:vMerge w:val="restart"/>
          </w:tcPr>
          <w:p>
            <w:pPr>
              <w:spacing w:after="0"/>
              <w:rPr>
                <w:sz w:val="20"/>
                <w:szCs w:val="20"/>
                <w:color w:val="auto"/>
              </w:rPr>
            </w:pPr>
            <w:r>
              <w:rPr>
                <w:rFonts w:ascii="Arial" w:cs="Arial" w:eastAsia="Arial" w:hAnsi="Arial"/>
                <w:sz w:val="15"/>
                <w:szCs w:val="15"/>
                <w:color w:val="auto"/>
              </w:rPr>
              <w:t>Supplemental cash flow disclosures:</w:t>
            </w:r>
          </w:p>
        </w:tc>
        <w:tc>
          <w:tcPr>
            <w:tcW w:w="6060" w:type="dxa"/>
            <w:vAlign w:val="bottom"/>
            <w:gridSpan w:val="2"/>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6"/>
        </w:trPr>
        <w:tc>
          <w:tcPr>
            <w:tcW w:w="2500" w:type="dxa"/>
            <w:vAlign w:val="bottom"/>
            <w:tcBorders>
              <w:bottom w:val="single" w:sz="8" w:color="auto"/>
            </w:tcBorders>
            <w:vMerge w:val="continue"/>
          </w:tcPr>
          <w:p>
            <w:pPr>
              <w:spacing w:after="0"/>
              <w:rPr>
                <w:sz w:val="24"/>
                <w:szCs w:val="24"/>
                <w:color w:val="auto"/>
              </w:rPr>
            </w:pPr>
          </w:p>
        </w:tc>
        <w:tc>
          <w:tcPr>
            <w:tcW w:w="606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8560" w:type="dxa"/>
            <w:vAlign w:val="bottom"/>
            <w:gridSpan w:val="3"/>
          </w:tcPr>
          <w:p>
            <w:pPr>
              <w:spacing w:after="0"/>
              <w:rPr>
                <w:sz w:val="20"/>
                <w:szCs w:val="20"/>
                <w:color w:val="auto"/>
              </w:rPr>
            </w:pPr>
            <w:r>
              <w:rPr>
                <w:rFonts w:ascii="Arial" w:cs="Arial" w:eastAsia="Arial" w:hAnsi="Arial"/>
                <w:sz w:val="15"/>
                <w:szCs w:val="15"/>
                <w:color w:val="auto"/>
              </w:rPr>
              <w:t>Cash paid for interest</w:t>
            </w: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220" w:type="dxa"/>
            <w:vAlign w:val="bottom"/>
          </w:tcPr>
          <w:p>
            <w:pPr>
              <w:jc w:val="right"/>
              <w:ind w:right="3"/>
              <w:spacing w:after="0"/>
              <w:rPr>
                <w:sz w:val="20"/>
                <w:szCs w:val="20"/>
                <w:color w:val="auto"/>
              </w:rPr>
            </w:pPr>
            <w:r>
              <w:rPr>
                <w:rFonts w:ascii="Arial" w:cs="Arial" w:eastAsia="Arial" w:hAnsi="Arial"/>
                <w:sz w:val="15"/>
                <w:szCs w:val="15"/>
                <w:color w:val="auto"/>
              </w:rPr>
              <w:t>116,666</w:t>
            </w:r>
          </w:p>
        </w:tc>
        <w:tc>
          <w:tcPr>
            <w:tcW w:w="180" w:type="dxa"/>
            <w:vAlign w:val="bottom"/>
          </w:tcPr>
          <w:p>
            <w:pPr>
              <w:spacing w:after="0"/>
              <w:rPr>
                <w:sz w:val="19"/>
                <w:szCs w:val="19"/>
                <w:color w:val="auto"/>
              </w:rPr>
            </w:pPr>
          </w:p>
        </w:tc>
        <w:tc>
          <w:tcPr>
            <w:tcW w:w="240" w:type="dxa"/>
            <w:vAlign w:val="bottom"/>
          </w:tcPr>
          <w:p>
            <w:pPr>
              <w:ind w:left="20"/>
              <w:spacing w:after="0"/>
              <w:rPr>
                <w:sz w:val="20"/>
                <w:szCs w:val="20"/>
                <w:color w:val="auto"/>
              </w:rPr>
            </w:pPr>
            <w:r>
              <w:rPr>
                <w:rFonts w:ascii="Arial" w:cs="Arial" w:eastAsia="Arial" w:hAnsi="Arial"/>
                <w:sz w:val="15"/>
                <w:szCs w:val="15"/>
                <w:color w:val="auto"/>
              </w:rPr>
              <w:t>$</w:t>
            </w:r>
          </w:p>
        </w:tc>
        <w:tc>
          <w:tcPr>
            <w:tcW w:w="900" w:type="dxa"/>
            <w:vAlign w:val="bottom"/>
          </w:tcPr>
          <w:p>
            <w:pPr>
              <w:jc w:val="right"/>
              <w:spacing w:after="0"/>
              <w:rPr>
                <w:sz w:val="20"/>
                <w:szCs w:val="20"/>
                <w:color w:val="auto"/>
              </w:rPr>
            </w:pPr>
            <w:r>
              <w:rPr>
                <w:rFonts w:ascii="Arial" w:cs="Arial" w:eastAsia="Arial" w:hAnsi="Arial"/>
                <w:sz w:val="15"/>
                <w:szCs w:val="15"/>
                <w:color w:val="auto"/>
              </w:rPr>
              <w:t>33,376</w:t>
            </w:r>
          </w:p>
        </w:tc>
        <w:tc>
          <w:tcPr>
            <w:tcW w:w="0" w:type="dxa"/>
            <w:vAlign w:val="bottom"/>
          </w:tcPr>
          <w:p>
            <w:pPr>
              <w:spacing w:after="0"/>
              <w:rPr>
                <w:sz w:val="1"/>
                <w:szCs w:val="1"/>
                <w:color w:val="auto"/>
              </w:rPr>
            </w:pPr>
          </w:p>
        </w:tc>
      </w:tr>
      <w:tr>
        <w:trPr>
          <w:trHeight w:val="427"/>
        </w:trPr>
        <w:tc>
          <w:tcPr>
            <w:tcW w:w="3020" w:type="dxa"/>
            <w:vAlign w:val="bottom"/>
            <w:tcBorders>
              <w:bottom w:val="single" w:sz="8" w:color="auto"/>
            </w:tcBorders>
            <w:gridSpan w:val="2"/>
          </w:tcPr>
          <w:p>
            <w:pPr>
              <w:spacing w:after="0"/>
              <w:rPr>
                <w:sz w:val="20"/>
                <w:szCs w:val="20"/>
                <w:color w:val="auto"/>
              </w:rPr>
            </w:pPr>
            <w:r>
              <w:rPr>
                <w:rFonts w:ascii="Arial" w:cs="Arial" w:eastAsia="Arial" w:hAnsi="Arial"/>
                <w:sz w:val="15"/>
                <w:szCs w:val="15"/>
                <w:color w:val="auto"/>
              </w:rPr>
              <w:t>Reconciliation of cash and cash-equivalents</w:t>
            </w:r>
          </w:p>
        </w:tc>
        <w:tc>
          <w:tcPr>
            <w:tcW w:w="5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8560" w:type="dxa"/>
            <w:vAlign w:val="bottom"/>
            <w:gridSpan w:val="3"/>
          </w:tcPr>
          <w:p>
            <w:pPr>
              <w:spacing w:after="0"/>
              <w:rPr>
                <w:sz w:val="20"/>
                <w:szCs w:val="20"/>
                <w:color w:val="auto"/>
              </w:rPr>
            </w:pPr>
            <w:r>
              <w:rPr>
                <w:rFonts w:ascii="Arial" w:cs="Arial" w:eastAsia="Arial" w:hAnsi="Arial"/>
                <w:sz w:val="15"/>
                <w:szCs w:val="15"/>
                <w:color w:val="auto"/>
              </w:rPr>
              <w:t>Cash and cash-equivalents – Oaktree</w:t>
            </w: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220" w:type="dxa"/>
            <w:vAlign w:val="bottom"/>
          </w:tcPr>
          <w:p>
            <w:pPr>
              <w:jc w:val="right"/>
              <w:ind w:right="3"/>
              <w:spacing w:after="0"/>
              <w:rPr>
                <w:sz w:val="20"/>
                <w:szCs w:val="20"/>
                <w:color w:val="auto"/>
              </w:rPr>
            </w:pPr>
            <w:r>
              <w:rPr>
                <w:rFonts w:ascii="Arial" w:cs="Arial" w:eastAsia="Arial" w:hAnsi="Arial"/>
                <w:sz w:val="15"/>
                <w:szCs w:val="15"/>
                <w:color w:val="auto"/>
              </w:rPr>
              <w:t>26,984</w:t>
            </w:r>
          </w:p>
        </w:tc>
        <w:tc>
          <w:tcPr>
            <w:tcW w:w="180" w:type="dxa"/>
            <w:vAlign w:val="bottom"/>
          </w:tcPr>
          <w:p>
            <w:pPr>
              <w:spacing w:after="0"/>
              <w:rPr>
                <w:sz w:val="19"/>
                <w:szCs w:val="19"/>
                <w:color w:val="auto"/>
              </w:rPr>
            </w:pPr>
          </w:p>
        </w:tc>
        <w:tc>
          <w:tcPr>
            <w:tcW w:w="240" w:type="dxa"/>
            <w:vAlign w:val="bottom"/>
          </w:tcPr>
          <w:p>
            <w:pPr>
              <w:ind w:left="20"/>
              <w:spacing w:after="0"/>
              <w:rPr>
                <w:sz w:val="20"/>
                <w:szCs w:val="20"/>
                <w:color w:val="auto"/>
              </w:rPr>
            </w:pPr>
            <w:r>
              <w:rPr>
                <w:rFonts w:ascii="Arial" w:cs="Arial" w:eastAsia="Arial" w:hAnsi="Arial"/>
                <w:sz w:val="15"/>
                <w:szCs w:val="15"/>
                <w:color w:val="auto"/>
              </w:rPr>
              <w:t>$</w:t>
            </w:r>
          </w:p>
        </w:tc>
        <w:tc>
          <w:tcPr>
            <w:tcW w:w="900" w:type="dxa"/>
            <w:vAlign w:val="bottom"/>
          </w:tcPr>
          <w:p>
            <w:pPr>
              <w:jc w:val="right"/>
              <w:spacing w:after="0"/>
              <w:rPr>
                <w:sz w:val="20"/>
                <w:szCs w:val="20"/>
                <w:color w:val="auto"/>
              </w:rPr>
            </w:pPr>
            <w:r>
              <w:rPr>
                <w:rFonts w:ascii="Arial" w:cs="Arial" w:eastAsia="Arial" w:hAnsi="Arial"/>
                <w:sz w:val="15"/>
                <w:szCs w:val="15"/>
                <w:color w:val="auto"/>
              </w:rPr>
              <w:t>34,589</w:t>
            </w:r>
          </w:p>
        </w:tc>
        <w:tc>
          <w:tcPr>
            <w:tcW w:w="0" w:type="dxa"/>
            <w:vAlign w:val="bottom"/>
          </w:tcPr>
          <w:p>
            <w:pPr>
              <w:spacing w:after="0"/>
              <w:rPr>
                <w:sz w:val="1"/>
                <w:szCs w:val="1"/>
                <w:color w:val="auto"/>
              </w:rPr>
            </w:pPr>
          </w:p>
        </w:tc>
      </w:tr>
      <w:tr>
        <w:trPr>
          <w:trHeight w:val="207"/>
        </w:trPr>
        <w:tc>
          <w:tcPr>
            <w:tcW w:w="8560" w:type="dxa"/>
            <w:vAlign w:val="bottom"/>
            <w:gridSpan w:val="3"/>
          </w:tcPr>
          <w:p>
            <w:pPr>
              <w:spacing w:after="0"/>
              <w:rPr>
                <w:sz w:val="20"/>
                <w:szCs w:val="20"/>
                <w:color w:val="auto"/>
              </w:rPr>
            </w:pPr>
            <w:r>
              <w:rPr>
                <w:rFonts w:ascii="Arial" w:cs="Arial" w:eastAsia="Arial" w:hAnsi="Arial"/>
                <w:sz w:val="15"/>
                <w:szCs w:val="15"/>
                <w:color w:val="auto"/>
              </w:rPr>
              <w:t>Cash and cash-equivalents – consolidated funds</w:t>
            </w:r>
          </w:p>
        </w:tc>
        <w:tc>
          <w:tcPr>
            <w:tcW w:w="1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584,353</w:t>
            </w:r>
          </w:p>
        </w:tc>
        <w:tc>
          <w:tcPr>
            <w:tcW w:w="1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383,908</w:t>
            </w:r>
          </w:p>
        </w:tc>
        <w:tc>
          <w:tcPr>
            <w:tcW w:w="0" w:type="dxa"/>
            <w:vAlign w:val="bottom"/>
          </w:tcPr>
          <w:p>
            <w:pPr>
              <w:spacing w:after="0"/>
              <w:rPr>
                <w:sz w:val="1"/>
                <w:szCs w:val="1"/>
                <w:color w:val="auto"/>
              </w:rPr>
            </w:pPr>
          </w:p>
        </w:tc>
      </w:tr>
      <w:tr>
        <w:trPr>
          <w:trHeight w:val="200"/>
        </w:trPr>
        <w:tc>
          <w:tcPr>
            <w:tcW w:w="8560" w:type="dxa"/>
            <w:vAlign w:val="bottom"/>
            <w:gridSpan w:val="3"/>
          </w:tcPr>
          <w:p>
            <w:pPr>
              <w:ind w:left="300"/>
              <w:spacing w:after="0"/>
              <w:rPr>
                <w:sz w:val="20"/>
                <w:szCs w:val="20"/>
                <w:color w:val="auto"/>
              </w:rPr>
            </w:pPr>
            <w:r>
              <w:rPr>
                <w:rFonts w:ascii="Arial" w:cs="Arial" w:eastAsia="Arial" w:hAnsi="Arial"/>
                <w:sz w:val="15"/>
                <w:szCs w:val="15"/>
                <w:color w:val="auto"/>
              </w:rPr>
              <w:t>Total cash and cash-equivalents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22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611,337</w:t>
            </w:r>
          </w:p>
        </w:tc>
        <w:tc>
          <w:tcPr>
            <w:tcW w:w="180" w:type="dxa"/>
            <w:vAlign w:val="bottom"/>
          </w:tcPr>
          <w:p>
            <w:pPr>
              <w:spacing w:after="0"/>
              <w:rPr>
                <w:sz w:val="17"/>
                <w:szCs w:val="17"/>
                <w:color w:val="auto"/>
              </w:rPr>
            </w:pPr>
          </w:p>
        </w:tc>
        <w:tc>
          <w:tcPr>
            <w:tcW w:w="24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418,497</w:t>
            </w:r>
          </w:p>
        </w:tc>
        <w:tc>
          <w:tcPr>
            <w:tcW w:w="0" w:type="dxa"/>
            <w:vAlign w:val="bottom"/>
          </w:tcPr>
          <w:p>
            <w:pPr>
              <w:spacing w:after="0"/>
              <w:rPr>
                <w:sz w:val="1"/>
                <w:szCs w:val="1"/>
                <w:color w:val="auto"/>
              </w:rPr>
            </w:pPr>
          </w:p>
        </w:tc>
      </w:tr>
      <w:tr>
        <w:trPr>
          <w:trHeight w:val="20"/>
        </w:trPr>
        <w:tc>
          <w:tcPr>
            <w:tcW w:w="25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20"/>
        <w:spacing w:after="0"/>
        <w:rPr>
          <w:sz w:val="20"/>
          <w:szCs w:val="20"/>
          <w:color w:val="auto"/>
        </w:rPr>
      </w:pPr>
      <w:r>
        <w:rPr>
          <w:rFonts w:ascii="Arial" w:cs="Arial" w:eastAsia="Arial" w:hAnsi="Arial"/>
          <w:sz w:val="17"/>
          <w:szCs w:val="17"/>
          <w:i w:val="1"/>
          <w:iCs w:val="1"/>
          <w:color w:val="auto"/>
        </w:rPr>
        <w:t>Please see accompanying notes to consolidated financial statements.</w:t>
      </w:r>
    </w:p>
    <w:p>
      <w:pPr>
        <w:spacing w:after="0" w:line="200" w:lineRule="exact"/>
        <w:rPr>
          <w:sz w:val="20"/>
          <w:szCs w:val="20"/>
          <w:color w:val="auto"/>
        </w:rPr>
      </w:pPr>
    </w:p>
    <w:p>
      <w:pPr>
        <w:spacing w:after="0" w:line="337"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220"/>
          </w:cols>
          <w:pgMar w:left="340" w:top="855" w:right="339" w:bottom="1440" w:gutter="0" w:footer="0" w:header="0"/>
        </w:sectPr>
      </w:pPr>
    </w:p>
    <w:bookmarkStart w:id="144" w:name="page145"/>
    <w:bookmarkEnd w:id="144"/>
    <w:p>
      <w:pPr>
        <w:jc w:val="center"/>
        <w:ind w:right="19"/>
        <w:spacing w:after="0"/>
        <w:rPr>
          <w:sz w:val="20"/>
          <w:szCs w:val="20"/>
          <w:color w:val="auto"/>
        </w:rPr>
      </w:pPr>
      <w:r>
        <w:rPr>
          <w:rFonts w:ascii="Arial" w:cs="Arial" w:eastAsia="Arial" w:hAnsi="Arial"/>
          <w:sz w:val="17"/>
          <w:szCs w:val="17"/>
          <w:b w:val="1"/>
          <w:bCs w:val="1"/>
          <w:color w:val="auto"/>
        </w:rPr>
        <w:t>Oaktree Capital I, L.P.</w:t>
      </w:r>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Consolidated Statement of Changes in Unitholders’ Capital</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(in thousands)</w:t>
      </w:r>
    </w:p>
    <w:p>
      <w:pPr>
        <w:spacing w:after="0" w:line="258" w:lineRule="exact"/>
        <w:rPr>
          <w:sz w:val="20"/>
          <w:szCs w:val="20"/>
          <w:color w:val="auto"/>
        </w:rPr>
      </w:pPr>
    </w:p>
    <w:tbl>
      <w:tblPr>
        <w:tblLayout w:type="fixed"/>
        <w:tblInd w:w="960" w:type="dxa"/>
        <w:tblCellMar>
          <w:top w:w="0" w:type="dxa"/>
          <w:left w:w="0" w:type="dxa"/>
          <w:bottom w:w="0" w:type="dxa"/>
          <w:right w:w="0" w:type="dxa"/>
        </w:tblCellMar>
      </w:tblPr>
      <w:tr>
        <w:trPr>
          <w:trHeight w:val="115"/>
        </w:trPr>
        <w:tc>
          <w:tcPr>
            <w:tcW w:w="3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gridSpan w:val="2"/>
          </w:tcPr>
          <w:p>
            <w:pPr>
              <w:jc w:val="center"/>
              <w:ind w:right="200"/>
              <w:spacing w:after="0"/>
              <w:rPr>
                <w:sz w:val="20"/>
                <w:szCs w:val="20"/>
                <w:color w:val="auto"/>
              </w:rPr>
            </w:pPr>
            <w:r>
              <w:rPr>
                <w:rFonts w:ascii="Arial" w:cs="Arial" w:eastAsia="Arial" w:hAnsi="Arial"/>
                <w:sz w:val="10"/>
                <w:szCs w:val="10"/>
                <w:b w:val="1"/>
                <w:bCs w:val="1"/>
                <w:color w:val="auto"/>
              </w:rPr>
              <w:t>Series A</w:t>
            </w:r>
          </w:p>
        </w:tc>
        <w:tc>
          <w:tcPr>
            <w:tcW w:w="100" w:type="dxa"/>
            <w:vAlign w:val="bottom"/>
          </w:tcPr>
          <w:p>
            <w:pPr>
              <w:spacing w:after="0"/>
              <w:rPr>
                <w:sz w:val="10"/>
                <w:szCs w:val="10"/>
                <w:color w:val="auto"/>
              </w:rPr>
            </w:pPr>
          </w:p>
        </w:tc>
        <w:tc>
          <w:tcPr>
            <w:tcW w:w="700" w:type="dxa"/>
            <w:vAlign w:val="bottom"/>
            <w:gridSpan w:val="2"/>
          </w:tcPr>
          <w:p>
            <w:pPr>
              <w:jc w:val="center"/>
              <w:ind w:right="200"/>
              <w:spacing w:after="0"/>
              <w:rPr>
                <w:sz w:val="20"/>
                <w:szCs w:val="20"/>
                <w:color w:val="auto"/>
              </w:rPr>
            </w:pPr>
            <w:r>
              <w:rPr>
                <w:rFonts w:ascii="Arial" w:cs="Arial" w:eastAsia="Arial" w:hAnsi="Arial"/>
                <w:sz w:val="10"/>
                <w:szCs w:val="10"/>
                <w:b w:val="1"/>
                <w:bCs w:val="1"/>
                <w:color w:val="auto"/>
              </w:rPr>
              <w:t>Series B</w:t>
            </w:r>
          </w:p>
        </w:tc>
        <w:tc>
          <w:tcPr>
            <w:tcW w:w="820" w:type="dxa"/>
            <w:vAlign w:val="bottom"/>
            <w:gridSpan w:val="2"/>
            <w:vMerge w:val="restart"/>
          </w:tcPr>
          <w:p>
            <w:pPr>
              <w:jc w:val="center"/>
              <w:ind w:right="100"/>
              <w:spacing w:after="0"/>
              <w:rPr>
                <w:sz w:val="20"/>
                <w:szCs w:val="20"/>
                <w:color w:val="auto"/>
              </w:rPr>
            </w:pPr>
            <w:r>
              <w:rPr>
                <w:rFonts w:ascii="Arial" w:cs="Arial" w:eastAsia="Arial" w:hAnsi="Arial"/>
                <w:sz w:val="10"/>
                <w:szCs w:val="10"/>
                <w:b w:val="1"/>
                <w:bCs w:val="1"/>
                <w:color w:val="auto"/>
              </w:rPr>
              <w:t>Unitholders’</w:t>
            </w:r>
          </w:p>
        </w:tc>
        <w:tc>
          <w:tcPr>
            <w:tcW w:w="100" w:type="dxa"/>
            <w:vAlign w:val="bottom"/>
          </w:tcPr>
          <w:p>
            <w:pPr>
              <w:spacing w:after="0"/>
              <w:rPr>
                <w:sz w:val="10"/>
                <w:szCs w:val="10"/>
                <w:color w:val="auto"/>
              </w:rPr>
            </w:pPr>
          </w:p>
        </w:tc>
        <w:tc>
          <w:tcPr>
            <w:tcW w:w="760" w:type="dxa"/>
            <w:vAlign w:val="bottom"/>
          </w:tcPr>
          <w:p>
            <w:pPr>
              <w:jc w:val="center"/>
              <w:ind w:right="62"/>
              <w:spacing w:after="0"/>
              <w:rPr>
                <w:sz w:val="20"/>
                <w:szCs w:val="20"/>
                <w:color w:val="auto"/>
              </w:rPr>
            </w:pPr>
            <w:r>
              <w:rPr>
                <w:rFonts w:ascii="Arial" w:cs="Arial" w:eastAsia="Arial" w:hAnsi="Arial"/>
                <w:sz w:val="10"/>
                <w:szCs w:val="10"/>
                <w:b w:val="1"/>
                <w:bCs w:val="1"/>
                <w:color w:val="auto"/>
              </w:rPr>
              <w:t>Total</w:t>
            </w:r>
          </w:p>
        </w:tc>
        <w:tc>
          <w:tcPr>
            <w:tcW w:w="0" w:type="dxa"/>
            <w:vAlign w:val="bottom"/>
          </w:tcPr>
          <w:p>
            <w:pPr>
              <w:spacing w:after="0"/>
              <w:rPr>
                <w:sz w:val="1"/>
                <w:szCs w:val="1"/>
                <w:color w:val="auto"/>
              </w:rPr>
            </w:pPr>
          </w:p>
        </w:tc>
      </w:tr>
      <w:tr>
        <w:trPr>
          <w:trHeight w:val="103"/>
        </w:trPr>
        <w:tc>
          <w:tcPr>
            <w:tcW w:w="3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gridSpan w:val="2"/>
          </w:tcPr>
          <w:p>
            <w:pPr>
              <w:jc w:val="center"/>
              <w:ind w:right="200"/>
              <w:spacing w:after="0" w:line="104" w:lineRule="exact"/>
              <w:rPr>
                <w:sz w:val="20"/>
                <w:szCs w:val="20"/>
                <w:color w:val="auto"/>
              </w:rPr>
            </w:pPr>
            <w:r>
              <w:rPr>
                <w:rFonts w:ascii="Arial" w:cs="Arial" w:eastAsia="Arial" w:hAnsi="Arial"/>
                <w:sz w:val="10"/>
                <w:szCs w:val="10"/>
                <w:b w:val="1"/>
                <w:bCs w:val="1"/>
                <w:color w:val="auto"/>
              </w:rPr>
              <w:t>Preferred</w:t>
            </w:r>
          </w:p>
        </w:tc>
        <w:tc>
          <w:tcPr>
            <w:tcW w:w="100" w:type="dxa"/>
            <w:vAlign w:val="bottom"/>
          </w:tcPr>
          <w:p>
            <w:pPr>
              <w:spacing w:after="0"/>
              <w:rPr>
                <w:sz w:val="8"/>
                <w:szCs w:val="8"/>
                <w:color w:val="auto"/>
              </w:rPr>
            </w:pPr>
          </w:p>
        </w:tc>
        <w:tc>
          <w:tcPr>
            <w:tcW w:w="700" w:type="dxa"/>
            <w:vAlign w:val="bottom"/>
            <w:gridSpan w:val="2"/>
          </w:tcPr>
          <w:p>
            <w:pPr>
              <w:jc w:val="center"/>
              <w:ind w:right="200"/>
              <w:spacing w:after="0" w:line="104" w:lineRule="exact"/>
              <w:rPr>
                <w:sz w:val="20"/>
                <w:szCs w:val="20"/>
                <w:color w:val="auto"/>
              </w:rPr>
            </w:pPr>
            <w:r>
              <w:rPr>
                <w:rFonts w:ascii="Arial" w:cs="Arial" w:eastAsia="Arial" w:hAnsi="Arial"/>
                <w:sz w:val="10"/>
                <w:szCs w:val="10"/>
                <w:b w:val="1"/>
                <w:bCs w:val="1"/>
                <w:color w:val="auto"/>
              </w:rPr>
              <w:t>Preferred</w:t>
            </w:r>
          </w:p>
        </w:tc>
        <w:tc>
          <w:tcPr>
            <w:tcW w:w="82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jc w:val="center"/>
              <w:ind w:right="62"/>
              <w:spacing w:after="0" w:line="104" w:lineRule="exact"/>
              <w:rPr>
                <w:sz w:val="20"/>
                <w:szCs w:val="20"/>
                <w:color w:val="auto"/>
              </w:rPr>
            </w:pPr>
            <w:r>
              <w:rPr>
                <w:rFonts w:ascii="Arial" w:cs="Arial" w:eastAsia="Arial" w:hAnsi="Arial"/>
                <w:sz w:val="10"/>
                <w:szCs w:val="10"/>
                <w:b w:val="1"/>
                <w:bCs w:val="1"/>
                <w:color w:val="auto"/>
              </w:rPr>
              <w:t>Unitholders’</w:t>
            </w:r>
          </w:p>
        </w:tc>
        <w:tc>
          <w:tcPr>
            <w:tcW w:w="0" w:type="dxa"/>
            <w:vAlign w:val="bottom"/>
          </w:tcPr>
          <w:p>
            <w:pPr>
              <w:spacing w:after="0"/>
              <w:rPr>
                <w:sz w:val="1"/>
                <w:szCs w:val="1"/>
                <w:color w:val="auto"/>
              </w:rPr>
            </w:pPr>
          </w:p>
        </w:tc>
      </w:tr>
      <w:tr>
        <w:trPr>
          <w:trHeight w:val="148"/>
        </w:trPr>
        <w:tc>
          <w:tcPr>
            <w:tcW w:w="3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tcPr>
          <w:p>
            <w:pPr>
              <w:jc w:val="center"/>
              <w:ind w:right="200"/>
              <w:spacing w:after="0"/>
              <w:rPr>
                <w:sz w:val="20"/>
                <w:szCs w:val="20"/>
                <w:color w:val="auto"/>
              </w:rPr>
            </w:pPr>
            <w:r>
              <w:rPr>
                <w:rFonts w:ascii="Arial" w:cs="Arial" w:eastAsia="Arial" w:hAnsi="Arial"/>
                <w:sz w:val="10"/>
                <w:szCs w:val="10"/>
                <w:b w:val="1"/>
                <w:bCs w:val="1"/>
                <w:color w:val="auto"/>
              </w:rPr>
              <w:t>Units</w:t>
            </w:r>
          </w:p>
        </w:tc>
        <w:tc>
          <w:tcPr>
            <w:tcW w:w="100" w:type="dxa"/>
            <w:vAlign w:val="bottom"/>
          </w:tcPr>
          <w:p>
            <w:pPr>
              <w:spacing w:after="0"/>
              <w:rPr>
                <w:sz w:val="12"/>
                <w:szCs w:val="12"/>
                <w:color w:val="auto"/>
              </w:rPr>
            </w:pPr>
          </w:p>
        </w:tc>
        <w:tc>
          <w:tcPr>
            <w:tcW w:w="700" w:type="dxa"/>
            <w:vAlign w:val="bottom"/>
            <w:gridSpan w:val="2"/>
          </w:tcPr>
          <w:p>
            <w:pPr>
              <w:jc w:val="center"/>
              <w:ind w:right="200"/>
              <w:spacing w:after="0"/>
              <w:rPr>
                <w:sz w:val="20"/>
                <w:szCs w:val="20"/>
                <w:color w:val="auto"/>
              </w:rPr>
            </w:pPr>
            <w:r>
              <w:rPr>
                <w:rFonts w:ascii="Arial" w:cs="Arial" w:eastAsia="Arial" w:hAnsi="Arial"/>
                <w:sz w:val="10"/>
                <w:szCs w:val="10"/>
                <w:b w:val="1"/>
                <w:bCs w:val="1"/>
                <w:color w:val="auto"/>
              </w:rPr>
              <w:t>Units</w:t>
            </w:r>
          </w:p>
        </w:tc>
        <w:tc>
          <w:tcPr>
            <w:tcW w:w="82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rPr>
              <w:t>Capital</w:t>
            </w:r>
          </w:p>
        </w:tc>
        <w:tc>
          <w:tcPr>
            <w:tcW w:w="100" w:type="dxa"/>
            <w:vAlign w:val="bottom"/>
          </w:tcPr>
          <w:p>
            <w:pPr>
              <w:spacing w:after="0"/>
              <w:rPr>
                <w:sz w:val="12"/>
                <w:szCs w:val="12"/>
                <w:color w:val="auto"/>
              </w:rPr>
            </w:pPr>
          </w:p>
        </w:tc>
        <w:tc>
          <w:tcPr>
            <w:tcW w:w="760" w:type="dxa"/>
            <w:vAlign w:val="bottom"/>
          </w:tcPr>
          <w:p>
            <w:pPr>
              <w:jc w:val="center"/>
              <w:ind w:right="42"/>
              <w:spacing w:after="0"/>
              <w:rPr>
                <w:sz w:val="20"/>
                <w:szCs w:val="20"/>
                <w:color w:val="auto"/>
              </w:rPr>
            </w:pPr>
            <w:r>
              <w:rPr>
                <w:rFonts w:ascii="Arial" w:cs="Arial" w:eastAsia="Arial" w:hAnsi="Arial"/>
                <w:sz w:val="10"/>
                <w:szCs w:val="10"/>
                <w:b w:val="1"/>
                <w:bCs w:val="1"/>
                <w:color w:val="auto"/>
              </w:rPr>
              <w:t>Capital</w:t>
            </w:r>
          </w:p>
        </w:tc>
        <w:tc>
          <w:tcPr>
            <w:tcW w:w="0" w:type="dxa"/>
            <w:vAlign w:val="bottom"/>
          </w:tcPr>
          <w:p>
            <w:pPr>
              <w:spacing w:after="0"/>
              <w:rPr>
                <w:sz w:val="1"/>
                <w:szCs w:val="1"/>
                <w:color w:val="auto"/>
              </w:rPr>
            </w:pPr>
          </w:p>
        </w:tc>
      </w:tr>
      <w:tr>
        <w:trPr>
          <w:trHeight w:val="192"/>
        </w:trPr>
        <w:tc>
          <w:tcPr>
            <w:tcW w:w="3820" w:type="dxa"/>
            <w:vAlign w:val="bottom"/>
          </w:tcPr>
          <w:p>
            <w:pPr>
              <w:spacing w:after="0"/>
              <w:rPr>
                <w:sz w:val="20"/>
                <w:szCs w:val="20"/>
                <w:color w:val="auto"/>
              </w:rPr>
            </w:pPr>
            <w:r>
              <w:rPr>
                <w:rFonts w:ascii="Arial" w:cs="Arial" w:eastAsia="Arial" w:hAnsi="Arial"/>
                <w:sz w:val="12"/>
                <w:szCs w:val="12"/>
                <w:color w:val="auto"/>
              </w:rPr>
              <w:t>Unitholders’ capital as of July 1, 2024</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173,669</w:t>
            </w:r>
          </w:p>
        </w:tc>
        <w:tc>
          <w:tcPr>
            <w:tcW w:w="100" w:type="dxa"/>
            <w:vAlign w:val="bottom"/>
          </w:tcPr>
          <w:p>
            <w:pPr>
              <w:spacing w:after="0"/>
              <w:rPr>
                <w:sz w:val="16"/>
                <w:szCs w:val="16"/>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600" w:type="dxa"/>
            <w:vAlign w:val="bottom"/>
            <w:tcBorders>
              <w:top w:val="single" w:sz="8" w:color="auto"/>
            </w:tcBorders>
          </w:tcPr>
          <w:p>
            <w:pPr>
              <w:jc w:val="right"/>
              <w:ind w:right="2"/>
              <w:spacing w:after="0"/>
              <w:rPr>
                <w:sz w:val="20"/>
                <w:szCs w:val="20"/>
                <w:color w:val="auto"/>
              </w:rPr>
            </w:pPr>
            <w:r>
              <w:rPr>
                <w:rFonts w:ascii="Arial" w:cs="Arial" w:eastAsia="Arial" w:hAnsi="Arial"/>
                <w:sz w:val="12"/>
                <w:szCs w:val="12"/>
                <w:color w:val="auto"/>
              </w:rPr>
              <w:t>226,915</w:t>
            </w:r>
          </w:p>
        </w:tc>
        <w:tc>
          <w:tcPr>
            <w:tcW w:w="100" w:type="dxa"/>
            <w:vAlign w:val="bottom"/>
          </w:tcPr>
          <w:p>
            <w:pPr>
              <w:spacing w:after="0"/>
              <w:rPr>
                <w:sz w:val="16"/>
                <w:szCs w:val="16"/>
                <w:color w:val="auto"/>
              </w:rPr>
            </w:pPr>
          </w:p>
        </w:tc>
        <w:tc>
          <w:tcPr>
            <w:tcW w:w="720" w:type="dxa"/>
            <w:vAlign w:val="bottom"/>
            <w:tcBorders>
              <w:top w:val="single" w:sz="8" w:color="auto"/>
            </w:tcBorders>
          </w:tcPr>
          <w:p>
            <w:pPr>
              <w:jc w:val="right"/>
              <w:ind w:right="2"/>
              <w:spacing w:after="0"/>
              <w:rPr>
                <w:sz w:val="20"/>
                <w:szCs w:val="20"/>
                <w:color w:val="auto"/>
              </w:rPr>
            </w:pPr>
            <w:r>
              <w:rPr>
                <w:rFonts w:ascii="Arial" w:cs="Arial" w:eastAsia="Arial" w:hAnsi="Arial"/>
                <w:sz w:val="12"/>
                <w:szCs w:val="12"/>
                <w:color w:val="auto"/>
              </w:rPr>
              <w:t>$ 1,033,534</w:t>
            </w:r>
          </w:p>
        </w:tc>
        <w:tc>
          <w:tcPr>
            <w:tcW w:w="100" w:type="dxa"/>
            <w:vAlign w:val="bottom"/>
          </w:tcPr>
          <w:p>
            <w:pPr>
              <w:spacing w:after="0"/>
              <w:rPr>
                <w:sz w:val="16"/>
                <w:szCs w:val="16"/>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760" w:type="dxa"/>
            <w:vAlign w:val="bottom"/>
            <w:tcBorders>
              <w:top w:val="single" w:sz="8" w:color="auto"/>
            </w:tcBorders>
          </w:tcPr>
          <w:p>
            <w:pPr>
              <w:jc w:val="right"/>
              <w:ind w:right="2"/>
              <w:spacing w:after="0"/>
              <w:rPr>
                <w:sz w:val="20"/>
                <w:szCs w:val="20"/>
                <w:color w:val="auto"/>
              </w:rPr>
            </w:pPr>
            <w:r>
              <w:rPr>
                <w:rFonts w:ascii="Arial" w:cs="Arial" w:eastAsia="Arial" w:hAnsi="Arial"/>
                <w:sz w:val="12"/>
                <w:szCs w:val="12"/>
                <w:color w:val="auto"/>
              </w:rPr>
              <w:t>1,434,118</w:t>
            </w:r>
          </w:p>
        </w:tc>
        <w:tc>
          <w:tcPr>
            <w:tcW w:w="0" w:type="dxa"/>
            <w:vAlign w:val="bottom"/>
          </w:tcPr>
          <w:p>
            <w:pPr>
              <w:spacing w:after="0"/>
              <w:rPr>
                <w:sz w:val="1"/>
                <w:szCs w:val="1"/>
                <w:color w:val="auto"/>
              </w:rPr>
            </w:pPr>
          </w:p>
        </w:tc>
      </w:tr>
      <w:tr>
        <w:trPr>
          <w:trHeight w:val="168"/>
        </w:trPr>
        <w:tc>
          <w:tcPr>
            <w:tcW w:w="3820" w:type="dxa"/>
            <w:vAlign w:val="bottom"/>
          </w:tcPr>
          <w:p>
            <w:pPr>
              <w:spacing w:after="0"/>
              <w:rPr>
                <w:sz w:val="20"/>
                <w:szCs w:val="20"/>
                <w:color w:val="auto"/>
              </w:rPr>
            </w:pPr>
            <w:r>
              <w:rPr>
                <w:rFonts w:ascii="Arial" w:cs="Arial" w:eastAsia="Arial" w:hAnsi="Arial"/>
                <w:sz w:val="12"/>
                <w:szCs w:val="12"/>
                <w:color w:val="auto"/>
              </w:rPr>
              <w:t>Activity for the six months ended:</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820" w:type="dxa"/>
            <w:vAlign w:val="bottom"/>
          </w:tcPr>
          <w:p>
            <w:pPr>
              <w:ind w:left="300"/>
              <w:spacing w:after="0"/>
              <w:rPr>
                <w:sz w:val="20"/>
                <w:szCs w:val="20"/>
                <w:color w:val="auto"/>
              </w:rPr>
            </w:pPr>
            <w:r>
              <w:rPr>
                <w:rFonts w:ascii="Arial" w:cs="Arial" w:eastAsia="Arial" w:hAnsi="Arial"/>
                <w:sz w:val="12"/>
                <w:szCs w:val="12"/>
                <w:color w:val="auto"/>
              </w:rPr>
              <w:t>Capital contributions</w:t>
            </w:r>
          </w:p>
        </w:tc>
        <w:tc>
          <w:tcPr>
            <w:tcW w:w="120" w:type="dxa"/>
            <w:vAlign w:val="bottom"/>
          </w:tcPr>
          <w:p>
            <w:pPr>
              <w:spacing w:after="0"/>
              <w:rPr>
                <w:sz w:val="14"/>
                <w:szCs w:val="14"/>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720" w:type="dxa"/>
            <w:vAlign w:val="bottom"/>
          </w:tcPr>
          <w:p>
            <w:pPr>
              <w:jc w:val="right"/>
              <w:ind w:right="2"/>
              <w:spacing w:after="0"/>
              <w:rPr>
                <w:sz w:val="20"/>
                <w:szCs w:val="20"/>
                <w:color w:val="auto"/>
              </w:rPr>
            </w:pPr>
            <w:r>
              <w:rPr>
                <w:rFonts w:ascii="Arial" w:cs="Arial" w:eastAsia="Arial" w:hAnsi="Arial"/>
                <w:sz w:val="12"/>
                <w:szCs w:val="12"/>
                <w:color w:val="auto"/>
              </w:rPr>
              <w:t>200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200</w:t>
            </w:r>
          </w:p>
        </w:tc>
        <w:tc>
          <w:tcPr>
            <w:tcW w:w="0" w:type="dxa"/>
            <w:vAlign w:val="bottom"/>
          </w:tcPr>
          <w:p>
            <w:pPr>
              <w:spacing w:after="0"/>
              <w:rPr>
                <w:sz w:val="1"/>
                <w:szCs w:val="1"/>
                <w:color w:val="auto"/>
              </w:rPr>
            </w:pPr>
          </w:p>
        </w:tc>
      </w:tr>
      <w:tr>
        <w:trPr>
          <w:trHeight w:val="168"/>
        </w:trPr>
        <w:tc>
          <w:tcPr>
            <w:tcW w:w="3820" w:type="dxa"/>
            <w:vAlign w:val="bottom"/>
          </w:tcPr>
          <w:p>
            <w:pPr>
              <w:ind w:left="300"/>
              <w:spacing w:after="0"/>
              <w:rPr>
                <w:sz w:val="20"/>
                <w:szCs w:val="20"/>
                <w:color w:val="auto"/>
              </w:rPr>
            </w:pPr>
            <w:r>
              <w:rPr>
                <w:rFonts w:ascii="Arial" w:cs="Arial" w:eastAsia="Arial" w:hAnsi="Arial"/>
                <w:sz w:val="12"/>
                <w:szCs w:val="12"/>
                <w:color w:val="auto"/>
              </w:rPr>
              <w:t>Distributions declared</w:t>
            </w:r>
          </w:p>
        </w:tc>
        <w:tc>
          <w:tcPr>
            <w:tcW w:w="1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(5,962)</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(7,696)</w:t>
            </w: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(92,119)</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(105,777)</w:t>
            </w:r>
          </w:p>
        </w:tc>
        <w:tc>
          <w:tcPr>
            <w:tcW w:w="0" w:type="dxa"/>
            <w:vAlign w:val="bottom"/>
          </w:tcPr>
          <w:p>
            <w:pPr>
              <w:spacing w:after="0"/>
              <w:rPr>
                <w:sz w:val="1"/>
                <w:szCs w:val="1"/>
                <w:color w:val="auto"/>
              </w:rPr>
            </w:pPr>
          </w:p>
        </w:tc>
      </w:tr>
      <w:tr>
        <w:trPr>
          <w:trHeight w:val="174"/>
        </w:trPr>
        <w:tc>
          <w:tcPr>
            <w:tcW w:w="3820" w:type="dxa"/>
            <w:vAlign w:val="bottom"/>
          </w:tcPr>
          <w:p>
            <w:pPr>
              <w:ind w:left="300"/>
              <w:spacing w:after="0"/>
              <w:rPr>
                <w:sz w:val="20"/>
                <w:szCs w:val="20"/>
                <w:color w:val="auto"/>
              </w:rPr>
            </w:pPr>
            <w:r>
              <w:rPr>
                <w:rFonts w:ascii="Arial" w:cs="Arial" w:eastAsia="Arial" w:hAnsi="Arial"/>
                <w:sz w:val="12"/>
                <w:szCs w:val="12"/>
                <w:color w:val="auto"/>
              </w:rPr>
              <w:t>Net income</w:t>
            </w:r>
          </w:p>
        </w:tc>
        <w:tc>
          <w:tcPr>
            <w:tcW w:w="12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5,962</w:t>
            </w: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7,696</w:t>
            </w:r>
          </w:p>
        </w:tc>
        <w:tc>
          <w:tcPr>
            <w:tcW w:w="100" w:type="dxa"/>
            <w:vAlign w:val="bottom"/>
          </w:tcPr>
          <w:p>
            <w:pPr>
              <w:spacing w:after="0"/>
              <w:rPr>
                <w:sz w:val="15"/>
                <w:szCs w:val="15"/>
                <w:color w:val="auto"/>
              </w:rPr>
            </w:pPr>
          </w:p>
        </w:tc>
        <w:tc>
          <w:tcPr>
            <w:tcW w:w="72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189,041</w:t>
            </w: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202,699</w:t>
            </w:r>
          </w:p>
        </w:tc>
        <w:tc>
          <w:tcPr>
            <w:tcW w:w="0" w:type="dxa"/>
            <w:vAlign w:val="bottom"/>
          </w:tcPr>
          <w:p>
            <w:pPr>
              <w:spacing w:after="0"/>
              <w:rPr>
                <w:sz w:val="1"/>
                <w:szCs w:val="1"/>
                <w:color w:val="auto"/>
              </w:rPr>
            </w:pPr>
          </w:p>
        </w:tc>
      </w:tr>
      <w:tr>
        <w:trPr>
          <w:trHeight w:val="159"/>
        </w:trPr>
        <w:tc>
          <w:tcPr>
            <w:tcW w:w="3820" w:type="dxa"/>
            <w:vAlign w:val="bottom"/>
          </w:tcPr>
          <w:p>
            <w:pPr>
              <w:spacing w:after="0"/>
              <w:rPr>
                <w:sz w:val="20"/>
                <w:szCs w:val="20"/>
                <w:color w:val="auto"/>
              </w:rPr>
            </w:pPr>
            <w:r>
              <w:rPr>
                <w:rFonts w:ascii="Arial" w:cs="Arial" w:eastAsia="Arial" w:hAnsi="Arial"/>
                <w:sz w:val="12"/>
                <w:szCs w:val="12"/>
                <w:color w:val="auto"/>
              </w:rPr>
              <w:t>Unitholders’ capital as of December 31, 2024</w:t>
            </w:r>
          </w:p>
        </w:tc>
        <w:tc>
          <w:tcPr>
            <w:tcW w:w="120" w:type="dxa"/>
            <w:vAlign w:val="bottom"/>
          </w:tcPr>
          <w:p>
            <w:pPr>
              <w:jc w:val="right"/>
              <w:spacing w:after="0"/>
              <w:rPr>
                <w:sz w:val="20"/>
                <w:szCs w:val="20"/>
                <w:color w:val="auto"/>
              </w:rPr>
            </w:pPr>
            <w:r>
              <w:rPr>
                <w:rFonts w:ascii="Arial" w:cs="Arial" w:eastAsia="Arial" w:hAnsi="Arial"/>
                <w:sz w:val="12"/>
                <w:szCs w:val="12"/>
                <w:color w:val="auto"/>
              </w:rPr>
              <w:t>$</w:t>
            </w:r>
          </w:p>
        </w:tc>
        <w:tc>
          <w:tcPr>
            <w:tcW w:w="600" w:type="dxa"/>
            <w:vAlign w:val="bottom"/>
          </w:tcPr>
          <w:p>
            <w:pPr>
              <w:jc w:val="right"/>
              <w:spacing w:after="0"/>
              <w:rPr>
                <w:sz w:val="20"/>
                <w:szCs w:val="20"/>
                <w:color w:val="auto"/>
              </w:rPr>
            </w:pPr>
            <w:r>
              <w:rPr>
                <w:rFonts w:ascii="Arial" w:cs="Arial" w:eastAsia="Arial" w:hAnsi="Arial"/>
                <w:sz w:val="12"/>
                <w:szCs w:val="12"/>
                <w:color w:val="auto"/>
              </w:rPr>
              <w:t>173,669</w:t>
            </w:r>
          </w:p>
        </w:tc>
        <w:tc>
          <w:tcPr>
            <w:tcW w:w="1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600" w:type="dxa"/>
            <w:vAlign w:val="bottom"/>
          </w:tcPr>
          <w:p>
            <w:pPr>
              <w:jc w:val="right"/>
              <w:ind w:right="2"/>
              <w:spacing w:after="0"/>
              <w:rPr>
                <w:sz w:val="20"/>
                <w:szCs w:val="20"/>
                <w:color w:val="auto"/>
              </w:rPr>
            </w:pPr>
            <w:r>
              <w:rPr>
                <w:rFonts w:ascii="Arial" w:cs="Arial" w:eastAsia="Arial" w:hAnsi="Arial"/>
                <w:sz w:val="12"/>
                <w:szCs w:val="12"/>
                <w:color w:val="auto"/>
              </w:rPr>
              <w:t>226,915</w:t>
            </w:r>
          </w:p>
        </w:tc>
        <w:tc>
          <w:tcPr>
            <w:tcW w:w="100" w:type="dxa"/>
            <w:vAlign w:val="bottom"/>
          </w:tcPr>
          <w:p>
            <w:pPr>
              <w:spacing w:after="0"/>
              <w:rPr>
                <w:sz w:val="13"/>
                <w:szCs w:val="13"/>
                <w:color w:val="auto"/>
              </w:rPr>
            </w:pPr>
          </w:p>
        </w:tc>
        <w:tc>
          <w:tcPr>
            <w:tcW w:w="720" w:type="dxa"/>
            <w:vAlign w:val="bottom"/>
          </w:tcPr>
          <w:p>
            <w:pPr>
              <w:jc w:val="right"/>
              <w:ind w:right="2"/>
              <w:spacing w:after="0"/>
              <w:rPr>
                <w:sz w:val="20"/>
                <w:szCs w:val="20"/>
                <w:color w:val="auto"/>
              </w:rPr>
            </w:pPr>
            <w:r>
              <w:rPr>
                <w:rFonts w:ascii="Arial" w:cs="Arial" w:eastAsia="Arial" w:hAnsi="Arial"/>
                <w:sz w:val="12"/>
                <w:szCs w:val="12"/>
                <w:color w:val="auto"/>
              </w:rPr>
              <w:t>$ 1,130,656</w:t>
            </w:r>
          </w:p>
        </w:tc>
        <w:tc>
          <w:tcPr>
            <w:tcW w:w="1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1,531,240</w:t>
            </w:r>
          </w:p>
        </w:tc>
        <w:tc>
          <w:tcPr>
            <w:tcW w:w="0" w:type="dxa"/>
            <w:vAlign w:val="bottom"/>
          </w:tcPr>
          <w:p>
            <w:pPr>
              <w:spacing w:after="0"/>
              <w:rPr>
                <w:sz w:val="1"/>
                <w:szCs w:val="1"/>
                <w:color w:val="auto"/>
              </w:rPr>
            </w:pPr>
          </w:p>
        </w:tc>
      </w:tr>
      <w:tr>
        <w:trPr>
          <w:trHeight w:val="305"/>
        </w:trPr>
        <w:tc>
          <w:tcPr>
            <w:tcW w:w="3820" w:type="dxa"/>
            <w:vAlign w:val="bottom"/>
          </w:tcPr>
          <w:p>
            <w:pPr>
              <w:spacing w:after="0"/>
              <w:rPr>
                <w:sz w:val="20"/>
                <w:szCs w:val="20"/>
                <w:color w:val="auto"/>
              </w:rPr>
            </w:pPr>
            <w:r>
              <w:rPr>
                <w:rFonts w:ascii="Arial" w:cs="Arial" w:eastAsia="Arial" w:hAnsi="Arial"/>
                <w:sz w:val="12"/>
                <w:szCs w:val="12"/>
                <w:color w:val="auto"/>
              </w:rPr>
              <w:t>Activity for the twelve months ended:</w:t>
            </w: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8"/>
        </w:trPr>
        <w:tc>
          <w:tcPr>
            <w:tcW w:w="3820" w:type="dxa"/>
            <w:vAlign w:val="bottom"/>
          </w:tcPr>
          <w:p>
            <w:pPr>
              <w:ind w:left="300"/>
              <w:spacing w:after="0"/>
              <w:rPr>
                <w:sz w:val="20"/>
                <w:szCs w:val="20"/>
                <w:color w:val="auto"/>
              </w:rPr>
            </w:pPr>
            <w:r>
              <w:rPr>
                <w:rFonts w:ascii="Arial" w:cs="Arial" w:eastAsia="Arial" w:hAnsi="Arial"/>
                <w:sz w:val="12"/>
                <w:szCs w:val="12"/>
                <w:color w:val="auto"/>
              </w:rPr>
              <w:t>Distributions declared</w:t>
            </w:r>
          </w:p>
        </w:tc>
        <w:tc>
          <w:tcPr>
            <w:tcW w:w="1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(11,924)</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(15,392)</w:t>
            </w: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(357,856)</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(385,172)</w:t>
            </w:r>
          </w:p>
        </w:tc>
        <w:tc>
          <w:tcPr>
            <w:tcW w:w="0" w:type="dxa"/>
            <w:vAlign w:val="bottom"/>
          </w:tcPr>
          <w:p>
            <w:pPr>
              <w:spacing w:after="0"/>
              <w:rPr>
                <w:sz w:val="1"/>
                <w:szCs w:val="1"/>
                <w:color w:val="auto"/>
              </w:rPr>
            </w:pPr>
          </w:p>
        </w:tc>
      </w:tr>
      <w:tr>
        <w:trPr>
          <w:trHeight w:val="174"/>
        </w:trPr>
        <w:tc>
          <w:tcPr>
            <w:tcW w:w="3820" w:type="dxa"/>
            <w:vAlign w:val="bottom"/>
          </w:tcPr>
          <w:p>
            <w:pPr>
              <w:ind w:left="300"/>
              <w:spacing w:after="0"/>
              <w:rPr>
                <w:sz w:val="20"/>
                <w:szCs w:val="20"/>
                <w:color w:val="auto"/>
              </w:rPr>
            </w:pPr>
            <w:r>
              <w:rPr>
                <w:rFonts w:ascii="Arial" w:cs="Arial" w:eastAsia="Arial" w:hAnsi="Arial"/>
                <w:sz w:val="12"/>
                <w:szCs w:val="12"/>
                <w:color w:val="auto"/>
              </w:rPr>
              <w:t>Net income</w:t>
            </w:r>
          </w:p>
        </w:tc>
        <w:tc>
          <w:tcPr>
            <w:tcW w:w="12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11,924</w:t>
            </w: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15,392</w:t>
            </w:r>
          </w:p>
        </w:tc>
        <w:tc>
          <w:tcPr>
            <w:tcW w:w="100" w:type="dxa"/>
            <w:vAlign w:val="bottom"/>
          </w:tcPr>
          <w:p>
            <w:pPr>
              <w:spacing w:after="0"/>
              <w:rPr>
                <w:sz w:val="15"/>
                <w:szCs w:val="15"/>
                <w:color w:val="auto"/>
              </w:rPr>
            </w:pPr>
          </w:p>
        </w:tc>
        <w:tc>
          <w:tcPr>
            <w:tcW w:w="72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265,700</w:t>
            </w: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293,016</w:t>
            </w:r>
          </w:p>
        </w:tc>
        <w:tc>
          <w:tcPr>
            <w:tcW w:w="0" w:type="dxa"/>
            <w:vAlign w:val="bottom"/>
          </w:tcPr>
          <w:p>
            <w:pPr>
              <w:spacing w:after="0"/>
              <w:rPr>
                <w:sz w:val="1"/>
                <w:szCs w:val="1"/>
                <w:color w:val="auto"/>
              </w:rPr>
            </w:pPr>
          </w:p>
        </w:tc>
      </w:tr>
      <w:tr>
        <w:trPr>
          <w:trHeight w:val="163"/>
        </w:trPr>
        <w:tc>
          <w:tcPr>
            <w:tcW w:w="3820" w:type="dxa"/>
            <w:vAlign w:val="bottom"/>
          </w:tcPr>
          <w:p>
            <w:pPr>
              <w:spacing w:after="0"/>
              <w:rPr>
                <w:sz w:val="20"/>
                <w:szCs w:val="20"/>
                <w:color w:val="auto"/>
              </w:rPr>
            </w:pPr>
            <w:r>
              <w:rPr>
                <w:rFonts w:ascii="Arial" w:cs="Arial" w:eastAsia="Arial" w:hAnsi="Arial"/>
                <w:sz w:val="12"/>
                <w:szCs w:val="12"/>
                <w:color w:val="auto"/>
              </w:rPr>
              <w:t>Unitholders’ capital as of December 31, 2025</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173,669</w:t>
            </w:r>
          </w:p>
        </w:tc>
        <w:tc>
          <w:tcPr>
            <w:tcW w:w="10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60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226,915</w:t>
            </w:r>
          </w:p>
        </w:tc>
        <w:tc>
          <w:tcPr>
            <w:tcW w:w="100" w:type="dxa"/>
            <w:vAlign w:val="bottom"/>
          </w:tcPr>
          <w:p>
            <w:pPr>
              <w:spacing w:after="0"/>
              <w:rPr>
                <w:sz w:val="14"/>
                <w:szCs w:val="14"/>
                <w:color w:val="auto"/>
              </w:rPr>
            </w:pPr>
          </w:p>
        </w:tc>
        <w:tc>
          <w:tcPr>
            <w:tcW w:w="72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$ 1,038,500</w:t>
            </w:r>
          </w:p>
        </w:tc>
        <w:tc>
          <w:tcPr>
            <w:tcW w:w="10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76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1,439,084</w:t>
            </w:r>
          </w:p>
        </w:tc>
        <w:tc>
          <w:tcPr>
            <w:tcW w:w="0" w:type="dxa"/>
            <w:vAlign w:val="bottom"/>
          </w:tcPr>
          <w:p>
            <w:pPr>
              <w:spacing w:after="0"/>
              <w:rPr>
                <w:sz w:val="1"/>
                <w:szCs w:val="1"/>
                <w:color w:val="auto"/>
              </w:rPr>
            </w:pPr>
          </w:p>
        </w:tc>
      </w:tr>
      <w:tr>
        <w:trPr>
          <w:trHeight w:val="23"/>
        </w:trPr>
        <w:tc>
          <w:tcPr>
            <w:tcW w:w="38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Arial" w:cs="Arial" w:eastAsia="Arial" w:hAnsi="Arial"/>
          <w:sz w:val="17"/>
          <w:szCs w:val="17"/>
          <w:i w:val="1"/>
          <w:iCs w:val="1"/>
          <w:color w:val="auto"/>
        </w:rPr>
        <w:t>Please see accompanying notes to consolidated financial statements.</w:t>
      </w: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9019"/>
          </w:cols>
          <w:pgMar w:left="1440" w:top="1088" w:right="1440" w:bottom="1440" w:gutter="0" w:footer="0" w:header="0"/>
        </w:sectPr>
      </w:pPr>
    </w:p>
    <w:bookmarkStart w:id="145" w:name="page146"/>
    <w:bookmarkEnd w:id="145"/>
    <w:p>
      <w:pPr>
        <w:jc w:val="center"/>
        <w:spacing w:after="0"/>
        <w:rPr>
          <w:sz w:val="20"/>
          <w:szCs w:val="20"/>
          <w:color w:val="auto"/>
        </w:rPr>
      </w:pPr>
      <w:r>
        <w:rPr>
          <w:rFonts w:ascii="Arial" w:cs="Arial" w:eastAsia="Arial" w:hAnsi="Arial"/>
          <w:sz w:val="17"/>
          <w:szCs w:val="17"/>
          <w:b w:val="1"/>
          <w:bCs w:val="1"/>
          <w:color w:val="auto"/>
        </w:rPr>
        <w:t>Oaktree Capital I, L.P.</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December 31, 2025</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 in thousands, except where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 ORGANIZATION AND BASIS OF PRESENTATION</w:t>
      </w:r>
    </w:p>
    <w:p>
      <w:pPr>
        <w:spacing w:after="0" w:line="168" w:lineRule="exact"/>
        <w:rPr>
          <w:sz w:val="20"/>
          <w:szCs w:val="20"/>
          <w:color w:val="auto"/>
        </w:rPr>
      </w:pPr>
    </w:p>
    <w:p>
      <w:pPr>
        <w:ind w:left="620"/>
        <w:spacing w:after="0"/>
        <w:rPr>
          <w:sz w:val="20"/>
          <w:szCs w:val="20"/>
          <w:color w:val="auto"/>
        </w:rPr>
      </w:pPr>
      <w:r>
        <w:rPr>
          <w:rFonts w:ascii="Arial" w:cs="Arial" w:eastAsia="Arial" w:hAnsi="Arial"/>
          <w:sz w:val="17"/>
          <w:szCs w:val="17"/>
          <w:color w:val="auto"/>
        </w:rPr>
        <w:t>As used in these consolidated financial statements:</w:t>
      </w:r>
    </w:p>
    <w:p>
      <w:pPr>
        <w:spacing w:after="0" w:line="165" w:lineRule="exact"/>
        <w:rPr>
          <w:sz w:val="20"/>
          <w:szCs w:val="20"/>
          <w:color w:val="auto"/>
        </w:rPr>
      </w:pPr>
    </w:p>
    <w:p>
      <w:pPr>
        <w:ind w:right="440" w:firstLine="619"/>
        <w:spacing w:after="0" w:line="290" w:lineRule="auto"/>
        <w:rPr>
          <w:sz w:val="20"/>
          <w:szCs w:val="20"/>
          <w:color w:val="auto"/>
        </w:rPr>
      </w:pPr>
      <w:r>
        <w:rPr>
          <w:rFonts w:ascii="Arial" w:cs="Arial" w:eastAsia="Arial" w:hAnsi="Arial"/>
          <w:sz w:val="17"/>
          <w:szCs w:val="17"/>
          <w:color w:val="auto"/>
        </w:rPr>
        <w:t>“Oaktree” refers to the Oaktree Operating Group and, where applicable, their respective subsidiaries and affiliates; and the “Company” refers to Oaktree Capital I, L.P. (“Oaktree Capital I”) and, where applicable, its subsidiaries and affiliates.</w:t>
      </w:r>
    </w:p>
    <w:p>
      <w:pPr>
        <w:spacing w:after="0" w:line="95" w:lineRule="exact"/>
        <w:rPr>
          <w:sz w:val="20"/>
          <w:szCs w:val="20"/>
          <w:color w:val="auto"/>
        </w:rPr>
      </w:pPr>
    </w:p>
    <w:p>
      <w:pPr>
        <w:ind w:right="20" w:firstLine="619"/>
        <w:spacing w:after="0" w:line="262" w:lineRule="auto"/>
        <w:rPr>
          <w:sz w:val="20"/>
          <w:szCs w:val="20"/>
          <w:color w:val="auto"/>
        </w:rPr>
      </w:pPr>
      <w:r>
        <w:rPr>
          <w:rFonts w:ascii="Arial" w:cs="Arial" w:eastAsia="Arial" w:hAnsi="Arial"/>
          <w:sz w:val="17"/>
          <w:szCs w:val="17"/>
          <w:color w:val="auto"/>
        </w:rPr>
        <w:t>Oaktree is a leader among global investment managers specializing in alternative investments. Oaktree emphasizes an opportunistic, value-oriented and risk-controlled approach to investments in credit, equity, and real estate. Funds managed by Oaktree (the “Oaktree funds”) include commingled funds, separate accounts, collateralized loan obligation vehicles (“CLOs”) and business development companies (“BDCs”). Commingled funds include open-end and closed-end limited partnerships in which Oaktree makes an investment and for which it serves as the general partner. CLOs are structured finance vehicles in which Oaktree typically makes an investment and for which it serves as collateral manager.</w:t>
      </w:r>
    </w:p>
    <w:p>
      <w:pPr>
        <w:spacing w:after="0" w:line="119" w:lineRule="exact"/>
        <w:rPr>
          <w:sz w:val="20"/>
          <w:szCs w:val="20"/>
          <w:color w:val="auto"/>
        </w:rPr>
      </w:pPr>
    </w:p>
    <w:p>
      <w:pPr>
        <w:ind w:right="420" w:firstLine="619"/>
        <w:spacing w:after="0" w:line="290" w:lineRule="auto"/>
        <w:rPr>
          <w:sz w:val="20"/>
          <w:szCs w:val="20"/>
          <w:color w:val="auto"/>
        </w:rPr>
      </w:pPr>
      <w:r>
        <w:rPr>
          <w:rFonts w:ascii="Arial" w:cs="Arial" w:eastAsia="Arial" w:hAnsi="Arial"/>
          <w:sz w:val="17"/>
          <w:szCs w:val="17"/>
          <w:color w:val="auto"/>
        </w:rPr>
        <w:t>Brookfield Oaktree Holdings, LLC (“BOH”) is a Delaware limited liability company that was formed on April 13, 2007 under the name of Oaktree Capital Group, LLC.</w:t>
      </w:r>
    </w:p>
    <w:p>
      <w:pPr>
        <w:spacing w:after="0" w:line="82" w:lineRule="exact"/>
        <w:rPr>
          <w:sz w:val="20"/>
          <w:szCs w:val="20"/>
          <w:color w:val="auto"/>
        </w:rPr>
      </w:pPr>
    </w:p>
    <w:p>
      <w:pPr>
        <w:ind w:right="220" w:firstLine="619"/>
        <w:spacing w:after="0" w:line="249" w:lineRule="auto"/>
        <w:rPr>
          <w:sz w:val="20"/>
          <w:szCs w:val="20"/>
          <w:color w:val="auto"/>
        </w:rPr>
      </w:pPr>
      <w:r>
        <w:rPr>
          <w:rFonts w:ascii="Arial" w:cs="Arial" w:eastAsia="Arial" w:hAnsi="Arial"/>
          <w:sz w:val="17"/>
          <w:szCs w:val="17"/>
          <w:color w:val="auto"/>
        </w:rPr>
        <w:t>On July 1, 2024, an internal Oaktree reorganization was effected to facilitate the change of the general partner of Oaktree Capital I from Brookfield OCM Holdings II, LLC to Oaktree Capital I GP, LLC, a newly formed subsidiary of Oaktree Capital Holdings, LLC (“OCH”) (the “2024 Restructuring”). As a result of the 2024 Restructuring, BOH deconsolidated the Company effective July 1, 2024 and subsequently accounts for its interest in the Company using the equity method.</w:t>
      </w:r>
    </w:p>
    <w:p>
      <w:pPr>
        <w:spacing w:after="0" w:line="130" w:lineRule="exact"/>
        <w:rPr>
          <w:sz w:val="20"/>
          <w:szCs w:val="20"/>
          <w:color w:val="auto"/>
        </w:rPr>
      </w:pPr>
    </w:p>
    <w:p>
      <w:pPr>
        <w:ind w:firstLine="619"/>
        <w:spacing w:after="0" w:line="257" w:lineRule="auto"/>
        <w:rPr>
          <w:sz w:val="20"/>
          <w:szCs w:val="20"/>
          <w:color w:val="auto"/>
        </w:rPr>
      </w:pPr>
      <w:r>
        <w:rPr>
          <w:rFonts w:ascii="Arial" w:cs="Arial" w:eastAsia="Arial" w:hAnsi="Arial"/>
          <w:sz w:val="17"/>
          <w:szCs w:val="17"/>
          <w:color w:val="auto"/>
        </w:rPr>
        <w:t>The Oaktree business is conducted through a group of six operating entities collectively referred to as the “Oaktree Operating Group.” The Oaktree Operating Group consists of: (i) the Company, which acts as or controls the general partner of certain Oaktree funds and which holds a majority of Oaktree’s investments in its funds, (ii) Oaktree Capital II, L.P. (“Oaktree Capital II”), a series limited partnership which acts as or controls the general partner of certain Oaktree funds and which includes Oaktree’s investments in certain funds and other businesses, including Oaktree’s investment in DoubleLine Capital, L.P., (iii) Oaktree Capital Management, L.P. (“OCM”), the entity that serves as the U.S. registered investment adviser to most of the Oaktree funds, (iv) Oaktree Capital Management (Cayman), L.P. (“OCM Cayman”), which represents Oaktree’s non-U.S. fee business, (v) Oaktree Investment Holdings, L.P. (“Oaktree Investment Holdings”), which holds certain corporate investments in other entities and (vi) Oaktree AIF Investments, L.P. (“Oaktree AIF”), which primarily holds interests in certain Oaktree fund investments for regulatory and structuring purposes.</w:t>
      </w:r>
    </w:p>
    <w:p>
      <w:pPr>
        <w:spacing w:after="0" w:line="1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Basis of Presentation</w:t>
      </w:r>
    </w:p>
    <w:p>
      <w:pPr>
        <w:spacing w:after="0" w:line="168" w:lineRule="exact"/>
        <w:rPr>
          <w:sz w:val="20"/>
          <w:szCs w:val="20"/>
          <w:color w:val="auto"/>
        </w:rPr>
      </w:pPr>
    </w:p>
    <w:p>
      <w:pPr>
        <w:ind w:right="100" w:firstLine="619"/>
        <w:spacing w:after="0" w:line="262" w:lineRule="auto"/>
        <w:rPr>
          <w:sz w:val="20"/>
          <w:szCs w:val="20"/>
          <w:color w:val="auto"/>
        </w:rPr>
      </w:pPr>
      <w:r>
        <w:rPr>
          <w:rFonts w:ascii="Arial" w:cs="Arial" w:eastAsia="Arial" w:hAnsi="Arial"/>
          <w:sz w:val="17"/>
          <w:szCs w:val="17"/>
          <w:color w:val="auto"/>
        </w:rPr>
        <w:t>The accompanying consolidated financial statements are prepared in accordance with accounting principles generally accepted in the United States of America (“GAAP”). The consolidated financial statements include the accounts of the Company, its wholly-owned or majority-owned subsidiaries and entities in which the Company is deemed to have a direct or indirect controlling financial interest based on either a variable interest model or voting interest model. Certain of the Oaktree funds consolidated by the Company are investment companies that follow a specialized basis of accounting established by GAAP. All intercompany transactions and balances have been eliminated in consolidation.</w:t>
      </w:r>
    </w:p>
    <w:p>
      <w:pPr>
        <w:spacing w:after="0" w:line="119" w:lineRule="exact"/>
        <w:rPr>
          <w:sz w:val="20"/>
          <w:szCs w:val="20"/>
          <w:color w:val="auto"/>
        </w:rPr>
      </w:pPr>
    </w:p>
    <w:p>
      <w:pPr>
        <w:ind w:right="60" w:firstLine="619"/>
        <w:spacing w:after="0" w:line="265" w:lineRule="auto"/>
        <w:rPr>
          <w:sz w:val="20"/>
          <w:szCs w:val="20"/>
          <w:color w:val="auto"/>
        </w:rPr>
      </w:pPr>
      <w:r>
        <w:rPr>
          <w:rFonts w:ascii="Arial" w:cs="Arial" w:eastAsia="Arial" w:hAnsi="Arial"/>
          <w:sz w:val="17"/>
          <w:szCs w:val="17"/>
          <w:color w:val="auto"/>
        </w:rPr>
        <w:t>Subsequent to the 2024 Restructuring, the Company was deemed to be a significant equity investee of BOH under Rule 3-09 of Regulation S-X for the fiscal year ended December 31, 2024. As such, the Company's audited consolidated financial statements have been presented only for the period from July 1, 2024, the date at which the Company became a significant equity investee of BOH, through December 31, 2024. As of December 31, 2025, the Company continued to meet the significance criteria and remained a significant equity investee of BOH.</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240"/>
          </w:cols>
          <w:pgMar w:left="320" w:top="353" w:right="339" w:bottom="1440" w:gutter="0" w:footer="0" w:header="0"/>
        </w:sectPr>
      </w:pPr>
    </w:p>
    <w:bookmarkStart w:id="146" w:name="page147"/>
    <w:bookmarkEnd w:id="146"/>
    <w:p>
      <w:pPr>
        <w:jc w:val="center"/>
        <w:spacing w:after="0"/>
        <w:rPr>
          <w:sz w:val="20"/>
          <w:szCs w:val="20"/>
          <w:color w:val="auto"/>
        </w:rPr>
      </w:pPr>
      <w:r>
        <w:rPr>
          <w:rFonts w:ascii="Arial" w:cs="Arial" w:eastAsia="Arial" w:hAnsi="Arial"/>
          <w:sz w:val="17"/>
          <w:szCs w:val="17"/>
          <w:b w:val="1"/>
          <w:bCs w:val="1"/>
          <w:color w:val="auto"/>
        </w:rPr>
        <w:t>Oaktree Capital I, L.P.</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 (Continued)</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December 31, 2025</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 in thousands, except where noted)</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Use of Estimates</w:t>
      </w:r>
    </w:p>
    <w:p>
      <w:pPr>
        <w:spacing w:after="0" w:line="168" w:lineRule="exact"/>
        <w:rPr>
          <w:sz w:val="20"/>
          <w:szCs w:val="20"/>
          <w:color w:val="auto"/>
        </w:rPr>
      </w:pPr>
    </w:p>
    <w:p>
      <w:pPr>
        <w:ind w:right="60" w:firstLine="619"/>
        <w:spacing w:after="0" w:line="271" w:lineRule="auto"/>
        <w:rPr>
          <w:sz w:val="20"/>
          <w:szCs w:val="20"/>
          <w:color w:val="auto"/>
        </w:rPr>
      </w:pPr>
      <w:r>
        <w:rPr>
          <w:rFonts w:ascii="Arial" w:cs="Arial" w:eastAsia="Arial" w:hAnsi="Arial"/>
          <w:sz w:val="17"/>
          <w:szCs w:val="17"/>
          <w:color w:val="auto"/>
        </w:rPr>
        <w:t>The preparation of the consolidated financial statements in accordance with GAAP requires the Company to make estimates and assumptions that affect the reported amounts of assets and liabilities as of the date of the consolidated financial statements, as well as the reported amounts of income and expenses during the period then ended. Actual results could differ from these estimates.</w:t>
      </w:r>
    </w:p>
    <w:p>
      <w:pPr>
        <w:spacing w:after="0" w:line="161" w:lineRule="exact"/>
        <w:rPr>
          <w:sz w:val="20"/>
          <w:szCs w:val="20"/>
          <w:color w:val="auto"/>
        </w:rPr>
      </w:pPr>
    </w:p>
    <w:p>
      <w:pPr>
        <w:ind w:right="6680" w:firstLine="3"/>
        <w:spacing w:after="0" w:line="444" w:lineRule="auto"/>
        <w:tabs>
          <w:tab w:leader="none" w:pos="191" w:val="left"/>
        </w:tabs>
        <w:numPr>
          <w:ilvl w:val="0"/>
          <w:numId w:val="60"/>
        </w:numPr>
        <w:rPr>
          <w:rFonts w:ascii="Arial" w:cs="Arial" w:eastAsia="Arial" w:hAnsi="Arial"/>
          <w:sz w:val="17"/>
          <w:szCs w:val="17"/>
          <w:b w:val="1"/>
          <w:bCs w:val="1"/>
          <w:color w:val="auto"/>
        </w:rPr>
      </w:pPr>
      <w:r>
        <w:rPr>
          <w:rFonts w:ascii="Arial" w:cs="Arial" w:eastAsia="Arial" w:hAnsi="Arial"/>
          <w:sz w:val="17"/>
          <w:szCs w:val="17"/>
          <w:b w:val="1"/>
          <w:bCs w:val="1"/>
          <w:color w:val="auto"/>
        </w:rPr>
        <w:t>SUMMARY OF SIGNIFICANT ACCOUNTING POLICIES Accounting Policies of the Company</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Consolidation</w:t>
      </w:r>
    </w:p>
    <w:p>
      <w:pPr>
        <w:spacing w:after="0" w:line="165" w:lineRule="exact"/>
        <w:rPr>
          <w:sz w:val="20"/>
          <w:szCs w:val="20"/>
          <w:color w:val="auto"/>
        </w:rPr>
      </w:pPr>
    </w:p>
    <w:p>
      <w:pPr>
        <w:ind w:firstLine="619"/>
        <w:spacing w:after="0" w:line="256" w:lineRule="auto"/>
        <w:rPr>
          <w:sz w:val="20"/>
          <w:szCs w:val="20"/>
          <w:color w:val="auto"/>
        </w:rPr>
      </w:pPr>
      <w:r>
        <w:rPr>
          <w:rFonts w:ascii="Arial" w:cs="Arial" w:eastAsia="Arial" w:hAnsi="Arial"/>
          <w:sz w:val="17"/>
          <w:szCs w:val="17"/>
          <w:color w:val="auto"/>
        </w:rPr>
        <w:t>The Company consolidates entities in which it has a direct or indirect controlling financial interest based on either a variable interest model or voting interest model. A limited partnership or similar entity is a variable interest entity (“VIE”) if the unaffiliated limited partners do not have substantive kick-out or participating rights. Most of the Oaktree funds are VIEs because they have not granted unaffiliated limited partners substantive kick-out or participating rights. The Company consolidates those VIEs in which it is the primary beneficiary. An entity is deemed to be the primary beneficiary if it holds a controlling financial interest. A controlling financial interest is defined as (a) the power to direct the activities of a VIE that most significantly impact the entity’s economic performance and (b) the obligation to absorb losses of the entity or the right to receive benefits from the entity that could potentially be significant to the VIE. The consolidation guidance requires an analysis to determine (a) whether an entity in which the Company holds a variable interest is a VIE and (b) whether the Company’s involvement, through holding interests directly or indirectly in the entity or contractually through other variable interests (e.g., management and performance-based fees), would give it a controlling financial interest. A decision maker’s fee arrangement is not considered a variable interest if (a) it is compensation for services provided, commensurate with the level of effort required to provide those services, and part of a compensation arrangement that includes only terms, conditions or amounts that are customarily present in arrangements for similar services negotiated at arm’s length (“at-market”), and (b) the decision maker does not hold any other variable interests that absorb more than an insignificant amount of the potential VIE’s expected residual returns.</w:t>
      </w:r>
    </w:p>
    <w:p>
      <w:pPr>
        <w:spacing w:after="0" w:line="126" w:lineRule="exact"/>
        <w:rPr>
          <w:sz w:val="20"/>
          <w:szCs w:val="20"/>
          <w:color w:val="auto"/>
        </w:rPr>
      </w:pPr>
    </w:p>
    <w:p>
      <w:pPr>
        <w:ind w:right="20" w:firstLine="619"/>
        <w:spacing w:after="0" w:line="257" w:lineRule="auto"/>
        <w:rPr>
          <w:sz w:val="20"/>
          <w:szCs w:val="20"/>
          <w:color w:val="auto"/>
        </w:rPr>
      </w:pPr>
      <w:r>
        <w:rPr>
          <w:rFonts w:ascii="Arial" w:cs="Arial" w:eastAsia="Arial" w:hAnsi="Arial"/>
          <w:sz w:val="17"/>
          <w:szCs w:val="17"/>
          <w:color w:val="auto"/>
        </w:rPr>
        <w:t>The Company determines whether it is the primary beneficiary of a VIE at the time it becomes involved with a VIE and reconsiders that conclusion at each reporting date. In evaluating whether the Company is the primary beneficiary, the Company evaluates its economic interests in the entity held either directly by the Company or indirectly through related parties. The consolidation analysis can generally be performed qualitatively; however, if it is not readily apparent that the Company is not the primary beneficiary, a quantitative analysis may also be performed. Investments and redemptions (either by the Company, affiliates of the Company or third parties) or amendments to the governing documents of the respective Oaktree funds could affect an entity’s status as a VIE or the determination of the primary beneficiary. The Company does not consolidate most of the Oaktree funds because it is not the primary beneficiary of those funds due to the fact that its fee arrangements are considered at-market and thus not deemed to be variable interests, and it does not hold any other interests in those funds that are considered to be more than insignificant. Please see note 4 for more information regarding both consolidated and unconsolidated VIEs. For entities that are not VIEs, consolidation is evaluated through a majority voting interest model.</w:t>
      </w:r>
    </w:p>
    <w:p>
      <w:pPr>
        <w:spacing w:after="0" w:line="124" w:lineRule="exact"/>
        <w:rPr>
          <w:sz w:val="20"/>
          <w:szCs w:val="20"/>
          <w:color w:val="auto"/>
        </w:rPr>
      </w:pPr>
    </w:p>
    <w:p>
      <w:pPr>
        <w:ind w:right="60" w:firstLine="619"/>
        <w:spacing w:after="0" w:line="260" w:lineRule="auto"/>
        <w:rPr>
          <w:sz w:val="20"/>
          <w:szCs w:val="20"/>
          <w:color w:val="auto"/>
        </w:rPr>
      </w:pPr>
      <w:r>
        <w:rPr>
          <w:rFonts w:ascii="Arial" w:cs="Arial" w:eastAsia="Arial" w:hAnsi="Arial"/>
          <w:sz w:val="17"/>
          <w:szCs w:val="17"/>
          <w:color w:val="auto"/>
        </w:rPr>
        <w:t>“Consolidated funds” refers to Oaktree-managed funds and CLOs that the Company is required to consolidate. When funds or CLOs are consolidated, the Company reflects the assets, liabilities, revenues, expenses and cash flows of the funds or CLOs on a gross basis, and the majority of the economic interests in those funds or CLOs, which are held by third-party investors, are reflected as non-controlling interests in consolidated funds or debt obligations of CLOs in the consolidated financial statements. All of the revenues earned by the Company as investment manager of the consolidated funds are eliminated in consolidation. However, because the eliminated amounts are earned from and funded by third-party investors, the consolidation of a fund does not impact net income or loss attributable to the Company.</w:t>
      </w:r>
    </w:p>
    <w:p>
      <w:pPr>
        <w:spacing w:after="0" w:line="12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Non-controlling Redeemable Interests in Consolidated Funds</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240"/>
          </w:cols>
          <w:pgMar w:left="320" w:top="353" w:right="339" w:bottom="1440" w:gutter="0" w:footer="0" w:header="0"/>
        </w:sectPr>
      </w:pPr>
    </w:p>
    <w:bookmarkStart w:id="147" w:name="page148"/>
    <w:bookmarkEnd w:id="147"/>
    <w:p>
      <w:pPr>
        <w:jc w:val="center"/>
        <w:ind w:right="-19"/>
        <w:spacing w:after="0"/>
        <w:rPr>
          <w:sz w:val="20"/>
          <w:szCs w:val="20"/>
          <w:color w:val="auto"/>
        </w:rPr>
      </w:pPr>
      <w:r>
        <w:rPr>
          <w:rFonts w:ascii="Arial" w:cs="Arial" w:eastAsia="Arial" w:hAnsi="Arial"/>
          <w:sz w:val="17"/>
          <w:szCs w:val="17"/>
          <w:b w:val="1"/>
          <w:bCs w:val="1"/>
          <w:color w:val="auto"/>
        </w:rPr>
        <w:t>Oaktree Capital I, L.P.</w:t>
      </w:r>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Consolidated Financial Statements — (Continued)</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December 31, 2025</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 in thousands, except where noted)</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right="60" w:firstLine="619"/>
        <w:spacing w:after="0" w:line="259" w:lineRule="auto"/>
        <w:rPr>
          <w:sz w:val="20"/>
          <w:szCs w:val="20"/>
          <w:color w:val="auto"/>
        </w:rPr>
      </w:pPr>
      <w:r>
        <w:rPr>
          <w:rFonts w:ascii="Arial" w:cs="Arial" w:eastAsia="Arial" w:hAnsi="Arial"/>
          <w:sz w:val="17"/>
          <w:szCs w:val="17"/>
          <w:color w:val="auto"/>
        </w:rPr>
        <w:t>The Company records non-controlling interests to reflect the economic interests of the unaffiliated limited partners in Oaktree-managed funds and the class A ordinary shareholders in Oaktree sponsored SPACs. These interests are presented as non-controlling redeemable interests in consolidated funds within the consolidated statements of financial condition, outside of the permanent capital section. Limited partners in open-end and evergreen funds generally have the right to withdraw their capital, subject to the terms of the respective limited partnership agreements, over periods ranging from one month to three years. While limited partners in consolidated closed-end funds generally have not been granted redemption rights, these limited partners do have withdrawal or redemption rights in certain limited circumstances that are beyond the control of the Company, such as instances in which retaining the limited partnership interest could cause the limited partner to violate a law, regulation or rule.</w:t>
      </w:r>
    </w:p>
    <w:p>
      <w:pPr>
        <w:spacing w:after="0" w:line="122" w:lineRule="exact"/>
        <w:rPr>
          <w:sz w:val="20"/>
          <w:szCs w:val="20"/>
          <w:color w:val="auto"/>
        </w:rPr>
      </w:pPr>
    </w:p>
    <w:p>
      <w:pPr>
        <w:jc w:val="both"/>
        <w:ind w:right="100" w:firstLine="619"/>
        <w:spacing w:after="0" w:line="265" w:lineRule="auto"/>
        <w:rPr>
          <w:sz w:val="20"/>
          <w:szCs w:val="20"/>
          <w:color w:val="auto"/>
        </w:rPr>
      </w:pPr>
      <w:r>
        <w:rPr>
          <w:rFonts w:ascii="Arial" w:cs="Arial" w:eastAsia="Arial" w:hAnsi="Arial"/>
          <w:sz w:val="17"/>
          <w:szCs w:val="17"/>
          <w:color w:val="auto"/>
        </w:rPr>
        <w:t>The allocation of net income or loss to non-controlling redeemable interests in consolidated funds and Oaktree sponsored SPACs is based on the relative ownership interests of the unaffiliated limited partners after the consideration of contractual arrangements that govern allocations of income or loss. At the consolidated level, potential incentives are allocated to non-controlling redeemable interests in consolidated funds until such incentives become allocable to the Company under the substantive contractual terms of the limited partnership agreements of the funds.</w:t>
      </w:r>
    </w:p>
    <w:p>
      <w:pPr>
        <w:spacing w:after="0" w:line="11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Fair Value of Financial Instruments</w:t>
      </w:r>
    </w:p>
    <w:p>
      <w:pPr>
        <w:spacing w:after="0" w:line="165" w:lineRule="exact"/>
        <w:rPr>
          <w:sz w:val="20"/>
          <w:szCs w:val="20"/>
          <w:color w:val="auto"/>
        </w:rPr>
      </w:pPr>
    </w:p>
    <w:p>
      <w:pPr>
        <w:ind w:firstLine="619"/>
        <w:spacing w:after="0" w:line="262" w:lineRule="auto"/>
        <w:rPr>
          <w:sz w:val="20"/>
          <w:szCs w:val="20"/>
          <w:color w:val="auto"/>
        </w:rPr>
      </w:pPr>
      <w:r>
        <w:rPr>
          <w:rFonts w:ascii="Arial" w:cs="Arial" w:eastAsia="Arial" w:hAnsi="Arial"/>
          <w:sz w:val="17"/>
          <w:szCs w:val="17"/>
          <w:color w:val="auto"/>
        </w:rPr>
        <w:t>GAAP establishes a hierarchical disclosure framework that prioritizes the inputs used in measuring financial instruments at fair value into three levels based on their market observability. Market price observability is affected by a number of factors, such as the type of instrument and the characteristics specific to the instrument. Financial instruments with readily available quoted prices from an active market or for which fair value can be measured based on actively quoted prices generally will have a higher degree of market price observability and a lesser degree of judgment inherent in measuring fair value.</w:t>
      </w:r>
    </w:p>
    <w:p>
      <w:pPr>
        <w:spacing w:after="0" w:line="119" w:lineRule="exact"/>
        <w:rPr>
          <w:sz w:val="20"/>
          <w:szCs w:val="20"/>
          <w:color w:val="auto"/>
        </w:rPr>
      </w:pPr>
    </w:p>
    <w:p>
      <w:pPr>
        <w:ind w:left="620"/>
        <w:spacing w:after="0"/>
        <w:rPr>
          <w:sz w:val="20"/>
          <w:szCs w:val="20"/>
          <w:color w:val="auto"/>
        </w:rPr>
      </w:pPr>
      <w:r>
        <w:rPr>
          <w:rFonts w:ascii="Arial" w:cs="Arial" w:eastAsia="Arial" w:hAnsi="Arial"/>
          <w:sz w:val="17"/>
          <w:szCs w:val="17"/>
          <w:color w:val="auto"/>
        </w:rPr>
        <w:t>Financial assets and liabilities measured and reported at fair value are classified as follows:</w:t>
      </w:r>
    </w:p>
    <w:p>
      <w:pPr>
        <w:spacing w:after="0" w:line="165" w:lineRule="exact"/>
        <w:rPr>
          <w:sz w:val="20"/>
          <w:szCs w:val="20"/>
          <w:color w:val="auto"/>
        </w:rPr>
      </w:pPr>
    </w:p>
    <w:p>
      <w:pPr>
        <w:ind w:left="620" w:right="240" w:firstLine="309"/>
        <w:spacing w:after="0" w:line="290" w:lineRule="auto"/>
        <w:rPr>
          <w:sz w:val="20"/>
          <w:szCs w:val="20"/>
          <w:color w:val="auto"/>
        </w:rPr>
      </w:pPr>
      <w:r>
        <w:rPr>
          <w:rFonts w:ascii="Arial" w:cs="Arial" w:eastAsia="Arial" w:hAnsi="Arial"/>
          <w:sz w:val="17"/>
          <w:szCs w:val="17"/>
          <w:color w:val="auto"/>
        </w:rPr>
        <w:t>• Level I – Quoted unadjusted prices for identical instruments in active markets to which the Company has access at the date of measurement. The types of investments in Level I include exchange-traded equities, debt and derivatives with quoted prices.</w:t>
      </w:r>
    </w:p>
    <w:p>
      <w:pPr>
        <w:spacing w:after="0" w:line="95" w:lineRule="exact"/>
        <w:rPr>
          <w:sz w:val="20"/>
          <w:szCs w:val="20"/>
          <w:color w:val="auto"/>
        </w:rPr>
      </w:pPr>
    </w:p>
    <w:p>
      <w:pPr>
        <w:ind w:left="620" w:right="160" w:firstLine="311"/>
        <w:spacing w:after="0" w:line="260" w:lineRule="auto"/>
        <w:tabs>
          <w:tab w:leader="none" w:pos="1234" w:val="left"/>
        </w:tabs>
        <w:numPr>
          <w:ilvl w:val="0"/>
          <w:numId w:val="61"/>
        </w:numPr>
        <w:rPr>
          <w:rFonts w:ascii="Arial" w:cs="Arial" w:eastAsia="Arial" w:hAnsi="Arial"/>
          <w:sz w:val="17"/>
          <w:szCs w:val="17"/>
          <w:color w:val="auto"/>
        </w:rPr>
      </w:pPr>
      <w:r>
        <w:rPr>
          <w:rFonts w:ascii="Arial" w:cs="Arial" w:eastAsia="Arial" w:hAnsi="Arial"/>
          <w:sz w:val="17"/>
          <w:szCs w:val="17"/>
          <w:color w:val="auto"/>
        </w:rPr>
        <w:t>Level II – Quoted prices for similar instruments in active markets; quoted prices for identical or similar instruments in markets that are not active; and model-derived valuations in which all significant inputs are directly or indirectly observable. Level II inputs include interest rates, yield curves, volatilities, prepayment risks, loss severities, credit risks and default rates. The types of investments in Level II generally include corporate bonds and loans, government and agency securities, less liquid and restricted equity investments, over-the-counter traded derivatives, debt obligations of consolidated CLOs, and other investments where the fair value is based on observable inputs.</w:t>
      </w:r>
    </w:p>
    <w:p>
      <w:pPr>
        <w:spacing w:after="0" w:line="121" w:lineRule="exact"/>
        <w:rPr>
          <w:rFonts w:ascii="Arial" w:cs="Arial" w:eastAsia="Arial" w:hAnsi="Arial"/>
          <w:sz w:val="17"/>
          <w:szCs w:val="17"/>
          <w:color w:val="auto"/>
        </w:rPr>
      </w:pPr>
    </w:p>
    <w:p>
      <w:pPr>
        <w:jc w:val="both"/>
        <w:ind w:left="620" w:right="40" w:firstLine="311"/>
        <w:spacing w:after="0" w:line="265" w:lineRule="auto"/>
        <w:tabs>
          <w:tab w:leader="none" w:pos="1234" w:val="left"/>
        </w:tabs>
        <w:numPr>
          <w:ilvl w:val="0"/>
          <w:numId w:val="61"/>
        </w:numPr>
        <w:rPr>
          <w:rFonts w:ascii="Arial" w:cs="Arial" w:eastAsia="Arial" w:hAnsi="Arial"/>
          <w:sz w:val="17"/>
          <w:szCs w:val="17"/>
          <w:color w:val="auto"/>
        </w:rPr>
      </w:pPr>
      <w:r>
        <w:rPr>
          <w:rFonts w:ascii="Arial" w:cs="Arial" w:eastAsia="Arial" w:hAnsi="Arial"/>
          <w:sz w:val="17"/>
          <w:szCs w:val="17"/>
          <w:color w:val="auto"/>
        </w:rPr>
        <w:t>Level III – Valuations for which one or more significant inputs are unobservable. These inputs reflect the Company’s assessment of the assumptions that market participants use to value the investment based on the best available information. Level III inputs include prices of quoted securities in markets for which there are few transactions, less public information exists or prices vary among brokered market makers. The types of investments in Level III include non-publicly traded equity, debt, real estate and derivatives.</w:t>
      </w:r>
    </w:p>
    <w:p>
      <w:pPr>
        <w:spacing w:after="0" w:line="116" w:lineRule="exact"/>
        <w:rPr>
          <w:sz w:val="20"/>
          <w:szCs w:val="20"/>
          <w:color w:val="auto"/>
        </w:rPr>
      </w:pPr>
    </w:p>
    <w:p>
      <w:pPr>
        <w:ind w:right="260" w:firstLine="619"/>
        <w:spacing w:after="0" w:line="260" w:lineRule="auto"/>
        <w:rPr>
          <w:sz w:val="20"/>
          <w:szCs w:val="20"/>
          <w:color w:val="auto"/>
        </w:rPr>
      </w:pPr>
      <w:r>
        <w:rPr>
          <w:rFonts w:ascii="Arial" w:cs="Arial" w:eastAsia="Arial" w:hAnsi="Arial"/>
          <w:sz w:val="17"/>
          <w:szCs w:val="17"/>
          <w:color w:val="auto"/>
        </w:rPr>
        <w:t>In some instances, the inputs used to value an instrument may fall into multiple levels of the fair-value hierarchy. In such instances, the instrument’s level within the fair-value hierarchy is based on the lowest of the three levels (with Level III being the lowest) that is significant to the fair-value measurement. The Company’s assessment of the significance of an input requires judgment and considers factors specific to the instrument. Transfers of assets into or out of each fair value hierarchy level as a result of changes in the observability of the inputs used in measuring fair value are accounted for as of the beginning of the reporting period. Transfers resulting from a specific event, such as a reorganization or restructuring, are accounted for as of the date of the event that caused the transfer.</w:t>
      </w:r>
    </w:p>
    <w:p>
      <w:pPr>
        <w:spacing w:after="0" w:line="122" w:lineRule="exact"/>
        <w:rPr>
          <w:sz w:val="20"/>
          <w:szCs w:val="20"/>
          <w:color w:val="auto"/>
        </w:rPr>
      </w:pPr>
    </w:p>
    <w:p>
      <w:pPr>
        <w:ind w:right="800" w:firstLine="619"/>
        <w:spacing w:after="0" w:line="290" w:lineRule="auto"/>
        <w:rPr>
          <w:sz w:val="20"/>
          <w:szCs w:val="20"/>
          <w:color w:val="auto"/>
        </w:rPr>
      </w:pPr>
      <w:r>
        <w:rPr>
          <w:rFonts w:ascii="Arial" w:cs="Arial" w:eastAsia="Arial" w:hAnsi="Arial"/>
          <w:sz w:val="17"/>
          <w:szCs w:val="17"/>
          <w:color w:val="auto"/>
        </w:rPr>
        <w:t>In the absence of observable market prices, the Company values Level III investments inclusive of the Company’s investments in unconsolidated Oaktree funds using valuation methodologies applied on a consistent</w:t>
      </w: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1220"/>
          </w:cols>
          <w:pgMar w:left="320" w:top="353" w:right="359" w:bottom="1440" w:gutter="0" w:footer="0" w:header="0"/>
        </w:sectPr>
      </w:pPr>
    </w:p>
    <w:bookmarkStart w:id="148" w:name="page149"/>
    <w:bookmarkEnd w:id="148"/>
    <w:p>
      <w:pPr>
        <w:jc w:val="center"/>
        <w:ind w:right="-19"/>
        <w:spacing w:after="0"/>
        <w:rPr>
          <w:sz w:val="20"/>
          <w:szCs w:val="20"/>
          <w:color w:val="auto"/>
        </w:rPr>
      </w:pPr>
      <w:r>
        <w:rPr>
          <w:rFonts w:ascii="Arial" w:cs="Arial" w:eastAsia="Arial" w:hAnsi="Arial"/>
          <w:sz w:val="17"/>
          <w:szCs w:val="17"/>
          <w:b w:val="1"/>
          <w:bCs w:val="1"/>
          <w:color w:val="auto"/>
        </w:rPr>
        <w:t>Oaktree Capital I, L.P.</w:t>
      </w:r>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Consolidated Financial Statements — (Continued)</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December 31, 2025</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 in thousands, except where noted)</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line="257" w:lineRule="auto"/>
        <w:rPr>
          <w:sz w:val="20"/>
          <w:szCs w:val="20"/>
          <w:color w:val="auto"/>
        </w:rPr>
      </w:pPr>
      <w:r>
        <w:rPr>
          <w:rFonts w:ascii="Arial" w:cs="Arial" w:eastAsia="Arial" w:hAnsi="Arial"/>
          <w:sz w:val="17"/>
          <w:szCs w:val="17"/>
          <w:color w:val="auto"/>
        </w:rPr>
        <w:t>basis. The quarterly valuation process for Level III investments begins with each portfolio company, property or security being valued by the investment and/or valuation teams. With the exception of open-end funds, all unquoted Level III investment values are reviewed and approved by (i) the Company’s valuation officer, who is independent of the investment teams, (ii) a designated investment professional of each strategy and (iii) for a substantial majority of unquoted Level III holdings as measured by market value, a valuation committee of the respective strategy. For open-end funds, unquoted Level III investment values are reviewed and approved by the Company’s valuation officer. For certain investments, the valuation process also includes a review by independent valuation parties, at least annually, to determine whether the fair values determined by management are reasonable. Results of the valuation process are evaluated each quarter, including an assessment of whether the underlying calculations should be adjusted or recalibrated. In connection with this process, the Company periodically evaluates changes in fair-value measurements for reasonableness, considering items such as industry trends, general economic and market conditions, and factors specific to the investment.</w:t>
      </w:r>
    </w:p>
    <w:p>
      <w:pPr>
        <w:spacing w:after="0" w:line="127" w:lineRule="exact"/>
        <w:rPr>
          <w:sz w:val="20"/>
          <w:szCs w:val="20"/>
          <w:color w:val="auto"/>
        </w:rPr>
      </w:pPr>
    </w:p>
    <w:p>
      <w:pPr>
        <w:ind w:right="160" w:firstLine="619"/>
        <w:spacing w:after="0" w:line="258" w:lineRule="auto"/>
        <w:rPr>
          <w:sz w:val="20"/>
          <w:szCs w:val="20"/>
          <w:color w:val="auto"/>
        </w:rPr>
      </w:pPr>
      <w:r>
        <w:rPr>
          <w:rFonts w:ascii="Arial" w:cs="Arial" w:eastAsia="Arial" w:hAnsi="Arial"/>
          <w:sz w:val="17"/>
          <w:szCs w:val="17"/>
          <w:color w:val="auto"/>
        </w:rPr>
        <w:t>Certain assets are valued using prices obtained from pricing vendors or brokers. The Company seeks to obtain prices from at least two pricing vendors for the subject or similar securities. In cases where vendor pricing is not reflective of fair value, a secondary vendor is unavailable, or no vendor pricing is available, a comparison value made up of quotes for the subject or similar securities received from broker dealers may be used. These investments may be classified as Level III because the quoted prices may be indicative in nature for securities that</w:t>
      </w:r>
    </w:p>
    <w:p>
      <w:pPr>
        <w:spacing w:after="0" w:line="1" w:lineRule="exact"/>
        <w:rPr>
          <w:sz w:val="20"/>
          <w:szCs w:val="20"/>
          <w:color w:val="auto"/>
        </w:rPr>
      </w:pPr>
    </w:p>
    <w:p>
      <w:pPr>
        <w:spacing w:after="0" w:line="256" w:lineRule="auto"/>
        <w:rPr>
          <w:sz w:val="20"/>
          <w:szCs w:val="20"/>
          <w:color w:val="auto"/>
        </w:rPr>
      </w:pPr>
      <w:r>
        <w:rPr>
          <w:rFonts w:ascii="Arial" w:cs="Arial" w:eastAsia="Arial" w:hAnsi="Arial"/>
          <w:sz w:val="17"/>
          <w:szCs w:val="17"/>
          <w:color w:val="auto"/>
        </w:rPr>
        <w:t>are in an inactive market, may be for similar securities, or may require adjustment for investment-specific factors or restrictions. The Company evaluates the prices obtained from brokers or pricing vendors based on available market information, including trading activity of the subject or similar securities, or by performing a comparable security analysis to ensure that fair values are reasonably estimated. The Company also performs back-testing of valuation information obtained from pricing vendors and brokers against actual prices received in transactions. In addition to ongoing monitoring and back-testing, the Company performs due diligence procedures surrounding pricing vendors to understand their methodology and controls to support their use in the valuation process.</w:t>
      </w:r>
    </w:p>
    <w:p>
      <w:pPr>
        <w:spacing w:after="0" w:line="12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Fair Value Option</w:t>
      </w:r>
    </w:p>
    <w:p>
      <w:pPr>
        <w:spacing w:after="0" w:line="165" w:lineRule="exact"/>
        <w:rPr>
          <w:sz w:val="20"/>
          <w:szCs w:val="20"/>
          <w:color w:val="auto"/>
        </w:rPr>
      </w:pPr>
    </w:p>
    <w:p>
      <w:pPr>
        <w:ind w:right="40" w:firstLine="619"/>
        <w:spacing w:after="0" w:line="256" w:lineRule="auto"/>
        <w:rPr>
          <w:sz w:val="20"/>
          <w:szCs w:val="20"/>
          <w:color w:val="auto"/>
        </w:rPr>
      </w:pPr>
      <w:r>
        <w:rPr>
          <w:rFonts w:ascii="Arial" w:cs="Arial" w:eastAsia="Arial" w:hAnsi="Arial"/>
          <w:sz w:val="17"/>
          <w:szCs w:val="17"/>
          <w:color w:val="auto"/>
        </w:rPr>
        <w:t>The Company has elected the fair value option for the financial assets and financial liabilities of its consolidated CLOs. The assets and liabilities of CLOs are primarily reflected within the investments, at fair value and within the debt obligations of CLOs line items in the consolidated statements of financial condition. The Company’s accounting for CLO assets is similar to its accounting for its funds with respect to both carrying investments held by CLOs at fair value and the valuation methods used to determine the fair value of those investments. The fair value of CLO liabilities are measured as the fair value of CLO assets less the sum of (a) the fair value of any beneficial interests held by the Company and (b) the carrying value of any beneficial interests that represent compensation for services. Realized gains or losses and changes in the fair value of CLO assets, respectively, are included in net realized gain on consolidated funds’ investments and net change in unrealized appreciation (depreciation) on consolidated funds’ investments in the consolidated statements of operations. Interest income of CLOs is included in interest and dividend income, and interest expense and other expenses, respectively, are included in interest expense and consolidated fund expenses in the consolidated statements of operations. Changes in the fair value of a CLO’s financial liabilities in accordance with the CLO measurement guidance are included in net change in unrealized appreciation (depreciation) on consolidated funds’ investments in the consolidated statements of operations. Please see notes 6 and 9 for more information.</w:t>
      </w:r>
    </w:p>
    <w:p>
      <w:pPr>
        <w:spacing w:after="0" w:line="12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Derivatives and Hedging</w:t>
      </w:r>
    </w:p>
    <w:p>
      <w:pPr>
        <w:spacing w:after="0" w:line="165" w:lineRule="exact"/>
        <w:rPr>
          <w:sz w:val="20"/>
          <w:szCs w:val="20"/>
          <w:color w:val="auto"/>
        </w:rPr>
      </w:pPr>
    </w:p>
    <w:p>
      <w:pPr>
        <w:ind w:right="120" w:firstLine="619"/>
        <w:spacing w:after="0" w:line="265" w:lineRule="auto"/>
        <w:rPr>
          <w:sz w:val="20"/>
          <w:szCs w:val="20"/>
          <w:color w:val="auto"/>
        </w:rPr>
      </w:pPr>
      <w:r>
        <w:rPr>
          <w:rFonts w:ascii="Arial" w:cs="Arial" w:eastAsia="Arial" w:hAnsi="Arial"/>
          <w:sz w:val="17"/>
          <w:szCs w:val="17"/>
          <w:color w:val="auto"/>
        </w:rPr>
        <w:t>A derivative is a financial instrument whose value is derived from an underlying financial instrument or index, such as interest rates, equity securities, currencies, commodities or credit spreads. Derivatives include futures, forwards, swaps or option contracts, and other financial instruments with similar characteristics. Derivative contracts often involve future commitments to exchange interest payment streams or currencies based on a notional or contractual amount (e.g., interest-rate swaps, foreign-currency forwards or cross-currency swaps).</w:t>
      </w:r>
    </w:p>
    <w:p>
      <w:pPr>
        <w:spacing w:after="0" w:line="116" w:lineRule="exact"/>
        <w:rPr>
          <w:sz w:val="20"/>
          <w:szCs w:val="20"/>
          <w:color w:val="auto"/>
        </w:rPr>
      </w:pPr>
    </w:p>
    <w:p>
      <w:pPr>
        <w:ind w:right="100" w:firstLine="619"/>
        <w:spacing w:after="0" w:line="271" w:lineRule="auto"/>
        <w:rPr>
          <w:sz w:val="20"/>
          <w:szCs w:val="20"/>
          <w:color w:val="auto"/>
        </w:rPr>
      </w:pPr>
      <w:r>
        <w:rPr>
          <w:rFonts w:ascii="Arial" w:cs="Arial" w:eastAsia="Arial" w:hAnsi="Arial"/>
          <w:sz w:val="17"/>
          <w:szCs w:val="17"/>
          <w:color w:val="auto"/>
        </w:rPr>
        <w:t>The Company enters into derivatives as part of its overall risk management strategy or to facilitate its investment management activities. The Company manages its exposure to interest rate and foreign exchange market risks, when deemed appropriate, through the use of derivatives, including foreign currency forward and option contracts, interest-rate and cross currency swaps with financial counterparties. Risks associated with</w:t>
      </w: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220"/>
          </w:cols>
          <w:pgMar w:left="320" w:top="353" w:right="359" w:bottom="1440" w:gutter="0" w:footer="0" w:header="0"/>
        </w:sectPr>
      </w:pPr>
    </w:p>
    <w:bookmarkStart w:id="149" w:name="page150"/>
    <w:bookmarkEnd w:id="149"/>
    <w:p>
      <w:pPr>
        <w:jc w:val="center"/>
        <w:ind w:right="-19"/>
        <w:spacing w:after="0"/>
        <w:rPr>
          <w:sz w:val="20"/>
          <w:szCs w:val="20"/>
          <w:color w:val="auto"/>
        </w:rPr>
      </w:pPr>
      <w:r>
        <w:rPr>
          <w:rFonts w:ascii="Arial" w:cs="Arial" w:eastAsia="Arial" w:hAnsi="Arial"/>
          <w:sz w:val="17"/>
          <w:szCs w:val="17"/>
          <w:b w:val="1"/>
          <w:bCs w:val="1"/>
          <w:color w:val="auto"/>
        </w:rPr>
        <w:t>Oaktree Capital I, L.P.</w:t>
      </w:r>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Consolidated Financial Statements — (Continued)</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December 31, 2025</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 in thousands, except where noted)</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right="100"/>
        <w:spacing w:after="0" w:line="259" w:lineRule="auto"/>
        <w:rPr>
          <w:sz w:val="20"/>
          <w:szCs w:val="20"/>
          <w:color w:val="auto"/>
        </w:rPr>
      </w:pPr>
      <w:r>
        <w:rPr>
          <w:rFonts w:ascii="Arial" w:cs="Arial" w:eastAsia="Arial" w:hAnsi="Arial"/>
          <w:sz w:val="17"/>
          <w:szCs w:val="17"/>
          <w:color w:val="auto"/>
        </w:rPr>
        <w:t>fluctuations in interest rates and foreign-currency exchange rates in the normal course of business are addressed as part of the Company’s overall risk management strategy that may result in the use of derivatives to economically hedge or reduce these exposures. From time to time, the Company may enter into (a) foreign-currency option and forward contracts to reduce earnings and cash-flow volatility associated with changes in foreign-currency exchange rates, and (b) interest-rate swaps to manage all or a portion of the interest-rate risk associated with its variable-rate borrowings. As a result of the use of these or other derivative contracts, the Company is exposed to the risk that counterparties will fail to fulfill their contractual obligations. The Company attempts to mitigate this counterparty risk by entering into derivative contracts only with major financial institutions that have investment-grade credit ratings. Counterparty credit risk is evaluated in determining the fair value of derivatives.</w:t>
      </w:r>
    </w:p>
    <w:p>
      <w:pPr>
        <w:spacing w:after="0" w:line="122" w:lineRule="exact"/>
        <w:rPr>
          <w:sz w:val="20"/>
          <w:szCs w:val="20"/>
          <w:color w:val="auto"/>
        </w:rPr>
      </w:pPr>
    </w:p>
    <w:p>
      <w:pPr>
        <w:ind w:right="20" w:firstLine="619"/>
        <w:spacing w:after="0" w:line="260" w:lineRule="auto"/>
        <w:rPr>
          <w:sz w:val="20"/>
          <w:szCs w:val="20"/>
          <w:color w:val="auto"/>
        </w:rPr>
      </w:pPr>
      <w:r>
        <w:rPr>
          <w:rFonts w:ascii="Arial" w:cs="Arial" w:eastAsia="Arial" w:hAnsi="Arial"/>
          <w:sz w:val="17"/>
          <w:szCs w:val="17"/>
          <w:color w:val="auto"/>
        </w:rPr>
        <w:t>The Company recognizes all derivatives as assets or liabilities in its consolidated statements of financial condition at fair value. In connection with its derivative activities, the Company generally enters into agreements subject to enforceable master netting arrangements that allow the Company to offset derivative assets and liabilities in the same currency by specific derivative type or, in the event of default by the counterparty, to offset derivative assets and liabilities with the same counterparty. While these derivatives are eligible to be offset in accordance with applicable accounting guidance, the Company has elected to present derivative assets and liabilities based on gross fair value in its consolidated statements of financial condition.</w:t>
      </w:r>
    </w:p>
    <w:p>
      <w:pPr>
        <w:spacing w:after="0" w:line="122" w:lineRule="exact"/>
        <w:rPr>
          <w:sz w:val="20"/>
          <w:szCs w:val="20"/>
          <w:color w:val="auto"/>
        </w:rPr>
      </w:pPr>
    </w:p>
    <w:p>
      <w:pPr>
        <w:ind w:firstLine="619"/>
        <w:spacing w:after="0" w:line="262" w:lineRule="auto"/>
        <w:rPr>
          <w:sz w:val="20"/>
          <w:szCs w:val="20"/>
          <w:color w:val="auto"/>
        </w:rPr>
      </w:pPr>
      <w:r>
        <w:rPr>
          <w:rFonts w:ascii="Arial" w:cs="Arial" w:eastAsia="Arial" w:hAnsi="Arial"/>
          <w:sz w:val="17"/>
          <w:szCs w:val="17"/>
          <w:color w:val="auto"/>
        </w:rPr>
        <w:t>When the Company enters into a derivative contract, it may or may not elect to designate the derivative as a hedging instrument and apply hedge accounting as part of its overall risk management strategy. In other situations, when a derivative does not qualify for hedge accounting or when the derivative and the hedged item are both recorded in current-period earnings and thus deemed to be economic hedges, hedge accounting is not applied. Freestanding derivatives are financial instruments that we enter into as part of our overall risk management strategy but do not utilize hedge accounting. These financial instruments may include foreign-currency exchange contracts, interest-rate swaps and other derivative contracts.</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Cash and Cash-equivalents</w:t>
      </w:r>
    </w:p>
    <w:p>
      <w:pPr>
        <w:spacing w:after="0" w:line="165" w:lineRule="exact"/>
        <w:rPr>
          <w:sz w:val="20"/>
          <w:szCs w:val="20"/>
          <w:color w:val="auto"/>
        </w:rPr>
      </w:pPr>
    </w:p>
    <w:p>
      <w:pPr>
        <w:ind w:right="340" w:firstLine="619"/>
        <w:spacing w:after="0" w:line="290" w:lineRule="auto"/>
        <w:rPr>
          <w:sz w:val="20"/>
          <w:szCs w:val="20"/>
          <w:color w:val="auto"/>
        </w:rPr>
      </w:pPr>
      <w:r>
        <w:rPr>
          <w:rFonts w:ascii="Arial" w:cs="Arial" w:eastAsia="Arial" w:hAnsi="Arial"/>
          <w:sz w:val="17"/>
          <w:szCs w:val="17"/>
          <w:color w:val="auto"/>
        </w:rPr>
        <w:t>Cash and cash-equivalents include demand deposit accounts, money market funds, and other short-term investments with maturities of three months or less at the date of acquisition.</w:t>
      </w:r>
    </w:p>
    <w:p>
      <w:pPr>
        <w:spacing w:after="0" w:line="95" w:lineRule="exact"/>
        <w:rPr>
          <w:sz w:val="20"/>
          <w:szCs w:val="20"/>
          <w:color w:val="auto"/>
        </w:rPr>
      </w:pPr>
    </w:p>
    <w:p>
      <w:pPr>
        <w:ind w:right="620" w:firstLine="619"/>
        <w:spacing w:after="0" w:line="290" w:lineRule="auto"/>
        <w:rPr>
          <w:sz w:val="20"/>
          <w:szCs w:val="20"/>
          <w:color w:val="auto"/>
        </w:rPr>
      </w:pPr>
      <w:r>
        <w:rPr>
          <w:rFonts w:ascii="Arial" w:cs="Arial" w:eastAsia="Arial" w:hAnsi="Arial"/>
          <w:sz w:val="17"/>
          <w:szCs w:val="17"/>
          <w:color w:val="auto"/>
        </w:rPr>
        <w:t>At December 31, 2025 and 2024, the Company had cash balances with financial institutions in excess of Federal Deposit Insurance Corporation insured limits. The Company monitors the credit standing of these financial institutions.</w:t>
      </w:r>
    </w:p>
    <w:p>
      <w:pPr>
        <w:spacing w:after="0" w:line="82" w:lineRule="exact"/>
        <w:rPr>
          <w:sz w:val="20"/>
          <w:szCs w:val="20"/>
          <w:color w:val="auto"/>
        </w:rPr>
      </w:pPr>
    </w:p>
    <w:p>
      <w:pPr>
        <w:ind w:right="280" w:firstLine="619"/>
        <w:spacing w:after="0" w:line="274" w:lineRule="auto"/>
        <w:rPr>
          <w:sz w:val="20"/>
          <w:szCs w:val="20"/>
          <w:color w:val="auto"/>
        </w:rPr>
      </w:pPr>
      <w:r>
        <w:rPr>
          <w:rFonts w:ascii="Arial" w:cs="Arial" w:eastAsia="Arial" w:hAnsi="Arial"/>
          <w:sz w:val="17"/>
          <w:szCs w:val="17"/>
          <w:color w:val="auto"/>
        </w:rPr>
        <w:t>Restricted cash consists of balances that are not readily available for the Company’s general operating needs, typically due to collateral, escrow, or legal requirements. The Company presents restricted cash in Other Assets.</w:t>
      </w:r>
    </w:p>
    <w:p>
      <w:pPr>
        <w:spacing w:after="0" w:line="10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U.S. Treasury and Other Securities</w:t>
      </w:r>
    </w:p>
    <w:p>
      <w:pPr>
        <w:spacing w:after="0" w:line="167" w:lineRule="exact"/>
        <w:rPr>
          <w:sz w:val="20"/>
          <w:szCs w:val="20"/>
          <w:color w:val="auto"/>
        </w:rPr>
      </w:pPr>
    </w:p>
    <w:p>
      <w:pPr>
        <w:jc w:val="both"/>
        <w:ind w:right="100" w:firstLine="619"/>
        <w:spacing w:after="0" w:line="262" w:lineRule="auto"/>
        <w:rPr>
          <w:sz w:val="20"/>
          <w:szCs w:val="20"/>
          <w:color w:val="auto"/>
        </w:rPr>
      </w:pPr>
      <w:r>
        <w:rPr>
          <w:rFonts w:ascii="Arial" w:cs="Arial" w:eastAsia="Arial" w:hAnsi="Arial"/>
          <w:sz w:val="17"/>
          <w:szCs w:val="17"/>
          <w:color w:val="auto"/>
        </w:rPr>
        <w:t>U.S. Treasury and other securities include holdings of U.S. Treasury bills, time deposit securities, notes and bonds, commercial paper, and investment grade debt securities that are issued or guaranteed by U.S. government-sponsored entities, sovereign debt, domestic and international corporate fixed and floating rate debt, and structured credit with maturities greater than three months from the date of acquisition. These securities are classified as trading and are recorded at fair value with changes in fair value included in investment income. The interest income earned on the deposit is included in the interest and dividend income.</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Corporate Investments</w:t>
      </w:r>
    </w:p>
    <w:p>
      <w:pPr>
        <w:spacing w:after="0" w:line="153" w:lineRule="exact"/>
        <w:rPr>
          <w:sz w:val="20"/>
          <w:szCs w:val="20"/>
          <w:color w:val="auto"/>
        </w:rPr>
      </w:pPr>
    </w:p>
    <w:p>
      <w:pPr>
        <w:ind w:right="20" w:firstLine="619"/>
        <w:spacing w:after="0" w:line="242" w:lineRule="auto"/>
        <w:rPr>
          <w:sz w:val="20"/>
          <w:szCs w:val="20"/>
          <w:color w:val="auto"/>
        </w:rPr>
      </w:pPr>
      <w:r>
        <w:rPr>
          <w:rFonts w:ascii="Arial" w:cs="Arial" w:eastAsia="Arial" w:hAnsi="Arial"/>
          <w:sz w:val="17"/>
          <w:szCs w:val="17"/>
          <w:color w:val="auto"/>
        </w:rPr>
        <w:t>Corporate investments may consist of investments in funds, companies in which the Company does not have a controlling financial interest, equities received as part of our sponsorship of SPACs, and non-investment grade debt securities. Investments for which the Company is deemed to exert significant influence are accounted for under the equity method of accounting and reflect Oaktree’s ownership interest in each fund or company. In the case of investments for which the Company is not deemed to exert significant influence or control, the fair value option of</w:t>
      </w:r>
    </w:p>
    <w:p>
      <w:pPr>
        <w:spacing w:after="0" w:line="1" w:lineRule="exact"/>
        <w:rPr>
          <w:sz w:val="20"/>
          <w:szCs w:val="20"/>
          <w:color w:val="auto"/>
        </w:rPr>
      </w:pPr>
    </w:p>
    <w:p>
      <w:pPr>
        <w:ind w:right="40"/>
        <w:spacing w:after="0" w:line="229" w:lineRule="auto"/>
        <w:rPr>
          <w:sz w:val="20"/>
          <w:szCs w:val="20"/>
          <w:color w:val="auto"/>
        </w:rPr>
      </w:pPr>
      <w:r>
        <w:rPr>
          <w:rFonts w:ascii="Arial" w:cs="Arial" w:eastAsia="Arial" w:hAnsi="Arial"/>
          <w:sz w:val="17"/>
          <w:szCs w:val="17"/>
          <w:color w:val="auto"/>
        </w:rPr>
        <w:t>accounting has been elected. Investment income represents the Company’s pro-rata share of income or loss from these funds or companies, or the change in fair value of the investment, as applicable. Oaktree’s general partnership interests are substantially illiquid. While investments in funds</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reflect each respective fund’s holdings at</w:t>
      </w: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w:t>
      </w:r>
    </w:p>
    <w:p>
      <w:pPr>
        <w:sectPr>
          <w:pgSz w:w="11900" w:h="16838" w:orient="portrait"/>
          <w:cols w:equalWidth="0" w:num="1">
            <w:col w:w="11240"/>
          </w:cols>
          <w:pgMar w:left="320" w:top="353" w:right="339" w:bottom="1440" w:gutter="0" w:footer="0" w:header="0"/>
        </w:sectPr>
      </w:pPr>
    </w:p>
    <w:bookmarkStart w:id="150" w:name="page151"/>
    <w:bookmarkEnd w:id="150"/>
    <w:p>
      <w:pPr>
        <w:jc w:val="center"/>
        <w:ind w:right="-39"/>
        <w:spacing w:after="0"/>
        <w:rPr>
          <w:sz w:val="20"/>
          <w:szCs w:val="20"/>
          <w:color w:val="auto"/>
        </w:rPr>
      </w:pPr>
      <w:r>
        <w:rPr>
          <w:rFonts w:ascii="Arial" w:cs="Arial" w:eastAsia="Arial" w:hAnsi="Arial"/>
          <w:sz w:val="17"/>
          <w:szCs w:val="17"/>
          <w:b w:val="1"/>
          <w:bCs w:val="1"/>
          <w:color w:val="auto"/>
        </w:rPr>
        <w:t>Oaktree Capital I, L.P.</w:t>
      </w:r>
    </w:p>
    <w:p>
      <w:pPr>
        <w:spacing w:after="0" w:line="16"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Notes to Consolidated Financial Statements — (Continued)</w:t>
      </w:r>
    </w:p>
    <w:p>
      <w:pPr>
        <w:spacing w:after="0" w:line="11"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December 31, 2025</w:t>
      </w:r>
    </w:p>
    <w:p>
      <w:pPr>
        <w:spacing w:after="0" w:line="11"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 in thousands, except where noted)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line="249" w:lineRule="auto"/>
        <w:rPr>
          <w:sz w:val="20"/>
          <w:szCs w:val="20"/>
          <w:color w:val="auto"/>
        </w:rPr>
      </w:pPr>
      <w:r>
        <w:rPr>
          <w:rFonts w:ascii="Arial" w:cs="Arial" w:eastAsia="Arial" w:hAnsi="Arial"/>
          <w:sz w:val="17"/>
          <w:szCs w:val="17"/>
          <w:color w:val="auto"/>
        </w:rPr>
        <w:t>fair value, equity-method investments in companies are not adjusted to reflect the fair value of the underlying company. The fair value of the underlying investments in Oaktree funds is based on the Company’s assessment, which takes into account expected cash flows, earnings multiples and/or comparisons to similar market transactions, among other factors. Valuation adjustments reflecting consideration of credit quality, concentration risk, sales restrictions and other liquidity factors are integral to valuing these instruments.</w:t>
      </w:r>
    </w:p>
    <w:p>
      <w:pPr>
        <w:spacing w:after="0" w:line="130" w:lineRule="exact"/>
        <w:rPr>
          <w:sz w:val="20"/>
          <w:szCs w:val="20"/>
          <w:color w:val="auto"/>
        </w:rPr>
      </w:pPr>
    </w:p>
    <w:p>
      <w:pPr>
        <w:ind w:right="420" w:firstLine="619"/>
        <w:spacing w:after="0" w:line="290" w:lineRule="auto"/>
        <w:rPr>
          <w:sz w:val="20"/>
          <w:szCs w:val="20"/>
          <w:color w:val="auto"/>
        </w:rPr>
      </w:pPr>
      <w:r>
        <w:rPr>
          <w:rFonts w:ascii="Arial" w:cs="Arial" w:eastAsia="Arial" w:hAnsi="Arial"/>
          <w:sz w:val="17"/>
          <w:szCs w:val="17"/>
          <w:color w:val="auto"/>
        </w:rPr>
        <w:t>Non-investment grade debt securities include domestic and international corporate fixed and floating rating debt and structured credit investments. These securities are classified as trading and are recorded at fair value with changes in fair value included in investment income.</w:t>
      </w:r>
    </w:p>
    <w:p>
      <w:pPr>
        <w:spacing w:after="0" w:line="9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Revenue Recognition - Incentive Income</w:t>
      </w:r>
    </w:p>
    <w:p>
      <w:pPr>
        <w:spacing w:after="0" w:line="165" w:lineRule="exact"/>
        <w:rPr>
          <w:sz w:val="20"/>
          <w:szCs w:val="20"/>
          <w:color w:val="auto"/>
        </w:rPr>
      </w:pPr>
    </w:p>
    <w:p>
      <w:pPr>
        <w:ind w:right="40" w:firstLine="619"/>
        <w:spacing w:after="0" w:line="265" w:lineRule="auto"/>
        <w:rPr>
          <w:sz w:val="20"/>
          <w:szCs w:val="20"/>
          <w:color w:val="auto"/>
        </w:rPr>
      </w:pPr>
      <w:r>
        <w:rPr>
          <w:rFonts w:ascii="Arial" w:cs="Arial" w:eastAsia="Arial" w:hAnsi="Arial"/>
          <w:sz w:val="17"/>
          <w:szCs w:val="17"/>
          <w:color w:val="auto"/>
        </w:rPr>
        <w:t>The Company earns incentive income from the investment advisory services it provides to its customers. Revenue is recognized when control of the promised services is transferred to customers in an amount that reflects the consideration the Company expects to receive in exchange for those services. These services are generally capable of being distinct and each is accounted for as separate performance obligations comprised of distinct service periods because the services are performed over time.</w:t>
      </w:r>
    </w:p>
    <w:p>
      <w:pPr>
        <w:spacing w:after="0" w:line="116" w:lineRule="exact"/>
        <w:rPr>
          <w:sz w:val="20"/>
          <w:szCs w:val="20"/>
          <w:color w:val="auto"/>
        </w:rPr>
      </w:pPr>
    </w:p>
    <w:p>
      <w:pPr>
        <w:ind w:right="20" w:firstLine="619"/>
        <w:spacing w:after="0" w:line="256" w:lineRule="auto"/>
        <w:rPr>
          <w:sz w:val="20"/>
          <w:szCs w:val="20"/>
          <w:color w:val="auto"/>
        </w:rPr>
      </w:pPr>
      <w:r>
        <w:rPr>
          <w:rFonts w:ascii="Arial" w:cs="Arial" w:eastAsia="Arial" w:hAnsi="Arial"/>
          <w:sz w:val="17"/>
          <w:szCs w:val="17"/>
          <w:color w:val="auto"/>
        </w:rPr>
        <w:t>Incentive income generally represents 20% of each closed-end fund’s profits, subject to the return of contributed capital and a preferred return of typically 8% per annum, and up to 20% of certain evergreen fund’s annual profits, subject to high-water marks or hurdle rates. Incentive income is recognized when it is probable that a significant reversal will not occur. Revenue recognition is typically met (a) for closed-end funds, only after all contributed capital and the preferred return on that capital have been distributed to the fund’s investors, and (b) for certain evergreen funds, at the conclusion of each annual measurement period. Potential incentive income is highly susceptible to market volatility, the judgment and actions of third parties, and other factors outside of the Company’s control. The Company’s experience has demonstrated little predictive value in the amount of potential incentive income ultimately earned due to the highly uncertain nature of returns inherent in the markets and contingencies associated with many realization events. As a result, the amount of incentive income recognized in any given period is generally determined after giving consideration to a number of factors, including whether the fund is in its investment or liquidation period, and the nature and level of risk associated with changes in fair value of the remaining assets in the fund. In general, it would be unlikely that any amount of potential incentive income would be recognized until (a) the uncertainty is resolved or (b) the fund is near final liquidation, assets are under contract for sale or are at low risk of significant fluctuation in fair value, and the assets are significantly in excess of the threshold at which incentive income would be earned.</w:t>
      </w:r>
    </w:p>
    <w:p>
      <w:pPr>
        <w:spacing w:after="0" w:line="128" w:lineRule="exact"/>
        <w:rPr>
          <w:sz w:val="20"/>
          <w:szCs w:val="20"/>
          <w:color w:val="auto"/>
        </w:rPr>
      </w:pPr>
    </w:p>
    <w:p>
      <w:pPr>
        <w:ind w:right="160" w:firstLine="619"/>
        <w:spacing w:after="0" w:line="265" w:lineRule="auto"/>
        <w:rPr>
          <w:sz w:val="20"/>
          <w:szCs w:val="20"/>
          <w:color w:val="auto"/>
        </w:rPr>
      </w:pPr>
      <w:r>
        <w:rPr>
          <w:rFonts w:ascii="Arial" w:cs="Arial" w:eastAsia="Arial" w:hAnsi="Arial"/>
          <w:sz w:val="17"/>
          <w:szCs w:val="17"/>
          <w:color w:val="auto"/>
        </w:rPr>
        <w:t>Incentives received by the Company before the revenue recognition criteria have been met are deferred and recorded as a deferred incentive income liability within accounts payable, accrued expenses and other liabilities in the consolidated statements of financial condition. The Company may receive tax distributions related to taxable income allocated by funds, which are treated as an advance of incentive income and subject to the same recognition criteria. Tax distributions are contractually not subject to clawback.</w:t>
      </w:r>
    </w:p>
    <w:p>
      <w:pPr>
        <w:spacing w:after="0" w:line="116" w:lineRule="exact"/>
        <w:rPr>
          <w:sz w:val="20"/>
          <w:szCs w:val="20"/>
          <w:color w:val="auto"/>
        </w:rPr>
      </w:pPr>
    </w:p>
    <w:p>
      <w:pPr>
        <w:ind w:firstLine="619"/>
        <w:spacing w:after="0" w:line="265" w:lineRule="auto"/>
        <w:rPr>
          <w:sz w:val="20"/>
          <w:szCs w:val="20"/>
          <w:color w:val="auto"/>
        </w:rPr>
      </w:pPr>
      <w:r>
        <w:rPr>
          <w:rFonts w:ascii="Arial" w:cs="Arial" w:eastAsia="Arial" w:hAnsi="Arial"/>
          <w:sz w:val="17"/>
          <w:szCs w:val="17"/>
          <w:color w:val="auto"/>
        </w:rPr>
        <w:t>The Company may earn incentive income upon deconsolidation of a SPAC arising from the completion of a merger with an identified target. Upon deconsolidation, the Company will derecognize the net assets of the entity and record any gain or loss related to the remeasurement of its investments to fair value as incentive income in its consolidated statements of operations. Subsequent fair value changes in the Company’s investments held in the entity will be recorded in investment income in its consolidated statements of operations.</w:t>
      </w:r>
    </w:p>
    <w:p>
      <w:pPr>
        <w:spacing w:after="0" w:line="11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Total Compensation and Benefits</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Incentive Income Compensation</w:t>
      </w:r>
    </w:p>
    <w:p>
      <w:pPr>
        <w:spacing w:after="0" w:line="163" w:lineRule="exact"/>
        <w:rPr>
          <w:sz w:val="20"/>
          <w:szCs w:val="20"/>
          <w:color w:val="auto"/>
        </w:rPr>
      </w:pPr>
    </w:p>
    <w:p>
      <w:pPr>
        <w:ind w:right="40" w:firstLine="619"/>
        <w:spacing w:after="0" w:line="262" w:lineRule="auto"/>
        <w:rPr>
          <w:sz w:val="20"/>
          <w:szCs w:val="20"/>
          <w:color w:val="auto"/>
        </w:rPr>
      </w:pPr>
      <w:r>
        <w:rPr>
          <w:rFonts w:ascii="Arial" w:cs="Arial" w:eastAsia="Arial" w:hAnsi="Arial"/>
          <w:sz w:val="17"/>
          <w:szCs w:val="17"/>
          <w:color w:val="auto"/>
        </w:rPr>
        <w:t>Incentive income compensation expense primarily reflects compensation directly related to incentive income, which generally consists of percentage interests (sometimes referred to as “points” or an allocation of shares received upon the completion of a successful SPAC merger) that the Company grants to its investment professionals associated with the particular fund or SPAC that generated the incentive income, and secondarily, compensation directly related to investment income. The Company has an obligation to pay a fixed percentage of the incentive income earned from a particular fund or SPAC, including income from consolidated funds that is</w:t>
      </w:r>
    </w:p>
    <w:p>
      <w:pPr>
        <w:spacing w:after="0" w:line="200" w:lineRule="exact"/>
        <w:rPr>
          <w:sz w:val="20"/>
          <w:szCs w:val="20"/>
          <w:color w:val="auto"/>
        </w:rPr>
      </w:pPr>
    </w:p>
    <w:p>
      <w:pPr>
        <w:spacing w:after="0" w:line="33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11</w:t>
      </w:r>
    </w:p>
    <w:p>
      <w:pPr>
        <w:sectPr>
          <w:pgSz w:w="11900" w:h="16838" w:orient="portrait"/>
          <w:cols w:equalWidth="0" w:num="1">
            <w:col w:w="11200"/>
          </w:cols>
          <w:pgMar w:left="320" w:top="353" w:right="379" w:bottom="1440" w:gutter="0" w:footer="0" w:header="0"/>
        </w:sectPr>
      </w:pPr>
    </w:p>
    <w:bookmarkStart w:id="151" w:name="page152"/>
    <w:bookmarkEnd w:id="151"/>
    <w:p>
      <w:pPr>
        <w:jc w:val="center"/>
        <w:ind w:right="-19"/>
        <w:spacing w:after="0"/>
        <w:rPr>
          <w:sz w:val="20"/>
          <w:szCs w:val="20"/>
          <w:color w:val="auto"/>
        </w:rPr>
      </w:pPr>
      <w:r>
        <w:rPr>
          <w:rFonts w:ascii="Arial" w:cs="Arial" w:eastAsia="Arial" w:hAnsi="Arial"/>
          <w:sz w:val="17"/>
          <w:szCs w:val="17"/>
          <w:b w:val="1"/>
          <w:bCs w:val="1"/>
          <w:color w:val="auto"/>
        </w:rPr>
        <w:t>Oaktree Capital I, L.P.</w:t>
      </w:r>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Consolidated Financial Statements — (Continued)</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December 31, 2025</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 in thousands, except where noted)</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right="20"/>
        <w:spacing w:after="0" w:line="257" w:lineRule="auto"/>
        <w:rPr>
          <w:sz w:val="20"/>
          <w:szCs w:val="20"/>
          <w:color w:val="auto"/>
        </w:rPr>
      </w:pPr>
      <w:r>
        <w:rPr>
          <w:rFonts w:ascii="Arial" w:cs="Arial" w:eastAsia="Arial" w:hAnsi="Arial"/>
          <w:sz w:val="17"/>
          <w:szCs w:val="17"/>
          <w:color w:val="auto"/>
        </w:rPr>
        <w:t>eliminated in consolidation, to specified investment professionals responsible for the management of the fund or SPAC. Amounts payable pursuant to these arrangements are recorded as compensation expense when they have become probable and reasonably estimable. The Company’s determination of the point at which it becomes probable and reasonably estimable that incentive income compensation expense should be recorded is based on its assessment of numerous factors, particularly those related to the profitability, realizations, distribution status, investment profile and commitments or contingencies of the individual funds that may give rise to incentive income or the completion of a merger by an Oaktree sponsored SPAC. Incentive income compensation is generally expensed in the period in which the underlying income is recognized. Payment of incentive income compensation generally occurs in the same period the related income is received or in the next period. Participation in incentive income generated by the funds or SPACs is subject to forfeiture upon departure and to vesting provisions (generally over a period of five years), in each case, under certain circumstances set forth in the applicable governing documents. These provisions are generally only applicable to incentive income compensation that has not yet been recognized as an expense by the Company or paid to the participant.</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Other Income (Expense), Net</w:t>
      </w:r>
    </w:p>
    <w:p>
      <w:pPr>
        <w:spacing w:after="0" w:line="165" w:lineRule="exact"/>
        <w:rPr>
          <w:sz w:val="20"/>
          <w:szCs w:val="20"/>
          <w:color w:val="auto"/>
        </w:rPr>
      </w:pPr>
    </w:p>
    <w:p>
      <w:pPr>
        <w:ind w:left="620"/>
        <w:spacing w:after="0"/>
        <w:rPr>
          <w:sz w:val="20"/>
          <w:szCs w:val="20"/>
          <w:color w:val="auto"/>
        </w:rPr>
      </w:pPr>
      <w:r>
        <w:rPr>
          <w:rFonts w:ascii="Arial" w:cs="Arial" w:eastAsia="Arial" w:hAnsi="Arial"/>
          <w:sz w:val="17"/>
          <w:szCs w:val="17"/>
          <w:color w:val="auto"/>
        </w:rPr>
        <w:t>Other income (expense), net represents non-operating income or expense items.</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Income Taxes</w:t>
      </w:r>
    </w:p>
    <w:p>
      <w:pPr>
        <w:spacing w:after="0" w:line="114" w:lineRule="exact"/>
        <w:rPr>
          <w:sz w:val="20"/>
          <w:szCs w:val="20"/>
          <w:color w:val="auto"/>
        </w:rPr>
      </w:pPr>
    </w:p>
    <w:p>
      <w:pPr>
        <w:ind w:right="20" w:firstLine="619"/>
        <w:spacing w:after="0" w:line="271" w:lineRule="auto"/>
        <w:rPr>
          <w:sz w:val="20"/>
          <w:szCs w:val="20"/>
          <w:color w:val="auto"/>
        </w:rPr>
      </w:pPr>
      <w:r>
        <w:rPr>
          <w:rFonts w:ascii="Arial" w:cs="Arial" w:eastAsia="Arial" w:hAnsi="Arial"/>
          <w:sz w:val="17"/>
          <w:szCs w:val="17"/>
          <w:color w:val="auto"/>
        </w:rPr>
        <w:t>The Company is treated as a partnership for tax purposes, with the tax effects of its activities flowing through to the income tax returns of its unitholders. Consequently, no provision for income taxes is made except for non-U.S. and state and local income taxes incurred directly by the Company. The Company recorded no tax expense for the year ended December 31, 2025 and the six months ended December 31, 2024.</w:t>
      </w:r>
    </w:p>
    <w:p>
      <w:pPr>
        <w:spacing w:after="0" w:line="60" w:lineRule="exact"/>
        <w:rPr>
          <w:sz w:val="20"/>
          <w:szCs w:val="20"/>
          <w:color w:val="auto"/>
        </w:rPr>
      </w:pPr>
    </w:p>
    <w:p>
      <w:pPr>
        <w:ind w:firstLine="619"/>
        <w:spacing w:after="0" w:line="265" w:lineRule="auto"/>
        <w:rPr>
          <w:sz w:val="20"/>
          <w:szCs w:val="20"/>
          <w:color w:val="auto"/>
        </w:rPr>
      </w:pPr>
      <w:r>
        <w:rPr>
          <w:rFonts w:ascii="Arial" w:cs="Arial" w:eastAsia="Arial" w:hAnsi="Arial"/>
          <w:sz w:val="17"/>
          <w:szCs w:val="17"/>
          <w:color w:val="auto"/>
        </w:rPr>
        <w:t>Oaktree analyzes its tax filing positions for all open tax years in all of the non-U.S. and state and local tax jurisdictions where it is required to file income tax returns. If the Company determines that uncertainties in tax positions exist, a reserve is established. Oaktree recognizes accrued interest and penalties related to uncertain tax positions within income tax expense in the consolidated and combined statements of operations. As of December 31, 2025 and 2024, there was no aggregate amount of interest and penalties accrued.</w:t>
      </w:r>
    </w:p>
    <w:p>
      <w:pPr>
        <w:spacing w:after="0" w:line="116" w:lineRule="exact"/>
        <w:rPr>
          <w:sz w:val="20"/>
          <w:szCs w:val="20"/>
          <w:color w:val="auto"/>
        </w:rPr>
      </w:pPr>
    </w:p>
    <w:p>
      <w:pPr>
        <w:ind w:right="220" w:firstLine="619"/>
        <w:spacing w:after="0" w:line="262" w:lineRule="auto"/>
        <w:rPr>
          <w:sz w:val="20"/>
          <w:szCs w:val="20"/>
          <w:color w:val="auto"/>
        </w:rPr>
      </w:pPr>
      <w:r>
        <w:rPr>
          <w:rFonts w:ascii="Arial" w:cs="Arial" w:eastAsia="Arial" w:hAnsi="Arial"/>
          <w:sz w:val="17"/>
          <w:szCs w:val="17"/>
          <w:color w:val="auto"/>
        </w:rPr>
        <w:t>The Company files its tax returns as prescribed by the tax laws of the jurisdictions in which it operates. In the normal course of business, the Company is subject to examination by federal, state, local and non-U.S. tax regulators. With limited exceptions, the Company is no longer subject to income tax audits by taxing authorities for the years before 2022. Although the outcome of tax audits is always uncertain, the Company does not believe the outcome of any current audit will have a material adverse effect on the Company’s consolidated and combined financial statements.</w:t>
      </w:r>
    </w:p>
    <w:p>
      <w:pPr>
        <w:spacing w:after="0" w:line="119" w:lineRule="exact"/>
        <w:rPr>
          <w:sz w:val="20"/>
          <w:szCs w:val="20"/>
          <w:color w:val="auto"/>
        </w:rPr>
      </w:pPr>
    </w:p>
    <w:p>
      <w:pPr>
        <w:ind w:right="60" w:firstLine="619"/>
        <w:spacing w:after="0" w:line="271" w:lineRule="auto"/>
        <w:rPr>
          <w:sz w:val="20"/>
          <w:szCs w:val="20"/>
          <w:color w:val="auto"/>
        </w:rPr>
      </w:pPr>
      <w:r>
        <w:rPr>
          <w:rFonts w:ascii="Arial" w:cs="Arial" w:eastAsia="Arial" w:hAnsi="Arial"/>
          <w:sz w:val="17"/>
          <w:szCs w:val="17"/>
          <w:color w:val="auto"/>
        </w:rPr>
        <w:t>Tax laws are complex and subject to different interpretations by the taxpayer and respective governmental taxing authorities. Significant judgment is required in determining tax expense and in evaluating tax positions, including evaluating uncertainties under GAAP. Oaktree reviews its tax positions quarterly and adjusts its tax balances as new information becomes available.</w:t>
      </w:r>
    </w:p>
    <w:p>
      <w:pPr>
        <w:spacing w:after="0" w:line="10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Accounting Policies of Consolidated Funds</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Investment Transactions and Income Recognition</w:t>
      </w:r>
    </w:p>
    <w:p>
      <w:pPr>
        <w:spacing w:after="0" w:line="165" w:lineRule="exact"/>
        <w:rPr>
          <w:sz w:val="20"/>
          <w:szCs w:val="20"/>
          <w:color w:val="auto"/>
        </w:rPr>
      </w:pPr>
    </w:p>
    <w:p>
      <w:pPr>
        <w:ind w:right="20" w:firstLine="619"/>
        <w:spacing w:after="0" w:line="261" w:lineRule="auto"/>
        <w:rPr>
          <w:sz w:val="20"/>
          <w:szCs w:val="20"/>
          <w:color w:val="auto"/>
        </w:rPr>
      </w:pPr>
      <w:r>
        <w:rPr>
          <w:rFonts w:ascii="Arial" w:cs="Arial" w:eastAsia="Arial" w:hAnsi="Arial"/>
          <w:sz w:val="17"/>
          <w:szCs w:val="17"/>
          <w:color w:val="auto"/>
        </w:rPr>
        <w:t>The consolidated funds record investment transactions at cost on trade date for publicly-traded securities or when they have an enforceable right to acquire the security, which is generally on the closing date if not publicly traded. Realized gains and losses on investments are recorded on a specific-identification basis. The consolidated funds record dividend income on the ex-dividend date and interest income on an accrual basis, unless the related investment is in default or if collection of the income is otherwise considered doubtful. The consolidated funds may hold investments that provide for interest payable in-kind rather than in cash, in which case the related income is recorded at its estimated net realizable amount.</w:t>
      </w:r>
    </w:p>
    <w:p>
      <w:pPr>
        <w:spacing w:after="0" w:line="32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Income Taxes</w:t>
      </w: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w:t>
      </w:r>
    </w:p>
    <w:p>
      <w:pPr>
        <w:sectPr>
          <w:pgSz w:w="11900" w:h="16838" w:orient="portrait"/>
          <w:cols w:equalWidth="0" w:num="1">
            <w:col w:w="11240"/>
          </w:cols>
          <w:pgMar w:left="320" w:top="353" w:right="339" w:bottom="1440" w:gutter="0" w:footer="0" w:header="0"/>
        </w:sectPr>
      </w:pPr>
    </w:p>
    <w:bookmarkStart w:id="152" w:name="page153"/>
    <w:bookmarkEnd w:id="152"/>
    <w:p>
      <w:pPr>
        <w:jc w:val="center"/>
        <w:ind w:right="-19"/>
        <w:spacing w:after="0"/>
        <w:rPr>
          <w:sz w:val="20"/>
          <w:szCs w:val="20"/>
          <w:color w:val="auto"/>
        </w:rPr>
      </w:pPr>
      <w:r>
        <w:rPr>
          <w:rFonts w:ascii="Arial" w:cs="Arial" w:eastAsia="Arial" w:hAnsi="Arial"/>
          <w:sz w:val="17"/>
          <w:szCs w:val="17"/>
          <w:b w:val="1"/>
          <w:bCs w:val="1"/>
          <w:color w:val="auto"/>
        </w:rPr>
        <w:t>Oaktree Capital I, L.P.</w:t>
      </w:r>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Consolidated Financial Statements — (Continued)</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December 31, 2025</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 in thousands, except where noted)</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right="60" w:firstLine="619"/>
        <w:spacing w:after="0" w:line="260" w:lineRule="auto"/>
        <w:rPr>
          <w:sz w:val="20"/>
          <w:szCs w:val="20"/>
          <w:color w:val="auto"/>
        </w:rPr>
      </w:pPr>
      <w:r>
        <w:rPr>
          <w:rFonts w:ascii="Arial" w:cs="Arial" w:eastAsia="Arial" w:hAnsi="Arial"/>
          <w:sz w:val="17"/>
          <w:szCs w:val="17"/>
          <w:color w:val="auto"/>
        </w:rPr>
        <w:t>The consolidated funds may invest in operating entities that are treated as partnerships for U.S. federal income tax purposes which may give rise to unrelated business taxable income or income effectively connected with a U.S. trade or business. In such situations, the consolidated funds permit certain investors to elect to participate in these investments through a “blocker structure” using entities that are treated as corporations for U.S. federal income tax purposes and are generally subject to U.S. federal, state and local taxes. The consolidated funds withhold blocker expenses and tax payments from electing limited partners, which are treated as deemed distributions to such limited partners pursuant to the terms of the respective limited partnership agreement.</w:t>
      </w:r>
    </w:p>
    <w:p>
      <w:pPr>
        <w:spacing w:after="0" w:line="12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Foreign Currency</w:t>
      </w:r>
    </w:p>
    <w:p>
      <w:pPr>
        <w:spacing w:after="0" w:line="165" w:lineRule="exact"/>
        <w:rPr>
          <w:sz w:val="20"/>
          <w:szCs w:val="20"/>
          <w:color w:val="auto"/>
        </w:rPr>
      </w:pPr>
    </w:p>
    <w:p>
      <w:pPr>
        <w:ind w:right="80" w:firstLine="619"/>
        <w:spacing w:after="0" w:line="262" w:lineRule="auto"/>
        <w:rPr>
          <w:sz w:val="20"/>
          <w:szCs w:val="20"/>
          <w:color w:val="auto"/>
        </w:rPr>
      </w:pPr>
      <w:r>
        <w:rPr>
          <w:rFonts w:ascii="Arial" w:cs="Arial" w:eastAsia="Arial" w:hAnsi="Arial"/>
          <w:sz w:val="17"/>
          <w:szCs w:val="17"/>
          <w:color w:val="auto"/>
        </w:rPr>
        <w:t>Investments denominated in non-U.S. currencies are recorded in the consolidated financial statements after translation into U.S. dollars utilizing rates of exchange on the last business day of the period. Interest and dividend income is recorded net of foreign withholding taxes and calculated using the exchange rate in effect when the income is recognized. The effect of changes in exchange rates on assets and liabilities, income, and realized gains or losses is included as part of net realized gain (loss) on consolidated funds’ investments and net change in unrealized appreciation (depreciation) on consolidated funds’ investments in the consolidated statements of operations.</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Cash and Cash-equivalents</w:t>
      </w:r>
    </w:p>
    <w:p>
      <w:pPr>
        <w:spacing w:after="0" w:line="165" w:lineRule="exact"/>
        <w:rPr>
          <w:sz w:val="20"/>
          <w:szCs w:val="20"/>
          <w:color w:val="auto"/>
        </w:rPr>
      </w:pPr>
    </w:p>
    <w:p>
      <w:pPr>
        <w:jc w:val="both"/>
        <w:ind w:right="40" w:firstLine="619"/>
        <w:spacing w:after="0" w:line="265" w:lineRule="auto"/>
        <w:rPr>
          <w:sz w:val="20"/>
          <w:szCs w:val="20"/>
          <w:color w:val="auto"/>
        </w:rPr>
      </w:pPr>
      <w:r>
        <w:rPr>
          <w:rFonts w:ascii="Arial" w:cs="Arial" w:eastAsia="Arial" w:hAnsi="Arial"/>
          <w:sz w:val="17"/>
          <w:szCs w:val="17"/>
          <w:color w:val="auto"/>
        </w:rPr>
        <w:t>Cash and cash-equivalents held at the consolidated funds represent cash that, although not legally restricted, is not available to support the general liquidity needs of the Company as the use of such amounts is generally limited to the investment activities of the consolidated funds. Cash-equivalents, a Level I valuation, include highly liquid investments such as money market funds, whose carrying value approximates fair value due to its short-term nature.</w:t>
      </w:r>
    </w:p>
    <w:p>
      <w:pPr>
        <w:spacing w:after="0" w:line="11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Receivable for Investments Sold</w:t>
      </w:r>
    </w:p>
    <w:p>
      <w:pPr>
        <w:spacing w:after="0" w:line="165" w:lineRule="exact"/>
        <w:rPr>
          <w:sz w:val="20"/>
          <w:szCs w:val="20"/>
          <w:color w:val="auto"/>
        </w:rPr>
      </w:pPr>
    </w:p>
    <w:p>
      <w:pPr>
        <w:ind w:right="340" w:firstLine="619"/>
        <w:spacing w:after="0" w:line="271" w:lineRule="auto"/>
        <w:rPr>
          <w:sz w:val="20"/>
          <w:szCs w:val="20"/>
          <w:color w:val="auto"/>
        </w:rPr>
      </w:pPr>
      <w:r>
        <w:rPr>
          <w:rFonts w:ascii="Arial" w:cs="Arial" w:eastAsia="Arial" w:hAnsi="Arial"/>
          <w:sz w:val="17"/>
          <w:szCs w:val="17"/>
          <w:color w:val="auto"/>
        </w:rPr>
        <w:t>Receivables for investments sold by the consolidated funds are recorded at net realizable value. Changes in net realizable value are reflected within net change in unrealized appreciation (depreciation) on consolidated funds’ investments and realizations are reflected within net realized gain on consolidated funds’ investments in the consolidated statements of operations.</w:t>
      </w:r>
    </w:p>
    <w:p>
      <w:pPr>
        <w:spacing w:after="0" w:line="11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Investments, at Fair Value</w:t>
      </w:r>
    </w:p>
    <w:p>
      <w:pPr>
        <w:spacing w:after="0" w:line="165" w:lineRule="exact"/>
        <w:rPr>
          <w:sz w:val="20"/>
          <w:szCs w:val="20"/>
          <w:color w:val="auto"/>
        </w:rPr>
      </w:pPr>
    </w:p>
    <w:p>
      <w:pPr>
        <w:ind w:right="60" w:firstLine="619"/>
        <w:spacing w:after="0" w:line="259" w:lineRule="auto"/>
        <w:rPr>
          <w:sz w:val="20"/>
          <w:szCs w:val="20"/>
          <w:color w:val="auto"/>
        </w:rPr>
      </w:pPr>
      <w:r>
        <w:rPr>
          <w:rFonts w:ascii="Arial" w:cs="Arial" w:eastAsia="Arial" w:hAnsi="Arial"/>
          <w:sz w:val="17"/>
          <w:szCs w:val="17"/>
          <w:color w:val="auto"/>
        </w:rPr>
        <w:t>The consolidated funds include investment limited partnerships and CLOs that reflect their investments, including majority-owned and controlled investments, at fair value. The Company has retained the specialized investment company accounting guidance for investment limited partnerships with respect to consolidated investments and has elected the fair value option for the financial assets of CLOs. Thus, the consolidated investments are reflected in the consolidated statements of financial condition at fair value, with unrealized gains and losses resulting from changes in fair value reflected as a component of net change in unrealized appreciation (depreciation) on consolidated funds’ investments in the consolidated statements of operations. Fair value is the amount that would be received to sell an asset or paid to transfer a liability in an orderly transaction between market participants at the measurement date (i.e., the exit price).</w:t>
      </w:r>
    </w:p>
    <w:p>
      <w:pPr>
        <w:spacing w:after="0" w:line="122" w:lineRule="exact"/>
        <w:rPr>
          <w:sz w:val="20"/>
          <w:szCs w:val="20"/>
          <w:color w:val="auto"/>
        </w:rPr>
      </w:pPr>
    </w:p>
    <w:p>
      <w:pPr>
        <w:ind w:firstLine="619"/>
        <w:spacing w:after="0" w:line="259" w:lineRule="auto"/>
        <w:rPr>
          <w:sz w:val="20"/>
          <w:szCs w:val="20"/>
          <w:color w:val="auto"/>
        </w:rPr>
      </w:pPr>
      <w:r>
        <w:rPr>
          <w:rFonts w:ascii="Arial" w:cs="Arial" w:eastAsia="Arial" w:hAnsi="Arial"/>
          <w:sz w:val="17"/>
          <w:szCs w:val="17"/>
          <w:color w:val="auto"/>
        </w:rPr>
        <w:t>Non-publicly traded debt and equity securities and other securities or instruments for which reliable market quotations are not available are valued by management using valuation methodologies applied on a consistent basis. These securities may initially be valued at the acquisition price as the best indicator of fair value. The Company reviews the significant unobservable inputs, valuations of comparable investments and other similar transactions for investments valued at acquisition price to determine whether another valuation methodology should be utilized. Subsequent valuations will depend on the facts and circumstances known as of the valuation date and the application of valuation methodologies as further described below under “—Non-publicly Traded Equity and Real Estate Investments.” The fair value may also be based on a pending transaction expected to close after the valuation date.</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Exchange-traded Investments</w:t>
      </w: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13</w:t>
      </w:r>
    </w:p>
    <w:p>
      <w:pPr>
        <w:sectPr>
          <w:pgSz w:w="11900" w:h="16838" w:orient="portrait"/>
          <w:cols w:equalWidth="0" w:num="1">
            <w:col w:w="11240"/>
          </w:cols>
          <w:pgMar w:left="320" w:top="353" w:right="339" w:bottom="1440" w:gutter="0" w:footer="0" w:header="0"/>
        </w:sectPr>
      </w:pPr>
    </w:p>
    <w:bookmarkStart w:id="153" w:name="page154"/>
    <w:bookmarkEnd w:id="153"/>
    <w:p>
      <w:pPr>
        <w:jc w:val="center"/>
        <w:ind w:right="-19"/>
        <w:spacing w:after="0"/>
        <w:rPr>
          <w:sz w:val="20"/>
          <w:szCs w:val="20"/>
          <w:color w:val="auto"/>
        </w:rPr>
      </w:pPr>
      <w:r>
        <w:rPr>
          <w:rFonts w:ascii="Arial" w:cs="Arial" w:eastAsia="Arial" w:hAnsi="Arial"/>
          <w:sz w:val="17"/>
          <w:szCs w:val="17"/>
          <w:b w:val="1"/>
          <w:bCs w:val="1"/>
          <w:color w:val="auto"/>
        </w:rPr>
        <w:t>Oaktree Capital I, L.P.</w:t>
      </w:r>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Consolidated Financial Statements — (Continued)</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December 31, 2025</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 in thousands, except where noted)</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right="40" w:firstLine="619"/>
        <w:spacing w:after="0" w:line="257" w:lineRule="auto"/>
        <w:rPr>
          <w:sz w:val="20"/>
          <w:szCs w:val="20"/>
          <w:color w:val="auto"/>
        </w:rPr>
      </w:pPr>
      <w:r>
        <w:rPr>
          <w:rFonts w:ascii="Arial" w:cs="Arial" w:eastAsia="Arial" w:hAnsi="Arial"/>
          <w:sz w:val="17"/>
          <w:szCs w:val="17"/>
          <w:color w:val="auto"/>
        </w:rPr>
        <w:t>Securities listed on one or more national securities exchanges are valued at their last reported sales price on the date of valuation. If no sale occurred on the valuation date, the security is valued at the mean of the last “bid” and “ask” prices on the valuation date. Securities that are not readily marketable due to legal restrictions that may limit or restrict transferability are generally valued at a discount from quoted market prices. The discount would reflect the amount market participants would require due to the risk relating to the inability to access a public market for the security for the specified period and would vary depending on the nature and duration of the restriction and the perceived risk and volatility of the underlying securities. Securities with longer duration restrictions or higher volatility are generally valued at a higher discount. Such discounts are generally estimated based on put option models or an analysis of market studies. Instances where the Company has applied discounts to quoted prices of restricted listed securities have been infrequent. The impact of such discounts is not material to the Company’s consolidated statements of financial condition and results of operations for all periods presented.</w:t>
      </w:r>
    </w:p>
    <w:p>
      <w:pPr>
        <w:spacing w:after="0" w:line="12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Credit-oriented Investments (including Real Estate Loan Portfolios)</w:t>
      </w:r>
    </w:p>
    <w:p>
      <w:pPr>
        <w:spacing w:after="0" w:line="163" w:lineRule="exact"/>
        <w:rPr>
          <w:sz w:val="20"/>
          <w:szCs w:val="20"/>
          <w:color w:val="auto"/>
        </w:rPr>
      </w:pPr>
    </w:p>
    <w:p>
      <w:pPr>
        <w:ind w:right="320" w:firstLine="619"/>
        <w:spacing w:after="0" w:line="271" w:lineRule="auto"/>
        <w:rPr>
          <w:sz w:val="20"/>
          <w:szCs w:val="20"/>
          <w:color w:val="auto"/>
        </w:rPr>
      </w:pPr>
      <w:r>
        <w:rPr>
          <w:rFonts w:ascii="Arial" w:cs="Arial" w:eastAsia="Arial" w:hAnsi="Arial"/>
          <w:sz w:val="17"/>
          <w:szCs w:val="17"/>
          <w:color w:val="auto"/>
        </w:rPr>
        <w:t>Investments in corporate and government debt which are not listed or admitted to trading on any securities exchange are valued at the mean of the last bid and ask prices on the valuation date based on quotations supplied by recognized quotation services or by reputable broker-dealers.</w:t>
      </w:r>
    </w:p>
    <w:p>
      <w:pPr>
        <w:spacing w:after="0" w:line="111" w:lineRule="exact"/>
        <w:rPr>
          <w:sz w:val="20"/>
          <w:szCs w:val="20"/>
          <w:color w:val="auto"/>
        </w:rPr>
      </w:pPr>
    </w:p>
    <w:p>
      <w:pPr>
        <w:ind w:firstLine="619"/>
        <w:spacing w:after="0" w:line="262" w:lineRule="auto"/>
        <w:rPr>
          <w:sz w:val="20"/>
          <w:szCs w:val="20"/>
          <w:color w:val="auto"/>
        </w:rPr>
      </w:pPr>
      <w:r>
        <w:rPr>
          <w:rFonts w:ascii="Arial" w:cs="Arial" w:eastAsia="Arial" w:hAnsi="Arial"/>
          <w:sz w:val="17"/>
          <w:szCs w:val="17"/>
          <w:color w:val="auto"/>
        </w:rPr>
        <w:t>The market-yield approach is considered in the valuation of non-publicly traded debt securities, utilizing expected future cash flows and discounted using estimated current market rates. Discounted cash-flow calculations may be adjusted to reflect current market conditions and/or the perceived credit risk of the borrower. Consideration is also given to a borrower’s ability to meet principal and interest obligations; this may include an evaluation of collateral and/or the underlying value of the borrower utilizing techniques described below under “—Non-publicly Traded Equity and Real Estate Investments.”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Non-publicly Traded Equity and Real Estate Investments</w:t>
      </w:r>
    </w:p>
    <w:p>
      <w:pPr>
        <w:spacing w:after="0" w:line="163" w:lineRule="exact"/>
        <w:rPr>
          <w:sz w:val="20"/>
          <w:szCs w:val="20"/>
          <w:color w:val="auto"/>
        </w:rPr>
      </w:pPr>
    </w:p>
    <w:p>
      <w:pPr>
        <w:ind w:right="40" w:firstLine="619"/>
        <w:spacing w:after="0" w:line="256" w:lineRule="auto"/>
        <w:rPr>
          <w:sz w:val="20"/>
          <w:szCs w:val="20"/>
          <w:color w:val="auto"/>
        </w:rPr>
      </w:pPr>
      <w:r>
        <w:rPr>
          <w:rFonts w:ascii="Arial" w:cs="Arial" w:eastAsia="Arial" w:hAnsi="Arial"/>
          <w:sz w:val="17"/>
          <w:szCs w:val="17"/>
          <w:color w:val="auto"/>
        </w:rPr>
        <w:t>The fair value of equity and real estate investments is determined using a cost, market or income approach. The cost approach is based on the current cost of reproducing a real estate investment less deterioration and functional and economic obsolescence. The market approach utilizes valuations of comparable public companies and transactions, and generally seeks to establish the enterprise value of the portfolio company or investment property using a market-multiple methodology. This approach takes into account the financial measure (such as EBITDA, adjusted EBITDA, free cash flow, net operating income, net income, book value or net asset value) believed to be most relevant for the given company or investment property. Consideration also may be given to factors such as acquisition price of the security or investment property, historical and projected operational and financial results for the portfolio company, the strengths and weaknesses of the portfolio company or investment property relative to its comparable companies or properties, industry trends, general economic and market conditions, and others deemed relevant. The income approach is typically a discounted cash-flow method that incorporates expected timing and level of cash flows. It incorporates assumptions in determining growth rates, income and expense projections, discount and capitalization rates, capital structure, terminal values, and other factors. The applicability and weight assigned to market and income approaches are determined based on the availability of reliable projections and comparable companies and transactions.</w:t>
      </w:r>
    </w:p>
    <w:p>
      <w:pPr>
        <w:spacing w:after="0" w:line="128" w:lineRule="exact"/>
        <w:rPr>
          <w:sz w:val="20"/>
          <w:szCs w:val="20"/>
          <w:color w:val="auto"/>
        </w:rPr>
      </w:pPr>
    </w:p>
    <w:p>
      <w:pPr>
        <w:ind w:right="80" w:firstLine="619"/>
        <w:spacing w:after="0" w:line="265" w:lineRule="auto"/>
        <w:rPr>
          <w:sz w:val="20"/>
          <w:szCs w:val="20"/>
          <w:color w:val="auto"/>
        </w:rPr>
      </w:pPr>
      <w:r>
        <w:rPr>
          <w:rFonts w:ascii="Arial" w:cs="Arial" w:eastAsia="Arial" w:hAnsi="Arial"/>
          <w:sz w:val="17"/>
          <w:szCs w:val="17"/>
          <w:color w:val="auto"/>
        </w:rPr>
        <w:t>The valuation of securities may be impacted by expectations of investors’ receptiveness to a public offering of the securities, the size of the holding of the securities and any associated control, information with respect to transactions or offers for the securities (including the transaction pursuant to which the investment was made and the elapsed time from the date of the investment to the valuation date), and applicable restrictions on the transferability of the securities.</w:t>
      </w:r>
    </w:p>
    <w:p>
      <w:pPr>
        <w:spacing w:after="0" w:line="116" w:lineRule="exact"/>
        <w:rPr>
          <w:sz w:val="20"/>
          <w:szCs w:val="20"/>
          <w:color w:val="auto"/>
        </w:rPr>
      </w:pPr>
    </w:p>
    <w:p>
      <w:pPr>
        <w:ind w:right="20" w:firstLine="619"/>
        <w:spacing w:after="0" w:line="265" w:lineRule="auto"/>
        <w:rPr>
          <w:sz w:val="20"/>
          <w:szCs w:val="20"/>
          <w:color w:val="auto"/>
        </w:rPr>
      </w:pPr>
      <w:r>
        <w:rPr>
          <w:rFonts w:ascii="Arial" w:cs="Arial" w:eastAsia="Arial" w:hAnsi="Arial"/>
          <w:sz w:val="17"/>
          <w:szCs w:val="17"/>
          <w:color w:val="auto"/>
        </w:rPr>
        <w:t>These valuation methodologies involve a significant degree of management judgment. Accordingly, valuations by the Company do not necessarily represent the amounts that eventually may be realized from sales or other dispositions of investments. Fair values may differ from the values that would have been used had a ready market for the investment existed, and the differences could be material to the consolidated financial statements.</w:t>
      </w:r>
    </w:p>
    <w:p>
      <w:pPr>
        <w:spacing w:after="0" w:line="11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Securities Sold Short</w:t>
      </w:r>
    </w:p>
    <w:p>
      <w:pPr>
        <w:spacing w:after="0" w:line="165" w:lineRule="exact"/>
        <w:rPr>
          <w:sz w:val="20"/>
          <w:szCs w:val="20"/>
          <w:color w:val="auto"/>
        </w:rPr>
      </w:pPr>
    </w:p>
    <w:p>
      <w:pPr>
        <w:ind w:left="620"/>
        <w:spacing w:after="0"/>
        <w:rPr>
          <w:sz w:val="20"/>
          <w:szCs w:val="20"/>
          <w:color w:val="auto"/>
        </w:rPr>
      </w:pPr>
      <w:r>
        <w:rPr>
          <w:rFonts w:ascii="Arial" w:cs="Arial" w:eastAsia="Arial" w:hAnsi="Arial"/>
          <w:sz w:val="17"/>
          <w:szCs w:val="17"/>
          <w:color w:val="auto"/>
        </w:rPr>
        <w:t>Securities sold short represent obligations of the consolidated funds to make a future delivery of a specific</w:t>
      </w: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14</w:t>
      </w:r>
    </w:p>
    <w:p>
      <w:pPr>
        <w:sectPr>
          <w:pgSz w:w="11900" w:h="16838" w:orient="portrait"/>
          <w:cols w:equalWidth="0" w:num="1">
            <w:col w:w="11240"/>
          </w:cols>
          <w:pgMar w:left="320" w:top="353" w:right="339" w:bottom="1440" w:gutter="0" w:footer="0" w:header="0"/>
        </w:sectPr>
      </w:pPr>
    </w:p>
    <w:bookmarkStart w:id="154" w:name="page155"/>
    <w:bookmarkEnd w:id="154"/>
    <w:p>
      <w:pPr>
        <w:jc w:val="center"/>
        <w:ind w:right="-19"/>
        <w:spacing w:after="0"/>
        <w:rPr>
          <w:sz w:val="20"/>
          <w:szCs w:val="20"/>
          <w:color w:val="auto"/>
        </w:rPr>
      </w:pPr>
      <w:r>
        <w:rPr>
          <w:rFonts w:ascii="Arial" w:cs="Arial" w:eastAsia="Arial" w:hAnsi="Arial"/>
          <w:sz w:val="17"/>
          <w:szCs w:val="17"/>
          <w:b w:val="1"/>
          <w:bCs w:val="1"/>
          <w:color w:val="auto"/>
        </w:rPr>
        <w:t>Oaktree Capital I, L.P.</w:t>
      </w:r>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Consolidated Financial Statements — (Continued)</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December 31, 2025</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 in thousands, except where noted)</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right="520"/>
        <w:spacing w:after="0" w:line="271" w:lineRule="auto"/>
        <w:rPr>
          <w:sz w:val="20"/>
          <w:szCs w:val="20"/>
          <w:color w:val="auto"/>
        </w:rPr>
      </w:pPr>
      <w:r>
        <w:rPr>
          <w:rFonts w:ascii="Arial" w:cs="Arial" w:eastAsia="Arial" w:hAnsi="Arial"/>
          <w:sz w:val="17"/>
          <w:szCs w:val="17"/>
          <w:color w:val="auto"/>
        </w:rPr>
        <w:t>security and, correspondingly, create an obligation to purchase the security at prevailing market prices (or deliver the security, if owned by the consolidated funds) as of the delivery date. As a result, these short sales create the risk that the funds’ obligations to satisfy the delivery requirement may exceed the amount recorded in the accompanying consolidated statements of financial condition.</w:t>
      </w:r>
    </w:p>
    <w:p>
      <w:pPr>
        <w:spacing w:after="0" w:line="111" w:lineRule="exact"/>
        <w:rPr>
          <w:sz w:val="20"/>
          <w:szCs w:val="20"/>
          <w:color w:val="auto"/>
        </w:rPr>
      </w:pPr>
    </w:p>
    <w:p>
      <w:pPr>
        <w:ind w:right="60" w:firstLine="619"/>
        <w:spacing w:after="0" w:line="265" w:lineRule="auto"/>
        <w:rPr>
          <w:sz w:val="20"/>
          <w:szCs w:val="20"/>
          <w:color w:val="auto"/>
        </w:rPr>
      </w:pPr>
      <w:r>
        <w:rPr>
          <w:rFonts w:ascii="Arial" w:cs="Arial" w:eastAsia="Arial" w:hAnsi="Arial"/>
          <w:sz w:val="17"/>
          <w:szCs w:val="17"/>
          <w:color w:val="auto"/>
        </w:rPr>
        <w:t>Securities sold short are recorded at fair value, with the resulting change in value reflected as a component of net change in unrealized appreciation (depreciation) on consolidated funds’ investments in the consolidated statements of operations. When the securities are delivered, any gain or loss is included in net realized gain on consolidated funds’ investments. The funds maintain cash deposits with prime brokers in order to cover their obligations on short sales. These amounts are included in due from brokers in the consolidated statements of financial condition.</w:t>
      </w:r>
    </w:p>
    <w:p>
      <w:pPr>
        <w:spacing w:after="0" w:line="11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Options</w:t>
      </w:r>
    </w:p>
    <w:p>
      <w:pPr>
        <w:spacing w:after="0" w:line="165" w:lineRule="exact"/>
        <w:rPr>
          <w:sz w:val="20"/>
          <w:szCs w:val="20"/>
          <w:color w:val="auto"/>
        </w:rPr>
      </w:pPr>
    </w:p>
    <w:p>
      <w:pPr>
        <w:ind w:right="40" w:firstLine="619"/>
        <w:spacing w:after="0" w:line="265" w:lineRule="auto"/>
        <w:rPr>
          <w:sz w:val="20"/>
          <w:szCs w:val="20"/>
          <w:color w:val="auto"/>
        </w:rPr>
      </w:pPr>
      <w:r>
        <w:rPr>
          <w:rFonts w:ascii="Arial" w:cs="Arial" w:eastAsia="Arial" w:hAnsi="Arial"/>
          <w:sz w:val="17"/>
          <w:szCs w:val="17"/>
          <w:color w:val="auto"/>
        </w:rPr>
        <w:t>The purchase price of a call option or a put option is recorded as an investment, which is carried at fair value. If a purchased option expires, a loss in the amount of the cost of the option is realized. When there is a closing sale transaction, a gain or loss is realized if the proceeds are greater or less than, respectively, the cost of the option. When a call option is exercised, the cost of the security purchased upon exercise is increased by the premium originally paid.</w:t>
      </w:r>
    </w:p>
    <w:p>
      <w:pPr>
        <w:spacing w:after="0" w:line="116" w:lineRule="exact"/>
        <w:rPr>
          <w:sz w:val="20"/>
          <w:szCs w:val="20"/>
          <w:color w:val="auto"/>
        </w:rPr>
      </w:pPr>
    </w:p>
    <w:p>
      <w:pPr>
        <w:ind w:right="20" w:firstLine="619"/>
        <w:spacing w:after="0" w:line="262" w:lineRule="auto"/>
        <w:rPr>
          <w:sz w:val="20"/>
          <w:szCs w:val="20"/>
          <w:color w:val="auto"/>
        </w:rPr>
      </w:pPr>
      <w:r>
        <w:rPr>
          <w:rFonts w:ascii="Arial" w:cs="Arial" w:eastAsia="Arial" w:hAnsi="Arial"/>
          <w:sz w:val="17"/>
          <w:szCs w:val="17"/>
          <w:color w:val="auto"/>
        </w:rPr>
        <w:t>When a consolidated fund writes an option, the premium received is recorded as a liability and is subsequently adjusted to the current fair value of the option written. If a written option expires, a gain is realized in the amount of the premium received. The difference between the premium and the amount paid on effecting a closing purchase transaction, including brokerage commissions, is also treated as a realized gain or loss. The writer of an option bears the market risk of an unfavorable change in the price of the security underlying the written option. Options written are included in accounts payable, accrued expenses and other liabilities in the consolidated statements of financial condition.</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Total-return Swaps</w:t>
      </w:r>
    </w:p>
    <w:p>
      <w:pPr>
        <w:spacing w:after="0" w:line="165" w:lineRule="exact"/>
        <w:rPr>
          <w:sz w:val="20"/>
          <w:szCs w:val="20"/>
          <w:color w:val="auto"/>
        </w:rPr>
      </w:pPr>
    </w:p>
    <w:p>
      <w:pPr>
        <w:ind w:right="40" w:firstLine="619"/>
        <w:spacing w:after="0" w:line="258" w:lineRule="auto"/>
        <w:rPr>
          <w:sz w:val="20"/>
          <w:szCs w:val="20"/>
          <w:color w:val="auto"/>
        </w:rPr>
      </w:pPr>
      <w:r>
        <w:rPr>
          <w:rFonts w:ascii="Arial" w:cs="Arial" w:eastAsia="Arial" w:hAnsi="Arial"/>
          <w:sz w:val="17"/>
          <w:szCs w:val="17"/>
          <w:color w:val="auto"/>
        </w:rPr>
        <w:t>A total-return swap is an agreement to exchange cash flows based on an underlying asset. Pursuant to these agreements, a fund may deposit collateral with the counterparty and may pay a swap fee equal to a fixed percentage of the value of the underlying security (notional amount). A fund earns interest on cash collateral held on account with the counterparty and may be required to deposit additional collateral equal to the unrealized appreciation or depreciation on the underlying asset. Changes in the value of the swaps, which are recorded as unrealized gains or losses, are based on changes in the underlying value of the security. All amounts exchanged with the swap counterparty representing capital appreciation or depreciation, dividend income and expense, items of interest income on short proceeds, borrowing costs on short sales, and commissions are recorded as realized gains or losses. Dividend income and expense on the underlying assets are accrued as unrealized gains or losses on the ex-date.</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Due From Brokers</w:t>
      </w:r>
    </w:p>
    <w:p>
      <w:pPr>
        <w:spacing w:after="0" w:line="165" w:lineRule="exact"/>
        <w:rPr>
          <w:sz w:val="20"/>
          <w:szCs w:val="20"/>
          <w:color w:val="auto"/>
        </w:rPr>
      </w:pPr>
    </w:p>
    <w:p>
      <w:pPr>
        <w:ind w:right="80" w:firstLine="619"/>
        <w:spacing w:after="0" w:line="290" w:lineRule="auto"/>
        <w:rPr>
          <w:sz w:val="20"/>
          <w:szCs w:val="20"/>
          <w:color w:val="auto"/>
        </w:rPr>
      </w:pPr>
      <w:r>
        <w:rPr>
          <w:rFonts w:ascii="Arial" w:cs="Arial" w:eastAsia="Arial" w:hAnsi="Arial"/>
          <w:sz w:val="17"/>
          <w:szCs w:val="17"/>
          <w:color w:val="auto"/>
        </w:rPr>
        <w:t>Due from brokers represents cash owned by the consolidated funds and cash collateral on deposit with brokers and counterparties that are used as collateral for the consolidated funds’ securities and swaps.</w:t>
      </w:r>
    </w:p>
    <w:p>
      <w:pPr>
        <w:spacing w:after="0" w:line="9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Risks and Uncertainties</w:t>
      </w:r>
    </w:p>
    <w:p>
      <w:pPr>
        <w:spacing w:after="0" w:line="165" w:lineRule="exact"/>
        <w:rPr>
          <w:sz w:val="20"/>
          <w:szCs w:val="20"/>
          <w:color w:val="auto"/>
        </w:rPr>
      </w:pPr>
    </w:p>
    <w:p>
      <w:pPr>
        <w:ind w:firstLine="619"/>
        <w:spacing w:after="0" w:line="258" w:lineRule="auto"/>
        <w:rPr>
          <w:sz w:val="20"/>
          <w:szCs w:val="20"/>
          <w:color w:val="auto"/>
        </w:rPr>
      </w:pPr>
      <w:r>
        <w:rPr>
          <w:rFonts w:ascii="Arial" w:cs="Arial" w:eastAsia="Arial" w:hAnsi="Arial"/>
          <w:sz w:val="17"/>
          <w:szCs w:val="17"/>
          <w:color w:val="auto"/>
        </w:rPr>
        <w:t>Certain consolidated funds invest primarily in the securities of entities that are undergoing, or are considered likely to undergo, reorganization, debt restructuring, liquidation or other extraordinary transactions. Investments in such entities are considered speculative and involve substantial risk of principal loss. Certain of the consolidated funds’ investments may also consist of securities that are thinly traded, securities and other assets for which no market exists, and securities which are restricted as to their transferability. Additionally, investments are subject to concentration and industry risks, reflecting numerous factors, including political, regulatory or economic issues that could cause the investments and their markets to be relatively illiquid and their prices relatively volatile. Investments denominated in non-U.S. currencies or involving non-U.S. domiciled entities are subject to risks and special considerations not typically associated with U.S. investments. Such risks may include, but are not limited to,</w:t>
      </w: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15</w:t>
      </w:r>
    </w:p>
    <w:p>
      <w:pPr>
        <w:sectPr>
          <w:pgSz w:w="11900" w:h="16838" w:orient="portrait"/>
          <w:cols w:equalWidth="0" w:num="1">
            <w:col w:w="11240"/>
          </w:cols>
          <w:pgMar w:left="320" w:top="353" w:right="339" w:bottom="1440" w:gutter="0" w:footer="0" w:header="0"/>
        </w:sectPr>
      </w:pPr>
    </w:p>
    <w:bookmarkStart w:id="155" w:name="page156"/>
    <w:bookmarkEnd w:id="155"/>
    <w:p>
      <w:pPr>
        <w:jc w:val="center"/>
        <w:ind w:right="-59"/>
        <w:spacing w:after="0"/>
        <w:rPr>
          <w:sz w:val="20"/>
          <w:szCs w:val="20"/>
          <w:color w:val="auto"/>
        </w:rPr>
      </w:pPr>
      <w:r>
        <w:rPr>
          <w:rFonts w:ascii="Arial" w:cs="Arial" w:eastAsia="Arial" w:hAnsi="Arial"/>
          <w:sz w:val="17"/>
          <w:szCs w:val="17"/>
          <w:b w:val="1"/>
          <w:bCs w:val="1"/>
          <w:color w:val="auto"/>
        </w:rPr>
        <w:t>Oaktree Capital I, L.P.</w:t>
      </w:r>
    </w:p>
    <w:p>
      <w:pPr>
        <w:spacing w:after="0" w:line="16"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Notes to Consolidated Financial Statements — (Continued)</w:t>
      </w:r>
    </w:p>
    <w:p>
      <w:pPr>
        <w:spacing w:after="0" w:line="11"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December 31, 2025</w:t>
      </w:r>
    </w:p>
    <w:p>
      <w:pPr>
        <w:spacing w:after="0" w:line="11"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 in thousands, except where noted)</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right="260"/>
        <w:spacing w:after="0" w:line="290" w:lineRule="auto"/>
        <w:rPr>
          <w:sz w:val="20"/>
          <w:szCs w:val="20"/>
          <w:color w:val="auto"/>
        </w:rPr>
      </w:pPr>
      <w:r>
        <w:rPr>
          <w:rFonts w:ascii="Arial" w:cs="Arial" w:eastAsia="Arial" w:hAnsi="Arial"/>
          <w:sz w:val="17"/>
          <w:szCs w:val="17"/>
          <w:color w:val="auto"/>
        </w:rPr>
        <w:t>investment and repatriation restrictions; currency exchange-rate fluctuations; adverse political, social and economic developments; less liquidity; smaller capital markets; and certain local tax law considerations.</w:t>
      </w:r>
    </w:p>
    <w:p>
      <w:pPr>
        <w:spacing w:after="0" w:line="95" w:lineRule="exact"/>
        <w:rPr>
          <w:sz w:val="20"/>
          <w:szCs w:val="20"/>
          <w:color w:val="auto"/>
        </w:rPr>
      </w:pPr>
    </w:p>
    <w:p>
      <w:pPr>
        <w:ind w:firstLine="619"/>
        <w:spacing w:after="0" w:line="262" w:lineRule="auto"/>
        <w:rPr>
          <w:sz w:val="20"/>
          <w:szCs w:val="20"/>
          <w:color w:val="auto"/>
        </w:rPr>
      </w:pPr>
      <w:r>
        <w:rPr>
          <w:rFonts w:ascii="Arial" w:cs="Arial" w:eastAsia="Arial" w:hAnsi="Arial"/>
          <w:sz w:val="17"/>
          <w:szCs w:val="17"/>
          <w:color w:val="auto"/>
        </w:rPr>
        <w:t>Credit risk is the potential loss that may be incurred from the failure of a counterparty or an issuer to make payments according to the terms of a contract. Some consolidated funds are subject to additional credit risk due to strategies of investing in debt of financially distressed issuers or derivatives, as well as involvement in privately-negotiated structured notes and structured-credit transactions. Counterparties include custodian banks, major brokerage houses and their affiliates. The Company monitors the creditworthiness of the financial institutions with which it conducts business.</w:t>
      </w:r>
    </w:p>
    <w:p>
      <w:pPr>
        <w:spacing w:after="0" w:line="119" w:lineRule="exact"/>
        <w:rPr>
          <w:sz w:val="20"/>
          <w:szCs w:val="20"/>
          <w:color w:val="auto"/>
        </w:rPr>
      </w:pPr>
    </w:p>
    <w:p>
      <w:pPr>
        <w:ind w:right="40" w:firstLine="619"/>
        <w:spacing w:after="0" w:line="265" w:lineRule="auto"/>
        <w:rPr>
          <w:sz w:val="20"/>
          <w:szCs w:val="20"/>
          <w:color w:val="auto"/>
        </w:rPr>
      </w:pPr>
      <w:r>
        <w:rPr>
          <w:rFonts w:ascii="Arial" w:cs="Arial" w:eastAsia="Arial" w:hAnsi="Arial"/>
          <w:sz w:val="17"/>
          <w:szCs w:val="17"/>
          <w:color w:val="auto"/>
        </w:rPr>
        <w:t>Bank debt has exposure to certain types of risk, including interest rate, market, and the potential non-payment of principal and interest as a result of default or bankruptcy of the issuer. Loans are generally subject to prepayment risk, which will affect the maturity of such loans. The consolidated funds may enter into bank debt participation agreements through contractual relationships with a third-party intermediary, causing the consolidated funds to assume the credit risk of both the borrower and the intermediary.</w:t>
      </w:r>
    </w:p>
    <w:p>
      <w:pPr>
        <w:spacing w:after="0" w:line="116" w:lineRule="exact"/>
        <w:rPr>
          <w:sz w:val="20"/>
          <w:szCs w:val="20"/>
          <w:color w:val="auto"/>
        </w:rPr>
      </w:pPr>
    </w:p>
    <w:p>
      <w:pPr>
        <w:ind w:right="40" w:firstLine="619"/>
        <w:spacing w:after="0" w:line="255" w:lineRule="auto"/>
        <w:rPr>
          <w:sz w:val="20"/>
          <w:szCs w:val="20"/>
          <w:color w:val="auto"/>
        </w:rPr>
      </w:pPr>
      <w:r>
        <w:rPr>
          <w:rFonts w:ascii="Arial" w:cs="Arial" w:eastAsia="Arial" w:hAnsi="Arial"/>
          <w:sz w:val="17"/>
          <w:szCs w:val="17"/>
          <w:color w:val="auto"/>
        </w:rPr>
        <w:t>Certain consolidated funds may invest in real property and real estate-related investments, including commercial mortgage-backed securities (“CMBS”) and real estate loans, that entail substantial inherent risks. There can be no assurance that such investments will increase in value or that significant losses will not be incurred. CMBS are subject to a number of risks, including credit, interest rate, prepayment and market. These risks can be affected by a number of factors, including general economic conditions, particularly those in the area where the related mortgaged properties are located, the level of the borrowers’ equity in the mortgaged properties, and the relative timing and rate of delinquencies and prepayments of mortgage loans bearing a higher rate of interest. Real estate loans include residential or commercial loans that are non-performing at the time of their acquisition or that become non-performing following their acquisition. Non-performing real estate loans may require a substantial amount of workout negotiations or restructuring, which may entail, among other things, a substantial reduction in the interest rate and/or write-down of the principal balance. Moreover, foreclosure on collateral securing one or more real estate loans held by the consolidated funds may be necessary, which may be lengthy and expensive. Residential loans are typically subject to risks associated with the value of the underlying properties, which may be affected by a number of factors including general economic conditions, mortgage qualification standards, local market conditions such as employment levels, the supply of homes, and the safety, convenience and attractiveness of the properties and neighborhoods. Commercial loans are typically subject to risks associated with the ability of the borrower to repay, which may be impacted by general economic conditions, as well as borrower-specific factors including the quality of management, the ability to generate sufficient income to make scheduled principal and interest payments, or the ability to obtain alternative financing to repay the loan.</w:t>
      </w:r>
    </w:p>
    <w:p>
      <w:pPr>
        <w:spacing w:after="0" w:line="200" w:lineRule="exact"/>
        <w:rPr>
          <w:sz w:val="20"/>
          <w:szCs w:val="20"/>
          <w:color w:val="auto"/>
        </w:rPr>
      </w:pPr>
    </w:p>
    <w:p>
      <w:pPr>
        <w:spacing w:after="0" w:line="346"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16</w:t>
      </w:r>
    </w:p>
    <w:p>
      <w:pPr>
        <w:sectPr>
          <w:pgSz w:w="11900" w:h="16838" w:orient="portrait"/>
          <w:cols w:equalWidth="0" w:num="1">
            <w:col w:w="11200"/>
          </w:cols>
          <w:pgMar w:left="320" w:top="353" w:right="379" w:bottom="1440" w:gutter="0" w:footer="0" w:header="0"/>
        </w:sectPr>
      </w:pPr>
    </w:p>
    <w:bookmarkStart w:id="156" w:name="page157"/>
    <w:bookmarkEnd w:id="156"/>
    <w:p>
      <w:pPr>
        <w:jc w:val="center"/>
        <w:ind w:right="-19"/>
        <w:spacing w:after="0"/>
        <w:rPr>
          <w:sz w:val="20"/>
          <w:szCs w:val="20"/>
          <w:color w:val="auto"/>
        </w:rPr>
      </w:pPr>
      <w:r>
        <w:rPr>
          <w:rFonts w:ascii="Arial" w:cs="Arial" w:eastAsia="Arial" w:hAnsi="Arial"/>
          <w:sz w:val="17"/>
          <w:szCs w:val="17"/>
          <w:b w:val="1"/>
          <w:bCs w:val="1"/>
          <w:color w:val="auto"/>
        </w:rPr>
        <w:t>Oaktree Capital I, L.P.</w:t>
      </w:r>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Consolidated Financial Statements — (Continued)</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December 31, 2025</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 in thousands, except where noted)</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right="20" w:firstLine="619"/>
        <w:spacing w:after="0" w:line="290" w:lineRule="auto"/>
        <w:rPr>
          <w:sz w:val="20"/>
          <w:szCs w:val="20"/>
          <w:color w:val="auto"/>
        </w:rPr>
      </w:pPr>
      <w:r>
        <w:rPr>
          <w:rFonts w:ascii="Arial" w:cs="Arial" w:eastAsia="Arial" w:hAnsi="Arial"/>
          <w:sz w:val="17"/>
          <w:szCs w:val="17"/>
          <w:color w:val="auto"/>
        </w:rPr>
        <w:t>Certain consolidated funds hold over-the-counter derivatives that may allow counterparties to terminate derivative contracts prior to maturity under certain circumstances, thereby resulting in an accelerated payment of any net liability owed to the counterparty.</w:t>
      </w:r>
    </w:p>
    <w:p>
      <w:pPr>
        <w:spacing w:after="0" w:line="9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Recent Accounting Developments</w:t>
      </w:r>
    </w:p>
    <w:p>
      <w:pPr>
        <w:spacing w:after="0" w:line="168" w:lineRule="exact"/>
        <w:rPr>
          <w:sz w:val="20"/>
          <w:szCs w:val="20"/>
          <w:color w:val="auto"/>
        </w:rPr>
      </w:pPr>
    </w:p>
    <w:p>
      <w:pPr>
        <w:ind w:right="20" w:firstLine="619"/>
        <w:spacing w:after="0" w:line="265" w:lineRule="auto"/>
        <w:rPr>
          <w:sz w:val="20"/>
          <w:szCs w:val="20"/>
          <w:color w:val="auto"/>
        </w:rPr>
      </w:pPr>
      <w:r>
        <w:rPr>
          <w:rFonts w:ascii="Arial" w:cs="Arial" w:eastAsia="Arial" w:hAnsi="Arial"/>
          <w:sz w:val="17"/>
          <w:szCs w:val="17"/>
          <w:color w:val="auto"/>
        </w:rPr>
        <w:t>In March 2020, the Financial Accounting Standards Board (“FASB”) issued guidance which provides temporary optional expedients and exceptions to the U.S. GAAP guidance on contract modifications and hedge accounting to ease the financial reporting burdens of the expected market transition from LIBOR and other interbank offered rates to alternative reference rates. The guidance is effective upon issuance and generally may be elected over time through December 31, 2024. The Company did not adopt any of the optional expedients or exceptions.</w:t>
      </w:r>
    </w:p>
    <w:p>
      <w:pPr>
        <w:spacing w:after="0" w:line="116" w:lineRule="exact"/>
        <w:rPr>
          <w:sz w:val="20"/>
          <w:szCs w:val="20"/>
          <w:color w:val="auto"/>
        </w:rPr>
      </w:pPr>
    </w:p>
    <w:p>
      <w:pPr>
        <w:ind w:right="20" w:firstLine="619"/>
        <w:spacing w:after="0" w:line="257" w:lineRule="auto"/>
        <w:rPr>
          <w:sz w:val="20"/>
          <w:szCs w:val="20"/>
          <w:color w:val="auto"/>
        </w:rPr>
      </w:pPr>
      <w:r>
        <w:rPr>
          <w:rFonts w:ascii="Arial" w:cs="Arial" w:eastAsia="Arial" w:hAnsi="Arial"/>
          <w:sz w:val="17"/>
          <w:szCs w:val="17"/>
          <w:color w:val="auto"/>
        </w:rPr>
        <w:t>In December 2023, the FASB issued ASU 2023-09, Improvements to Income Tax Disclosures, which enhances existing annual income tax disclosures, primarily disaggregation of: (i) effective tax rate reconciliation using both percentages and amounts into specific categories, with further disaggregation by nature and/or jurisdiction of certain categories that meet the threshold of 5% of expected tax; and (ii) income taxes paid (net of refunds received) between federal, state/local and foreign, with further disaggregation by jurisdiction if 5% or more of total income taxes paid (net of refunds received). The ASU also eliminates existing disclosures related to: (a) reasonably possible significant changes in total amount of unrecognized tax benefits within 12 months of reporting date; and (b) cumulative amount of each type of temporary difference for which deferred tax liability has not been recognized (due to exception to recognizing deferred taxes related to subsidiaries and corporate joint ventures). This ASU is effective January 1, 2026, with early adoption permitted in the interim or annual periods. Transition is prospective with the option to apply retrospective application. The Company will adopt the ASU on its prospective basis and does not expect this new guidance to have a material impact on its annual income tax disclosures.</w:t>
      </w:r>
    </w:p>
    <w:p>
      <w:pPr>
        <w:spacing w:after="0" w:line="1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3. REVENUES</w:t>
      </w:r>
    </w:p>
    <w:p>
      <w:pPr>
        <w:spacing w:after="0" w:line="155" w:lineRule="exact"/>
        <w:rPr>
          <w:sz w:val="20"/>
          <w:szCs w:val="20"/>
          <w:color w:val="auto"/>
        </w:rPr>
      </w:pPr>
    </w:p>
    <w:p>
      <w:pPr>
        <w:jc w:val="both"/>
        <w:ind w:right="200" w:firstLine="619"/>
        <w:spacing w:after="0" w:line="255" w:lineRule="auto"/>
        <w:rPr>
          <w:sz w:val="20"/>
          <w:szCs w:val="20"/>
          <w:color w:val="auto"/>
        </w:rPr>
      </w:pPr>
      <w:r>
        <w:rPr>
          <w:rFonts w:ascii="Arial" w:cs="Arial" w:eastAsia="Arial" w:hAnsi="Arial"/>
          <w:sz w:val="17"/>
          <w:szCs w:val="17"/>
          <w:color w:val="auto"/>
        </w:rPr>
        <w:t>The Company earns incentive income generated by the funds, for which it serves as general partner. Revenues are affected by economic factors related to the asset class composition of the holdings and the contractual terms such as the basis for calculating the incentive income and investors’ ability to redeem. Revenues by fund structure are set forth below.</w:t>
      </w:r>
    </w:p>
    <w:p>
      <w:pPr>
        <w:spacing w:after="0" w:line="197"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1120" w:type="dxa"/>
            <w:vAlign w:val="bottom"/>
          </w:tcPr>
          <w:p>
            <w:pPr>
              <w:spacing w:after="0"/>
              <w:rPr>
                <w:sz w:val="12"/>
                <w:szCs w:val="12"/>
                <w:color w:val="auto"/>
              </w:rPr>
            </w:pPr>
          </w:p>
        </w:tc>
        <w:tc>
          <w:tcPr>
            <w:tcW w:w="59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40" w:type="dxa"/>
            <w:vAlign w:val="bottom"/>
            <w:gridSpan w:val="2"/>
          </w:tcPr>
          <w:p>
            <w:pPr>
              <w:jc w:val="center"/>
              <w:ind w:right="420"/>
              <w:spacing w:after="0"/>
              <w:rPr>
                <w:sz w:val="20"/>
                <w:szCs w:val="20"/>
                <w:color w:val="auto"/>
              </w:rPr>
            </w:pPr>
            <w:r>
              <w:rPr>
                <w:rFonts w:ascii="Arial" w:cs="Arial" w:eastAsia="Arial" w:hAnsi="Arial"/>
                <w:sz w:val="12"/>
                <w:szCs w:val="12"/>
                <w:b w:val="1"/>
                <w:bCs w:val="1"/>
                <w:color w:val="auto"/>
              </w:rPr>
              <w:t>Twelve months ended</w:t>
            </w:r>
          </w:p>
        </w:tc>
        <w:tc>
          <w:tcPr>
            <w:tcW w:w="1760" w:type="dxa"/>
            <w:vAlign w:val="bottom"/>
            <w:gridSpan w:val="2"/>
          </w:tcPr>
          <w:p>
            <w:pPr>
              <w:jc w:val="right"/>
              <w:spacing w:after="0"/>
              <w:rPr>
                <w:sz w:val="20"/>
                <w:szCs w:val="20"/>
                <w:color w:val="auto"/>
              </w:rPr>
            </w:pPr>
            <w:r>
              <w:rPr>
                <w:rFonts w:ascii="Arial" w:cs="Arial" w:eastAsia="Arial" w:hAnsi="Arial"/>
                <w:sz w:val="12"/>
                <w:szCs w:val="12"/>
                <w:b w:val="1"/>
                <w:bCs w:val="1"/>
                <w:color w:val="auto"/>
              </w:rPr>
              <w:t>Six months ended December</w:t>
            </w:r>
          </w:p>
        </w:tc>
      </w:tr>
      <w:tr>
        <w:trPr>
          <w:trHeight w:val="173"/>
        </w:trPr>
        <w:tc>
          <w:tcPr>
            <w:tcW w:w="1120" w:type="dxa"/>
            <w:vAlign w:val="bottom"/>
          </w:tcPr>
          <w:p>
            <w:pPr>
              <w:spacing w:after="0"/>
              <w:rPr>
                <w:sz w:val="15"/>
                <w:szCs w:val="15"/>
                <w:color w:val="auto"/>
              </w:rPr>
            </w:pPr>
          </w:p>
        </w:tc>
        <w:tc>
          <w:tcPr>
            <w:tcW w:w="59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gridSpan w:val="2"/>
          </w:tcPr>
          <w:p>
            <w:pPr>
              <w:jc w:val="center"/>
              <w:ind w:right="420"/>
              <w:spacing w:after="0"/>
              <w:rPr>
                <w:sz w:val="20"/>
                <w:szCs w:val="20"/>
                <w:color w:val="auto"/>
              </w:rPr>
            </w:pPr>
            <w:r>
              <w:rPr>
                <w:rFonts w:ascii="Arial" w:cs="Arial" w:eastAsia="Arial" w:hAnsi="Arial"/>
                <w:sz w:val="12"/>
                <w:szCs w:val="12"/>
                <w:b w:val="1"/>
                <w:bCs w:val="1"/>
                <w:color w:val="auto"/>
              </w:rPr>
              <w:t>December 31, 2025</w:t>
            </w:r>
          </w:p>
        </w:tc>
        <w:tc>
          <w:tcPr>
            <w:tcW w:w="36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ind w:right="567"/>
              <w:spacing w:after="0"/>
              <w:rPr>
                <w:sz w:val="20"/>
                <w:szCs w:val="20"/>
                <w:color w:val="auto"/>
              </w:rPr>
            </w:pPr>
            <w:r>
              <w:rPr>
                <w:rFonts w:ascii="Arial" w:cs="Arial" w:eastAsia="Arial" w:hAnsi="Arial"/>
                <w:sz w:val="12"/>
                <w:szCs w:val="12"/>
                <w:b w:val="1"/>
                <w:bCs w:val="1"/>
                <w:color w:val="auto"/>
              </w:rPr>
              <w:t>31, 2024</w:t>
            </w:r>
          </w:p>
        </w:tc>
      </w:tr>
      <w:tr>
        <w:trPr>
          <w:trHeight w:val="142"/>
        </w:trPr>
        <w:tc>
          <w:tcPr>
            <w:tcW w:w="112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96"/>
              </w:rPr>
              <w:t>Incentive Income</w:t>
            </w:r>
          </w:p>
        </w:tc>
        <w:tc>
          <w:tcPr>
            <w:tcW w:w="59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0" w:type="dxa"/>
            <w:vAlign w:val="bottom"/>
          </w:tcPr>
          <w:p>
            <w:pPr>
              <w:spacing w:after="0"/>
              <w:rPr>
                <w:sz w:val="12"/>
                <w:szCs w:val="12"/>
                <w:color w:val="auto"/>
              </w:rPr>
            </w:pPr>
          </w:p>
        </w:tc>
      </w:tr>
      <w:tr>
        <w:trPr>
          <w:trHeight w:val="223"/>
        </w:trPr>
        <w:tc>
          <w:tcPr>
            <w:tcW w:w="7100" w:type="dxa"/>
            <w:vAlign w:val="bottom"/>
            <w:gridSpan w:val="2"/>
          </w:tcPr>
          <w:p>
            <w:pPr>
              <w:spacing w:after="0"/>
              <w:rPr>
                <w:sz w:val="20"/>
                <w:szCs w:val="20"/>
                <w:color w:val="auto"/>
              </w:rPr>
            </w:pPr>
            <w:r>
              <w:rPr>
                <w:rFonts w:ascii="Arial" w:cs="Arial" w:eastAsia="Arial" w:hAnsi="Arial"/>
                <w:sz w:val="15"/>
                <w:szCs w:val="15"/>
                <w:color w:val="auto"/>
              </w:rPr>
              <w:t>Closed-end</w:t>
            </w:r>
          </w:p>
        </w:tc>
        <w:tc>
          <w:tcPr>
            <w:tcW w:w="180" w:type="dxa"/>
            <w:vAlign w:val="bottom"/>
          </w:tcPr>
          <w:p>
            <w:pPr>
              <w:jc w:val="right"/>
              <w:ind w:right="3"/>
              <w:spacing w:after="0"/>
              <w:rPr>
                <w:sz w:val="20"/>
                <w:szCs w:val="20"/>
                <w:color w:val="auto"/>
              </w:rPr>
            </w:pPr>
            <w:r>
              <w:rPr>
                <w:rFonts w:ascii="Arial" w:cs="Arial" w:eastAsia="Arial" w:hAnsi="Arial"/>
                <w:sz w:val="15"/>
                <w:szCs w:val="15"/>
                <w:color w:val="auto"/>
                <w:w w:val="95"/>
              </w:rPr>
              <w:t>$</w:t>
            </w:r>
          </w:p>
        </w:tc>
        <w:tc>
          <w:tcPr>
            <w:tcW w:w="1600" w:type="dxa"/>
            <w:vAlign w:val="bottom"/>
          </w:tcPr>
          <w:p>
            <w:pPr>
              <w:jc w:val="right"/>
              <w:ind w:right="10"/>
              <w:spacing w:after="0"/>
              <w:rPr>
                <w:sz w:val="20"/>
                <w:szCs w:val="20"/>
                <w:color w:val="auto"/>
              </w:rPr>
            </w:pPr>
            <w:r>
              <w:rPr>
                <w:rFonts w:ascii="Arial" w:cs="Arial" w:eastAsia="Arial" w:hAnsi="Arial"/>
                <w:sz w:val="15"/>
                <w:szCs w:val="15"/>
                <w:color w:val="auto"/>
              </w:rPr>
              <w:t>340,202</w:t>
            </w:r>
          </w:p>
        </w:tc>
        <w:tc>
          <w:tcPr>
            <w:tcW w:w="240" w:type="dxa"/>
            <w:vAlign w:val="bottom"/>
          </w:tcPr>
          <w:p>
            <w:pPr>
              <w:spacing w:after="0"/>
              <w:rPr>
                <w:sz w:val="19"/>
                <w:szCs w:val="19"/>
                <w:color w:val="auto"/>
              </w:rPr>
            </w:pPr>
          </w:p>
        </w:tc>
        <w:tc>
          <w:tcPr>
            <w:tcW w:w="360" w:type="dxa"/>
            <w:vAlign w:val="bottom"/>
          </w:tcPr>
          <w:p>
            <w:pPr>
              <w:jc w:val="right"/>
              <w:ind w:right="188"/>
              <w:spacing w:after="0"/>
              <w:rPr>
                <w:sz w:val="20"/>
                <w:szCs w:val="20"/>
                <w:color w:val="auto"/>
              </w:rPr>
            </w:pPr>
            <w:r>
              <w:rPr>
                <w:rFonts w:ascii="Arial" w:cs="Arial" w:eastAsia="Arial" w:hAnsi="Arial"/>
                <w:sz w:val="15"/>
                <w:szCs w:val="15"/>
                <w:color w:val="auto"/>
                <w:w w:val="95"/>
              </w:rPr>
              <w:t>$</w:t>
            </w:r>
          </w:p>
        </w:tc>
        <w:tc>
          <w:tcPr>
            <w:tcW w:w="1400" w:type="dxa"/>
            <w:vAlign w:val="bottom"/>
          </w:tcPr>
          <w:p>
            <w:pPr>
              <w:jc w:val="right"/>
              <w:spacing w:after="0"/>
              <w:rPr>
                <w:sz w:val="20"/>
                <w:szCs w:val="20"/>
                <w:color w:val="auto"/>
              </w:rPr>
            </w:pPr>
            <w:r>
              <w:rPr>
                <w:rFonts w:ascii="Arial" w:cs="Arial" w:eastAsia="Arial" w:hAnsi="Arial"/>
                <w:sz w:val="15"/>
                <w:szCs w:val="15"/>
                <w:color w:val="auto"/>
              </w:rPr>
              <w:t>193,521</w:t>
            </w:r>
          </w:p>
        </w:tc>
      </w:tr>
      <w:tr>
        <w:trPr>
          <w:trHeight w:val="207"/>
        </w:trPr>
        <w:tc>
          <w:tcPr>
            <w:tcW w:w="7100" w:type="dxa"/>
            <w:vAlign w:val="bottom"/>
            <w:gridSpan w:val="2"/>
          </w:tcPr>
          <w:p>
            <w:pPr>
              <w:spacing w:after="0"/>
              <w:rPr>
                <w:sz w:val="20"/>
                <w:szCs w:val="20"/>
                <w:color w:val="auto"/>
              </w:rPr>
            </w:pPr>
            <w:r>
              <w:rPr>
                <w:rFonts w:ascii="Arial" w:cs="Arial" w:eastAsia="Arial" w:hAnsi="Arial"/>
                <w:sz w:val="15"/>
                <w:szCs w:val="15"/>
                <w:color w:val="auto"/>
              </w:rPr>
              <w:t>Evergreen</w:t>
            </w:r>
          </w:p>
        </w:tc>
        <w:tc>
          <w:tcPr>
            <w:tcW w:w="18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ind w:right="10"/>
              <w:spacing w:after="0"/>
              <w:rPr>
                <w:sz w:val="20"/>
                <w:szCs w:val="20"/>
                <w:color w:val="auto"/>
              </w:rPr>
            </w:pPr>
            <w:r>
              <w:rPr>
                <w:rFonts w:ascii="Arial" w:cs="Arial" w:eastAsia="Arial" w:hAnsi="Arial"/>
                <w:sz w:val="15"/>
                <w:szCs w:val="15"/>
                <w:color w:val="auto"/>
              </w:rPr>
              <w:t>71,276</w:t>
            </w:r>
          </w:p>
        </w:tc>
        <w:tc>
          <w:tcPr>
            <w:tcW w:w="24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46,265</w:t>
            </w:r>
          </w:p>
        </w:tc>
      </w:tr>
      <w:tr>
        <w:trPr>
          <w:trHeight w:val="200"/>
        </w:trPr>
        <w:tc>
          <w:tcPr>
            <w:tcW w:w="7100" w:type="dxa"/>
            <w:vAlign w:val="bottom"/>
            <w:gridSpan w:val="2"/>
          </w:tcPr>
          <w:p>
            <w:pPr>
              <w:spacing w:after="0"/>
              <w:rPr>
                <w:sz w:val="20"/>
                <w:szCs w:val="20"/>
                <w:color w:val="auto"/>
              </w:rPr>
            </w:pPr>
            <w:r>
              <w:rPr>
                <w:rFonts w:ascii="Arial" w:cs="Arial" w:eastAsia="Arial" w:hAnsi="Arial"/>
                <w:sz w:val="15"/>
                <w:szCs w:val="15"/>
                <w:color w:val="auto"/>
              </w:rPr>
              <w:t>Total</w:t>
            </w:r>
          </w:p>
        </w:tc>
        <w:tc>
          <w:tcPr>
            <w:tcW w:w="18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w w:val="95"/>
              </w:rPr>
              <w:t>$</w:t>
            </w:r>
          </w:p>
        </w:tc>
        <w:tc>
          <w:tcPr>
            <w:tcW w:w="1600" w:type="dxa"/>
            <w:vAlign w:val="bottom"/>
            <w:tcBorders>
              <w:bottom w:val="single" w:sz="8" w:color="auto"/>
            </w:tcBorders>
          </w:tcPr>
          <w:p>
            <w:pPr>
              <w:jc w:val="right"/>
              <w:ind w:right="10"/>
              <w:spacing w:after="0"/>
              <w:rPr>
                <w:sz w:val="20"/>
                <w:szCs w:val="20"/>
                <w:color w:val="auto"/>
              </w:rPr>
            </w:pPr>
            <w:r>
              <w:rPr>
                <w:rFonts w:ascii="Arial" w:cs="Arial" w:eastAsia="Arial" w:hAnsi="Arial"/>
                <w:sz w:val="15"/>
                <w:szCs w:val="15"/>
                <w:color w:val="auto"/>
              </w:rPr>
              <w:t>411,478</w:t>
            </w:r>
          </w:p>
        </w:tc>
        <w:tc>
          <w:tcPr>
            <w:tcW w:w="240" w:type="dxa"/>
            <w:vAlign w:val="bottom"/>
          </w:tcPr>
          <w:p>
            <w:pPr>
              <w:spacing w:after="0"/>
              <w:rPr>
                <w:sz w:val="17"/>
                <w:szCs w:val="17"/>
                <w:color w:val="auto"/>
              </w:rPr>
            </w:pPr>
          </w:p>
        </w:tc>
        <w:tc>
          <w:tcPr>
            <w:tcW w:w="360" w:type="dxa"/>
            <w:vAlign w:val="bottom"/>
            <w:tcBorders>
              <w:bottom w:val="single" w:sz="8" w:color="auto"/>
            </w:tcBorders>
          </w:tcPr>
          <w:p>
            <w:pPr>
              <w:jc w:val="right"/>
              <w:ind w:right="188"/>
              <w:spacing w:after="0"/>
              <w:rPr>
                <w:sz w:val="20"/>
                <w:szCs w:val="20"/>
                <w:color w:val="auto"/>
              </w:rPr>
            </w:pPr>
            <w:r>
              <w:rPr>
                <w:rFonts w:ascii="Arial" w:cs="Arial" w:eastAsia="Arial" w:hAnsi="Arial"/>
                <w:sz w:val="15"/>
                <w:szCs w:val="15"/>
                <w:color w:val="auto"/>
                <w:w w:val="95"/>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239,786</w:t>
            </w:r>
          </w:p>
        </w:tc>
      </w:tr>
      <w:tr>
        <w:trPr>
          <w:trHeight w:val="20"/>
        </w:trPr>
        <w:tc>
          <w:tcPr>
            <w:tcW w:w="112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31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Contract Balances</w:t>
      </w:r>
    </w:p>
    <w:p>
      <w:pPr>
        <w:spacing w:after="0" w:line="155" w:lineRule="exact"/>
        <w:rPr>
          <w:sz w:val="20"/>
          <w:szCs w:val="20"/>
          <w:color w:val="auto"/>
        </w:rPr>
      </w:pPr>
    </w:p>
    <w:p>
      <w:pPr>
        <w:ind w:firstLine="619"/>
        <w:spacing w:after="0" w:line="246" w:lineRule="auto"/>
        <w:rPr>
          <w:sz w:val="20"/>
          <w:szCs w:val="20"/>
          <w:color w:val="auto"/>
        </w:rPr>
      </w:pPr>
      <w:r>
        <w:rPr>
          <w:rFonts w:ascii="Arial" w:cs="Arial" w:eastAsia="Arial" w:hAnsi="Arial"/>
          <w:sz w:val="17"/>
          <w:szCs w:val="17"/>
          <w:color w:val="auto"/>
        </w:rPr>
        <w:t>Incentive income is received generally after all contributed capital and the preferred return on that capital have been distributed to the fund’s investors. Contract assets relate to the Company’s conditional right to receive payment for its performance completed under the contract. Receivables are recorded when the right to consideration becomes unconditional (i.e., only requires the passage of time). Contract liabilities (i.e., deferred revenues) relate to payments received in advance of performance under the contract. Contract liabilities are recognized as revenues when the Company provides investment management services.</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17</w:t>
      </w:r>
    </w:p>
    <w:p>
      <w:pPr>
        <w:sectPr>
          <w:pgSz w:w="11900" w:h="16838" w:orient="portrait"/>
          <w:cols w:equalWidth="0" w:num="1">
            <w:col w:w="11240"/>
          </w:cols>
          <w:pgMar w:left="320" w:top="353" w:right="339" w:bottom="1440" w:gutter="0" w:footer="0" w:header="0"/>
        </w:sectPr>
      </w:pPr>
    </w:p>
    <w:bookmarkStart w:id="157" w:name="page158"/>
    <w:bookmarkEnd w:id="157"/>
    <w:p>
      <w:pPr>
        <w:jc w:val="center"/>
        <w:spacing w:after="0"/>
        <w:rPr>
          <w:sz w:val="20"/>
          <w:szCs w:val="20"/>
          <w:color w:val="auto"/>
        </w:rPr>
      </w:pPr>
      <w:r>
        <w:rPr>
          <w:rFonts w:ascii="Arial" w:cs="Arial" w:eastAsia="Arial" w:hAnsi="Arial"/>
          <w:sz w:val="17"/>
          <w:szCs w:val="17"/>
          <w:b w:val="1"/>
          <w:bCs w:val="1"/>
          <w:color w:val="auto"/>
        </w:rPr>
        <w:t>Oaktree Capital I, L.P.</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 (Continued)</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December 31, 2025</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 in thousands, except where noted)</w:t>
      </w:r>
    </w:p>
    <w:p>
      <w:pPr>
        <w:spacing w:after="0" w:line="200" w:lineRule="exact"/>
        <w:rPr>
          <w:sz w:val="20"/>
          <w:szCs w:val="20"/>
          <w:color w:val="auto"/>
        </w:rPr>
      </w:pPr>
    </w:p>
    <w:p>
      <w:pPr>
        <w:spacing w:after="0" w:line="349"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table below sets forth contract balances for the periods indicated:</w:t>
      </w:r>
    </w:p>
    <w:p>
      <w:pPr>
        <w:spacing w:after="0" w:line="49" w:lineRule="exact"/>
        <w:rPr>
          <w:sz w:val="20"/>
          <w:szCs w:val="20"/>
          <w:color w:val="auto"/>
        </w:rPr>
      </w:pPr>
    </w:p>
    <w:tbl>
      <w:tblPr>
        <w:tblLayout w:type="fixed"/>
        <w:tblInd w:w="20" w:type="dxa"/>
        <w:tblCellMar>
          <w:top w:w="0" w:type="dxa"/>
          <w:left w:w="0" w:type="dxa"/>
          <w:bottom w:w="0" w:type="dxa"/>
          <w:right w:w="0" w:type="dxa"/>
        </w:tblCellMar>
      </w:tblPr>
      <w:tr>
        <w:trPr>
          <w:trHeight w:val="169"/>
        </w:trPr>
        <w:tc>
          <w:tcPr>
            <w:tcW w:w="7360" w:type="dxa"/>
            <w:vAlign w:val="bottom"/>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3"/>
          </w:tcPr>
          <w:p>
            <w:pPr>
              <w:jc w:val="right"/>
              <w:ind w:right="83"/>
              <w:spacing w:after="0"/>
              <w:rPr>
                <w:sz w:val="20"/>
                <w:szCs w:val="20"/>
                <w:color w:val="auto"/>
              </w:rPr>
            </w:pPr>
            <w:r>
              <w:rPr>
                <w:rFonts w:ascii="Arial" w:cs="Arial" w:eastAsia="Arial" w:hAnsi="Arial"/>
                <w:sz w:val="12"/>
                <w:szCs w:val="12"/>
                <w:b w:val="1"/>
                <w:bCs w:val="1"/>
                <w:color w:val="auto"/>
              </w:rPr>
              <w:t>As of December 31,</w:t>
            </w:r>
          </w:p>
        </w:tc>
        <w:tc>
          <w:tcPr>
            <w:tcW w:w="1160" w:type="dxa"/>
            <w:vAlign w:val="bottom"/>
            <w:tcBorders>
              <w:bottom w:val="single" w:sz="8" w:color="auto"/>
            </w:tcBorders>
          </w:tcPr>
          <w:p>
            <w:pPr>
              <w:spacing w:after="0"/>
              <w:rPr>
                <w:sz w:val="14"/>
                <w:szCs w:val="14"/>
                <w:color w:val="auto"/>
              </w:rPr>
            </w:pPr>
          </w:p>
        </w:tc>
      </w:tr>
      <w:tr>
        <w:trPr>
          <w:trHeight w:val="163"/>
        </w:trPr>
        <w:tc>
          <w:tcPr>
            <w:tcW w:w="7360" w:type="dxa"/>
            <w:vAlign w:val="bottom"/>
          </w:tcPr>
          <w:p>
            <w:pPr>
              <w:spacing w:after="0"/>
              <w:rPr>
                <w:sz w:val="14"/>
                <w:szCs w:val="14"/>
                <w:color w:val="auto"/>
              </w:rPr>
            </w:pPr>
          </w:p>
        </w:tc>
        <w:tc>
          <w:tcPr>
            <w:tcW w:w="1120" w:type="dxa"/>
            <w:vAlign w:val="bottom"/>
            <w:tcBorders>
              <w:bottom w:val="single" w:sz="8" w:color="auto"/>
            </w:tcBorders>
          </w:tcPr>
          <w:p>
            <w:pPr>
              <w:jc w:val="right"/>
              <w:ind w:right="31"/>
              <w:spacing w:after="0"/>
              <w:rPr>
                <w:sz w:val="20"/>
                <w:szCs w:val="20"/>
                <w:color w:val="auto"/>
              </w:rPr>
            </w:pPr>
            <w:r>
              <w:rPr>
                <w:rFonts w:ascii="Arial" w:cs="Arial" w:eastAsia="Arial" w:hAnsi="Arial"/>
                <w:sz w:val="12"/>
                <w:szCs w:val="12"/>
                <w:b w:val="1"/>
                <w:bCs w:val="1"/>
                <w:color w:val="auto"/>
              </w:rPr>
              <w:t>2025</w:t>
            </w:r>
          </w:p>
        </w:tc>
        <w:tc>
          <w:tcPr>
            <w:tcW w:w="64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667"/>
              <w:spacing w:after="0"/>
              <w:rPr>
                <w:sz w:val="20"/>
                <w:szCs w:val="20"/>
                <w:color w:val="auto"/>
              </w:rPr>
            </w:pPr>
            <w:r>
              <w:rPr>
                <w:rFonts w:ascii="Arial" w:cs="Arial" w:eastAsia="Arial" w:hAnsi="Arial"/>
                <w:sz w:val="12"/>
                <w:szCs w:val="12"/>
                <w:b w:val="1"/>
                <w:bCs w:val="1"/>
                <w:color w:val="auto"/>
              </w:rPr>
              <w:t>2024</w:t>
            </w:r>
          </w:p>
        </w:tc>
      </w:tr>
      <w:tr>
        <w:trPr>
          <w:trHeight w:val="328"/>
        </w:trPr>
        <w:tc>
          <w:tcPr>
            <w:tcW w:w="7360" w:type="dxa"/>
            <w:vAlign w:val="bottom"/>
          </w:tcPr>
          <w:p>
            <w:pPr>
              <w:spacing w:after="0"/>
              <w:rPr>
                <w:sz w:val="20"/>
                <w:szCs w:val="20"/>
                <w:color w:val="auto"/>
              </w:rPr>
            </w:pPr>
            <w:r>
              <w:rPr>
                <w:rFonts w:ascii="Arial" w:cs="Arial" w:eastAsia="Arial" w:hAnsi="Arial"/>
                <w:sz w:val="15"/>
                <w:szCs w:val="15"/>
                <w:color w:val="auto"/>
              </w:rPr>
              <w:t>Receivables</w:t>
            </w:r>
          </w:p>
        </w:tc>
        <w:tc>
          <w:tcPr>
            <w:tcW w:w="1120" w:type="dxa"/>
            <w:vAlign w:val="bottom"/>
          </w:tcPr>
          <w:p>
            <w:pPr>
              <w:jc w:val="right"/>
              <w:ind w:right="951"/>
              <w:spacing w:after="0"/>
              <w:rPr>
                <w:sz w:val="20"/>
                <w:szCs w:val="20"/>
                <w:color w:val="auto"/>
              </w:rPr>
            </w:pPr>
            <w:r>
              <w:rPr>
                <w:rFonts w:ascii="Arial" w:cs="Arial" w:eastAsia="Arial" w:hAnsi="Arial"/>
                <w:sz w:val="15"/>
                <w:szCs w:val="15"/>
                <w:color w:val="auto"/>
                <w:w w:val="95"/>
              </w:rPr>
              <w:t>$</w:t>
            </w:r>
          </w:p>
        </w:tc>
        <w:tc>
          <w:tcPr>
            <w:tcW w:w="640" w:type="dxa"/>
            <w:vAlign w:val="bottom"/>
          </w:tcPr>
          <w:p>
            <w:pPr>
              <w:jc w:val="right"/>
              <w:spacing w:after="0"/>
              <w:rPr>
                <w:sz w:val="20"/>
                <w:szCs w:val="20"/>
                <w:color w:val="auto"/>
              </w:rPr>
            </w:pPr>
            <w:r>
              <w:rPr>
                <w:rFonts w:ascii="Arial" w:cs="Arial" w:eastAsia="Arial" w:hAnsi="Arial"/>
                <w:sz w:val="15"/>
                <w:szCs w:val="15"/>
                <w:color w:val="auto"/>
              </w:rPr>
              <w:t>55,735</w:t>
            </w:r>
          </w:p>
        </w:tc>
        <w:tc>
          <w:tcPr>
            <w:tcW w:w="240" w:type="dxa"/>
            <w:vAlign w:val="bottom"/>
          </w:tcPr>
          <w:p>
            <w:pPr>
              <w:spacing w:after="0"/>
              <w:rPr>
                <w:sz w:val="24"/>
                <w:szCs w:val="24"/>
                <w:color w:val="auto"/>
              </w:rPr>
            </w:pPr>
          </w:p>
        </w:tc>
        <w:tc>
          <w:tcPr>
            <w:tcW w:w="600" w:type="dxa"/>
            <w:vAlign w:val="bottom"/>
          </w:tcPr>
          <w:p>
            <w:pPr>
              <w:jc w:val="right"/>
              <w:ind w:right="423"/>
              <w:spacing w:after="0"/>
              <w:rPr>
                <w:sz w:val="20"/>
                <w:szCs w:val="20"/>
                <w:color w:val="auto"/>
              </w:rPr>
            </w:pPr>
            <w:r>
              <w:rPr>
                <w:rFonts w:ascii="Arial" w:cs="Arial" w:eastAsia="Arial" w:hAnsi="Arial"/>
                <w:sz w:val="15"/>
                <w:szCs w:val="15"/>
                <w:color w:val="auto"/>
                <w:w w:val="95"/>
              </w:rPr>
              <w:t>$</w:t>
            </w:r>
          </w:p>
        </w:tc>
        <w:tc>
          <w:tcPr>
            <w:tcW w:w="1160" w:type="dxa"/>
            <w:vAlign w:val="bottom"/>
          </w:tcPr>
          <w:p>
            <w:pPr>
              <w:jc w:val="right"/>
              <w:spacing w:after="0"/>
              <w:rPr>
                <w:sz w:val="20"/>
                <w:szCs w:val="20"/>
                <w:color w:val="auto"/>
              </w:rPr>
            </w:pPr>
            <w:r>
              <w:rPr>
                <w:rFonts w:ascii="Arial" w:cs="Arial" w:eastAsia="Arial" w:hAnsi="Arial"/>
                <w:sz w:val="15"/>
                <w:szCs w:val="15"/>
                <w:color w:val="auto"/>
              </w:rPr>
              <w:t>65,700</w:t>
            </w:r>
          </w:p>
        </w:tc>
      </w:tr>
      <w:tr>
        <w:trPr>
          <w:trHeight w:val="209"/>
        </w:trPr>
        <w:tc>
          <w:tcPr>
            <w:tcW w:w="7360" w:type="dxa"/>
            <w:vAlign w:val="bottom"/>
          </w:tcPr>
          <w:p>
            <w:pPr>
              <w:spacing w:after="0" w:line="208" w:lineRule="exact"/>
              <w:rPr>
                <w:sz w:val="20"/>
                <w:szCs w:val="20"/>
                <w:color w:val="auto"/>
              </w:rPr>
            </w:pPr>
            <w:r>
              <w:rPr>
                <w:rFonts w:ascii="Arial" w:cs="Arial" w:eastAsia="Arial" w:hAnsi="Arial"/>
                <w:sz w:val="15"/>
                <w:szCs w:val="15"/>
                <w:color w:val="auto"/>
              </w:rPr>
              <w:t xml:space="preserve">Contract assets </w:t>
            </w:r>
            <w:r>
              <w:rPr>
                <w:rFonts w:ascii="Arial" w:cs="Arial" w:eastAsia="Arial" w:hAnsi="Arial"/>
                <w:sz w:val="20"/>
                <w:szCs w:val="20"/>
                <w:color w:val="auto"/>
                <w:vertAlign w:val="superscript"/>
              </w:rPr>
              <w:t>(1)</w:t>
            </w:r>
          </w:p>
        </w:tc>
        <w:tc>
          <w:tcPr>
            <w:tcW w:w="1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84,789</w:t>
            </w: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153,058</w:t>
            </w:r>
          </w:p>
        </w:tc>
      </w:tr>
      <w:tr>
        <w:trPr>
          <w:trHeight w:val="271"/>
        </w:trPr>
        <w:tc>
          <w:tcPr>
            <w:tcW w:w="7360" w:type="dxa"/>
            <w:vAlign w:val="bottom"/>
          </w:tcPr>
          <w:p>
            <w:pPr>
              <w:spacing w:after="0"/>
              <w:rPr>
                <w:sz w:val="20"/>
                <w:szCs w:val="20"/>
                <w:color w:val="auto"/>
              </w:rPr>
            </w:pPr>
            <w:r>
              <w:rPr>
                <w:rFonts w:ascii="Arial" w:cs="Arial" w:eastAsia="Arial" w:hAnsi="Arial"/>
                <w:sz w:val="15"/>
                <w:szCs w:val="15"/>
                <w:color w:val="auto"/>
              </w:rPr>
              <w:t xml:space="preserve">Contract liabilities </w:t>
            </w:r>
            <w:r>
              <w:rPr>
                <w:rFonts w:ascii="Arial" w:cs="Arial" w:eastAsia="Arial" w:hAnsi="Arial"/>
                <w:sz w:val="20"/>
                <w:szCs w:val="20"/>
                <w:color w:val="auto"/>
                <w:vertAlign w:val="superscript"/>
              </w:rPr>
              <w:t>(2)</w:t>
            </w:r>
          </w:p>
        </w:tc>
        <w:tc>
          <w:tcPr>
            <w:tcW w:w="1120" w:type="dxa"/>
            <w:vAlign w:val="bottom"/>
          </w:tcPr>
          <w:p>
            <w:pPr>
              <w:spacing w:after="0"/>
              <w:rPr>
                <w:sz w:val="23"/>
                <w:szCs w:val="23"/>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5"/>
                <w:szCs w:val="15"/>
                <w:color w:val="auto"/>
              </w:rPr>
              <w:t>—</w:t>
            </w:r>
          </w:p>
        </w:tc>
        <w:tc>
          <w:tcPr>
            <w:tcW w:w="6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(525)</w:t>
            </w:r>
          </w:p>
        </w:tc>
      </w:tr>
    </w:tbl>
    <w:p>
      <w:pPr>
        <w:spacing w:after="0" w:line="219" w:lineRule="exact"/>
        <w:rPr>
          <w:sz w:val="20"/>
          <w:szCs w:val="20"/>
          <w:color w:val="auto"/>
        </w:rPr>
      </w:pPr>
    </w:p>
    <w:p>
      <w:pPr>
        <w:ind w:left="360" w:hanging="357"/>
        <w:spacing w:after="0"/>
        <w:tabs>
          <w:tab w:leader="none" w:pos="360" w:val="left"/>
        </w:tabs>
        <w:numPr>
          <w:ilvl w:val="0"/>
          <w:numId w:val="62"/>
        </w:numPr>
        <w:rPr>
          <w:rFonts w:ascii="Arial" w:cs="Arial" w:eastAsia="Arial" w:hAnsi="Arial"/>
          <w:sz w:val="15"/>
          <w:szCs w:val="15"/>
          <w:color w:val="auto"/>
        </w:rPr>
      </w:pPr>
      <w:r>
        <w:rPr>
          <w:rFonts w:ascii="Arial" w:cs="Arial" w:eastAsia="Arial" w:hAnsi="Arial"/>
          <w:sz w:val="15"/>
          <w:szCs w:val="15"/>
          <w:color w:val="auto"/>
        </w:rPr>
        <w:t>The changes in the balances primarily relate to accruals, net of payments received.</w:t>
      </w:r>
    </w:p>
    <w:p>
      <w:pPr>
        <w:spacing w:after="0" w:line="72" w:lineRule="exact"/>
        <w:rPr>
          <w:rFonts w:ascii="Arial" w:cs="Arial" w:eastAsia="Arial" w:hAnsi="Arial"/>
          <w:sz w:val="15"/>
          <w:szCs w:val="15"/>
          <w:color w:val="auto"/>
        </w:rPr>
      </w:pPr>
    </w:p>
    <w:p>
      <w:pPr>
        <w:ind w:left="380" w:right="180" w:hanging="377"/>
        <w:spacing w:after="0" w:line="294" w:lineRule="auto"/>
        <w:tabs>
          <w:tab w:leader="none" w:pos="397" w:val="left"/>
        </w:tabs>
        <w:numPr>
          <w:ilvl w:val="0"/>
          <w:numId w:val="62"/>
        </w:numPr>
        <w:rPr>
          <w:rFonts w:ascii="Arial" w:cs="Arial" w:eastAsia="Arial" w:hAnsi="Arial"/>
          <w:sz w:val="15"/>
          <w:szCs w:val="15"/>
          <w:color w:val="auto"/>
        </w:rPr>
      </w:pPr>
      <w:r>
        <w:rPr>
          <w:rFonts w:ascii="Arial" w:cs="Arial" w:eastAsia="Arial" w:hAnsi="Arial"/>
          <w:sz w:val="15"/>
          <w:szCs w:val="15"/>
          <w:color w:val="auto"/>
        </w:rPr>
        <w:t>Revenue recognized for the twelve months ended December 31, 2025 and the six months ended December 31, 2024 from amounts included in the contract liability balance were $0.6 million and $0.5 million, respectively.</w:t>
      </w:r>
    </w:p>
    <w:p>
      <w:pPr>
        <w:spacing w:after="0" w:line="8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4. VARIABLE INTEREST ENTITIES</w:t>
      </w:r>
    </w:p>
    <w:p>
      <w:pPr>
        <w:spacing w:after="0" w:line="168" w:lineRule="exact"/>
        <w:rPr>
          <w:sz w:val="20"/>
          <w:szCs w:val="20"/>
          <w:color w:val="auto"/>
        </w:rPr>
      </w:pPr>
    </w:p>
    <w:p>
      <w:pPr>
        <w:ind w:firstLine="619"/>
        <w:spacing w:after="0" w:line="259" w:lineRule="auto"/>
        <w:rPr>
          <w:sz w:val="20"/>
          <w:szCs w:val="20"/>
          <w:color w:val="auto"/>
        </w:rPr>
      </w:pPr>
      <w:r>
        <w:rPr>
          <w:rFonts w:ascii="Arial" w:cs="Arial" w:eastAsia="Arial" w:hAnsi="Arial"/>
          <w:sz w:val="17"/>
          <w:szCs w:val="17"/>
          <w:color w:val="auto"/>
        </w:rPr>
        <w:t>The Company consolidates VIEs for which it is the primary beneficiary. VIEs include funds managed by Oaktree and CLOs for which Oaktree acts as collateral manager. The purpose of these VIEs is to provide investment opportunities for investors in exchange for management fees and, in certain cases, performance-based fees. While the investment strategies of the funds and CLOs differ by product, in general the fundamental risks of the funds and CLOs have similar characteristics, including loss of invested capital and reduction or absence of management and performance-based fees. As general partner or collateral manager, respectively, Oaktree generally considers itself the sponsor of the applicable fund or CLO. The Company does not provide performance guarantees and, other than capital commitments, has no financial obligation to provide funding to VIEs.</w:t>
      </w:r>
    </w:p>
    <w:p>
      <w:pPr>
        <w:spacing w:after="0" w:line="33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Consolidated VIEs</w:t>
      </w:r>
    </w:p>
    <w:p>
      <w:pPr>
        <w:spacing w:after="0" w:line="168" w:lineRule="exact"/>
        <w:rPr>
          <w:sz w:val="20"/>
          <w:szCs w:val="20"/>
          <w:color w:val="auto"/>
        </w:rPr>
      </w:pPr>
    </w:p>
    <w:p>
      <w:pPr>
        <w:ind w:right="340" w:firstLine="619"/>
        <w:spacing w:after="0" w:line="271" w:lineRule="auto"/>
        <w:rPr>
          <w:sz w:val="20"/>
          <w:szCs w:val="20"/>
          <w:color w:val="auto"/>
        </w:rPr>
      </w:pPr>
      <w:r>
        <w:rPr>
          <w:rFonts w:ascii="Arial" w:cs="Arial" w:eastAsia="Arial" w:hAnsi="Arial"/>
          <w:sz w:val="17"/>
          <w:szCs w:val="17"/>
          <w:color w:val="auto"/>
        </w:rPr>
        <w:t>As of December 31, 2025, the Company consolidated 17 VIEs for which it was the primary beneficiary, including 9 funds managed by Oaktree and 8 CLOs for which Oaktree serves as collateral manager. As of December 31, 2024, the Company consolidated 10 VIEs for which it was the primary beneficiary, including 6 funds managed by Oaktree and 4 CLOs for which Oaktree serves as collateral manager.</w:t>
      </w:r>
    </w:p>
    <w:p>
      <w:pPr>
        <w:spacing w:after="0" w:line="331" w:lineRule="exact"/>
        <w:rPr>
          <w:sz w:val="20"/>
          <w:szCs w:val="20"/>
          <w:color w:val="auto"/>
        </w:rPr>
      </w:pPr>
    </w:p>
    <w:p>
      <w:pPr>
        <w:ind w:right="20" w:firstLine="619"/>
        <w:spacing w:after="0" w:line="244" w:lineRule="auto"/>
        <w:rPr>
          <w:sz w:val="20"/>
          <w:szCs w:val="20"/>
          <w:color w:val="auto"/>
        </w:rPr>
      </w:pPr>
      <w:r>
        <w:rPr>
          <w:rFonts w:ascii="Arial" w:cs="Arial" w:eastAsia="Arial" w:hAnsi="Arial"/>
          <w:sz w:val="17"/>
          <w:szCs w:val="17"/>
          <w:color w:val="auto"/>
        </w:rPr>
        <w:t>As of December 31, 2025, the assets and liabilities of the 17 consolidated VIEs amounted to $5.3 billion and $3.8 billion, respectively. As of December 31, 2024, the assets and liabilities of the 10 consolidated VIEs amounted to $ 2.9 billion and $2.0 billion, respectively. The assets of these consolidated VIEs primarily consisted of investments in debt and equity securities, while their liabilities primarily represented debt obligations issued by consolidated funds. The assets of these VIEs may be used only to settle obligations of the same VIE. In addition, there is no recourse to the Company for the VIEs’ liabilities. As of December 31, 2025 and 2024, the Company’s investments in consolidated VIEs had a carrying value of $0.4 billion and $0.3 billion, respectively, which represented its maximum risk of loss as of that date.</w:t>
      </w:r>
    </w:p>
    <w:p>
      <w:pPr>
        <w:spacing w:after="0" w:line="13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Unconsolidated VIEs</w:t>
      </w:r>
    </w:p>
    <w:p>
      <w:pPr>
        <w:spacing w:after="0" w:line="167" w:lineRule="exact"/>
        <w:rPr>
          <w:sz w:val="20"/>
          <w:szCs w:val="20"/>
          <w:color w:val="auto"/>
        </w:rPr>
      </w:pPr>
    </w:p>
    <w:p>
      <w:pPr>
        <w:ind w:right="360" w:firstLine="619"/>
        <w:spacing w:after="0" w:line="271" w:lineRule="auto"/>
        <w:rPr>
          <w:sz w:val="20"/>
          <w:szCs w:val="20"/>
          <w:color w:val="auto"/>
        </w:rPr>
      </w:pPr>
      <w:r>
        <w:rPr>
          <w:rFonts w:ascii="Arial" w:cs="Arial" w:eastAsia="Arial" w:hAnsi="Arial"/>
          <w:sz w:val="17"/>
          <w:szCs w:val="17"/>
          <w:color w:val="auto"/>
        </w:rPr>
        <w:t>The Company holds variable interests in certain VIEs in the form of direct equity interests that are not consolidated because it is not the primary beneficiary, inasmuch as Oaktree’s fee arrangements are considered at-market and it does not hold interests in those entities that are considered more than insignificant.</w:t>
      </w:r>
    </w:p>
    <w:p>
      <w:pPr>
        <w:spacing w:after="0" w:line="111"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carrying value of the Company’s investments in VIEs that were not consolidated are shown below.</w:t>
      </w:r>
    </w:p>
    <w:p>
      <w:pPr>
        <w:spacing w:after="0" w:line="49" w:lineRule="exact"/>
        <w:rPr>
          <w:sz w:val="20"/>
          <w:szCs w:val="20"/>
          <w:color w:val="auto"/>
        </w:rPr>
      </w:pPr>
    </w:p>
    <w:tbl>
      <w:tblPr>
        <w:tblLayout w:type="fixed"/>
        <w:tblInd w:w="20" w:type="dxa"/>
        <w:tblCellMar>
          <w:top w:w="0" w:type="dxa"/>
          <w:left w:w="0" w:type="dxa"/>
          <w:bottom w:w="0" w:type="dxa"/>
          <w:right w:w="0" w:type="dxa"/>
        </w:tblCellMar>
      </w:tblPr>
      <w:tr>
        <w:trPr>
          <w:trHeight w:val="169"/>
        </w:trPr>
        <w:tc>
          <w:tcPr>
            <w:tcW w:w="7480" w:type="dxa"/>
            <w:vAlign w:val="bottom"/>
          </w:tcPr>
          <w:p>
            <w:pPr>
              <w:spacing w:after="0"/>
              <w:rPr>
                <w:sz w:val="14"/>
                <w:szCs w:val="14"/>
                <w:color w:val="auto"/>
              </w:rPr>
            </w:pPr>
          </w:p>
        </w:tc>
        <w:tc>
          <w:tcPr>
            <w:tcW w:w="3740" w:type="dxa"/>
            <w:vAlign w:val="bottom"/>
            <w:tcBorders>
              <w:bottom w:val="single" w:sz="8" w:color="auto"/>
            </w:tcBorders>
            <w:gridSpan w:val="5"/>
          </w:tcPr>
          <w:p>
            <w:pPr>
              <w:jc w:val="right"/>
              <w:ind w:right="807"/>
              <w:spacing w:after="0"/>
              <w:rPr>
                <w:sz w:val="20"/>
                <w:szCs w:val="20"/>
                <w:color w:val="auto"/>
              </w:rPr>
            </w:pPr>
            <w:r>
              <w:rPr>
                <w:rFonts w:ascii="Arial" w:cs="Arial" w:eastAsia="Arial" w:hAnsi="Arial"/>
                <w:sz w:val="12"/>
                <w:szCs w:val="12"/>
                <w:b w:val="1"/>
                <w:bCs w:val="1"/>
                <w:color w:val="auto"/>
              </w:rPr>
              <w:t>Carrying Value as of December 31,</w:t>
            </w:r>
          </w:p>
        </w:tc>
      </w:tr>
      <w:tr>
        <w:trPr>
          <w:trHeight w:val="163"/>
        </w:trPr>
        <w:tc>
          <w:tcPr>
            <w:tcW w:w="7480" w:type="dxa"/>
            <w:vAlign w:val="bottom"/>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2025</w:t>
            </w:r>
          </w:p>
        </w:tc>
        <w:tc>
          <w:tcPr>
            <w:tcW w:w="7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667"/>
              <w:spacing w:after="0"/>
              <w:rPr>
                <w:sz w:val="20"/>
                <w:szCs w:val="20"/>
                <w:color w:val="auto"/>
              </w:rPr>
            </w:pPr>
            <w:r>
              <w:rPr>
                <w:rFonts w:ascii="Arial" w:cs="Arial" w:eastAsia="Arial" w:hAnsi="Arial"/>
                <w:sz w:val="12"/>
                <w:szCs w:val="12"/>
                <w:b w:val="1"/>
                <w:bCs w:val="1"/>
                <w:color w:val="auto"/>
              </w:rPr>
              <w:t>2024</w:t>
            </w:r>
          </w:p>
        </w:tc>
      </w:tr>
      <w:tr>
        <w:trPr>
          <w:trHeight w:val="289"/>
        </w:trPr>
        <w:tc>
          <w:tcPr>
            <w:tcW w:w="7480" w:type="dxa"/>
            <w:vAlign w:val="bottom"/>
          </w:tcPr>
          <w:p>
            <w:pPr>
              <w:spacing w:after="0"/>
              <w:rPr>
                <w:sz w:val="20"/>
                <w:szCs w:val="20"/>
                <w:color w:val="auto"/>
              </w:rPr>
            </w:pPr>
            <w:r>
              <w:rPr>
                <w:rFonts w:ascii="Arial" w:cs="Arial" w:eastAsia="Arial" w:hAnsi="Arial"/>
                <w:sz w:val="15"/>
                <w:szCs w:val="15"/>
                <w:color w:val="auto"/>
              </w:rPr>
              <w:t>Corporate investments</w:t>
            </w:r>
          </w:p>
        </w:tc>
        <w:tc>
          <w:tcPr>
            <w:tcW w:w="1080" w:type="dxa"/>
            <w:vAlign w:val="bottom"/>
          </w:tcPr>
          <w:p>
            <w:pPr>
              <w:jc w:val="right"/>
              <w:ind w:right="911"/>
              <w:spacing w:after="0"/>
              <w:rPr>
                <w:sz w:val="20"/>
                <w:szCs w:val="20"/>
                <w:color w:val="auto"/>
              </w:rPr>
            </w:pPr>
            <w:r>
              <w:rPr>
                <w:rFonts w:ascii="Arial" w:cs="Arial" w:eastAsia="Arial" w:hAnsi="Arial"/>
                <w:sz w:val="15"/>
                <w:szCs w:val="15"/>
                <w:color w:val="auto"/>
                <w:w w:val="95"/>
              </w:rPr>
              <w:t>$</w:t>
            </w:r>
          </w:p>
        </w:tc>
        <w:tc>
          <w:tcPr>
            <w:tcW w:w="700" w:type="dxa"/>
            <w:vAlign w:val="bottom"/>
          </w:tcPr>
          <w:p>
            <w:pPr>
              <w:jc w:val="right"/>
              <w:ind w:right="3"/>
              <w:spacing w:after="0"/>
              <w:rPr>
                <w:sz w:val="20"/>
                <w:szCs w:val="20"/>
                <w:color w:val="auto"/>
              </w:rPr>
            </w:pPr>
            <w:r>
              <w:rPr>
                <w:rFonts w:ascii="Arial" w:cs="Arial" w:eastAsia="Arial" w:hAnsi="Arial"/>
                <w:sz w:val="15"/>
                <w:szCs w:val="15"/>
                <w:color w:val="auto"/>
              </w:rPr>
              <w:t>617,828</w:t>
            </w:r>
          </w:p>
        </w:tc>
        <w:tc>
          <w:tcPr>
            <w:tcW w:w="200" w:type="dxa"/>
            <w:vAlign w:val="bottom"/>
          </w:tcPr>
          <w:p>
            <w:pPr>
              <w:spacing w:after="0"/>
              <w:rPr>
                <w:sz w:val="24"/>
                <w:szCs w:val="24"/>
                <w:color w:val="auto"/>
              </w:rPr>
            </w:pPr>
          </w:p>
        </w:tc>
        <w:tc>
          <w:tcPr>
            <w:tcW w:w="420" w:type="dxa"/>
            <w:vAlign w:val="bottom"/>
          </w:tcPr>
          <w:p>
            <w:pPr>
              <w:jc w:val="right"/>
              <w:ind w:right="243"/>
              <w:spacing w:after="0"/>
              <w:rPr>
                <w:sz w:val="20"/>
                <w:szCs w:val="20"/>
                <w:color w:val="auto"/>
              </w:rPr>
            </w:pPr>
            <w:r>
              <w:rPr>
                <w:rFonts w:ascii="Arial" w:cs="Arial" w:eastAsia="Arial" w:hAnsi="Arial"/>
                <w:sz w:val="15"/>
                <w:szCs w:val="15"/>
                <w:color w:val="auto"/>
                <w:w w:val="95"/>
              </w:rPr>
              <w:t>$</w:t>
            </w:r>
          </w:p>
        </w:tc>
        <w:tc>
          <w:tcPr>
            <w:tcW w:w="1340" w:type="dxa"/>
            <w:vAlign w:val="bottom"/>
          </w:tcPr>
          <w:p>
            <w:pPr>
              <w:jc w:val="right"/>
              <w:spacing w:after="0"/>
              <w:rPr>
                <w:sz w:val="20"/>
                <w:szCs w:val="20"/>
                <w:color w:val="auto"/>
              </w:rPr>
            </w:pPr>
            <w:r>
              <w:rPr>
                <w:rFonts w:ascii="Arial" w:cs="Arial" w:eastAsia="Arial" w:hAnsi="Arial"/>
                <w:sz w:val="15"/>
                <w:szCs w:val="15"/>
                <w:color w:val="auto"/>
              </w:rPr>
              <w:t>849,881</w:t>
            </w:r>
          </w:p>
        </w:tc>
      </w:tr>
      <w:tr>
        <w:trPr>
          <w:trHeight w:val="207"/>
        </w:trPr>
        <w:tc>
          <w:tcPr>
            <w:tcW w:w="7480" w:type="dxa"/>
            <w:vAlign w:val="bottom"/>
          </w:tcPr>
          <w:p>
            <w:pPr>
              <w:spacing w:after="0"/>
              <w:rPr>
                <w:sz w:val="20"/>
                <w:szCs w:val="20"/>
                <w:color w:val="auto"/>
              </w:rPr>
            </w:pPr>
            <w:r>
              <w:rPr>
                <w:rFonts w:ascii="Arial" w:cs="Arial" w:eastAsia="Arial" w:hAnsi="Arial"/>
                <w:sz w:val="15"/>
                <w:szCs w:val="15"/>
                <w:color w:val="auto"/>
              </w:rPr>
              <w:t>Due from affiliates</w:t>
            </w:r>
          </w:p>
        </w:tc>
        <w:tc>
          <w:tcPr>
            <w:tcW w:w="10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140,467</w:t>
            </w:r>
          </w:p>
        </w:tc>
        <w:tc>
          <w:tcPr>
            <w:tcW w:w="20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218,536</w:t>
            </w:r>
          </w:p>
        </w:tc>
      </w:tr>
      <w:tr>
        <w:trPr>
          <w:trHeight w:val="200"/>
        </w:trPr>
        <w:tc>
          <w:tcPr>
            <w:tcW w:w="7480" w:type="dxa"/>
            <w:vAlign w:val="bottom"/>
          </w:tcPr>
          <w:p>
            <w:pPr>
              <w:spacing w:after="0"/>
              <w:rPr>
                <w:sz w:val="20"/>
                <w:szCs w:val="20"/>
                <w:color w:val="auto"/>
              </w:rPr>
            </w:pPr>
            <w:r>
              <w:rPr>
                <w:rFonts w:ascii="Arial" w:cs="Arial" w:eastAsia="Arial" w:hAnsi="Arial"/>
                <w:sz w:val="15"/>
                <w:szCs w:val="15"/>
                <w:color w:val="auto"/>
              </w:rPr>
              <w:t>Maximum exposure to loss</w:t>
            </w:r>
          </w:p>
        </w:tc>
        <w:tc>
          <w:tcPr>
            <w:tcW w:w="1080" w:type="dxa"/>
            <w:vAlign w:val="bottom"/>
            <w:tcBorders>
              <w:bottom w:val="single" w:sz="8" w:color="auto"/>
            </w:tcBorders>
          </w:tcPr>
          <w:p>
            <w:pPr>
              <w:jc w:val="right"/>
              <w:ind w:right="911"/>
              <w:spacing w:after="0"/>
              <w:rPr>
                <w:sz w:val="20"/>
                <w:szCs w:val="20"/>
                <w:color w:val="auto"/>
              </w:rPr>
            </w:pPr>
            <w:r>
              <w:rPr>
                <w:rFonts w:ascii="Arial" w:cs="Arial" w:eastAsia="Arial" w:hAnsi="Arial"/>
                <w:sz w:val="15"/>
                <w:szCs w:val="15"/>
                <w:color w:val="auto"/>
                <w:w w:val="95"/>
              </w:rPr>
              <w:t>$</w:t>
            </w:r>
          </w:p>
        </w:tc>
        <w:tc>
          <w:tcPr>
            <w:tcW w:w="70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758,295</w:t>
            </w:r>
          </w:p>
        </w:tc>
        <w:tc>
          <w:tcPr>
            <w:tcW w:w="200" w:type="dxa"/>
            <w:vAlign w:val="bottom"/>
          </w:tcPr>
          <w:p>
            <w:pPr>
              <w:spacing w:after="0"/>
              <w:rPr>
                <w:sz w:val="17"/>
                <w:szCs w:val="17"/>
                <w:color w:val="auto"/>
              </w:rPr>
            </w:pPr>
          </w:p>
        </w:tc>
        <w:tc>
          <w:tcPr>
            <w:tcW w:w="420" w:type="dxa"/>
            <w:vAlign w:val="bottom"/>
            <w:tcBorders>
              <w:bottom w:val="single" w:sz="8" w:color="auto"/>
            </w:tcBorders>
          </w:tcPr>
          <w:p>
            <w:pPr>
              <w:jc w:val="right"/>
              <w:ind w:right="243"/>
              <w:spacing w:after="0"/>
              <w:rPr>
                <w:sz w:val="20"/>
                <w:szCs w:val="20"/>
                <w:color w:val="auto"/>
              </w:rPr>
            </w:pPr>
            <w:r>
              <w:rPr>
                <w:rFonts w:ascii="Arial" w:cs="Arial" w:eastAsia="Arial" w:hAnsi="Arial"/>
                <w:sz w:val="15"/>
                <w:szCs w:val="15"/>
                <w:color w:val="auto"/>
                <w:w w:val="95"/>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1,068,417</w:t>
            </w:r>
          </w:p>
        </w:tc>
      </w:tr>
      <w:tr>
        <w:trPr>
          <w:trHeight w:val="20"/>
        </w:trPr>
        <w:tc>
          <w:tcPr>
            <w:tcW w:w="74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w:t>
      </w:r>
    </w:p>
    <w:p>
      <w:pPr>
        <w:sectPr>
          <w:pgSz w:w="11900" w:h="16838" w:orient="portrait"/>
          <w:cols w:equalWidth="0" w:num="1">
            <w:col w:w="11240"/>
          </w:cols>
          <w:pgMar w:left="320" w:top="353" w:right="339" w:bottom="1440" w:gutter="0" w:footer="0" w:header="0"/>
        </w:sectPr>
      </w:pPr>
    </w:p>
    <w:bookmarkStart w:id="158" w:name="page159"/>
    <w:bookmarkEnd w:id="158"/>
    <w:p>
      <w:pPr>
        <w:jc w:val="center"/>
        <w:spacing w:after="0"/>
        <w:rPr>
          <w:sz w:val="20"/>
          <w:szCs w:val="20"/>
          <w:color w:val="auto"/>
        </w:rPr>
      </w:pPr>
      <w:r>
        <w:rPr>
          <w:rFonts w:ascii="Arial" w:cs="Arial" w:eastAsia="Arial" w:hAnsi="Arial"/>
          <w:sz w:val="17"/>
          <w:szCs w:val="17"/>
          <w:b w:val="1"/>
          <w:bCs w:val="1"/>
          <w:color w:val="auto"/>
        </w:rPr>
        <w:t>Oaktree Capital I, L.P.</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 (Continued)</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December 31, 2025</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 in thousands, except where noted)</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5. INVESTMENTS</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Corporate Investments</w:t>
      </w:r>
    </w:p>
    <w:p>
      <w:pPr>
        <w:spacing w:after="0" w:line="168" w:lineRule="exact"/>
        <w:rPr>
          <w:sz w:val="20"/>
          <w:szCs w:val="20"/>
          <w:color w:val="auto"/>
        </w:rPr>
      </w:pPr>
    </w:p>
    <w:p>
      <w:pPr>
        <w:ind w:left="620"/>
        <w:spacing w:after="0"/>
        <w:rPr>
          <w:sz w:val="20"/>
          <w:szCs w:val="20"/>
          <w:color w:val="auto"/>
        </w:rPr>
      </w:pPr>
      <w:r>
        <w:rPr>
          <w:rFonts w:ascii="Arial" w:cs="Arial" w:eastAsia="Arial" w:hAnsi="Arial"/>
          <w:sz w:val="17"/>
          <w:szCs w:val="17"/>
          <w:color w:val="auto"/>
        </w:rPr>
        <w:t>Corporate investments consisted of the following:</w:t>
      </w:r>
    </w:p>
    <w:p>
      <w:pPr>
        <w:spacing w:after="0" w:line="49" w:lineRule="exact"/>
        <w:rPr>
          <w:sz w:val="20"/>
          <w:szCs w:val="20"/>
          <w:color w:val="auto"/>
        </w:rPr>
      </w:pPr>
    </w:p>
    <w:tbl>
      <w:tblPr>
        <w:tblLayout w:type="fixed"/>
        <w:tblInd w:w="20" w:type="dxa"/>
        <w:tblCellMar>
          <w:top w:w="0" w:type="dxa"/>
          <w:left w:w="0" w:type="dxa"/>
          <w:bottom w:w="0" w:type="dxa"/>
          <w:right w:w="0" w:type="dxa"/>
        </w:tblCellMar>
      </w:tblPr>
      <w:tr>
        <w:trPr>
          <w:trHeight w:val="165"/>
        </w:trPr>
        <w:tc>
          <w:tcPr>
            <w:tcW w:w="1500" w:type="dxa"/>
            <w:vAlign w:val="bottom"/>
          </w:tcPr>
          <w:p>
            <w:pPr>
              <w:spacing w:after="0"/>
              <w:rPr>
                <w:sz w:val="14"/>
                <w:szCs w:val="14"/>
                <w:color w:val="auto"/>
              </w:rPr>
            </w:pPr>
          </w:p>
        </w:tc>
        <w:tc>
          <w:tcPr>
            <w:tcW w:w="590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200" w:type="dxa"/>
            <w:vAlign w:val="bottom"/>
            <w:tcBorders>
              <w:bottom w:val="single" w:sz="8" w:color="auto"/>
            </w:tcBorders>
            <w:gridSpan w:val="3"/>
          </w:tcPr>
          <w:p>
            <w:pPr>
              <w:jc w:val="right"/>
              <w:ind w:right="83"/>
              <w:spacing w:after="0"/>
              <w:rPr>
                <w:sz w:val="20"/>
                <w:szCs w:val="20"/>
                <w:color w:val="auto"/>
              </w:rPr>
            </w:pPr>
            <w:r>
              <w:rPr>
                <w:rFonts w:ascii="Arial" w:cs="Arial" w:eastAsia="Arial" w:hAnsi="Arial"/>
                <w:sz w:val="12"/>
                <w:szCs w:val="12"/>
                <w:b w:val="1"/>
                <w:bCs w:val="1"/>
                <w:color w:val="auto"/>
              </w:rPr>
              <w:t>As of December 31,</w:t>
            </w:r>
          </w:p>
        </w:tc>
        <w:tc>
          <w:tcPr>
            <w:tcW w:w="11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50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97"/>
              </w:rPr>
              <w:t>Corporate Investments</w:t>
            </w:r>
          </w:p>
        </w:tc>
        <w:tc>
          <w:tcPr>
            <w:tcW w:w="59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380" w:type="dxa"/>
            <w:vAlign w:val="bottom"/>
          </w:tcPr>
          <w:p>
            <w:pPr>
              <w:jc w:val="right"/>
              <w:ind w:right="708"/>
              <w:spacing w:after="0"/>
              <w:rPr>
                <w:sz w:val="20"/>
                <w:szCs w:val="20"/>
                <w:color w:val="auto"/>
              </w:rPr>
            </w:pPr>
            <w:r>
              <w:rPr>
                <w:rFonts w:ascii="Arial" w:cs="Arial" w:eastAsia="Arial" w:hAnsi="Arial"/>
                <w:sz w:val="12"/>
                <w:szCs w:val="12"/>
                <w:b w:val="1"/>
                <w:bCs w:val="1"/>
                <w:color w:val="auto"/>
              </w:rPr>
              <w:t>2025</w:t>
            </w: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180" w:type="dxa"/>
            <w:vAlign w:val="bottom"/>
          </w:tcPr>
          <w:p>
            <w:pPr>
              <w:jc w:val="right"/>
              <w:ind w:right="686"/>
              <w:spacing w:after="0"/>
              <w:rPr>
                <w:sz w:val="20"/>
                <w:szCs w:val="20"/>
                <w:color w:val="auto"/>
              </w:rPr>
            </w:pPr>
            <w:r>
              <w:rPr>
                <w:rFonts w:ascii="Arial" w:cs="Arial" w:eastAsia="Arial" w:hAnsi="Arial"/>
                <w:sz w:val="12"/>
                <w:szCs w:val="12"/>
                <w:b w:val="1"/>
                <w:bCs w:val="1"/>
                <w:color w:val="auto"/>
              </w:rPr>
              <w:t>2024</w:t>
            </w:r>
          </w:p>
        </w:tc>
        <w:tc>
          <w:tcPr>
            <w:tcW w:w="0" w:type="dxa"/>
            <w:vAlign w:val="bottom"/>
          </w:tcPr>
          <w:p>
            <w:pPr>
              <w:spacing w:after="0"/>
              <w:rPr>
                <w:sz w:val="1"/>
                <w:szCs w:val="1"/>
                <w:color w:val="auto"/>
              </w:rPr>
            </w:pPr>
          </w:p>
        </w:tc>
      </w:tr>
      <w:tr>
        <w:trPr>
          <w:trHeight w:val="20"/>
        </w:trPr>
        <w:tc>
          <w:tcPr>
            <w:tcW w:w="7400" w:type="dxa"/>
            <w:vAlign w:val="bottom"/>
            <w:gridSpan w:val="2"/>
            <w:vMerge w:val="restart"/>
          </w:tcPr>
          <w:p>
            <w:pPr>
              <w:spacing w:after="0"/>
              <w:rPr>
                <w:sz w:val="20"/>
                <w:szCs w:val="20"/>
                <w:color w:val="auto"/>
              </w:rPr>
            </w:pPr>
            <w:r>
              <w:rPr>
                <w:rFonts w:ascii="Arial" w:cs="Arial" w:eastAsia="Arial" w:hAnsi="Arial"/>
                <w:sz w:val="15"/>
                <w:szCs w:val="15"/>
                <w:color w:val="auto"/>
              </w:rPr>
              <w:t>Equity-method investments:</w:t>
            </w:r>
          </w:p>
        </w:tc>
        <w:tc>
          <w:tcPr>
            <w:tcW w:w="4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5"/>
        </w:trPr>
        <w:tc>
          <w:tcPr>
            <w:tcW w:w="7400" w:type="dxa"/>
            <w:vAlign w:val="bottom"/>
            <w:gridSpan w:val="2"/>
            <w:vMerge w:val="continue"/>
          </w:tcPr>
          <w:p>
            <w:pPr>
              <w:spacing w:after="0"/>
              <w:rPr>
                <w:sz w:val="24"/>
                <w:szCs w:val="24"/>
                <w:color w:val="auto"/>
              </w:rPr>
            </w:pPr>
          </w:p>
        </w:tc>
        <w:tc>
          <w:tcPr>
            <w:tcW w:w="4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7400" w:type="dxa"/>
            <w:vAlign w:val="bottom"/>
            <w:gridSpan w:val="2"/>
          </w:tcPr>
          <w:p>
            <w:pPr>
              <w:ind w:left="160"/>
              <w:spacing w:after="0"/>
              <w:rPr>
                <w:sz w:val="20"/>
                <w:szCs w:val="20"/>
                <w:color w:val="auto"/>
              </w:rPr>
            </w:pPr>
            <w:r>
              <w:rPr>
                <w:rFonts w:ascii="Arial" w:cs="Arial" w:eastAsia="Arial" w:hAnsi="Arial"/>
                <w:sz w:val="15"/>
                <w:szCs w:val="15"/>
                <w:color w:val="auto"/>
              </w:rPr>
              <w:t>Funds</w:t>
            </w:r>
          </w:p>
        </w:tc>
        <w:tc>
          <w:tcPr>
            <w:tcW w:w="440" w:type="dxa"/>
            <w:vAlign w:val="bottom"/>
          </w:tcPr>
          <w:p>
            <w:pPr>
              <w:jc w:val="right"/>
              <w:ind w:right="243"/>
              <w:spacing w:after="0"/>
              <w:rPr>
                <w:sz w:val="20"/>
                <w:szCs w:val="20"/>
                <w:color w:val="auto"/>
              </w:rPr>
            </w:pPr>
            <w:r>
              <w:rPr>
                <w:rFonts w:ascii="Arial" w:cs="Arial" w:eastAsia="Arial" w:hAnsi="Arial"/>
                <w:sz w:val="15"/>
                <w:szCs w:val="15"/>
                <w:color w:val="auto"/>
              </w:rPr>
              <w:t>$</w:t>
            </w:r>
          </w:p>
        </w:tc>
        <w:tc>
          <w:tcPr>
            <w:tcW w:w="1380" w:type="dxa"/>
            <w:vAlign w:val="bottom"/>
          </w:tcPr>
          <w:p>
            <w:pPr>
              <w:jc w:val="right"/>
              <w:ind w:right="8"/>
              <w:spacing w:after="0"/>
              <w:rPr>
                <w:sz w:val="20"/>
                <w:szCs w:val="20"/>
                <w:color w:val="auto"/>
              </w:rPr>
            </w:pPr>
            <w:r>
              <w:rPr>
                <w:rFonts w:ascii="Arial" w:cs="Arial" w:eastAsia="Arial" w:hAnsi="Arial"/>
                <w:sz w:val="15"/>
                <w:szCs w:val="15"/>
                <w:color w:val="auto"/>
              </w:rPr>
              <w:t>759,905</w:t>
            </w:r>
          </w:p>
        </w:tc>
        <w:tc>
          <w:tcPr>
            <w:tcW w:w="200" w:type="dxa"/>
            <w:vAlign w:val="bottom"/>
          </w:tcPr>
          <w:p>
            <w:pPr>
              <w:spacing w:after="0"/>
              <w:rPr>
                <w:sz w:val="17"/>
                <w:szCs w:val="17"/>
                <w:color w:val="auto"/>
              </w:rPr>
            </w:pPr>
          </w:p>
        </w:tc>
        <w:tc>
          <w:tcPr>
            <w:tcW w:w="620" w:type="dxa"/>
            <w:vAlign w:val="bottom"/>
          </w:tcPr>
          <w:p>
            <w:pPr>
              <w:jc w:val="right"/>
              <w:ind w:right="443"/>
              <w:spacing w:after="0"/>
              <w:rPr>
                <w:sz w:val="20"/>
                <w:szCs w:val="20"/>
                <w:color w:val="auto"/>
              </w:rPr>
            </w:pPr>
            <w:r>
              <w:rPr>
                <w:rFonts w:ascii="Arial" w:cs="Arial" w:eastAsia="Arial" w:hAnsi="Arial"/>
                <w:sz w:val="15"/>
                <w:szCs w:val="15"/>
                <w:color w:val="auto"/>
                <w:w w:val="95"/>
              </w:rPr>
              <w:t>$</w:t>
            </w:r>
          </w:p>
        </w:tc>
        <w:tc>
          <w:tcPr>
            <w:tcW w:w="1180" w:type="dxa"/>
            <w:vAlign w:val="bottom"/>
          </w:tcPr>
          <w:p>
            <w:pPr>
              <w:jc w:val="right"/>
              <w:spacing w:after="0"/>
              <w:rPr>
                <w:sz w:val="20"/>
                <w:szCs w:val="20"/>
                <w:color w:val="auto"/>
              </w:rPr>
            </w:pPr>
            <w:r>
              <w:rPr>
                <w:rFonts w:ascii="Arial" w:cs="Arial" w:eastAsia="Arial" w:hAnsi="Arial"/>
                <w:sz w:val="15"/>
                <w:szCs w:val="15"/>
                <w:color w:val="auto"/>
              </w:rPr>
              <w:t>893,095</w:t>
            </w:r>
          </w:p>
        </w:tc>
        <w:tc>
          <w:tcPr>
            <w:tcW w:w="0" w:type="dxa"/>
            <w:vAlign w:val="bottom"/>
          </w:tcPr>
          <w:p>
            <w:pPr>
              <w:spacing w:after="0"/>
              <w:rPr>
                <w:sz w:val="1"/>
                <w:szCs w:val="1"/>
                <w:color w:val="auto"/>
              </w:rPr>
            </w:pPr>
          </w:p>
        </w:tc>
      </w:tr>
      <w:tr>
        <w:trPr>
          <w:trHeight w:val="206"/>
        </w:trPr>
        <w:tc>
          <w:tcPr>
            <w:tcW w:w="7400" w:type="dxa"/>
            <w:vAlign w:val="bottom"/>
            <w:gridSpan w:val="2"/>
          </w:tcPr>
          <w:p>
            <w:pPr>
              <w:ind w:left="160"/>
              <w:spacing w:after="0"/>
              <w:rPr>
                <w:sz w:val="20"/>
                <w:szCs w:val="20"/>
                <w:color w:val="auto"/>
              </w:rPr>
            </w:pPr>
            <w:r>
              <w:rPr>
                <w:rFonts w:ascii="Arial" w:cs="Arial" w:eastAsia="Arial" w:hAnsi="Arial"/>
                <w:sz w:val="15"/>
                <w:szCs w:val="15"/>
                <w:color w:val="auto"/>
              </w:rPr>
              <w:t>Companies</w:t>
            </w:r>
          </w:p>
        </w:tc>
        <w:tc>
          <w:tcPr>
            <w:tcW w:w="440" w:type="dxa"/>
            <w:vAlign w:val="bottom"/>
          </w:tcPr>
          <w:p>
            <w:pPr>
              <w:spacing w:after="0"/>
              <w:rPr>
                <w:sz w:val="17"/>
                <w:szCs w:val="17"/>
                <w:color w:val="auto"/>
              </w:rPr>
            </w:pPr>
          </w:p>
        </w:tc>
        <w:tc>
          <w:tcPr>
            <w:tcW w:w="1380" w:type="dxa"/>
            <w:vAlign w:val="bottom"/>
          </w:tcPr>
          <w:p>
            <w:pPr>
              <w:jc w:val="right"/>
              <w:ind w:right="8"/>
              <w:spacing w:after="0"/>
              <w:rPr>
                <w:sz w:val="20"/>
                <w:szCs w:val="20"/>
                <w:color w:val="auto"/>
              </w:rPr>
            </w:pPr>
            <w:r>
              <w:rPr>
                <w:rFonts w:ascii="Arial" w:cs="Arial" w:eastAsia="Arial" w:hAnsi="Arial"/>
                <w:sz w:val="15"/>
                <w:szCs w:val="15"/>
                <w:color w:val="auto"/>
              </w:rPr>
              <w:t>5,471</w:t>
            </w: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7"/>
        </w:trPr>
        <w:tc>
          <w:tcPr>
            <w:tcW w:w="7400" w:type="dxa"/>
            <w:vAlign w:val="bottom"/>
            <w:gridSpan w:val="2"/>
          </w:tcPr>
          <w:p>
            <w:pPr>
              <w:spacing w:after="0"/>
              <w:rPr>
                <w:sz w:val="20"/>
                <w:szCs w:val="20"/>
                <w:color w:val="auto"/>
              </w:rPr>
            </w:pPr>
            <w:r>
              <w:rPr>
                <w:rFonts w:ascii="Arial" w:cs="Arial" w:eastAsia="Arial" w:hAnsi="Arial"/>
                <w:sz w:val="15"/>
                <w:szCs w:val="15"/>
                <w:color w:val="auto"/>
              </w:rPr>
              <w:t>Other investments, at fair value</w:t>
            </w:r>
          </w:p>
        </w:tc>
        <w:tc>
          <w:tcPr>
            <w:tcW w:w="4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8"/>
              <w:spacing w:after="0"/>
              <w:rPr>
                <w:sz w:val="20"/>
                <w:szCs w:val="20"/>
                <w:color w:val="auto"/>
              </w:rPr>
            </w:pPr>
            <w:r>
              <w:rPr>
                <w:rFonts w:ascii="Arial" w:cs="Arial" w:eastAsia="Arial" w:hAnsi="Arial"/>
                <w:sz w:val="15"/>
                <w:szCs w:val="15"/>
                <w:color w:val="auto"/>
              </w:rPr>
              <w:t>221,685</w:t>
            </w:r>
          </w:p>
        </w:tc>
        <w:tc>
          <w:tcPr>
            <w:tcW w:w="200" w:type="dxa"/>
            <w:vAlign w:val="bottom"/>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172,053</w:t>
            </w:r>
          </w:p>
        </w:tc>
        <w:tc>
          <w:tcPr>
            <w:tcW w:w="0" w:type="dxa"/>
            <w:vAlign w:val="bottom"/>
          </w:tcPr>
          <w:p>
            <w:pPr>
              <w:spacing w:after="0"/>
              <w:rPr>
                <w:sz w:val="1"/>
                <w:szCs w:val="1"/>
                <w:color w:val="auto"/>
              </w:rPr>
            </w:pPr>
          </w:p>
        </w:tc>
      </w:tr>
      <w:tr>
        <w:trPr>
          <w:trHeight w:val="200"/>
        </w:trPr>
        <w:tc>
          <w:tcPr>
            <w:tcW w:w="7400" w:type="dxa"/>
            <w:vAlign w:val="bottom"/>
            <w:gridSpan w:val="2"/>
          </w:tcPr>
          <w:p>
            <w:pPr>
              <w:spacing w:after="0"/>
              <w:rPr>
                <w:sz w:val="20"/>
                <w:szCs w:val="20"/>
                <w:color w:val="auto"/>
              </w:rPr>
            </w:pPr>
            <w:r>
              <w:rPr>
                <w:rFonts w:ascii="Arial" w:cs="Arial" w:eastAsia="Arial" w:hAnsi="Arial"/>
                <w:sz w:val="15"/>
                <w:szCs w:val="15"/>
                <w:color w:val="auto"/>
              </w:rPr>
              <w:t>Total corporate investments</w:t>
            </w:r>
          </w:p>
        </w:tc>
        <w:tc>
          <w:tcPr>
            <w:tcW w:w="440" w:type="dxa"/>
            <w:vAlign w:val="bottom"/>
            <w:tcBorders>
              <w:bottom w:val="single" w:sz="8" w:color="auto"/>
            </w:tcBorders>
          </w:tcPr>
          <w:p>
            <w:pPr>
              <w:jc w:val="right"/>
              <w:ind w:right="243"/>
              <w:spacing w:after="0"/>
              <w:rPr>
                <w:sz w:val="20"/>
                <w:szCs w:val="20"/>
                <w:color w:val="auto"/>
              </w:rPr>
            </w:pPr>
            <w:r>
              <w:rPr>
                <w:rFonts w:ascii="Arial" w:cs="Arial" w:eastAsia="Arial" w:hAnsi="Arial"/>
                <w:sz w:val="15"/>
                <w:szCs w:val="15"/>
                <w:color w:val="auto"/>
              </w:rPr>
              <w:t>$</w:t>
            </w:r>
          </w:p>
        </w:tc>
        <w:tc>
          <w:tcPr>
            <w:tcW w:w="1380" w:type="dxa"/>
            <w:vAlign w:val="bottom"/>
            <w:tcBorders>
              <w:bottom w:val="single" w:sz="8" w:color="auto"/>
            </w:tcBorders>
          </w:tcPr>
          <w:p>
            <w:pPr>
              <w:jc w:val="right"/>
              <w:ind w:right="8"/>
              <w:spacing w:after="0"/>
              <w:rPr>
                <w:sz w:val="20"/>
                <w:szCs w:val="20"/>
                <w:color w:val="auto"/>
              </w:rPr>
            </w:pPr>
            <w:r>
              <w:rPr>
                <w:rFonts w:ascii="Arial" w:cs="Arial" w:eastAsia="Arial" w:hAnsi="Arial"/>
                <w:sz w:val="15"/>
                <w:szCs w:val="15"/>
                <w:color w:val="auto"/>
              </w:rPr>
              <w:t>987,061</w:t>
            </w:r>
          </w:p>
        </w:tc>
        <w:tc>
          <w:tcPr>
            <w:tcW w:w="200" w:type="dxa"/>
            <w:vAlign w:val="bottom"/>
          </w:tcPr>
          <w:p>
            <w:pPr>
              <w:spacing w:after="0"/>
              <w:rPr>
                <w:sz w:val="17"/>
                <w:szCs w:val="17"/>
                <w:color w:val="auto"/>
              </w:rPr>
            </w:pPr>
          </w:p>
        </w:tc>
        <w:tc>
          <w:tcPr>
            <w:tcW w:w="620" w:type="dxa"/>
            <w:vAlign w:val="bottom"/>
            <w:tcBorders>
              <w:bottom w:val="single" w:sz="8" w:color="auto"/>
            </w:tcBorders>
          </w:tcPr>
          <w:p>
            <w:pPr>
              <w:jc w:val="right"/>
              <w:ind w:right="443"/>
              <w:spacing w:after="0"/>
              <w:rPr>
                <w:sz w:val="20"/>
                <w:szCs w:val="20"/>
                <w:color w:val="auto"/>
              </w:rPr>
            </w:pPr>
            <w:r>
              <w:rPr>
                <w:rFonts w:ascii="Arial" w:cs="Arial" w:eastAsia="Arial" w:hAnsi="Arial"/>
                <w:sz w:val="15"/>
                <w:szCs w:val="15"/>
                <w:color w:val="auto"/>
                <w:w w:val="95"/>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1,065,148</w:t>
            </w: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0"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components of investment income (loss) are set forth below:</w:t>
      </w:r>
    </w:p>
    <w:p>
      <w:pPr>
        <w:spacing w:after="0" w:line="31"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1700" w:type="dxa"/>
            <w:vAlign w:val="bottom"/>
            <w:vMerge w:val="restart"/>
          </w:tcPr>
          <w:p>
            <w:pPr>
              <w:spacing w:after="0"/>
              <w:rPr>
                <w:sz w:val="20"/>
                <w:szCs w:val="20"/>
                <w:color w:val="auto"/>
              </w:rPr>
            </w:pPr>
            <w:r>
              <w:rPr>
                <w:rFonts w:ascii="Arial" w:cs="Arial" w:eastAsia="Arial" w:hAnsi="Arial"/>
                <w:sz w:val="14"/>
                <w:szCs w:val="14"/>
                <w:b w:val="1"/>
                <w:bCs w:val="1"/>
                <w:color w:val="auto"/>
                <w:w w:val="97"/>
              </w:rPr>
              <w:t>Investment Income (Loss)</w:t>
            </w:r>
          </w:p>
        </w:tc>
        <w:tc>
          <w:tcPr>
            <w:tcW w:w="5700" w:type="dxa"/>
            <w:vAlign w:val="bottom"/>
            <w:vMerge w:val="restart"/>
          </w:tcPr>
          <w:p>
            <w:pPr>
              <w:spacing w:after="0"/>
              <w:rPr>
                <w:sz w:val="12"/>
                <w:szCs w:val="12"/>
                <w:color w:val="auto"/>
              </w:rPr>
            </w:pPr>
          </w:p>
        </w:tc>
        <w:tc>
          <w:tcPr>
            <w:tcW w:w="200" w:type="dxa"/>
            <w:vAlign w:val="bottom"/>
          </w:tcPr>
          <w:p>
            <w:pPr>
              <w:spacing w:after="0"/>
              <w:rPr>
                <w:sz w:val="12"/>
                <w:szCs w:val="12"/>
                <w:color w:val="auto"/>
              </w:rPr>
            </w:pPr>
          </w:p>
        </w:tc>
        <w:tc>
          <w:tcPr>
            <w:tcW w:w="1820" w:type="dxa"/>
            <w:vAlign w:val="bottom"/>
            <w:gridSpan w:val="2"/>
          </w:tcPr>
          <w:p>
            <w:pPr>
              <w:jc w:val="center"/>
              <w:ind w:right="400"/>
              <w:spacing w:after="0"/>
              <w:rPr>
                <w:sz w:val="20"/>
                <w:szCs w:val="20"/>
                <w:color w:val="auto"/>
              </w:rPr>
            </w:pPr>
            <w:r>
              <w:rPr>
                <w:rFonts w:ascii="Arial" w:cs="Arial" w:eastAsia="Arial" w:hAnsi="Arial"/>
                <w:sz w:val="12"/>
                <w:szCs w:val="12"/>
                <w:b w:val="1"/>
                <w:bCs w:val="1"/>
                <w:color w:val="auto"/>
              </w:rPr>
              <w:t>Twelve months ended</w:t>
            </w:r>
          </w:p>
        </w:tc>
        <w:tc>
          <w:tcPr>
            <w:tcW w:w="1800" w:type="dxa"/>
            <w:vAlign w:val="bottom"/>
            <w:gridSpan w:val="2"/>
          </w:tcPr>
          <w:p>
            <w:pPr>
              <w:jc w:val="right"/>
              <w:ind w:right="4"/>
              <w:spacing w:after="0"/>
              <w:rPr>
                <w:sz w:val="20"/>
                <w:szCs w:val="20"/>
                <w:color w:val="auto"/>
              </w:rPr>
            </w:pPr>
            <w:r>
              <w:rPr>
                <w:rFonts w:ascii="Arial" w:cs="Arial" w:eastAsia="Arial" w:hAnsi="Arial"/>
                <w:sz w:val="12"/>
                <w:szCs w:val="12"/>
                <w:b w:val="1"/>
                <w:bCs w:val="1"/>
                <w:color w:val="auto"/>
              </w:rPr>
              <w:t>Six months ended December</w:t>
            </w:r>
          </w:p>
        </w:tc>
        <w:tc>
          <w:tcPr>
            <w:tcW w:w="0" w:type="dxa"/>
            <w:vAlign w:val="bottom"/>
          </w:tcPr>
          <w:p>
            <w:pPr>
              <w:spacing w:after="0"/>
              <w:rPr>
                <w:sz w:val="1"/>
                <w:szCs w:val="1"/>
                <w:color w:val="auto"/>
              </w:rPr>
            </w:pPr>
          </w:p>
        </w:tc>
      </w:tr>
      <w:tr>
        <w:trPr>
          <w:trHeight w:val="147"/>
        </w:trPr>
        <w:tc>
          <w:tcPr>
            <w:tcW w:w="1700" w:type="dxa"/>
            <w:vAlign w:val="bottom"/>
            <w:tcBorders>
              <w:bottom w:val="single" w:sz="8" w:color="auto"/>
            </w:tcBorders>
            <w:vMerge w:val="continue"/>
          </w:tcPr>
          <w:p>
            <w:pPr>
              <w:spacing w:after="0"/>
              <w:rPr>
                <w:sz w:val="12"/>
                <w:szCs w:val="12"/>
                <w:color w:val="auto"/>
              </w:rPr>
            </w:pPr>
          </w:p>
        </w:tc>
        <w:tc>
          <w:tcPr>
            <w:tcW w:w="570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820" w:type="dxa"/>
            <w:vAlign w:val="bottom"/>
            <w:gridSpan w:val="2"/>
          </w:tcPr>
          <w:p>
            <w:pPr>
              <w:jc w:val="center"/>
              <w:ind w:right="400"/>
              <w:spacing w:after="0"/>
              <w:rPr>
                <w:sz w:val="20"/>
                <w:szCs w:val="20"/>
                <w:color w:val="auto"/>
              </w:rPr>
            </w:pPr>
            <w:r>
              <w:rPr>
                <w:rFonts w:ascii="Arial" w:cs="Arial" w:eastAsia="Arial" w:hAnsi="Arial"/>
                <w:sz w:val="12"/>
                <w:szCs w:val="12"/>
                <w:b w:val="1"/>
                <w:bCs w:val="1"/>
                <w:color w:val="auto"/>
              </w:rPr>
              <w:t>December 31, 2025</w:t>
            </w:r>
          </w:p>
        </w:tc>
        <w:tc>
          <w:tcPr>
            <w:tcW w:w="380" w:type="dxa"/>
            <w:vAlign w:val="bottom"/>
          </w:tcPr>
          <w:p>
            <w:pPr>
              <w:spacing w:after="0"/>
              <w:rPr>
                <w:sz w:val="12"/>
                <w:szCs w:val="12"/>
                <w:color w:val="auto"/>
              </w:rPr>
            </w:pPr>
          </w:p>
        </w:tc>
        <w:tc>
          <w:tcPr>
            <w:tcW w:w="1420" w:type="dxa"/>
            <w:vAlign w:val="bottom"/>
          </w:tcPr>
          <w:p>
            <w:pPr>
              <w:jc w:val="right"/>
              <w:ind w:right="584"/>
              <w:spacing w:after="0"/>
              <w:rPr>
                <w:sz w:val="20"/>
                <w:szCs w:val="20"/>
                <w:color w:val="auto"/>
              </w:rPr>
            </w:pPr>
            <w:r>
              <w:rPr>
                <w:rFonts w:ascii="Arial" w:cs="Arial" w:eastAsia="Arial" w:hAnsi="Arial"/>
                <w:sz w:val="12"/>
                <w:szCs w:val="12"/>
                <w:b w:val="1"/>
                <w:bCs w:val="1"/>
                <w:color w:val="auto"/>
              </w:rPr>
              <w:t>31, 2024</w:t>
            </w:r>
          </w:p>
        </w:tc>
        <w:tc>
          <w:tcPr>
            <w:tcW w:w="0" w:type="dxa"/>
            <w:vAlign w:val="bottom"/>
          </w:tcPr>
          <w:p>
            <w:pPr>
              <w:spacing w:after="0"/>
              <w:rPr>
                <w:sz w:val="1"/>
                <w:szCs w:val="1"/>
                <w:color w:val="auto"/>
              </w:rPr>
            </w:pPr>
          </w:p>
        </w:tc>
      </w:tr>
      <w:tr>
        <w:trPr>
          <w:trHeight w:val="20"/>
        </w:trPr>
        <w:tc>
          <w:tcPr>
            <w:tcW w:w="7400" w:type="dxa"/>
            <w:vAlign w:val="bottom"/>
            <w:gridSpan w:val="2"/>
            <w:vMerge w:val="restart"/>
          </w:tcPr>
          <w:p>
            <w:pPr>
              <w:spacing w:after="0"/>
              <w:rPr>
                <w:sz w:val="20"/>
                <w:szCs w:val="20"/>
                <w:color w:val="auto"/>
              </w:rPr>
            </w:pPr>
            <w:r>
              <w:rPr>
                <w:rFonts w:ascii="Arial" w:cs="Arial" w:eastAsia="Arial" w:hAnsi="Arial"/>
                <w:sz w:val="15"/>
                <w:szCs w:val="15"/>
                <w:color w:val="auto"/>
              </w:rPr>
              <w:t>Equity-method investments:</w:t>
            </w:r>
          </w:p>
        </w:tc>
        <w:tc>
          <w:tcPr>
            <w:tcW w:w="2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5"/>
        </w:trPr>
        <w:tc>
          <w:tcPr>
            <w:tcW w:w="7400" w:type="dxa"/>
            <w:vAlign w:val="bottom"/>
            <w:gridSpan w:val="2"/>
            <w:vMerge w:val="continue"/>
          </w:tcPr>
          <w:p>
            <w:pPr>
              <w:spacing w:after="0"/>
              <w:rPr>
                <w:sz w:val="24"/>
                <w:szCs w:val="24"/>
                <w:color w:val="auto"/>
              </w:rPr>
            </w:pPr>
          </w:p>
        </w:tc>
        <w:tc>
          <w:tcPr>
            <w:tcW w:w="2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7400" w:type="dxa"/>
            <w:vAlign w:val="bottom"/>
            <w:gridSpan w:val="2"/>
          </w:tcPr>
          <w:p>
            <w:pPr>
              <w:ind w:left="160"/>
              <w:spacing w:after="0"/>
              <w:rPr>
                <w:sz w:val="20"/>
                <w:szCs w:val="20"/>
                <w:color w:val="auto"/>
              </w:rPr>
            </w:pPr>
            <w:r>
              <w:rPr>
                <w:rFonts w:ascii="Arial" w:cs="Arial" w:eastAsia="Arial" w:hAnsi="Arial"/>
                <w:sz w:val="15"/>
                <w:szCs w:val="15"/>
                <w:color w:val="auto"/>
              </w:rPr>
              <w:t>Funds</w:t>
            </w:r>
          </w:p>
        </w:tc>
        <w:tc>
          <w:tcPr>
            <w:tcW w:w="200" w:type="dxa"/>
            <w:vAlign w:val="bottom"/>
          </w:tcPr>
          <w:p>
            <w:pPr>
              <w:jc w:val="right"/>
              <w:ind w:right="3"/>
              <w:spacing w:after="0"/>
              <w:rPr>
                <w:sz w:val="20"/>
                <w:szCs w:val="20"/>
                <w:color w:val="auto"/>
              </w:rPr>
            </w:pPr>
            <w:r>
              <w:rPr>
                <w:rFonts w:ascii="Arial" w:cs="Arial" w:eastAsia="Arial" w:hAnsi="Arial"/>
                <w:sz w:val="15"/>
                <w:szCs w:val="15"/>
                <w:color w:val="auto"/>
              </w:rPr>
              <w:t>$</w:t>
            </w:r>
          </w:p>
        </w:tc>
        <w:tc>
          <w:tcPr>
            <w:tcW w:w="1620" w:type="dxa"/>
            <w:vAlign w:val="bottom"/>
          </w:tcPr>
          <w:p>
            <w:pPr>
              <w:jc w:val="right"/>
              <w:ind w:right="8"/>
              <w:spacing w:after="0"/>
              <w:rPr>
                <w:sz w:val="20"/>
                <w:szCs w:val="20"/>
                <w:color w:val="auto"/>
              </w:rPr>
            </w:pPr>
            <w:r>
              <w:rPr>
                <w:rFonts w:ascii="Arial" w:cs="Arial" w:eastAsia="Arial" w:hAnsi="Arial"/>
                <w:sz w:val="15"/>
                <w:szCs w:val="15"/>
                <w:color w:val="auto"/>
              </w:rPr>
              <w:t>51,271</w:t>
            </w:r>
          </w:p>
        </w:tc>
        <w:tc>
          <w:tcPr>
            <w:tcW w:w="200" w:type="dxa"/>
            <w:vAlign w:val="bottom"/>
          </w:tcPr>
          <w:p>
            <w:pPr>
              <w:spacing w:after="0"/>
              <w:rPr>
                <w:sz w:val="17"/>
                <w:szCs w:val="17"/>
                <w:color w:val="auto"/>
              </w:rPr>
            </w:pPr>
          </w:p>
        </w:tc>
        <w:tc>
          <w:tcPr>
            <w:tcW w:w="380" w:type="dxa"/>
            <w:vAlign w:val="bottom"/>
          </w:tcPr>
          <w:p>
            <w:pPr>
              <w:jc w:val="right"/>
              <w:ind w:right="208"/>
              <w:spacing w:after="0"/>
              <w:rPr>
                <w:sz w:val="20"/>
                <w:szCs w:val="20"/>
                <w:color w:val="auto"/>
              </w:rPr>
            </w:pPr>
            <w:r>
              <w:rPr>
                <w:rFonts w:ascii="Arial" w:cs="Arial" w:eastAsia="Arial" w:hAnsi="Arial"/>
                <w:sz w:val="15"/>
                <w:szCs w:val="15"/>
                <w:color w:val="auto"/>
                <w:w w:val="95"/>
              </w:rPr>
              <w:t>$</w:t>
            </w:r>
          </w:p>
        </w:tc>
        <w:tc>
          <w:tcPr>
            <w:tcW w:w="1420" w:type="dxa"/>
            <w:vAlign w:val="bottom"/>
          </w:tcPr>
          <w:p>
            <w:pPr>
              <w:jc w:val="right"/>
              <w:spacing w:after="0"/>
              <w:rPr>
                <w:sz w:val="20"/>
                <w:szCs w:val="20"/>
                <w:color w:val="auto"/>
              </w:rPr>
            </w:pPr>
            <w:r>
              <w:rPr>
                <w:rFonts w:ascii="Arial" w:cs="Arial" w:eastAsia="Arial" w:hAnsi="Arial"/>
                <w:sz w:val="15"/>
                <w:szCs w:val="15"/>
                <w:color w:val="auto"/>
              </w:rPr>
              <w:t>26,853</w:t>
            </w:r>
          </w:p>
        </w:tc>
        <w:tc>
          <w:tcPr>
            <w:tcW w:w="0" w:type="dxa"/>
            <w:vAlign w:val="bottom"/>
          </w:tcPr>
          <w:p>
            <w:pPr>
              <w:spacing w:after="0"/>
              <w:rPr>
                <w:sz w:val="1"/>
                <w:szCs w:val="1"/>
                <w:color w:val="auto"/>
              </w:rPr>
            </w:pPr>
          </w:p>
        </w:tc>
      </w:tr>
      <w:tr>
        <w:trPr>
          <w:trHeight w:val="223"/>
        </w:trPr>
        <w:tc>
          <w:tcPr>
            <w:tcW w:w="7400" w:type="dxa"/>
            <w:vAlign w:val="bottom"/>
            <w:gridSpan w:val="2"/>
          </w:tcPr>
          <w:p>
            <w:pPr>
              <w:ind w:left="160"/>
              <w:spacing w:after="0"/>
              <w:rPr>
                <w:sz w:val="20"/>
                <w:szCs w:val="20"/>
                <w:color w:val="auto"/>
              </w:rPr>
            </w:pPr>
            <w:r>
              <w:rPr>
                <w:rFonts w:ascii="Arial" w:cs="Arial" w:eastAsia="Arial" w:hAnsi="Arial"/>
                <w:sz w:val="15"/>
                <w:szCs w:val="15"/>
                <w:color w:val="auto"/>
              </w:rPr>
              <w:t>Companies</w:t>
            </w:r>
          </w:p>
        </w:tc>
        <w:tc>
          <w:tcPr>
            <w:tcW w:w="200" w:type="dxa"/>
            <w:vAlign w:val="bottom"/>
          </w:tcPr>
          <w:p>
            <w:pPr>
              <w:spacing w:after="0"/>
              <w:rPr>
                <w:sz w:val="19"/>
                <w:szCs w:val="19"/>
                <w:color w:val="auto"/>
              </w:rPr>
            </w:pPr>
          </w:p>
        </w:tc>
        <w:tc>
          <w:tcPr>
            <w:tcW w:w="1620" w:type="dxa"/>
            <w:vAlign w:val="bottom"/>
          </w:tcPr>
          <w:p>
            <w:pPr>
              <w:jc w:val="right"/>
              <w:ind w:right="8"/>
              <w:spacing w:after="0"/>
              <w:rPr>
                <w:sz w:val="20"/>
                <w:szCs w:val="20"/>
                <w:color w:val="auto"/>
              </w:rPr>
            </w:pPr>
            <w:r>
              <w:rPr>
                <w:rFonts w:ascii="Arial" w:cs="Arial" w:eastAsia="Arial" w:hAnsi="Arial"/>
                <w:sz w:val="15"/>
                <w:szCs w:val="15"/>
                <w:color w:val="auto"/>
              </w:rPr>
              <w:t>1,528</w:t>
            </w: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5"/>
        </w:trPr>
        <w:tc>
          <w:tcPr>
            <w:tcW w:w="7400" w:type="dxa"/>
            <w:vAlign w:val="bottom"/>
            <w:gridSpan w:val="2"/>
          </w:tcPr>
          <w:p>
            <w:pPr>
              <w:spacing w:after="0"/>
              <w:rPr>
                <w:sz w:val="20"/>
                <w:szCs w:val="20"/>
                <w:color w:val="auto"/>
              </w:rPr>
            </w:pPr>
            <w:r>
              <w:rPr>
                <w:rFonts w:ascii="Arial" w:cs="Arial" w:eastAsia="Arial" w:hAnsi="Arial"/>
                <w:sz w:val="15"/>
                <w:szCs w:val="15"/>
                <w:color w:val="auto"/>
              </w:rPr>
              <w:t>Other investments, at fair value</w:t>
            </w:r>
          </w:p>
        </w:tc>
        <w:tc>
          <w:tcPr>
            <w:tcW w:w="20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(42,459)</w:t>
            </w:r>
          </w:p>
        </w:tc>
        <w:tc>
          <w:tcPr>
            <w:tcW w:w="2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(1,137)</w:t>
            </w:r>
          </w:p>
        </w:tc>
        <w:tc>
          <w:tcPr>
            <w:tcW w:w="0" w:type="dxa"/>
            <w:vAlign w:val="bottom"/>
          </w:tcPr>
          <w:p>
            <w:pPr>
              <w:spacing w:after="0"/>
              <w:rPr>
                <w:sz w:val="1"/>
                <w:szCs w:val="1"/>
                <w:color w:val="auto"/>
              </w:rPr>
            </w:pPr>
          </w:p>
        </w:tc>
      </w:tr>
      <w:tr>
        <w:trPr>
          <w:trHeight w:val="200"/>
        </w:trPr>
        <w:tc>
          <w:tcPr>
            <w:tcW w:w="7400" w:type="dxa"/>
            <w:vAlign w:val="bottom"/>
            <w:gridSpan w:val="2"/>
          </w:tcPr>
          <w:p>
            <w:pPr>
              <w:spacing w:after="0"/>
              <w:rPr>
                <w:sz w:val="20"/>
                <w:szCs w:val="20"/>
                <w:color w:val="auto"/>
              </w:rPr>
            </w:pPr>
            <w:r>
              <w:rPr>
                <w:rFonts w:ascii="Arial" w:cs="Arial" w:eastAsia="Arial" w:hAnsi="Arial"/>
                <w:sz w:val="15"/>
                <w:szCs w:val="15"/>
                <w:color w:val="auto"/>
              </w:rPr>
              <w:t>Total investment income</w:t>
            </w:r>
          </w:p>
        </w:tc>
        <w:tc>
          <w:tcPr>
            <w:tcW w:w="20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w:t>
            </w:r>
          </w:p>
        </w:tc>
        <w:tc>
          <w:tcPr>
            <w:tcW w:w="1620" w:type="dxa"/>
            <w:vAlign w:val="bottom"/>
            <w:tcBorders>
              <w:bottom w:val="single" w:sz="8" w:color="auto"/>
            </w:tcBorders>
          </w:tcPr>
          <w:p>
            <w:pPr>
              <w:jc w:val="right"/>
              <w:ind w:right="8"/>
              <w:spacing w:after="0"/>
              <w:rPr>
                <w:sz w:val="20"/>
                <w:szCs w:val="20"/>
                <w:color w:val="auto"/>
              </w:rPr>
            </w:pPr>
            <w:r>
              <w:rPr>
                <w:rFonts w:ascii="Arial" w:cs="Arial" w:eastAsia="Arial" w:hAnsi="Arial"/>
                <w:sz w:val="15"/>
                <w:szCs w:val="15"/>
                <w:color w:val="auto"/>
              </w:rPr>
              <w:t>10,340</w:t>
            </w:r>
          </w:p>
        </w:tc>
        <w:tc>
          <w:tcPr>
            <w:tcW w:w="200" w:type="dxa"/>
            <w:vAlign w:val="bottom"/>
          </w:tcPr>
          <w:p>
            <w:pPr>
              <w:spacing w:after="0"/>
              <w:rPr>
                <w:sz w:val="17"/>
                <w:szCs w:val="17"/>
                <w:color w:val="auto"/>
              </w:rPr>
            </w:pPr>
          </w:p>
        </w:tc>
        <w:tc>
          <w:tcPr>
            <w:tcW w:w="380" w:type="dxa"/>
            <w:vAlign w:val="bottom"/>
            <w:tcBorders>
              <w:bottom w:val="single" w:sz="8" w:color="auto"/>
            </w:tcBorders>
          </w:tcPr>
          <w:p>
            <w:pPr>
              <w:jc w:val="right"/>
              <w:ind w:right="208"/>
              <w:spacing w:after="0"/>
              <w:rPr>
                <w:sz w:val="20"/>
                <w:szCs w:val="20"/>
                <w:color w:val="auto"/>
              </w:rPr>
            </w:pPr>
            <w:r>
              <w:rPr>
                <w:rFonts w:ascii="Arial" w:cs="Arial" w:eastAsia="Arial" w:hAnsi="Arial"/>
                <w:sz w:val="15"/>
                <w:szCs w:val="15"/>
                <w:color w:val="auto"/>
                <w:w w:val="95"/>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25,716</w:t>
            </w: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Equity-method Investments</w:t>
      </w:r>
    </w:p>
    <w:p>
      <w:pPr>
        <w:spacing w:after="0" w:line="165" w:lineRule="exact"/>
        <w:rPr>
          <w:sz w:val="20"/>
          <w:szCs w:val="20"/>
          <w:color w:val="auto"/>
        </w:rPr>
      </w:pPr>
    </w:p>
    <w:p>
      <w:pPr>
        <w:ind w:right="80" w:firstLine="619"/>
        <w:spacing w:after="0" w:line="262" w:lineRule="auto"/>
        <w:rPr>
          <w:sz w:val="20"/>
          <w:szCs w:val="20"/>
          <w:color w:val="auto"/>
        </w:rPr>
      </w:pPr>
      <w:r>
        <w:rPr>
          <w:rFonts w:ascii="Arial" w:cs="Arial" w:eastAsia="Arial" w:hAnsi="Arial"/>
          <w:sz w:val="17"/>
          <w:szCs w:val="17"/>
          <w:color w:val="auto"/>
        </w:rPr>
        <w:t>The Company’s equity-method investments include its investments in Oaktree funds for which it serves as general partner, and other third-party funds and companies that are not consolidated, but for which the Company is deemed to exert significant influence. The Company’s share of income or loss generated by these investments is recorded within investment income in the consolidated statements of operations. The Company’s equity-method investments in Oaktree funds principally reflect the Company’s general partner interests in those funds, which typically does not exceed 2.5% in each fund. The Oaktree funds are investment companies that follow a specialized basis of accounting established by GAAP.</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Other Investments, at Fair Value</w:t>
      </w:r>
    </w:p>
    <w:p>
      <w:pPr>
        <w:spacing w:after="0" w:line="269" w:lineRule="exact"/>
        <w:rPr>
          <w:sz w:val="20"/>
          <w:szCs w:val="20"/>
          <w:color w:val="auto"/>
        </w:rPr>
      </w:pPr>
    </w:p>
    <w:p>
      <w:pPr>
        <w:ind w:right="320" w:firstLine="619"/>
        <w:spacing w:after="0" w:line="290" w:lineRule="auto"/>
        <w:rPr>
          <w:sz w:val="20"/>
          <w:szCs w:val="20"/>
          <w:color w:val="auto"/>
        </w:rPr>
      </w:pPr>
      <w:r>
        <w:rPr>
          <w:rFonts w:ascii="Arial" w:cs="Arial" w:eastAsia="Arial" w:hAnsi="Arial"/>
          <w:sz w:val="17"/>
          <w:szCs w:val="17"/>
          <w:color w:val="auto"/>
        </w:rPr>
        <w:t>Other investments, at fair value primarily consist of (a) investments in certain Oaktree and non-Oaktree funds, (b) non-investment grade debt securities and (c) derivatives utilized to hedge the Company’s exposure to investment income earned from its funds.</w:t>
      </w:r>
    </w:p>
    <w:p>
      <w:pPr>
        <w:spacing w:after="0" w:line="95"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following table summarizes net gains (losses) attributable to the Company’s other investments at fair value:</w:t>
      </w:r>
    </w:p>
    <w:p>
      <w:pPr>
        <w:spacing w:after="0" w:line="194"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7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20" w:type="dxa"/>
            <w:vAlign w:val="bottom"/>
            <w:gridSpan w:val="2"/>
          </w:tcPr>
          <w:p>
            <w:pPr>
              <w:jc w:val="center"/>
              <w:ind w:right="400"/>
              <w:spacing w:after="0"/>
              <w:rPr>
                <w:sz w:val="20"/>
                <w:szCs w:val="20"/>
                <w:color w:val="auto"/>
              </w:rPr>
            </w:pPr>
            <w:r>
              <w:rPr>
                <w:rFonts w:ascii="Arial" w:cs="Arial" w:eastAsia="Arial" w:hAnsi="Arial"/>
                <w:sz w:val="12"/>
                <w:szCs w:val="12"/>
                <w:b w:val="1"/>
                <w:bCs w:val="1"/>
                <w:color w:val="auto"/>
              </w:rPr>
              <w:t>Twelve months ended</w:t>
            </w:r>
          </w:p>
        </w:tc>
        <w:tc>
          <w:tcPr>
            <w:tcW w:w="1800" w:type="dxa"/>
            <w:vAlign w:val="bottom"/>
            <w:gridSpan w:val="2"/>
          </w:tcPr>
          <w:p>
            <w:pPr>
              <w:jc w:val="center"/>
              <w:spacing w:after="0"/>
              <w:rPr>
                <w:sz w:val="20"/>
                <w:szCs w:val="20"/>
                <w:color w:val="auto"/>
              </w:rPr>
            </w:pPr>
            <w:r>
              <w:rPr>
                <w:rFonts w:ascii="Arial" w:cs="Arial" w:eastAsia="Arial" w:hAnsi="Arial"/>
                <w:sz w:val="12"/>
                <w:szCs w:val="12"/>
                <w:b w:val="1"/>
                <w:bCs w:val="1"/>
                <w:color w:val="auto"/>
                <w:w w:val="99"/>
              </w:rPr>
              <w:t>Six months ended December</w:t>
            </w:r>
          </w:p>
        </w:tc>
      </w:tr>
      <w:tr>
        <w:trPr>
          <w:trHeight w:val="169"/>
        </w:trPr>
        <w:tc>
          <w:tcPr>
            <w:tcW w:w="7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20" w:type="dxa"/>
            <w:vAlign w:val="bottom"/>
            <w:gridSpan w:val="2"/>
          </w:tcPr>
          <w:p>
            <w:pPr>
              <w:jc w:val="center"/>
              <w:ind w:right="400"/>
              <w:spacing w:after="0"/>
              <w:rPr>
                <w:sz w:val="20"/>
                <w:szCs w:val="20"/>
                <w:color w:val="auto"/>
              </w:rPr>
            </w:pPr>
            <w:r>
              <w:rPr>
                <w:rFonts w:ascii="Arial" w:cs="Arial" w:eastAsia="Arial" w:hAnsi="Arial"/>
                <w:sz w:val="12"/>
                <w:szCs w:val="12"/>
                <w:b w:val="1"/>
                <w:bCs w:val="1"/>
                <w:color w:val="auto"/>
              </w:rPr>
              <w:t>December 31, 2025</w:t>
            </w:r>
          </w:p>
        </w:tc>
        <w:tc>
          <w:tcPr>
            <w:tcW w:w="380" w:type="dxa"/>
            <w:vAlign w:val="bottom"/>
          </w:tcPr>
          <w:p>
            <w:pPr>
              <w:spacing w:after="0"/>
              <w:rPr>
                <w:sz w:val="14"/>
                <w:szCs w:val="14"/>
                <w:color w:val="auto"/>
              </w:rPr>
            </w:pPr>
          </w:p>
        </w:tc>
        <w:tc>
          <w:tcPr>
            <w:tcW w:w="1420" w:type="dxa"/>
            <w:vAlign w:val="bottom"/>
          </w:tcPr>
          <w:p>
            <w:pPr>
              <w:jc w:val="right"/>
              <w:ind w:right="587"/>
              <w:spacing w:after="0"/>
              <w:rPr>
                <w:sz w:val="20"/>
                <w:szCs w:val="20"/>
                <w:color w:val="auto"/>
              </w:rPr>
            </w:pPr>
            <w:r>
              <w:rPr>
                <w:rFonts w:ascii="Arial" w:cs="Arial" w:eastAsia="Arial" w:hAnsi="Arial"/>
                <w:sz w:val="12"/>
                <w:szCs w:val="12"/>
                <w:b w:val="1"/>
                <w:bCs w:val="1"/>
                <w:color w:val="auto"/>
              </w:rPr>
              <w:t>31, 2024</w:t>
            </w:r>
          </w:p>
        </w:tc>
      </w:tr>
      <w:tr>
        <w:trPr>
          <w:trHeight w:val="330"/>
        </w:trPr>
        <w:tc>
          <w:tcPr>
            <w:tcW w:w="7400" w:type="dxa"/>
            <w:vAlign w:val="bottom"/>
          </w:tcPr>
          <w:p>
            <w:pPr>
              <w:spacing w:after="0"/>
              <w:rPr>
                <w:sz w:val="20"/>
                <w:szCs w:val="20"/>
                <w:color w:val="auto"/>
              </w:rPr>
            </w:pPr>
            <w:r>
              <w:rPr>
                <w:rFonts w:ascii="Arial" w:cs="Arial" w:eastAsia="Arial" w:hAnsi="Arial"/>
                <w:sz w:val="15"/>
                <w:szCs w:val="15"/>
                <w:color w:val="auto"/>
              </w:rPr>
              <w:t>Realized gain (loss)</w:t>
            </w:r>
          </w:p>
        </w:tc>
        <w:tc>
          <w:tcPr>
            <w:tcW w:w="200" w:type="dxa"/>
            <w:vAlign w:val="bottom"/>
            <w:tcBorders>
              <w:top w:val="single" w:sz="8" w:color="auto"/>
            </w:tcBorders>
          </w:tcPr>
          <w:p>
            <w:pPr>
              <w:jc w:val="right"/>
              <w:ind w:right="3"/>
              <w:spacing w:after="0"/>
              <w:rPr>
                <w:sz w:val="20"/>
                <w:szCs w:val="20"/>
                <w:color w:val="auto"/>
              </w:rPr>
            </w:pPr>
            <w:r>
              <w:rPr>
                <w:rFonts w:ascii="Arial" w:cs="Arial" w:eastAsia="Arial" w:hAnsi="Arial"/>
                <w:sz w:val="15"/>
                <w:szCs w:val="15"/>
                <w:color w:val="auto"/>
              </w:rPr>
              <w:t>$</w:t>
            </w:r>
          </w:p>
        </w:tc>
        <w:tc>
          <w:tcPr>
            <w:tcW w:w="1620" w:type="dxa"/>
            <w:vAlign w:val="bottom"/>
            <w:tcBorders>
              <w:top w:val="single" w:sz="8" w:color="auto"/>
            </w:tcBorders>
          </w:tcPr>
          <w:p>
            <w:pPr>
              <w:jc w:val="right"/>
              <w:ind w:right="10"/>
              <w:spacing w:after="0"/>
              <w:rPr>
                <w:sz w:val="20"/>
                <w:szCs w:val="20"/>
                <w:color w:val="auto"/>
              </w:rPr>
            </w:pPr>
            <w:r>
              <w:rPr>
                <w:rFonts w:ascii="Arial" w:cs="Arial" w:eastAsia="Arial" w:hAnsi="Arial"/>
                <w:sz w:val="15"/>
                <w:szCs w:val="15"/>
                <w:color w:val="auto"/>
              </w:rPr>
              <w:t>6,102</w:t>
            </w:r>
          </w:p>
        </w:tc>
        <w:tc>
          <w:tcPr>
            <w:tcW w:w="200" w:type="dxa"/>
            <w:vAlign w:val="bottom"/>
          </w:tcPr>
          <w:p>
            <w:pPr>
              <w:spacing w:after="0"/>
              <w:rPr>
                <w:sz w:val="24"/>
                <w:szCs w:val="24"/>
                <w:color w:val="auto"/>
              </w:rPr>
            </w:pPr>
          </w:p>
        </w:tc>
        <w:tc>
          <w:tcPr>
            <w:tcW w:w="380" w:type="dxa"/>
            <w:vAlign w:val="bottom"/>
            <w:tcBorders>
              <w:top w:val="single" w:sz="8" w:color="auto"/>
            </w:tcBorders>
          </w:tcPr>
          <w:p>
            <w:pPr>
              <w:jc w:val="right"/>
              <w:ind w:right="208"/>
              <w:spacing w:after="0"/>
              <w:rPr>
                <w:sz w:val="20"/>
                <w:szCs w:val="20"/>
                <w:color w:val="auto"/>
              </w:rPr>
            </w:pPr>
            <w:r>
              <w:rPr>
                <w:rFonts w:ascii="Arial" w:cs="Arial" w:eastAsia="Arial" w:hAnsi="Arial"/>
                <w:sz w:val="15"/>
                <w:szCs w:val="15"/>
                <w:color w:val="auto"/>
                <w:w w:val="95"/>
              </w:rPr>
              <w:t>$</w:t>
            </w:r>
          </w:p>
        </w:tc>
        <w:tc>
          <w:tcPr>
            <w:tcW w:w="1420" w:type="dxa"/>
            <w:vAlign w:val="bottom"/>
            <w:tcBorders>
              <w:top w:val="single" w:sz="8" w:color="auto"/>
            </w:tcBorders>
          </w:tcPr>
          <w:p>
            <w:pPr>
              <w:jc w:val="center"/>
              <w:ind w:left="827"/>
              <w:spacing w:after="0"/>
              <w:rPr>
                <w:sz w:val="20"/>
                <w:szCs w:val="20"/>
                <w:color w:val="auto"/>
              </w:rPr>
            </w:pPr>
            <w:r>
              <w:rPr>
                <w:rFonts w:ascii="Arial" w:cs="Arial" w:eastAsia="Arial" w:hAnsi="Arial"/>
                <w:sz w:val="15"/>
                <w:szCs w:val="15"/>
                <w:color w:val="auto"/>
              </w:rPr>
              <w:t>2,089</w:t>
            </w:r>
          </w:p>
        </w:tc>
      </w:tr>
      <w:tr>
        <w:trPr>
          <w:trHeight w:val="207"/>
        </w:trPr>
        <w:tc>
          <w:tcPr>
            <w:tcW w:w="7400" w:type="dxa"/>
            <w:vAlign w:val="bottom"/>
          </w:tcPr>
          <w:p>
            <w:pPr>
              <w:spacing w:after="0"/>
              <w:rPr>
                <w:sz w:val="20"/>
                <w:szCs w:val="20"/>
                <w:color w:val="auto"/>
              </w:rPr>
            </w:pPr>
            <w:r>
              <w:rPr>
                <w:rFonts w:ascii="Arial" w:cs="Arial" w:eastAsia="Arial" w:hAnsi="Arial"/>
                <w:sz w:val="15"/>
                <w:szCs w:val="15"/>
                <w:color w:val="auto"/>
              </w:rPr>
              <w:t>Net change in unrealized gain (loss)</w:t>
            </w:r>
          </w:p>
        </w:tc>
        <w:tc>
          <w:tcPr>
            <w:tcW w:w="20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(48,561)</w:t>
            </w:r>
          </w:p>
        </w:tc>
        <w:tc>
          <w:tcPr>
            <w:tcW w:w="2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center"/>
              <w:ind w:left="807"/>
              <w:spacing w:after="0"/>
              <w:rPr>
                <w:sz w:val="20"/>
                <w:szCs w:val="20"/>
                <w:color w:val="auto"/>
              </w:rPr>
            </w:pPr>
            <w:r>
              <w:rPr>
                <w:rFonts w:ascii="Arial" w:cs="Arial" w:eastAsia="Arial" w:hAnsi="Arial"/>
                <w:sz w:val="15"/>
                <w:szCs w:val="15"/>
                <w:color w:val="auto"/>
              </w:rPr>
              <w:t>(3,226)</w:t>
            </w:r>
          </w:p>
        </w:tc>
      </w:tr>
      <w:tr>
        <w:trPr>
          <w:trHeight w:val="200"/>
        </w:trPr>
        <w:tc>
          <w:tcPr>
            <w:tcW w:w="7400" w:type="dxa"/>
            <w:vAlign w:val="bottom"/>
          </w:tcPr>
          <w:p>
            <w:pPr>
              <w:spacing w:after="0"/>
              <w:rPr>
                <w:sz w:val="20"/>
                <w:szCs w:val="20"/>
                <w:color w:val="auto"/>
              </w:rPr>
            </w:pPr>
            <w:r>
              <w:rPr>
                <w:rFonts w:ascii="Arial" w:cs="Arial" w:eastAsia="Arial" w:hAnsi="Arial"/>
                <w:sz w:val="15"/>
                <w:szCs w:val="15"/>
                <w:color w:val="auto"/>
              </w:rPr>
              <w:t>Total gain (loss)</w:t>
            </w:r>
          </w:p>
        </w:tc>
        <w:tc>
          <w:tcPr>
            <w:tcW w:w="20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(42,459)</w:t>
            </w:r>
          </w:p>
        </w:tc>
        <w:tc>
          <w:tcPr>
            <w:tcW w:w="200" w:type="dxa"/>
            <w:vAlign w:val="bottom"/>
          </w:tcPr>
          <w:p>
            <w:pPr>
              <w:spacing w:after="0"/>
              <w:rPr>
                <w:sz w:val="17"/>
                <w:szCs w:val="17"/>
                <w:color w:val="auto"/>
              </w:rPr>
            </w:pPr>
          </w:p>
        </w:tc>
        <w:tc>
          <w:tcPr>
            <w:tcW w:w="380" w:type="dxa"/>
            <w:vAlign w:val="bottom"/>
            <w:tcBorders>
              <w:bottom w:val="single" w:sz="8" w:color="auto"/>
            </w:tcBorders>
          </w:tcPr>
          <w:p>
            <w:pPr>
              <w:jc w:val="right"/>
              <w:ind w:right="208"/>
              <w:spacing w:after="0"/>
              <w:rPr>
                <w:sz w:val="20"/>
                <w:szCs w:val="20"/>
                <w:color w:val="auto"/>
              </w:rPr>
            </w:pPr>
            <w:r>
              <w:rPr>
                <w:rFonts w:ascii="Arial" w:cs="Arial" w:eastAsia="Arial" w:hAnsi="Arial"/>
                <w:sz w:val="15"/>
                <w:szCs w:val="15"/>
                <w:color w:val="auto"/>
                <w:w w:val="95"/>
              </w:rPr>
              <w:t>$</w:t>
            </w:r>
          </w:p>
        </w:tc>
        <w:tc>
          <w:tcPr>
            <w:tcW w:w="1420" w:type="dxa"/>
            <w:vAlign w:val="bottom"/>
            <w:tcBorders>
              <w:bottom w:val="single" w:sz="8" w:color="auto"/>
            </w:tcBorders>
          </w:tcPr>
          <w:p>
            <w:pPr>
              <w:jc w:val="center"/>
              <w:ind w:left="807"/>
              <w:spacing w:after="0"/>
              <w:rPr>
                <w:sz w:val="20"/>
                <w:szCs w:val="20"/>
                <w:color w:val="auto"/>
              </w:rPr>
            </w:pPr>
            <w:r>
              <w:rPr>
                <w:rFonts w:ascii="Arial" w:cs="Arial" w:eastAsia="Arial" w:hAnsi="Arial"/>
                <w:sz w:val="15"/>
                <w:szCs w:val="15"/>
                <w:color w:val="auto"/>
              </w:rPr>
              <w:t>(1,137)</w:t>
            </w:r>
          </w:p>
        </w:tc>
      </w:tr>
      <w:tr>
        <w:trPr>
          <w:trHeight w:val="20"/>
        </w:trPr>
        <w:tc>
          <w:tcPr>
            <w:tcW w:w="74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w:t>
      </w:r>
    </w:p>
    <w:p>
      <w:pPr>
        <w:sectPr>
          <w:pgSz w:w="11900" w:h="16838" w:orient="portrait"/>
          <w:cols w:equalWidth="0" w:num="1">
            <w:col w:w="11240"/>
          </w:cols>
          <w:pgMar w:left="320" w:top="353" w:right="339" w:bottom="1440" w:gutter="0" w:footer="0" w:header="0"/>
        </w:sectPr>
      </w:pPr>
    </w:p>
    <w:bookmarkStart w:id="159" w:name="page160"/>
    <w:bookmarkEnd w:id="159"/>
    <w:p>
      <w:pPr>
        <w:jc w:val="center"/>
        <w:spacing w:after="0"/>
        <w:rPr>
          <w:sz w:val="20"/>
          <w:szCs w:val="20"/>
          <w:color w:val="auto"/>
        </w:rPr>
      </w:pPr>
      <w:r>
        <w:rPr>
          <w:rFonts w:ascii="Arial" w:cs="Arial" w:eastAsia="Arial" w:hAnsi="Arial"/>
          <w:sz w:val="17"/>
          <w:szCs w:val="17"/>
          <w:b w:val="1"/>
          <w:bCs w:val="1"/>
          <w:color w:val="auto"/>
        </w:rPr>
        <w:t>Oaktree Capital I, L.P.</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 (Continued)</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December 31, 2025</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 in thousands, except where noted)</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Investments of Consolidated Funds</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Investments, at Fair Value</w:t>
      </w:r>
    </w:p>
    <w:p>
      <w:pPr>
        <w:spacing w:after="0" w:line="165" w:lineRule="exact"/>
        <w:rPr>
          <w:sz w:val="20"/>
          <w:szCs w:val="20"/>
          <w:color w:val="auto"/>
        </w:rPr>
      </w:pPr>
    </w:p>
    <w:p>
      <w:pPr>
        <w:ind w:left="620"/>
        <w:spacing w:after="0"/>
        <w:rPr>
          <w:sz w:val="20"/>
          <w:szCs w:val="20"/>
          <w:color w:val="auto"/>
        </w:rPr>
      </w:pPr>
      <w:r>
        <w:rPr>
          <w:rFonts w:ascii="Arial" w:cs="Arial" w:eastAsia="Arial" w:hAnsi="Arial"/>
          <w:sz w:val="17"/>
          <w:szCs w:val="17"/>
          <w:color w:val="auto"/>
        </w:rPr>
        <w:t>Investments held and securities sold short by the consolidated funds are summarized below:</w:t>
      </w:r>
    </w:p>
    <w:p>
      <w:pPr>
        <w:spacing w:after="0" w:line="31"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800" w:type="dxa"/>
            <w:vAlign w:val="bottom"/>
          </w:tcPr>
          <w:p>
            <w:pPr>
              <w:spacing w:after="0"/>
              <w:rPr>
                <w:sz w:val="12"/>
                <w:szCs w:val="12"/>
                <w:color w:val="auto"/>
              </w:rPr>
            </w:pPr>
          </w:p>
        </w:tc>
        <w:tc>
          <w:tcPr>
            <w:tcW w:w="49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60" w:type="dxa"/>
            <w:vAlign w:val="bottom"/>
            <w:gridSpan w:val="5"/>
            <w:vMerge w:val="restart"/>
          </w:tcPr>
          <w:p>
            <w:pPr>
              <w:ind w:left="160"/>
              <w:spacing w:after="0"/>
              <w:rPr>
                <w:sz w:val="20"/>
                <w:szCs w:val="20"/>
                <w:color w:val="auto"/>
              </w:rPr>
            </w:pPr>
            <w:r>
              <w:rPr>
                <w:rFonts w:ascii="Arial" w:cs="Arial" w:eastAsia="Arial" w:hAnsi="Arial"/>
                <w:sz w:val="12"/>
                <w:szCs w:val="12"/>
                <w:b w:val="1"/>
                <w:bCs w:val="1"/>
                <w:color w:val="auto"/>
              </w:rPr>
              <w:t>Fair Value as of December 31,</w:t>
            </w:r>
          </w:p>
        </w:tc>
        <w:tc>
          <w:tcPr>
            <w:tcW w:w="2720" w:type="dxa"/>
            <w:vAlign w:val="bottom"/>
            <w:gridSpan w:val="3"/>
          </w:tcPr>
          <w:p>
            <w:pPr>
              <w:jc w:val="right"/>
              <w:ind w:right="11"/>
              <w:spacing w:after="0"/>
              <w:rPr>
                <w:sz w:val="20"/>
                <w:szCs w:val="20"/>
                <w:color w:val="auto"/>
              </w:rPr>
            </w:pPr>
            <w:r>
              <w:rPr>
                <w:rFonts w:ascii="Arial" w:cs="Arial" w:eastAsia="Arial" w:hAnsi="Arial"/>
                <w:sz w:val="12"/>
                <w:szCs w:val="12"/>
                <w:b w:val="1"/>
                <w:bCs w:val="1"/>
                <w:color w:val="auto"/>
              </w:rPr>
              <w:t>Fair Value as a Percentage of Investments of</w:t>
            </w:r>
          </w:p>
        </w:tc>
        <w:tc>
          <w:tcPr>
            <w:tcW w:w="0" w:type="dxa"/>
            <w:vAlign w:val="bottom"/>
          </w:tcPr>
          <w:p>
            <w:pPr>
              <w:spacing w:after="0"/>
              <w:rPr>
                <w:sz w:val="1"/>
                <w:szCs w:val="1"/>
                <w:color w:val="auto"/>
              </w:rPr>
            </w:pPr>
          </w:p>
        </w:tc>
      </w:tr>
      <w:tr>
        <w:trPr>
          <w:trHeight w:val="173"/>
        </w:trPr>
        <w:tc>
          <w:tcPr>
            <w:tcW w:w="800" w:type="dxa"/>
            <w:vAlign w:val="bottom"/>
          </w:tcPr>
          <w:p>
            <w:pPr>
              <w:spacing w:after="0"/>
              <w:rPr>
                <w:sz w:val="15"/>
                <w:szCs w:val="15"/>
                <w:color w:val="auto"/>
              </w:rPr>
            </w:pPr>
          </w:p>
        </w:tc>
        <w:tc>
          <w:tcPr>
            <w:tcW w:w="49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60" w:type="dxa"/>
            <w:vAlign w:val="bottom"/>
            <w:gridSpan w:val="5"/>
            <w:vMerge w:val="continue"/>
          </w:tcPr>
          <w:p>
            <w:pPr>
              <w:spacing w:after="0"/>
              <w:rPr>
                <w:sz w:val="15"/>
                <w:szCs w:val="15"/>
                <w:color w:val="auto"/>
              </w:rPr>
            </w:pPr>
          </w:p>
        </w:tc>
        <w:tc>
          <w:tcPr>
            <w:tcW w:w="2720" w:type="dxa"/>
            <w:vAlign w:val="bottom"/>
            <w:gridSpan w:val="3"/>
          </w:tcPr>
          <w:p>
            <w:pPr>
              <w:jc w:val="right"/>
              <w:ind w:right="151"/>
              <w:spacing w:after="0"/>
              <w:rPr>
                <w:sz w:val="20"/>
                <w:szCs w:val="20"/>
                <w:color w:val="auto"/>
              </w:rPr>
            </w:pPr>
            <w:r>
              <w:rPr>
                <w:rFonts w:ascii="Arial" w:cs="Arial" w:eastAsia="Arial" w:hAnsi="Arial"/>
                <w:sz w:val="12"/>
                <w:szCs w:val="12"/>
                <w:b w:val="1"/>
                <w:bCs w:val="1"/>
                <w:color w:val="auto"/>
              </w:rPr>
              <w:t>Consolidated Funds as of December 31,</w:t>
            </w:r>
          </w:p>
        </w:tc>
        <w:tc>
          <w:tcPr>
            <w:tcW w:w="0" w:type="dxa"/>
            <w:vAlign w:val="bottom"/>
          </w:tcPr>
          <w:p>
            <w:pPr>
              <w:spacing w:after="0"/>
              <w:rPr>
                <w:sz w:val="1"/>
                <w:szCs w:val="1"/>
                <w:color w:val="auto"/>
              </w:rPr>
            </w:pPr>
          </w:p>
        </w:tc>
      </w:tr>
      <w:tr>
        <w:trPr>
          <w:trHeight w:val="162"/>
        </w:trPr>
        <w:tc>
          <w:tcPr>
            <w:tcW w:w="5780" w:type="dxa"/>
            <w:vAlign w:val="bottom"/>
            <w:gridSpan w:val="2"/>
          </w:tcPr>
          <w:p>
            <w:pPr>
              <w:spacing w:after="0"/>
              <w:rPr>
                <w:sz w:val="20"/>
                <w:szCs w:val="20"/>
                <w:color w:val="auto"/>
              </w:rPr>
            </w:pPr>
            <w:r>
              <w:rPr>
                <w:rFonts w:ascii="Arial" w:cs="Arial" w:eastAsia="Arial" w:hAnsi="Arial"/>
                <w:sz w:val="14"/>
                <w:szCs w:val="14"/>
                <w:b w:val="1"/>
                <w:bCs w:val="1"/>
                <w:color w:val="auto"/>
              </w:rPr>
              <w:t>Investments</w:t>
            </w:r>
          </w:p>
        </w:tc>
        <w:tc>
          <w:tcPr>
            <w:tcW w:w="260" w:type="dxa"/>
            <w:vAlign w:val="bottom"/>
          </w:tcPr>
          <w:p>
            <w:pPr>
              <w:spacing w:after="0"/>
              <w:rPr>
                <w:sz w:val="14"/>
                <w:szCs w:val="14"/>
                <w:color w:val="auto"/>
              </w:rPr>
            </w:pPr>
          </w:p>
        </w:tc>
        <w:tc>
          <w:tcPr>
            <w:tcW w:w="960" w:type="dxa"/>
            <w:vAlign w:val="bottom"/>
          </w:tcPr>
          <w:p>
            <w:pPr>
              <w:jc w:val="right"/>
              <w:ind w:right="413"/>
              <w:spacing w:after="0"/>
              <w:rPr>
                <w:sz w:val="20"/>
                <w:szCs w:val="20"/>
                <w:color w:val="auto"/>
              </w:rPr>
            </w:pPr>
            <w:r>
              <w:rPr>
                <w:rFonts w:ascii="Arial" w:cs="Arial" w:eastAsia="Arial" w:hAnsi="Arial"/>
                <w:sz w:val="12"/>
                <w:szCs w:val="12"/>
                <w:b w:val="1"/>
                <w:bCs w:val="1"/>
                <w:color w:val="auto"/>
              </w:rPr>
              <w:t>2025</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jc w:val="right"/>
              <w:ind w:right="411"/>
              <w:spacing w:after="0"/>
              <w:rPr>
                <w:sz w:val="20"/>
                <w:szCs w:val="20"/>
                <w:color w:val="auto"/>
              </w:rPr>
            </w:pPr>
            <w:r>
              <w:rPr>
                <w:rFonts w:ascii="Arial" w:cs="Arial" w:eastAsia="Arial" w:hAnsi="Arial"/>
                <w:sz w:val="12"/>
                <w:szCs w:val="12"/>
                <w:b w:val="1"/>
                <w:bCs w:val="1"/>
                <w:color w:val="auto"/>
              </w:rPr>
              <w:t>2024</w:t>
            </w:r>
          </w:p>
        </w:tc>
        <w:tc>
          <w:tcPr>
            <w:tcW w:w="200" w:type="dxa"/>
            <w:vAlign w:val="bottom"/>
          </w:tcPr>
          <w:p>
            <w:pPr>
              <w:spacing w:after="0"/>
              <w:rPr>
                <w:sz w:val="14"/>
                <w:szCs w:val="14"/>
                <w:color w:val="auto"/>
              </w:rPr>
            </w:pPr>
          </w:p>
        </w:tc>
        <w:tc>
          <w:tcPr>
            <w:tcW w:w="1320" w:type="dxa"/>
            <w:vAlign w:val="bottom"/>
          </w:tcPr>
          <w:p>
            <w:pPr>
              <w:jc w:val="right"/>
              <w:ind w:right="453"/>
              <w:spacing w:after="0"/>
              <w:rPr>
                <w:sz w:val="20"/>
                <w:szCs w:val="20"/>
                <w:color w:val="auto"/>
              </w:rPr>
            </w:pPr>
            <w:r>
              <w:rPr>
                <w:rFonts w:ascii="Arial" w:cs="Arial" w:eastAsia="Arial" w:hAnsi="Arial"/>
                <w:sz w:val="12"/>
                <w:szCs w:val="12"/>
                <w:b w:val="1"/>
                <w:bCs w:val="1"/>
                <w:color w:val="auto"/>
              </w:rPr>
              <w:t>2025</w:t>
            </w:r>
          </w:p>
        </w:tc>
        <w:tc>
          <w:tcPr>
            <w:tcW w:w="80" w:type="dxa"/>
            <w:vAlign w:val="bottom"/>
          </w:tcPr>
          <w:p>
            <w:pPr>
              <w:spacing w:after="0"/>
              <w:rPr>
                <w:sz w:val="14"/>
                <w:szCs w:val="14"/>
                <w:color w:val="auto"/>
              </w:rPr>
            </w:pPr>
          </w:p>
        </w:tc>
        <w:tc>
          <w:tcPr>
            <w:tcW w:w="1320" w:type="dxa"/>
            <w:vAlign w:val="bottom"/>
          </w:tcPr>
          <w:p>
            <w:pPr>
              <w:jc w:val="right"/>
              <w:ind w:right="451"/>
              <w:spacing w:after="0"/>
              <w:rPr>
                <w:sz w:val="20"/>
                <w:szCs w:val="20"/>
                <w:color w:val="auto"/>
              </w:rPr>
            </w:pPr>
            <w:r>
              <w:rPr>
                <w:rFonts w:ascii="Arial" w:cs="Arial" w:eastAsia="Arial" w:hAnsi="Arial"/>
                <w:sz w:val="12"/>
                <w:szCs w:val="12"/>
                <w:b w:val="1"/>
                <w:bCs w:val="1"/>
                <w:color w:val="auto"/>
              </w:rPr>
              <w:t>2024</w:t>
            </w:r>
          </w:p>
        </w:tc>
        <w:tc>
          <w:tcPr>
            <w:tcW w:w="0" w:type="dxa"/>
            <w:vAlign w:val="bottom"/>
          </w:tcPr>
          <w:p>
            <w:pPr>
              <w:spacing w:after="0"/>
              <w:rPr>
                <w:sz w:val="1"/>
                <w:szCs w:val="1"/>
                <w:color w:val="auto"/>
              </w:rPr>
            </w:pPr>
          </w:p>
        </w:tc>
      </w:tr>
      <w:tr>
        <w:trPr>
          <w:trHeight w:val="20"/>
        </w:trPr>
        <w:tc>
          <w:tcPr>
            <w:tcW w:w="800" w:type="dxa"/>
            <w:vAlign w:val="bottom"/>
            <w:shd w:val="clear" w:color="auto" w:fill="000000"/>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5780" w:type="dxa"/>
            <w:vAlign w:val="bottom"/>
            <w:gridSpan w:val="2"/>
            <w:vMerge w:val="restart"/>
          </w:tcPr>
          <w:p>
            <w:pPr>
              <w:spacing w:after="0"/>
              <w:rPr>
                <w:sz w:val="20"/>
                <w:szCs w:val="20"/>
                <w:color w:val="auto"/>
              </w:rPr>
            </w:pPr>
            <w:r>
              <w:rPr>
                <w:rFonts w:ascii="Arial" w:cs="Arial" w:eastAsia="Arial" w:hAnsi="Arial"/>
                <w:sz w:val="14"/>
                <w:szCs w:val="14"/>
                <w:color w:val="auto"/>
              </w:rPr>
              <w:t>United States:</w:t>
            </w: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780" w:type="dxa"/>
            <w:vAlign w:val="bottom"/>
            <w:gridSpan w:val="2"/>
            <w:vMerge w:val="continue"/>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5780" w:type="dxa"/>
            <w:vAlign w:val="bottom"/>
            <w:gridSpan w:val="2"/>
          </w:tcPr>
          <w:p>
            <w:pPr>
              <w:ind w:left="740"/>
              <w:spacing w:after="0" w:line="155" w:lineRule="exact"/>
              <w:rPr>
                <w:sz w:val="20"/>
                <w:szCs w:val="20"/>
                <w:color w:val="auto"/>
              </w:rPr>
            </w:pPr>
            <w:r>
              <w:rPr>
                <w:rFonts w:ascii="Arial" w:cs="Arial" w:eastAsia="Arial" w:hAnsi="Arial"/>
                <w:sz w:val="14"/>
                <w:szCs w:val="14"/>
                <w:color w:val="auto"/>
              </w:rPr>
              <w:t>Total debt securities (cost:$3,801,968 and $2,129,055 as of December 31, 2025</w:t>
            </w:r>
          </w:p>
        </w:tc>
        <w:tc>
          <w:tcPr>
            <w:tcW w:w="260" w:type="dxa"/>
            <w:vAlign w:val="bottom"/>
            <w:vMerge w:val="restart"/>
          </w:tcPr>
          <w:p>
            <w:pPr>
              <w:jc w:val="right"/>
              <w:ind w:right="91"/>
              <w:spacing w:after="0"/>
              <w:rPr>
                <w:sz w:val="20"/>
                <w:szCs w:val="20"/>
                <w:color w:val="auto"/>
              </w:rPr>
            </w:pPr>
            <w:r>
              <w:rPr>
                <w:rFonts w:ascii="Arial" w:cs="Arial" w:eastAsia="Arial" w:hAnsi="Arial"/>
                <w:sz w:val="14"/>
                <w:szCs w:val="14"/>
                <w:color w:val="auto"/>
              </w:rPr>
              <w:t>$</w:t>
            </w: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3,796,870</w:t>
            </w:r>
          </w:p>
        </w:tc>
        <w:tc>
          <w:tcPr>
            <w:tcW w:w="80" w:type="dxa"/>
            <w:vAlign w:val="bottom"/>
          </w:tcPr>
          <w:p>
            <w:pPr>
              <w:spacing w:after="0"/>
              <w:rPr>
                <w:sz w:val="13"/>
                <w:szCs w:val="13"/>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100" w:type="dxa"/>
            <w:vAlign w:val="bottom"/>
            <w:vMerge w:val="restart"/>
          </w:tcPr>
          <w:p>
            <w:pPr>
              <w:jc w:val="right"/>
              <w:spacing w:after="0"/>
              <w:rPr>
                <w:sz w:val="20"/>
                <w:szCs w:val="20"/>
                <w:color w:val="auto"/>
              </w:rPr>
            </w:pPr>
            <w:r>
              <w:rPr>
                <w:rFonts w:ascii="Arial" w:cs="Arial" w:eastAsia="Arial" w:hAnsi="Arial"/>
                <w:sz w:val="14"/>
                <w:szCs w:val="14"/>
                <w:color w:val="auto"/>
              </w:rPr>
              <w:t>2,135,362</w:t>
            </w:r>
          </w:p>
        </w:tc>
        <w:tc>
          <w:tcPr>
            <w:tcW w:w="200" w:type="dxa"/>
            <w:vAlign w:val="bottom"/>
          </w:tcPr>
          <w:p>
            <w:pPr>
              <w:spacing w:after="0"/>
              <w:rPr>
                <w:sz w:val="13"/>
                <w:szCs w:val="13"/>
                <w:color w:val="auto"/>
              </w:rPr>
            </w:pPr>
          </w:p>
        </w:tc>
        <w:tc>
          <w:tcPr>
            <w:tcW w:w="1320" w:type="dxa"/>
            <w:vAlign w:val="bottom"/>
            <w:vMerge w:val="restart"/>
          </w:tcPr>
          <w:p>
            <w:pPr>
              <w:jc w:val="right"/>
              <w:spacing w:after="0"/>
              <w:rPr>
                <w:sz w:val="20"/>
                <w:szCs w:val="20"/>
                <w:color w:val="auto"/>
              </w:rPr>
            </w:pPr>
            <w:r>
              <w:rPr>
                <w:rFonts w:ascii="Arial" w:cs="Arial" w:eastAsia="Arial" w:hAnsi="Arial"/>
                <w:sz w:val="14"/>
                <w:szCs w:val="14"/>
                <w:color w:val="auto"/>
              </w:rPr>
              <w:t>80.9 %</w:t>
            </w:r>
          </w:p>
        </w:tc>
        <w:tc>
          <w:tcPr>
            <w:tcW w:w="80" w:type="dxa"/>
            <w:vAlign w:val="bottom"/>
          </w:tcPr>
          <w:p>
            <w:pPr>
              <w:spacing w:after="0"/>
              <w:rPr>
                <w:sz w:val="13"/>
                <w:szCs w:val="13"/>
                <w:color w:val="auto"/>
              </w:rPr>
            </w:pPr>
          </w:p>
        </w:tc>
        <w:tc>
          <w:tcPr>
            <w:tcW w:w="1320" w:type="dxa"/>
            <w:vAlign w:val="bottom"/>
            <w:vMerge w:val="restart"/>
          </w:tcPr>
          <w:p>
            <w:pPr>
              <w:jc w:val="right"/>
              <w:spacing w:after="0"/>
              <w:rPr>
                <w:sz w:val="20"/>
                <w:szCs w:val="20"/>
                <w:color w:val="auto"/>
              </w:rPr>
            </w:pPr>
            <w:r>
              <w:rPr>
                <w:rFonts w:ascii="Arial" w:cs="Arial" w:eastAsia="Arial" w:hAnsi="Arial"/>
                <w:sz w:val="14"/>
                <w:szCs w:val="14"/>
                <w:color w:val="auto"/>
              </w:rPr>
              <w:t>88.1 %</w:t>
            </w:r>
          </w:p>
        </w:tc>
        <w:tc>
          <w:tcPr>
            <w:tcW w:w="0" w:type="dxa"/>
            <w:vAlign w:val="bottom"/>
          </w:tcPr>
          <w:p>
            <w:pPr>
              <w:spacing w:after="0"/>
              <w:rPr>
                <w:sz w:val="1"/>
                <w:szCs w:val="1"/>
                <w:color w:val="auto"/>
              </w:rPr>
            </w:pPr>
          </w:p>
        </w:tc>
      </w:tr>
      <w:tr>
        <w:trPr>
          <w:trHeight w:val="180"/>
        </w:trPr>
        <w:tc>
          <w:tcPr>
            <w:tcW w:w="800" w:type="dxa"/>
            <w:vAlign w:val="bottom"/>
          </w:tcPr>
          <w:p>
            <w:pPr>
              <w:spacing w:after="0"/>
              <w:rPr>
                <w:sz w:val="15"/>
                <w:szCs w:val="15"/>
                <w:color w:val="auto"/>
              </w:rPr>
            </w:pPr>
          </w:p>
        </w:tc>
        <w:tc>
          <w:tcPr>
            <w:tcW w:w="4980" w:type="dxa"/>
            <w:vAlign w:val="bottom"/>
          </w:tcPr>
          <w:p>
            <w:pPr>
              <w:ind w:left="80"/>
              <w:spacing w:after="0"/>
              <w:rPr>
                <w:sz w:val="20"/>
                <w:szCs w:val="20"/>
                <w:color w:val="auto"/>
              </w:rPr>
            </w:pPr>
            <w:r>
              <w:rPr>
                <w:rFonts w:ascii="Arial" w:cs="Arial" w:eastAsia="Arial" w:hAnsi="Arial"/>
                <w:sz w:val="14"/>
                <w:szCs w:val="14"/>
                <w:color w:val="auto"/>
              </w:rPr>
              <w:t>and 2024, respectively)</w:t>
            </w:r>
          </w:p>
        </w:tc>
        <w:tc>
          <w:tcPr>
            <w:tcW w:w="260" w:type="dxa"/>
            <w:vAlign w:val="bottom"/>
            <w:vMerge w:val="continue"/>
          </w:tcPr>
          <w:p>
            <w:pPr>
              <w:spacing w:after="0"/>
              <w:rPr>
                <w:sz w:val="15"/>
                <w:szCs w:val="15"/>
                <w:color w:val="auto"/>
              </w:rPr>
            </w:pPr>
          </w:p>
        </w:tc>
        <w:tc>
          <w:tcPr>
            <w:tcW w:w="9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vMerge w:val="continue"/>
          </w:tcPr>
          <w:p>
            <w:pPr>
              <w:spacing w:after="0"/>
              <w:rPr>
                <w:sz w:val="15"/>
                <w:szCs w:val="15"/>
                <w:color w:val="auto"/>
              </w:rPr>
            </w:pPr>
          </w:p>
        </w:tc>
        <w:tc>
          <w:tcPr>
            <w:tcW w:w="110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3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3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780" w:type="dxa"/>
            <w:vAlign w:val="bottom"/>
            <w:gridSpan w:val="2"/>
          </w:tcPr>
          <w:p>
            <w:pPr>
              <w:ind w:left="740"/>
              <w:spacing w:after="0" w:line="142" w:lineRule="exact"/>
              <w:rPr>
                <w:sz w:val="20"/>
                <w:szCs w:val="20"/>
                <w:color w:val="auto"/>
              </w:rPr>
            </w:pPr>
            <w:r>
              <w:rPr>
                <w:rFonts w:ascii="Arial" w:cs="Arial" w:eastAsia="Arial" w:hAnsi="Arial"/>
                <w:sz w:val="14"/>
                <w:szCs w:val="14"/>
                <w:color w:val="auto"/>
              </w:rPr>
              <w:t>Total equity securities (cost: $64,383 and $3,436 as of December 31, 2025 and</w:t>
            </w:r>
          </w:p>
        </w:tc>
        <w:tc>
          <w:tcPr>
            <w:tcW w:w="260" w:type="dxa"/>
            <w:vAlign w:val="bottom"/>
          </w:tcPr>
          <w:p>
            <w:pPr>
              <w:spacing w:after="0"/>
              <w:rPr>
                <w:sz w:val="12"/>
                <w:szCs w:val="12"/>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66,059</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vMerge w:val="restart"/>
          </w:tcPr>
          <w:p>
            <w:pPr>
              <w:jc w:val="right"/>
              <w:spacing w:after="0"/>
              <w:rPr>
                <w:sz w:val="20"/>
                <w:szCs w:val="20"/>
                <w:color w:val="auto"/>
              </w:rPr>
            </w:pPr>
            <w:r>
              <w:rPr>
                <w:rFonts w:ascii="Arial" w:cs="Arial" w:eastAsia="Arial" w:hAnsi="Arial"/>
                <w:sz w:val="14"/>
                <w:szCs w:val="14"/>
                <w:color w:val="auto"/>
              </w:rPr>
              <w:t>3,933</w:t>
            </w:r>
          </w:p>
        </w:tc>
        <w:tc>
          <w:tcPr>
            <w:tcW w:w="200" w:type="dxa"/>
            <w:vAlign w:val="bottom"/>
          </w:tcPr>
          <w:p>
            <w:pPr>
              <w:spacing w:after="0"/>
              <w:rPr>
                <w:sz w:val="12"/>
                <w:szCs w:val="12"/>
                <w:color w:val="auto"/>
              </w:rPr>
            </w:pPr>
          </w:p>
        </w:tc>
        <w:tc>
          <w:tcPr>
            <w:tcW w:w="1320" w:type="dxa"/>
            <w:vAlign w:val="bottom"/>
            <w:vMerge w:val="restart"/>
          </w:tcPr>
          <w:p>
            <w:pPr>
              <w:jc w:val="right"/>
              <w:ind w:right="113"/>
              <w:spacing w:after="0"/>
              <w:rPr>
                <w:sz w:val="20"/>
                <w:szCs w:val="20"/>
                <w:color w:val="auto"/>
              </w:rPr>
            </w:pPr>
            <w:r>
              <w:rPr>
                <w:rFonts w:ascii="Arial" w:cs="Arial" w:eastAsia="Arial" w:hAnsi="Arial"/>
                <w:sz w:val="14"/>
                <w:szCs w:val="14"/>
                <w:color w:val="auto"/>
              </w:rPr>
              <w:t>1.4</w:t>
            </w:r>
          </w:p>
        </w:tc>
        <w:tc>
          <w:tcPr>
            <w:tcW w:w="80" w:type="dxa"/>
            <w:vAlign w:val="bottom"/>
          </w:tcPr>
          <w:p>
            <w:pPr>
              <w:spacing w:after="0"/>
              <w:rPr>
                <w:sz w:val="12"/>
                <w:szCs w:val="12"/>
                <w:color w:val="auto"/>
              </w:rPr>
            </w:pPr>
          </w:p>
        </w:tc>
        <w:tc>
          <w:tcPr>
            <w:tcW w:w="1320" w:type="dxa"/>
            <w:vAlign w:val="bottom"/>
            <w:vMerge w:val="restart"/>
          </w:tcPr>
          <w:p>
            <w:pPr>
              <w:jc w:val="right"/>
              <w:ind w:right="111"/>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80"/>
        </w:trPr>
        <w:tc>
          <w:tcPr>
            <w:tcW w:w="800" w:type="dxa"/>
            <w:vAlign w:val="bottom"/>
          </w:tcPr>
          <w:p>
            <w:pPr>
              <w:spacing w:after="0"/>
              <w:rPr>
                <w:sz w:val="15"/>
                <w:szCs w:val="15"/>
                <w:color w:val="auto"/>
              </w:rPr>
            </w:pPr>
          </w:p>
        </w:tc>
        <w:tc>
          <w:tcPr>
            <w:tcW w:w="4980" w:type="dxa"/>
            <w:vAlign w:val="bottom"/>
          </w:tcPr>
          <w:p>
            <w:pPr>
              <w:ind w:left="80"/>
              <w:spacing w:after="0"/>
              <w:rPr>
                <w:sz w:val="20"/>
                <w:szCs w:val="20"/>
                <w:color w:val="auto"/>
              </w:rPr>
            </w:pPr>
            <w:r>
              <w:rPr>
                <w:rFonts w:ascii="Arial" w:cs="Arial" w:eastAsia="Arial" w:hAnsi="Arial"/>
                <w:sz w:val="14"/>
                <w:szCs w:val="14"/>
                <w:color w:val="auto"/>
              </w:rPr>
              <w:t>2024, respectively)</w:t>
            </w:r>
          </w:p>
        </w:tc>
        <w:tc>
          <w:tcPr>
            <w:tcW w:w="26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3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3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780" w:type="dxa"/>
            <w:vAlign w:val="bottom"/>
            <w:gridSpan w:val="2"/>
          </w:tcPr>
          <w:p>
            <w:pPr>
              <w:ind w:left="740"/>
              <w:spacing w:after="0" w:line="142" w:lineRule="exact"/>
              <w:rPr>
                <w:sz w:val="20"/>
                <w:szCs w:val="20"/>
                <w:color w:val="auto"/>
              </w:rPr>
            </w:pPr>
            <w:r>
              <w:rPr>
                <w:rFonts w:ascii="Arial" w:cs="Arial" w:eastAsia="Arial" w:hAnsi="Arial"/>
                <w:sz w:val="14"/>
                <w:szCs w:val="14"/>
                <w:color w:val="auto"/>
                <w:w w:val="98"/>
              </w:rPr>
              <w:t>Total real estate securities (cost: $377 and $0 as of December 31, 2025 and 2024,</w:t>
            </w:r>
          </w:p>
        </w:tc>
        <w:tc>
          <w:tcPr>
            <w:tcW w:w="260" w:type="dxa"/>
            <w:vAlign w:val="bottom"/>
          </w:tcPr>
          <w:p>
            <w:pPr>
              <w:spacing w:after="0"/>
              <w:rPr>
                <w:sz w:val="12"/>
                <w:szCs w:val="12"/>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864</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2"/>
            <w:vMerge w:val="restart"/>
          </w:tcPr>
          <w:p>
            <w:pPr>
              <w:jc w:val="right"/>
              <w:ind w:right="260"/>
              <w:spacing w:after="0"/>
              <w:rPr>
                <w:sz w:val="20"/>
                <w:szCs w:val="20"/>
                <w:color w:val="auto"/>
              </w:rPr>
            </w:pPr>
            <w:r>
              <w:rPr>
                <w:rFonts w:ascii="Arial" w:cs="Arial" w:eastAsia="Arial" w:hAnsi="Arial"/>
                <w:sz w:val="14"/>
                <w:szCs w:val="14"/>
                <w:color w:val="auto"/>
              </w:rPr>
              <w:t>—</w:t>
            </w:r>
          </w:p>
        </w:tc>
        <w:tc>
          <w:tcPr>
            <w:tcW w:w="1400" w:type="dxa"/>
            <w:vAlign w:val="bottom"/>
            <w:gridSpan w:val="2"/>
            <w:vMerge w:val="restart"/>
          </w:tcPr>
          <w:p>
            <w:pPr>
              <w:jc w:val="right"/>
              <w:ind w:right="260"/>
              <w:spacing w:after="0"/>
              <w:rPr>
                <w:sz w:val="20"/>
                <w:szCs w:val="20"/>
                <w:color w:val="auto"/>
              </w:rPr>
            </w:pPr>
            <w:r>
              <w:rPr>
                <w:rFonts w:ascii="Arial" w:cs="Arial" w:eastAsia="Arial" w:hAnsi="Arial"/>
                <w:sz w:val="14"/>
                <w:szCs w:val="14"/>
                <w:color w:val="auto"/>
              </w:rPr>
              <w:t>—</w:t>
            </w:r>
          </w:p>
        </w:tc>
        <w:tc>
          <w:tcPr>
            <w:tcW w:w="1320" w:type="dxa"/>
            <w:vAlign w:val="bottom"/>
            <w:vMerge w:val="restart"/>
          </w:tcPr>
          <w:p>
            <w:pPr>
              <w:jc w:val="right"/>
              <w:ind w:right="111"/>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800" w:type="dxa"/>
            <w:vAlign w:val="bottom"/>
          </w:tcPr>
          <w:p>
            <w:pPr>
              <w:spacing w:after="0"/>
              <w:rPr>
                <w:sz w:val="15"/>
                <w:szCs w:val="15"/>
                <w:color w:val="auto"/>
              </w:rPr>
            </w:pPr>
          </w:p>
        </w:tc>
        <w:tc>
          <w:tcPr>
            <w:tcW w:w="4980" w:type="dxa"/>
            <w:vAlign w:val="bottom"/>
          </w:tcPr>
          <w:p>
            <w:pPr>
              <w:ind w:left="80"/>
              <w:spacing w:after="0"/>
              <w:rPr>
                <w:sz w:val="20"/>
                <w:szCs w:val="20"/>
                <w:color w:val="auto"/>
              </w:rPr>
            </w:pPr>
            <w:r>
              <w:rPr>
                <w:rFonts w:ascii="Arial" w:cs="Arial" w:eastAsia="Arial" w:hAnsi="Arial"/>
                <w:sz w:val="14"/>
                <w:szCs w:val="14"/>
                <w:color w:val="auto"/>
              </w:rPr>
              <w:t>respectively))</w:t>
            </w:r>
          </w:p>
        </w:tc>
        <w:tc>
          <w:tcPr>
            <w:tcW w:w="26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gridSpan w:val="2"/>
            <w:vMerge w:val="continue"/>
          </w:tcPr>
          <w:p>
            <w:pPr>
              <w:spacing w:after="0"/>
              <w:rPr>
                <w:sz w:val="15"/>
                <w:szCs w:val="15"/>
                <w:color w:val="auto"/>
              </w:rPr>
            </w:pPr>
          </w:p>
        </w:tc>
        <w:tc>
          <w:tcPr>
            <w:tcW w:w="1400" w:type="dxa"/>
            <w:vAlign w:val="bottom"/>
            <w:gridSpan w:val="2"/>
            <w:vMerge w:val="continue"/>
          </w:tcPr>
          <w:p>
            <w:pPr>
              <w:spacing w:after="0"/>
              <w:rPr>
                <w:sz w:val="15"/>
                <w:szCs w:val="15"/>
                <w:color w:val="auto"/>
              </w:rPr>
            </w:pPr>
          </w:p>
        </w:tc>
        <w:tc>
          <w:tcPr>
            <w:tcW w:w="13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451"/>
        </w:trPr>
        <w:tc>
          <w:tcPr>
            <w:tcW w:w="5780" w:type="dxa"/>
            <w:vAlign w:val="bottom"/>
            <w:gridSpan w:val="2"/>
          </w:tcPr>
          <w:p>
            <w:pPr>
              <w:ind w:left="620"/>
              <w:spacing w:after="0"/>
              <w:rPr>
                <w:sz w:val="20"/>
                <w:szCs w:val="20"/>
                <w:color w:val="auto"/>
              </w:rPr>
            </w:pPr>
            <w:r>
              <w:rPr>
                <w:rFonts w:ascii="Arial" w:cs="Arial" w:eastAsia="Arial" w:hAnsi="Arial"/>
                <w:sz w:val="14"/>
                <w:szCs w:val="14"/>
                <w:color w:val="auto"/>
              </w:rPr>
              <w:t>Europe:</w:t>
            </w: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800" w:type="dxa"/>
            <w:vAlign w:val="bottom"/>
          </w:tcPr>
          <w:p>
            <w:pPr>
              <w:spacing w:after="0"/>
              <w:rPr>
                <w:sz w:val="12"/>
                <w:szCs w:val="12"/>
                <w:color w:val="auto"/>
              </w:rPr>
            </w:pPr>
          </w:p>
        </w:tc>
        <w:tc>
          <w:tcPr>
            <w:tcW w:w="6280" w:type="dxa"/>
            <w:vAlign w:val="bottom"/>
            <w:gridSpan w:val="4"/>
          </w:tcPr>
          <w:p>
            <w:pPr>
              <w:ind w:left="560"/>
              <w:spacing w:after="0" w:line="149" w:lineRule="exact"/>
              <w:rPr>
                <w:sz w:val="20"/>
                <w:szCs w:val="20"/>
                <w:color w:val="auto"/>
              </w:rPr>
            </w:pPr>
            <w:r>
              <w:rPr>
                <w:rFonts w:ascii="Arial" w:cs="Arial" w:eastAsia="Arial" w:hAnsi="Arial"/>
                <w:sz w:val="14"/>
                <w:szCs w:val="14"/>
                <w:color w:val="auto"/>
              </w:rPr>
              <w:t>Total debt securities (cost: $414,972 and $252,812 as of December 31, 2025 and</w:t>
            </w:r>
          </w:p>
        </w:tc>
        <w:tc>
          <w:tcPr>
            <w:tcW w:w="120" w:type="dxa"/>
            <w:vAlign w:val="bottom"/>
          </w:tcPr>
          <w:p>
            <w:pPr>
              <w:spacing w:after="0"/>
              <w:rPr>
                <w:sz w:val="12"/>
                <w:szCs w:val="12"/>
                <w:color w:val="auto"/>
              </w:rPr>
            </w:pPr>
          </w:p>
        </w:tc>
        <w:tc>
          <w:tcPr>
            <w:tcW w:w="1100" w:type="dxa"/>
            <w:vAlign w:val="bottom"/>
            <w:vMerge w:val="restart"/>
          </w:tcPr>
          <w:p>
            <w:pPr>
              <w:jc w:val="right"/>
              <w:ind w:right="511"/>
              <w:spacing w:after="0"/>
              <w:rPr>
                <w:sz w:val="20"/>
                <w:szCs w:val="20"/>
                <w:color w:val="auto"/>
              </w:rPr>
            </w:pPr>
            <w:r>
              <w:rPr>
                <w:rFonts w:ascii="Arial" w:cs="Arial" w:eastAsia="Arial" w:hAnsi="Arial"/>
                <w:sz w:val="14"/>
                <w:szCs w:val="14"/>
                <w:color w:val="auto"/>
                <w:w w:val="98"/>
              </w:rPr>
              <w:t>417,140</w:t>
            </w:r>
          </w:p>
        </w:tc>
        <w:tc>
          <w:tcPr>
            <w:tcW w:w="200" w:type="dxa"/>
            <w:vAlign w:val="bottom"/>
          </w:tcPr>
          <w:p>
            <w:pPr>
              <w:spacing w:after="0"/>
              <w:rPr>
                <w:sz w:val="12"/>
                <w:szCs w:val="12"/>
                <w:color w:val="auto"/>
              </w:rPr>
            </w:pPr>
          </w:p>
        </w:tc>
        <w:tc>
          <w:tcPr>
            <w:tcW w:w="1320" w:type="dxa"/>
            <w:vAlign w:val="bottom"/>
            <w:vMerge w:val="restart"/>
          </w:tcPr>
          <w:p>
            <w:pPr>
              <w:jc w:val="right"/>
              <w:ind w:right="713"/>
              <w:spacing w:after="0"/>
              <w:rPr>
                <w:sz w:val="20"/>
                <w:szCs w:val="20"/>
                <w:color w:val="auto"/>
              </w:rPr>
            </w:pPr>
            <w:r>
              <w:rPr>
                <w:rFonts w:ascii="Arial" w:cs="Arial" w:eastAsia="Arial" w:hAnsi="Arial"/>
                <w:sz w:val="14"/>
                <w:szCs w:val="14"/>
                <w:color w:val="auto"/>
              </w:rPr>
              <w:t>251,616</w:t>
            </w:r>
          </w:p>
        </w:tc>
        <w:tc>
          <w:tcPr>
            <w:tcW w:w="80" w:type="dxa"/>
            <w:vAlign w:val="bottom"/>
          </w:tcPr>
          <w:p>
            <w:pPr>
              <w:spacing w:after="0"/>
              <w:rPr>
                <w:sz w:val="12"/>
                <w:szCs w:val="12"/>
                <w:color w:val="auto"/>
              </w:rPr>
            </w:pPr>
          </w:p>
        </w:tc>
        <w:tc>
          <w:tcPr>
            <w:tcW w:w="1320" w:type="dxa"/>
            <w:vAlign w:val="bottom"/>
            <w:vMerge w:val="restart"/>
          </w:tcPr>
          <w:p>
            <w:pPr>
              <w:jc w:val="right"/>
              <w:ind w:right="691"/>
              <w:spacing w:after="0"/>
              <w:rPr>
                <w:sz w:val="20"/>
                <w:szCs w:val="20"/>
                <w:color w:val="auto"/>
              </w:rPr>
            </w:pPr>
            <w:r>
              <w:rPr>
                <w:rFonts w:ascii="Arial" w:cs="Arial" w:eastAsia="Arial" w:hAnsi="Arial"/>
                <w:sz w:val="14"/>
                <w:szCs w:val="14"/>
                <w:color w:val="auto"/>
              </w:rPr>
              <w:t>8.9</w:t>
            </w:r>
          </w:p>
        </w:tc>
        <w:tc>
          <w:tcPr>
            <w:tcW w:w="0" w:type="dxa"/>
            <w:vAlign w:val="bottom"/>
          </w:tcPr>
          <w:p>
            <w:pPr>
              <w:spacing w:after="0"/>
              <w:rPr>
                <w:sz w:val="1"/>
                <w:szCs w:val="1"/>
                <w:color w:val="auto"/>
              </w:rPr>
            </w:pPr>
          </w:p>
        </w:tc>
      </w:tr>
      <w:tr>
        <w:trPr>
          <w:trHeight w:val="180"/>
        </w:trPr>
        <w:tc>
          <w:tcPr>
            <w:tcW w:w="800" w:type="dxa"/>
            <w:vAlign w:val="bottom"/>
          </w:tcPr>
          <w:p>
            <w:pPr>
              <w:spacing w:after="0"/>
              <w:rPr>
                <w:sz w:val="15"/>
                <w:szCs w:val="15"/>
                <w:color w:val="auto"/>
              </w:rPr>
            </w:pPr>
          </w:p>
        </w:tc>
        <w:tc>
          <w:tcPr>
            <w:tcW w:w="4980" w:type="dxa"/>
            <w:vAlign w:val="bottom"/>
          </w:tcPr>
          <w:p>
            <w:pPr>
              <w:ind w:left="700"/>
              <w:spacing w:after="0"/>
              <w:rPr>
                <w:sz w:val="20"/>
                <w:szCs w:val="20"/>
                <w:color w:val="auto"/>
              </w:rPr>
            </w:pPr>
            <w:r>
              <w:rPr>
                <w:rFonts w:ascii="Arial" w:cs="Arial" w:eastAsia="Arial" w:hAnsi="Arial"/>
                <w:sz w:val="14"/>
                <w:szCs w:val="14"/>
                <w:color w:val="auto"/>
              </w:rPr>
              <w:t>2024, respectively)</w:t>
            </w:r>
          </w:p>
        </w:tc>
        <w:tc>
          <w:tcPr>
            <w:tcW w:w="2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3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3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800" w:type="dxa"/>
            <w:vAlign w:val="bottom"/>
          </w:tcPr>
          <w:p>
            <w:pPr>
              <w:spacing w:after="0"/>
              <w:rPr>
                <w:sz w:val="12"/>
                <w:szCs w:val="12"/>
                <w:color w:val="auto"/>
              </w:rPr>
            </w:pPr>
          </w:p>
        </w:tc>
        <w:tc>
          <w:tcPr>
            <w:tcW w:w="6280" w:type="dxa"/>
            <w:vAlign w:val="bottom"/>
            <w:gridSpan w:val="4"/>
          </w:tcPr>
          <w:p>
            <w:pPr>
              <w:ind w:left="560"/>
              <w:spacing w:after="0" w:line="142" w:lineRule="exact"/>
              <w:rPr>
                <w:sz w:val="20"/>
                <w:szCs w:val="20"/>
                <w:color w:val="auto"/>
              </w:rPr>
            </w:pPr>
            <w:r>
              <w:rPr>
                <w:rFonts w:ascii="Arial" w:cs="Arial" w:eastAsia="Arial" w:hAnsi="Arial"/>
                <w:sz w:val="14"/>
                <w:szCs w:val="14"/>
                <w:color w:val="auto"/>
              </w:rPr>
              <w:t>Total equity securities (cost: $258,988 and $180 as of December 31, 2025 and 2024,</w:t>
            </w:r>
          </w:p>
        </w:tc>
        <w:tc>
          <w:tcPr>
            <w:tcW w:w="120" w:type="dxa"/>
            <w:vAlign w:val="bottom"/>
          </w:tcPr>
          <w:p>
            <w:pPr>
              <w:spacing w:after="0"/>
              <w:rPr>
                <w:sz w:val="12"/>
                <w:szCs w:val="12"/>
                <w:color w:val="auto"/>
              </w:rPr>
            </w:pPr>
          </w:p>
        </w:tc>
        <w:tc>
          <w:tcPr>
            <w:tcW w:w="1100" w:type="dxa"/>
            <w:vAlign w:val="bottom"/>
            <w:vMerge w:val="restart"/>
          </w:tcPr>
          <w:p>
            <w:pPr>
              <w:jc w:val="right"/>
              <w:ind w:right="511"/>
              <w:spacing w:after="0"/>
              <w:rPr>
                <w:sz w:val="20"/>
                <w:szCs w:val="20"/>
                <w:color w:val="auto"/>
              </w:rPr>
            </w:pPr>
            <w:r>
              <w:rPr>
                <w:rFonts w:ascii="Arial" w:cs="Arial" w:eastAsia="Arial" w:hAnsi="Arial"/>
                <w:sz w:val="14"/>
                <w:szCs w:val="14"/>
                <w:color w:val="auto"/>
                <w:w w:val="98"/>
              </w:rPr>
              <w:t>258,509</w:t>
            </w:r>
          </w:p>
        </w:tc>
        <w:tc>
          <w:tcPr>
            <w:tcW w:w="200" w:type="dxa"/>
            <w:vAlign w:val="bottom"/>
          </w:tcPr>
          <w:p>
            <w:pPr>
              <w:spacing w:after="0"/>
              <w:rPr>
                <w:sz w:val="12"/>
                <w:szCs w:val="12"/>
                <w:color w:val="auto"/>
              </w:rPr>
            </w:pPr>
          </w:p>
        </w:tc>
        <w:tc>
          <w:tcPr>
            <w:tcW w:w="1320" w:type="dxa"/>
            <w:vAlign w:val="bottom"/>
            <w:vMerge w:val="restart"/>
          </w:tcPr>
          <w:p>
            <w:pPr>
              <w:jc w:val="right"/>
              <w:ind w:right="713"/>
              <w:spacing w:after="0"/>
              <w:rPr>
                <w:sz w:val="20"/>
                <w:szCs w:val="20"/>
                <w:color w:val="auto"/>
              </w:rPr>
            </w:pPr>
            <w:r>
              <w:rPr>
                <w:rFonts w:ascii="Arial" w:cs="Arial" w:eastAsia="Arial" w:hAnsi="Arial"/>
                <w:sz w:val="14"/>
                <w:szCs w:val="14"/>
                <w:color w:val="auto"/>
              </w:rPr>
              <w:t>390</w:t>
            </w:r>
          </w:p>
        </w:tc>
        <w:tc>
          <w:tcPr>
            <w:tcW w:w="80" w:type="dxa"/>
            <w:vAlign w:val="bottom"/>
          </w:tcPr>
          <w:p>
            <w:pPr>
              <w:spacing w:after="0"/>
              <w:rPr>
                <w:sz w:val="12"/>
                <w:szCs w:val="12"/>
                <w:color w:val="auto"/>
              </w:rPr>
            </w:pPr>
          </w:p>
        </w:tc>
        <w:tc>
          <w:tcPr>
            <w:tcW w:w="1320" w:type="dxa"/>
            <w:vAlign w:val="bottom"/>
            <w:vMerge w:val="restart"/>
          </w:tcPr>
          <w:p>
            <w:pPr>
              <w:jc w:val="right"/>
              <w:ind w:right="691"/>
              <w:spacing w:after="0"/>
              <w:rPr>
                <w:sz w:val="20"/>
                <w:szCs w:val="20"/>
                <w:color w:val="auto"/>
              </w:rPr>
            </w:pPr>
            <w:r>
              <w:rPr>
                <w:rFonts w:ascii="Arial" w:cs="Arial" w:eastAsia="Arial" w:hAnsi="Arial"/>
                <w:sz w:val="14"/>
                <w:szCs w:val="14"/>
                <w:color w:val="auto"/>
              </w:rPr>
              <w:t>5.5</w:t>
            </w:r>
          </w:p>
        </w:tc>
        <w:tc>
          <w:tcPr>
            <w:tcW w:w="0" w:type="dxa"/>
            <w:vAlign w:val="bottom"/>
          </w:tcPr>
          <w:p>
            <w:pPr>
              <w:spacing w:after="0"/>
              <w:rPr>
                <w:sz w:val="1"/>
                <w:szCs w:val="1"/>
                <w:color w:val="auto"/>
              </w:rPr>
            </w:pPr>
          </w:p>
        </w:tc>
      </w:tr>
      <w:tr>
        <w:trPr>
          <w:trHeight w:val="180"/>
        </w:trPr>
        <w:tc>
          <w:tcPr>
            <w:tcW w:w="800" w:type="dxa"/>
            <w:vAlign w:val="bottom"/>
          </w:tcPr>
          <w:p>
            <w:pPr>
              <w:spacing w:after="0"/>
              <w:rPr>
                <w:sz w:val="15"/>
                <w:szCs w:val="15"/>
                <w:color w:val="auto"/>
              </w:rPr>
            </w:pPr>
          </w:p>
        </w:tc>
        <w:tc>
          <w:tcPr>
            <w:tcW w:w="4980" w:type="dxa"/>
            <w:vAlign w:val="bottom"/>
          </w:tcPr>
          <w:p>
            <w:pPr>
              <w:ind w:left="700"/>
              <w:spacing w:after="0"/>
              <w:rPr>
                <w:sz w:val="20"/>
                <w:szCs w:val="20"/>
                <w:color w:val="auto"/>
              </w:rPr>
            </w:pPr>
            <w:r>
              <w:rPr>
                <w:rFonts w:ascii="Arial" w:cs="Arial" w:eastAsia="Arial" w:hAnsi="Arial"/>
                <w:sz w:val="14"/>
                <w:szCs w:val="14"/>
                <w:color w:val="auto"/>
              </w:rPr>
              <w:t>respectively)</w:t>
            </w:r>
          </w:p>
        </w:tc>
        <w:tc>
          <w:tcPr>
            <w:tcW w:w="2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3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3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5780" w:type="dxa"/>
            <w:vAlign w:val="bottom"/>
            <w:gridSpan w:val="2"/>
          </w:tcPr>
          <w:p>
            <w:pPr>
              <w:ind w:left="620"/>
              <w:spacing w:after="0"/>
              <w:rPr>
                <w:sz w:val="20"/>
                <w:szCs w:val="20"/>
                <w:color w:val="auto"/>
              </w:rPr>
            </w:pPr>
            <w:r>
              <w:rPr>
                <w:rFonts w:ascii="Arial" w:cs="Arial" w:eastAsia="Arial" w:hAnsi="Arial"/>
                <w:sz w:val="14"/>
                <w:szCs w:val="14"/>
                <w:color w:val="auto"/>
              </w:rPr>
              <w:t>Asia and other:</w:t>
            </w: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800" w:type="dxa"/>
            <w:vAlign w:val="bottom"/>
          </w:tcPr>
          <w:p>
            <w:pPr>
              <w:spacing w:after="0"/>
              <w:rPr>
                <w:sz w:val="12"/>
                <w:szCs w:val="12"/>
                <w:color w:val="auto"/>
              </w:rPr>
            </w:pPr>
          </w:p>
        </w:tc>
        <w:tc>
          <w:tcPr>
            <w:tcW w:w="6280" w:type="dxa"/>
            <w:vAlign w:val="bottom"/>
            <w:gridSpan w:val="4"/>
          </w:tcPr>
          <w:p>
            <w:pPr>
              <w:ind w:left="560"/>
              <w:spacing w:after="0" w:line="149" w:lineRule="exact"/>
              <w:rPr>
                <w:sz w:val="20"/>
                <w:szCs w:val="20"/>
                <w:color w:val="auto"/>
              </w:rPr>
            </w:pPr>
            <w:r>
              <w:rPr>
                <w:rFonts w:ascii="Arial" w:cs="Arial" w:eastAsia="Arial" w:hAnsi="Arial"/>
                <w:sz w:val="14"/>
                <w:szCs w:val="14"/>
                <w:color w:val="auto"/>
              </w:rPr>
              <w:t>Total debt securities (cost: $151,457 and $38,980 as of December 31, 2025 and</w:t>
            </w:r>
          </w:p>
        </w:tc>
        <w:tc>
          <w:tcPr>
            <w:tcW w:w="120" w:type="dxa"/>
            <w:vAlign w:val="bottom"/>
          </w:tcPr>
          <w:p>
            <w:pPr>
              <w:spacing w:after="0"/>
              <w:rPr>
                <w:sz w:val="12"/>
                <w:szCs w:val="12"/>
                <w:color w:val="auto"/>
              </w:rPr>
            </w:pPr>
          </w:p>
        </w:tc>
        <w:tc>
          <w:tcPr>
            <w:tcW w:w="1100" w:type="dxa"/>
            <w:vAlign w:val="bottom"/>
            <w:vMerge w:val="restart"/>
          </w:tcPr>
          <w:p>
            <w:pPr>
              <w:jc w:val="right"/>
              <w:ind w:right="511"/>
              <w:spacing w:after="0"/>
              <w:rPr>
                <w:sz w:val="20"/>
                <w:szCs w:val="20"/>
                <w:color w:val="auto"/>
              </w:rPr>
            </w:pPr>
            <w:r>
              <w:rPr>
                <w:rFonts w:ascii="Arial" w:cs="Arial" w:eastAsia="Arial" w:hAnsi="Arial"/>
                <w:sz w:val="14"/>
                <w:szCs w:val="14"/>
                <w:color w:val="auto"/>
                <w:w w:val="98"/>
              </w:rPr>
              <w:t>149,627</w:t>
            </w:r>
          </w:p>
        </w:tc>
        <w:tc>
          <w:tcPr>
            <w:tcW w:w="200" w:type="dxa"/>
            <w:vAlign w:val="bottom"/>
          </w:tcPr>
          <w:p>
            <w:pPr>
              <w:spacing w:after="0"/>
              <w:rPr>
                <w:sz w:val="12"/>
                <w:szCs w:val="12"/>
                <w:color w:val="auto"/>
              </w:rPr>
            </w:pPr>
          </w:p>
        </w:tc>
        <w:tc>
          <w:tcPr>
            <w:tcW w:w="1320" w:type="dxa"/>
            <w:vAlign w:val="bottom"/>
            <w:vMerge w:val="restart"/>
          </w:tcPr>
          <w:p>
            <w:pPr>
              <w:jc w:val="right"/>
              <w:ind w:right="713"/>
              <w:spacing w:after="0"/>
              <w:rPr>
                <w:sz w:val="20"/>
                <w:szCs w:val="20"/>
                <w:color w:val="auto"/>
              </w:rPr>
            </w:pPr>
            <w:r>
              <w:rPr>
                <w:rFonts w:ascii="Arial" w:cs="Arial" w:eastAsia="Arial" w:hAnsi="Arial"/>
                <w:sz w:val="14"/>
                <w:szCs w:val="14"/>
                <w:color w:val="auto"/>
              </w:rPr>
              <w:t>35,056</w:t>
            </w:r>
          </w:p>
        </w:tc>
        <w:tc>
          <w:tcPr>
            <w:tcW w:w="80" w:type="dxa"/>
            <w:vAlign w:val="bottom"/>
          </w:tcPr>
          <w:p>
            <w:pPr>
              <w:spacing w:after="0"/>
              <w:rPr>
                <w:sz w:val="12"/>
                <w:szCs w:val="12"/>
                <w:color w:val="auto"/>
              </w:rPr>
            </w:pPr>
          </w:p>
        </w:tc>
        <w:tc>
          <w:tcPr>
            <w:tcW w:w="1320" w:type="dxa"/>
            <w:vAlign w:val="bottom"/>
            <w:vMerge w:val="restart"/>
          </w:tcPr>
          <w:p>
            <w:pPr>
              <w:jc w:val="right"/>
              <w:ind w:right="691"/>
              <w:spacing w:after="0"/>
              <w:rPr>
                <w:sz w:val="20"/>
                <w:szCs w:val="20"/>
                <w:color w:val="auto"/>
              </w:rPr>
            </w:pPr>
            <w:r>
              <w:rPr>
                <w:rFonts w:ascii="Arial" w:cs="Arial" w:eastAsia="Arial" w:hAnsi="Arial"/>
                <w:sz w:val="14"/>
                <w:szCs w:val="14"/>
                <w:color w:val="auto"/>
              </w:rPr>
              <w:t>3.3</w:t>
            </w:r>
          </w:p>
        </w:tc>
        <w:tc>
          <w:tcPr>
            <w:tcW w:w="0" w:type="dxa"/>
            <w:vAlign w:val="bottom"/>
          </w:tcPr>
          <w:p>
            <w:pPr>
              <w:spacing w:after="0"/>
              <w:rPr>
                <w:sz w:val="1"/>
                <w:szCs w:val="1"/>
                <w:color w:val="auto"/>
              </w:rPr>
            </w:pPr>
          </w:p>
        </w:tc>
      </w:tr>
      <w:tr>
        <w:trPr>
          <w:trHeight w:val="180"/>
        </w:trPr>
        <w:tc>
          <w:tcPr>
            <w:tcW w:w="800" w:type="dxa"/>
            <w:vAlign w:val="bottom"/>
          </w:tcPr>
          <w:p>
            <w:pPr>
              <w:spacing w:after="0"/>
              <w:rPr>
                <w:sz w:val="15"/>
                <w:szCs w:val="15"/>
                <w:color w:val="auto"/>
              </w:rPr>
            </w:pPr>
          </w:p>
        </w:tc>
        <w:tc>
          <w:tcPr>
            <w:tcW w:w="4980" w:type="dxa"/>
            <w:vAlign w:val="bottom"/>
          </w:tcPr>
          <w:p>
            <w:pPr>
              <w:ind w:left="700"/>
              <w:spacing w:after="0"/>
              <w:rPr>
                <w:sz w:val="20"/>
                <w:szCs w:val="20"/>
                <w:color w:val="auto"/>
              </w:rPr>
            </w:pPr>
            <w:r>
              <w:rPr>
                <w:rFonts w:ascii="Arial" w:cs="Arial" w:eastAsia="Arial" w:hAnsi="Arial"/>
                <w:sz w:val="14"/>
                <w:szCs w:val="14"/>
                <w:color w:val="auto"/>
              </w:rPr>
              <w:t>2024, respectively)</w:t>
            </w:r>
          </w:p>
        </w:tc>
        <w:tc>
          <w:tcPr>
            <w:tcW w:w="2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3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3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405"/>
        </w:trPr>
        <w:tc>
          <w:tcPr>
            <w:tcW w:w="5780" w:type="dxa"/>
            <w:vAlign w:val="bottom"/>
            <w:gridSpan w:val="2"/>
          </w:tcPr>
          <w:p>
            <w:pPr>
              <w:ind w:left="740"/>
              <w:spacing w:after="0"/>
              <w:rPr>
                <w:sz w:val="20"/>
                <w:szCs w:val="20"/>
                <w:color w:val="auto"/>
              </w:rPr>
            </w:pPr>
            <w:r>
              <w:rPr>
                <w:rFonts w:ascii="Arial" w:cs="Arial" w:eastAsia="Arial" w:hAnsi="Arial"/>
                <w:sz w:val="14"/>
                <w:szCs w:val="14"/>
                <w:color w:val="auto"/>
              </w:rPr>
              <w:t>Total equity securities (cost: $4,611 and $0 as of December 31, 2025 and 2024,</w:t>
            </w:r>
          </w:p>
        </w:tc>
        <w:tc>
          <w:tcPr>
            <w:tcW w:w="260" w:type="dxa"/>
            <w:vAlign w:val="bottom"/>
          </w:tcPr>
          <w:p>
            <w:pPr>
              <w:spacing w:after="0"/>
              <w:rPr>
                <w:sz w:val="24"/>
                <w:szCs w:val="24"/>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1,398</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gridSpan w:val="2"/>
            <w:vMerge w:val="restart"/>
          </w:tcPr>
          <w:p>
            <w:pPr>
              <w:jc w:val="right"/>
              <w:ind w:right="260"/>
              <w:spacing w:after="0"/>
              <w:rPr>
                <w:sz w:val="20"/>
                <w:szCs w:val="20"/>
                <w:color w:val="auto"/>
              </w:rPr>
            </w:pPr>
            <w:r>
              <w:rPr>
                <w:rFonts w:ascii="Arial" w:cs="Arial" w:eastAsia="Arial" w:hAnsi="Arial"/>
                <w:sz w:val="14"/>
                <w:szCs w:val="14"/>
                <w:color w:val="auto"/>
              </w:rPr>
              <w:t>—</w:t>
            </w:r>
          </w:p>
        </w:tc>
        <w:tc>
          <w:tcPr>
            <w:tcW w:w="1400" w:type="dxa"/>
            <w:vAlign w:val="bottom"/>
            <w:gridSpan w:val="2"/>
            <w:vMerge w:val="restart"/>
          </w:tcPr>
          <w:p>
            <w:pPr>
              <w:jc w:val="right"/>
              <w:ind w:right="260"/>
              <w:spacing w:after="0"/>
              <w:rPr>
                <w:sz w:val="20"/>
                <w:szCs w:val="20"/>
                <w:color w:val="auto"/>
              </w:rPr>
            </w:pPr>
            <w:r>
              <w:rPr>
                <w:rFonts w:ascii="Arial" w:cs="Arial" w:eastAsia="Arial" w:hAnsi="Arial"/>
                <w:sz w:val="14"/>
                <w:szCs w:val="14"/>
                <w:color w:val="auto"/>
              </w:rPr>
              <w:t>—</w:t>
            </w:r>
          </w:p>
        </w:tc>
        <w:tc>
          <w:tcPr>
            <w:tcW w:w="1320" w:type="dxa"/>
            <w:vAlign w:val="bottom"/>
            <w:vMerge w:val="restart"/>
          </w:tcPr>
          <w:p>
            <w:pPr>
              <w:jc w:val="right"/>
              <w:ind w:right="111"/>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5"/>
        </w:trPr>
        <w:tc>
          <w:tcPr>
            <w:tcW w:w="800" w:type="dxa"/>
            <w:vAlign w:val="bottom"/>
          </w:tcPr>
          <w:p>
            <w:pPr>
              <w:spacing w:after="0"/>
              <w:rPr>
                <w:sz w:val="15"/>
                <w:szCs w:val="15"/>
                <w:color w:val="auto"/>
              </w:rPr>
            </w:pPr>
          </w:p>
        </w:tc>
        <w:tc>
          <w:tcPr>
            <w:tcW w:w="4980" w:type="dxa"/>
            <w:vAlign w:val="bottom"/>
          </w:tcPr>
          <w:p>
            <w:pPr>
              <w:ind w:left="80"/>
              <w:spacing w:after="0"/>
              <w:rPr>
                <w:sz w:val="20"/>
                <w:szCs w:val="20"/>
                <w:color w:val="auto"/>
              </w:rPr>
            </w:pPr>
            <w:r>
              <w:rPr>
                <w:rFonts w:ascii="Arial" w:cs="Arial" w:eastAsia="Arial" w:hAnsi="Arial"/>
                <w:sz w:val="14"/>
                <w:szCs w:val="14"/>
                <w:color w:val="auto"/>
              </w:rPr>
              <w:t>respectively))</w:t>
            </w:r>
          </w:p>
        </w:tc>
        <w:tc>
          <w:tcPr>
            <w:tcW w:w="26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gridSpan w:val="2"/>
            <w:vMerge w:val="continue"/>
          </w:tcPr>
          <w:p>
            <w:pPr>
              <w:spacing w:after="0"/>
              <w:rPr>
                <w:sz w:val="15"/>
                <w:szCs w:val="15"/>
                <w:color w:val="auto"/>
              </w:rPr>
            </w:pPr>
          </w:p>
        </w:tc>
        <w:tc>
          <w:tcPr>
            <w:tcW w:w="1400" w:type="dxa"/>
            <w:vAlign w:val="bottom"/>
            <w:gridSpan w:val="2"/>
            <w:vMerge w:val="continue"/>
          </w:tcPr>
          <w:p>
            <w:pPr>
              <w:spacing w:after="0"/>
              <w:rPr>
                <w:sz w:val="15"/>
                <w:szCs w:val="15"/>
                <w:color w:val="auto"/>
              </w:rPr>
            </w:pPr>
          </w:p>
        </w:tc>
        <w:tc>
          <w:tcPr>
            <w:tcW w:w="13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424"/>
        </w:trPr>
        <w:tc>
          <w:tcPr>
            <w:tcW w:w="5780" w:type="dxa"/>
            <w:vAlign w:val="bottom"/>
            <w:gridSpan w:val="2"/>
          </w:tcPr>
          <w:p>
            <w:pPr>
              <w:ind w:left="300"/>
              <w:spacing w:after="0"/>
              <w:rPr>
                <w:sz w:val="20"/>
                <w:szCs w:val="20"/>
                <w:color w:val="auto"/>
              </w:rPr>
            </w:pPr>
            <w:r>
              <w:rPr>
                <w:rFonts w:ascii="Arial" w:cs="Arial" w:eastAsia="Arial" w:hAnsi="Arial"/>
                <w:sz w:val="14"/>
                <w:szCs w:val="14"/>
                <w:color w:val="auto"/>
              </w:rPr>
              <w:t>Total debt securities</w:t>
            </w:r>
          </w:p>
        </w:tc>
        <w:tc>
          <w:tcPr>
            <w:tcW w:w="26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4,363,637</w:t>
            </w:r>
          </w:p>
        </w:tc>
        <w:tc>
          <w:tcPr>
            <w:tcW w:w="8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2,422,034</w:t>
            </w:r>
          </w:p>
        </w:tc>
        <w:tc>
          <w:tcPr>
            <w:tcW w:w="200" w:type="dxa"/>
            <w:vAlign w:val="bottom"/>
          </w:tcPr>
          <w:p>
            <w:pPr>
              <w:spacing w:after="0"/>
              <w:rPr>
                <w:sz w:val="24"/>
                <w:szCs w:val="24"/>
                <w:color w:val="auto"/>
              </w:rPr>
            </w:pPr>
          </w:p>
        </w:tc>
        <w:tc>
          <w:tcPr>
            <w:tcW w:w="1320" w:type="dxa"/>
            <w:vAlign w:val="bottom"/>
            <w:tcBorders>
              <w:top w:val="single" w:sz="8" w:color="auto"/>
            </w:tcBorders>
          </w:tcPr>
          <w:p>
            <w:pPr>
              <w:jc w:val="right"/>
              <w:ind w:right="113"/>
              <w:spacing w:after="0"/>
              <w:rPr>
                <w:sz w:val="20"/>
                <w:szCs w:val="20"/>
                <w:color w:val="auto"/>
              </w:rPr>
            </w:pPr>
            <w:r>
              <w:rPr>
                <w:rFonts w:ascii="Arial" w:cs="Arial" w:eastAsia="Arial" w:hAnsi="Arial"/>
                <w:sz w:val="14"/>
                <w:szCs w:val="14"/>
                <w:color w:val="auto"/>
              </w:rPr>
              <w:t>93.1</w:t>
            </w:r>
          </w:p>
        </w:tc>
        <w:tc>
          <w:tcPr>
            <w:tcW w:w="80" w:type="dxa"/>
            <w:vAlign w:val="bottom"/>
          </w:tcPr>
          <w:p>
            <w:pPr>
              <w:spacing w:after="0"/>
              <w:rPr>
                <w:sz w:val="24"/>
                <w:szCs w:val="24"/>
                <w:color w:val="auto"/>
              </w:rPr>
            </w:pPr>
          </w:p>
        </w:tc>
        <w:tc>
          <w:tcPr>
            <w:tcW w:w="1320" w:type="dxa"/>
            <w:vAlign w:val="bottom"/>
            <w:tcBorders>
              <w:top w:val="single" w:sz="8" w:color="auto"/>
            </w:tcBorders>
          </w:tcPr>
          <w:p>
            <w:pPr>
              <w:jc w:val="right"/>
              <w:ind w:right="111"/>
              <w:spacing w:after="0"/>
              <w:rPr>
                <w:sz w:val="20"/>
                <w:szCs w:val="20"/>
                <w:color w:val="auto"/>
              </w:rPr>
            </w:pPr>
            <w:r>
              <w:rPr>
                <w:rFonts w:ascii="Arial" w:cs="Arial" w:eastAsia="Arial" w:hAnsi="Arial"/>
                <w:sz w:val="14"/>
                <w:szCs w:val="14"/>
                <w:color w:val="auto"/>
              </w:rPr>
              <w:t>99.8</w:t>
            </w:r>
          </w:p>
        </w:tc>
        <w:tc>
          <w:tcPr>
            <w:tcW w:w="0" w:type="dxa"/>
            <w:vAlign w:val="bottom"/>
          </w:tcPr>
          <w:p>
            <w:pPr>
              <w:spacing w:after="0"/>
              <w:rPr>
                <w:sz w:val="1"/>
                <w:szCs w:val="1"/>
                <w:color w:val="auto"/>
              </w:rPr>
            </w:pPr>
          </w:p>
        </w:tc>
      </w:tr>
      <w:tr>
        <w:trPr>
          <w:trHeight w:val="193"/>
        </w:trPr>
        <w:tc>
          <w:tcPr>
            <w:tcW w:w="5780" w:type="dxa"/>
            <w:vAlign w:val="bottom"/>
            <w:gridSpan w:val="2"/>
          </w:tcPr>
          <w:p>
            <w:pPr>
              <w:ind w:left="300"/>
              <w:spacing w:after="0"/>
              <w:rPr>
                <w:sz w:val="20"/>
                <w:szCs w:val="20"/>
                <w:color w:val="auto"/>
              </w:rPr>
            </w:pPr>
            <w:r>
              <w:rPr>
                <w:rFonts w:ascii="Arial" w:cs="Arial" w:eastAsia="Arial" w:hAnsi="Arial"/>
                <w:sz w:val="14"/>
                <w:szCs w:val="14"/>
                <w:color w:val="auto"/>
              </w:rPr>
              <w:t>Total equity securities</w:t>
            </w:r>
          </w:p>
        </w:tc>
        <w:tc>
          <w:tcPr>
            <w:tcW w:w="2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325,966</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4,323</w:t>
            </w:r>
          </w:p>
        </w:tc>
        <w:tc>
          <w:tcPr>
            <w:tcW w:w="200" w:type="dxa"/>
            <w:vAlign w:val="bottom"/>
          </w:tcPr>
          <w:p>
            <w:pPr>
              <w:spacing w:after="0"/>
              <w:rPr>
                <w:sz w:val="16"/>
                <w:szCs w:val="16"/>
                <w:color w:val="auto"/>
              </w:rPr>
            </w:pPr>
          </w:p>
        </w:tc>
        <w:tc>
          <w:tcPr>
            <w:tcW w:w="1320" w:type="dxa"/>
            <w:vAlign w:val="bottom"/>
          </w:tcPr>
          <w:p>
            <w:pPr>
              <w:jc w:val="right"/>
              <w:ind w:right="113"/>
              <w:spacing w:after="0"/>
              <w:rPr>
                <w:sz w:val="20"/>
                <w:szCs w:val="20"/>
                <w:color w:val="auto"/>
              </w:rPr>
            </w:pPr>
            <w:r>
              <w:rPr>
                <w:rFonts w:ascii="Arial" w:cs="Arial" w:eastAsia="Arial" w:hAnsi="Arial"/>
                <w:sz w:val="14"/>
                <w:szCs w:val="14"/>
                <w:color w:val="auto"/>
              </w:rPr>
              <w:t>6.9</w:t>
            </w:r>
          </w:p>
        </w:tc>
        <w:tc>
          <w:tcPr>
            <w:tcW w:w="80" w:type="dxa"/>
            <w:vAlign w:val="bottom"/>
          </w:tcPr>
          <w:p>
            <w:pPr>
              <w:spacing w:after="0"/>
              <w:rPr>
                <w:sz w:val="16"/>
                <w:szCs w:val="16"/>
                <w:color w:val="auto"/>
              </w:rPr>
            </w:pPr>
          </w:p>
        </w:tc>
        <w:tc>
          <w:tcPr>
            <w:tcW w:w="1320" w:type="dxa"/>
            <w:vAlign w:val="bottom"/>
          </w:tcPr>
          <w:p>
            <w:pPr>
              <w:jc w:val="right"/>
              <w:ind w:right="111"/>
              <w:spacing w:after="0"/>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227"/>
        </w:trPr>
        <w:tc>
          <w:tcPr>
            <w:tcW w:w="5780" w:type="dxa"/>
            <w:vAlign w:val="bottom"/>
            <w:gridSpan w:val="2"/>
          </w:tcPr>
          <w:p>
            <w:pPr>
              <w:ind w:left="300"/>
              <w:spacing w:after="0"/>
              <w:rPr>
                <w:sz w:val="20"/>
                <w:szCs w:val="20"/>
                <w:color w:val="auto"/>
              </w:rPr>
            </w:pPr>
            <w:r>
              <w:rPr>
                <w:rFonts w:ascii="Arial" w:cs="Arial" w:eastAsia="Arial" w:hAnsi="Arial"/>
                <w:sz w:val="14"/>
                <w:szCs w:val="14"/>
                <w:color w:val="auto"/>
              </w:rPr>
              <w:t>Total real estate</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864</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color w:val="auto"/>
              </w:rPr>
              <w:t>—</w:t>
            </w:r>
          </w:p>
        </w:tc>
        <w:tc>
          <w:tcPr>
            <w:tcW w:w="14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111"/>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60"/>
        </w:trPr>
        <w:tc>
          <w:tcPr>
            <w:tcW w:w="5780" w:type="dxa"/>
            <w:vAlign w:val="bottom"/>
            <w:gridSpan w:val="2"/>
          </w:tcPr>
          <w:p>
            <w:pPr>
              <w:ind w:left="500"/>
              <w:spacing w:after="0"/>
              <w:rPr>
                <w:sz w:val="20"/>
                <w:szCs w:val="20"/>
                <w:color w:val="auto"/>
              </w:rPr>
            </w:pPr>
            <w:r>
              <w:rPr>
                <w:rFonts w:ascii="Arial" w:cs="Arial" w:eastAsia="Arial" w:hAnsi="Arial"/>
                <w:sz w:val="14"/>
                <w:szCs w:val="14"/>
                <w:color w:val="auto"/>
              </w:rPr>
              <w:t>Total investments, at fair value</w:t>
            </w:r>
          </w:p>
        </w:tc>
        <w:tc>
          <w:tcPr>
            <w:tcW w:w="260" w:type="dxa"/>
            <w:vAlign w:val="bottom"/>
            <w:tcBorders>
              <w:top w:val="single" w:sz="8" w:color="auto"/>
              <w:bottom w:val="single" w:sz="8" w:color="auto"/>
            </w:tcBorders>
          </w:tcPr>
          <w:p>
            <w:pPr>
              <w:jc w:val="right"/>
              <w:ind w:right="91"/>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4,690,467</w:t>
            </w:r>
          </w:p>
        </w:tc>
        <w:tc>
          <w:tcPr>
            <w:tcW w:w="8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2,426,357</w:t>
            </w:r>
          </w:p>
        </w:tc>
        <w:tc>
          <w:tcPr>
            <w:tcW w:w="200" w:type="dxa"/>
            <w:vAlign w:val="bottom"/>
          </w:tcPr>
          <w:p>
            <w:pPr>
              <w:spacing w:after="0"/>
              <w:rPr>
                <w:sz w:val="13"/>
                <w:szCs w:val="13"/>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100.0 %</w:t>
            </w:r>
          </w:p>
        </w:tc>
        <w:tc>
          <w:tcPr>
            <w:tcW w:w="80" w:type="dxa"/>
            <w:vAlign w:val="bottom"/>
          </w:tcPr>
          <w:p>
            <w:pPr>
              <w:spacing w:after="0"/>
              <w:rPr>
                <w:sz w:val="13"/>
                <w:szCs w:val="13"/>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100.0 %</w:t>
            </w: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3" w:lineRule="exact"/>
        <w:rPr>
          <w:sz w:val="20"/>
          <w:szCs w:val="20"/>
          <w:color w:val="auto"/>
        </w:rPr>
      </w:pPr>
    </w:p>
    <w:p>
      <w:pPr>
        <w:ind w:left="180"/>
        <w:spacing w:after="0"/>
        <w:rPr>
          <w:sz w:val="20"/>
          <w:szCs w:val="20"/>
          <w:color w:val="auto"/>
        </w:rPr>
      </w:pPr>
      <w:r>
        <w:rPr>
          <w:rFonts w:ascii="Arial" w:cs="Arial" w:eastAsia="Arial" w:hAnsi="Arial"/>
          <w:sz w:val="17"/>
          <w:szCs w:val="17"/>
          <w:color w:val="auto"/>
        </w:rPr>
        <w:t>As of December 31, 2025, the following issuers or investments had a fair value that exceeded 5% of the Company’s total consolidated net assets.</w:t>
      </w:r>
    </w:p>
    <w:p>
      <w:pPr>
        <w:spacing w:after="0" w:line="358" w:lineRule="exact"/>
        <w:rPr>
          <w:sz w:val="20"/>
          <w:szCs w:val="20"/>
          <w:color w:val="auto"/>
        </w:rPr>
      </w:pPr>
    </w:p>
    <w:tbl>
      <w:tblPr>
        <w:tblLayout w:type="fixed"/>
        <w:tblInd w:w="940" w:type="dxa"/>
        <w:tblCellMar>
          <w:top w:w="0" w:type="dxa"/>
          <w:left w:w="0" w:type="dxa"/>
          <w:bottom w:w="0" w:type="dxa"/>
          <w:right w:w="0" w:type="dxa"/>
        </w:tblCellMar>
      </w:tblPr>
      <w:tr>
        <w:trPr>
          <w:trHeight w:val="169"/>
        </w:trPr>
        <w:tc>
          <w:tcPr>
            <w:tcW w:w="324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rPr>
              <w:t>Principal Amount/ Number of Shares</w:t>
            </w:r>
          </w:p>
        </w:tc>
        <w:tc>
          <w:tcPr>
            <w:tcW w:w="140" w:type="dxa"/>
            <w:vAlign w:val="bottom"/>
          </w:tcPr>
          <w:p>
            <w:pPr>
              <w:spacing w:after="0"/>
              <w:rPr>
                <w:sz w:val="14"/>
                <w:szCs w:val="14"/>
                <w:color w:val="auto"/>
              </w:rPr>
            </w:pPr>
          </w:p>
        </w:tc>
        <w:tc>
          <w:tcPr>
            <w:tcW w:w="322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9"/>
              </w:rPr>
              <w:t>Investments</w:t>
            </w:r>
          </w:p>
        </w:tc>
        <w:tc>
          <w:tcPr>
            <w:tcW w:w="140" w:type="dxa"/>
            <w:vAlign w:val="bottom"/>
          </w:tcPr>
          <w:p>
            <w:pPr>
              <w:spacing w:after="0"/>
              <w:rPr>
                <w:sz w:val="14"/>
                <w:szCs w:val="14"/>
                <w:color w:val="auto"/>
              </w:rPr>
            </w:pPr>
          </w:p>
        </w:tc>
        <w:tc>
          <w:tcPr>
            <w:tcW w:w="326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8"/>
              </w:rPr>
              <w:t>Combined Fair Value</w:t>
            </w:r>
          </w:p>
        </w:tc>
      </w:tr>
      <w:tr>
        <w:trPr>
          <w:trHeight w:val="182"/>
        </w:trPr>
        <w:tc>
          <w:tcPr>
            <w:tcW w:w="3240" w:type="dxa"/>
            <w:vAlign w:val="bottom"/>
          </w:tcPr>
          <w:p>
            <w:pPr>
              <w:jc w:val="right"/>
              <w:ind w:right="1316"/>
              <w:spacing w:after="0"/>
              <w:rPr>
                <w:sz w:val="20"/>
                <w:szCs w:val="20"/>
                <w:color w:val="auto"/>
              </w:rPr>
            </w:pPr>
            <w:r>
              <w:rPr>
                <w:rFonts w:ascii="Arial" w:cs="Arial" w:eastAsia="Arial" w:hAnsi="Arial"/>
                <w:sz w:val="14"/>
                <w:szCs w:val="14"/>
                <w:color w:val="auto"/>
              </w:rPr>
              <w:t>242,501</w:t>
            </w:r>
          </w:p>
        </w:tc>
        <w:tc>
          <w:tcPr>
            <w:tcW w:w="140" w:type="dxa"/>
            <w:vAlign w:val="bottom"/>
          </w:tcPr>
          <w:p>
            <w:pPr>
              <w:spacing w:after="0"/>
              <w:rPr>
                <w:sz w:val="15"/>
                <w:szCs w:val="15"/>
                <w:color w:val="auto"/>
              </w:rPr>
            </w:pPr>
          </w:p>
        </w:tc>
        <w:tc>
          <w:tcPr>
            <w:tcW w:w="3360" w:type="dxa"/>
            <w:vAlign w:val="bottom"/>
            <w:gridSpan w:val="2"/>
          </w:tcPr>
          <w:p>
            <w:pPr>
              <w:jc w:val="center"/>
              <w:ind w:right="140"/>
              <w:spacing w:after="0"/>
              <w:rPr>
                <w:sz w:val="20"/>
                <w:szCs w:val="20"/>
                <w:color w:val="auto"/>
              </w:rPr>
            </w:pPr>
            <w:r>
              <w:rPr>
                <w:rFonts w:ascii="Arial" w:cs="Arial" w:eastAsia="Arial" w:hAnsi="Arial"/>
                <w:sz w:val="14"/>
                <w:szCs w:val="14"/>
                <w:color w:val="auto"/>
                <w:w w:val="97"/>
              </w:rPr>
              <w:t>Aurora PFD Stock Private (USD)</w:t>
            </w:r>
          </w:p>
        </w:tc>
        <w:tc>
          <w:tcPr>
            <w:tcW w:w="3260" w:type="dxa"/>
            <w:vAlign w:val="bottom"/>
          </w:tcPr>
          <w:p>
            <w:pPr>
              <w:jc w:val="right"/>
              <w:ind w:right="1276"/>
              <w:spacing w:after="0"/>
              <w:rPr>
                <w:sz w:val="20"/>
                <w:szCs w:val="20"/>
                <w:color w:val="auto"/>
              </w:rPr>
            </w:pPr>
            <w:r>
              <w:rPr>
                <w:rFonts w:ascii="Arial" w:cs="Arial" w:eastAsia="Arial" w:hAnsi="Arial"/>
                <w:sz w:val="14"/>
                <w:szCs w:val="14"/>
                <w:color w:val="auto"/>
              </w:rPr>
              <w:t>$257,627</w:t>
            </w:r>
          </w:p>
        </w:tc>
      </w:tr>
    </w:tbl>
    <w:p>
      <w:pPr>
        <w:spacing w:after="0" w:line="313" w:lineRule="exact"/>
        <w:rPr>
          <w:sz w:val="20"/>
          <w:szCs w:val="20"/>
          <w:color w:val="auto"/>
        </w:rPr>
      </w:pPr>
    </w:p>
    <w:p>
      <w:pPr>
        <w:ind w:left="620"/>
        <w:spacing w:after="0"/>
        <w:rPr>
          <w:sz w:val="20"/>
          <w:szCs w:val="20"/>
          <w:color w:val="auto"/>
        </w:rPr>
      </w:pPr>
      <w:r>
        <w:rPr>
          <w:rFonts w:ascii="Arial" w:cs="Arial" w:eastAsia="Arial" w:hAnsi="Arial"/>
          <w:sz w:val="17"/>
          <w:szCs w:val="17"/>
          <w:color w:val="auto"/>
        </w:rPr>
        <w:t>As of December 31, 2024, no single issuer or investment had a fair value that exceeded 5% of the Company’s total consolidated net assets.</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Net Gains (Losses) From Investment Activities of Consolidated Funds</w:t>
      </w:r>
    </w:p>
    <w:p>
      <w:pPr>
        <w:spacing w:after="0" w:line="165" w:lineRule="exact"/>
        <w:rPr>
          <w:sz w:val="20"/>
          <w:szCs w:val="20"/>
          <w:color w:val="auto"/>
        </w:rPr>
      </w:pPr>
    </w:p>
    <w:p>
      <w:pPr>
        <w:ind w:right="100" w:firstLine="619"/>
        <w:spacing w:after="0" w:line="262" w:lineRule="auto"/>
        <w:rPr>
          <w:sz w:val="20"/>
          <w:szCs w:val="20"/>
          <w:color w:val="auto"/>
        </w:rPr>
      </w:pPr>
      <w:r>
        <w:rPr>
          <w:rFonts w:ascii="Arial" w:cs="Arial" w:eastAsia="Arial" w:hAnsi="Arial"/>
          <w:sz w:val="17"/>
          <w:szCs w:val="17"/>
          <w:color w:val="auto"/>
        </w:rPr>
        <w:t>Net gains (losses) from investment activities in the consolidated statements of operations consist primarily of realized and unrealized gains and losses on the consolidated funds’ investments (including foreign exchange gains and losses attributable to foreign-denominated investments and related activities) and other financial instruments. Unrealized gains or losses result from changes in the fair value of these investments and other financial instruments. Upon disposition of an investment, unrealized gains or losses are reversed and an offsetting realized gain or loss is recognized in the current period.</w:t>
      </w:r>
    </w:p>
    <w:p>
      <w:pPr>
        <w:spacing w:after="0" w:line="68" w:lineRule="exact"/>
        <w:rPr>
          <w:sz w:val="20"/>
          <w:szCs w:val="20"/>
          <w:color w:val="auto"/>
        </w:rPr>
      </w:pPr>
    </w:p>
    <w:p>
      <w:pPr>
        <w:ind w:left="3020"/>
        <w:spacing w:after="0"/>
        <w:rPr>
          <w:sz w:val="20"/>
          <w:szCs w:val="20"/>
          <w:color w:val="auto"/>
        </w:rPr>
      </w:pPr>
      <w:r>
        <w:rPr>
          <w:rFonts w:ascii="Arial" w:cs="Arial" w:eastAsia="Arial" w:hAnsi="Arial"/>
          <w:sz w:val="17"/>
          <w:szCs w:val="17"/>
          <w:color w:val="auto"/>
        </w:rPr>
        <w:t>The following table summarizes net gains (losses) from investment activities: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w:t>
      </w:r>
    </w:p>
    <w:p>
      <w:pPr>
        <w:sectPr>
          <w:pgSz w:w="11900" w:h="16838" w:orient="portrait"/>
          <w:cols w:equalWidth="0" w:num="1">
            <w:col w:w="11240"/>
          </w:cols>
          <w:pgMar w:left="320" w:top="353" w:right="339" w:bottom="1440" w:gutter="0" w:footer="0" w:header="0"/>
        </w:sectPr>
      </w:pPr>
    </w:p>
    <w:bookmarkStart w:id="160" w:name="page161"/>
    <w:bookmarkEnd w:id="160"/>
    <w:p>
      <w:pPr>
        <w:jc w:val="center"/>
        <w:ind w:right="20"/>
        <w:spacing w:after="0"/>
        <w:rPr>
          <w:sz w:val="20"/>
          <w:szCs w:val="20"/>
          <w:color w:val="auto"/>
        </w:rPr>
      </w:pPr>
      <w:r>
        <w:rPr>
          <w:rFonts w:ascii="Arial" w:cs="Arial" w:eastAsia="Arial" w:hAnsi="Arial"/>
          <w:sz w:val="17"/>
          <w:szCs w:val="17"/>
          <w:b w:val="1"/>
          <w:bCs w:val="1"/>
          <w:color w:val="auto"/>
        </w:rPr>
        <w:t>Oaktree Capital I, L.P.</w:t>
      </w:r>
    </w:p>
    <w:p>
      <w:pPr>
        <w:spacing w:after="0" w:line="16"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Notes to Consolidated Financial Statements — (Continued)</w:t>
      </w:r>
    </w:p>
    <w:p>
      <w:pPr>
        <w:spacing w:after="0" w:line="11"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December 31, 2025</w:t>
      </w:r>
    </w:p>
    <w:p>
      <w:pPr>
        <w:spacing w:after="0" w:line="11"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 in thousands, except where noted)</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5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60" w:type="dxa"/>
            <w:vAlign w:val="bottom"/>
            <w:gridSpan w:val="5"/>
          </w:tcPr>
          <w:p>
            <w:pPr>
              <w:ind w:left="280"/>
              <w:spacing w:after="0"/>
              <w:rPr>
                <w:sz w:val="20"/>
                <w:szCs w:val="20"/>
                <w:color w:val="auto"/>
              </w:rPr>
            </w:pPr>
            <w:r>
              <w:rPr>
                <w:rFonts w:ascii="Arial" w:cs="Arial" w:eastAsia="Arial" w:hAnsi="Arial"/>
                <w:sz w:val="12"/>
                <w:szCs w:val="12"/>
                <w:b w:val="1"/>
                <w:bCs w:val="1"/>
                <w:color w:val="auto"/>
              </w:rPr>
              <w:t>Twelve months ended December 31,</w:t>
            </w:r>
          </w:p>
        </w:tc>
        <w:tc>
          <w:tcPr>
            <w:tcW w:w="160" w:type="dxa"/>
            <w:vAlign w:val="bottom"/>
          </w:tcPr>
          <w:p>
            <w:pPr>
              <w:spacing w:after="0"/>
              <w:rPr>
                <w:sz w:val="14"/>
                <w:szCs w:val="14"/>
                <w:color w:val="auto"/>
              </w:rPr>
            </w:pPr>
          </w:p>
        </w:tc>
        <w:tc>
          <w:tcPr>
            <w:tcW w:w="2760" w:type="dxa"/>
            <w:vAlign w:val="bottom"/>
            <w:gridSpan w:val="4"/>
          </w:tcPr>
          <w:p>
            <w:pPr>
              <w:ind w:left="380"/>
              <w:spacing w:after="0"/>
              <w:rPr>
                <w:sz w:val="20"/>
                <w:szCs w:val="20"/>
                <w:color w:val="auto"/>
              </w:rPr>
            </w:pPr>
            <w:r>
              <w:rPr>
                <w:rFonts w:ascii="Arial" w:cs="Arial" w:eastAsia="Arial" w:hAnsi="Arial"/>
                <w:sz w:val="12"/>
                <w:szCs w:val="12"/>
                <w:b w:val="1"/>
                <w:bCs w:val="1"/>
                <w:color w:val="auto"/>
              </w:rPr>
              <w:t>Six months ended December 31,</w:t>
            </w:r>
          </w:p>
        </w:tc>
        <w:tc>
          <w:tcPr>
            <w:tcW w:w="0" w:type="dxa"/>
            <w:vAlign w:val="bottom"/>
          </w:tcPr>
          <w:p>
            <w:pPr>
              <w:spacing w:after="0"/>
              <w:rPr>
                <w:sz w:val="1"/>
                <w:szCs w:val="1"/>
                <w:color w:val="auto"/>
              </w:rPr>
            </w:pPr>
          </w:p>
        </w:tc>
      </w:tr>
      <w:tr>
        <w:trPr>
          <w:trHeight w:val="163"/>
        </w:trPr>
        <w:tc>
          <w:tcPr>
            <w:tcW w:w="530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150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2"/>
                <w:szCs w:val="12"/>
                <w:b w:val="1"/>
                <w:bCs w:val="1"/>
                <w:color w:val="auto"/>
              </w:rPr>
              <w:t>2025</w:t>
            </w:r>
          </w:p>
        </w:tc>
        <w:tc>
          <w:tcPr>
            <w:tcW w:w="1260" w:type="dxa"/>
            <w:vAlign w:val="bottom"/>
            <w:tcBorders>
              <w:top w:val="single" w:sz="8" w:color="auto"/>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150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2"/>
                <w:szCs w:val="12"/>
                <w:b w:val="1"/>
                <w:bCs w:val="1"/>
                <w:color w:val="auto"/>
              </w:rPr>
              <w:t>2024</w:t>
            </w:r>
          </w:p>
        </w:tc>
        <w:tc>
          <w:tcPr>
            <w:tcW w:w="1260" w:type="dxa"/>
            <w:vAlign w:val="bottom"/>
            <w:tcBorders>
              <w:top w:val="single" w:sz="8" w:color="auto"/>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0"/>
        </w:trPr>
        <w:tc>
          <w:tcPr>
            <w:tcW w:w="53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60" w:type="dxa"/>
            <w:vAlign w:val="bottom"/>
          </w:tcPr>
          <w:p>
            <w:pPr>
              <w:jc w:val="center"/>
              <w:ind w:right="68"/>
              <w:spacing w:after="0" w:line="110" w:lineRule="exact"/>
              <w:rPr>
                <w:sz w:val="20"/>
                <w:szCs w:val="20"/>
                <w:color w:val="auto"/>
              </w:rPr>
            </w:pPr>
            <w:r>
              <w:rPr>
                <w:rFonts w:ascii="Arial" w:cs="Arial" w:eastAsia="Arial" w:hAnsi="Arial"/>
                <w:sz w:val="12"/>
                <w:szCs w:val="12"/>
                <w:b w:val="1"/>
                <w:bCs w:val="1"/>
                <w:color w:val="auto"/>
                <w:w w:val="99"/>
              </w:rPr>
              <w:t>Net Change in</w:t>
            </w: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6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60" w:type="dxa"/>
            <w:vAlign w:val="bottom"/>
          </w:tcPr>
          <w:p>
            <w:pPr>
              <w:jc w:val="center"/>
              <w:ind w:right="68"/>
              <w:spacing w:after="0" w:line="110" w:lineRule="exact"/>
              <w:rPr>
                <w:sz w:val="20"/>
                <w:szCs w:val="20"/>
                <w:color w:val="auto"/>
              </w:rPr>
            </w:pPr>
            <w:r>
              <w:rPr>
                <w:rFonts w:ascii="Arial" w:cs="Arial" w:eastAsia="Arial" w:hAnsi="Arial"/>
                <w:sz w:val="12"/>
                <w:szCs w:val="12"/>
                <w:b w:val="1"/>
                <w:bCs w:val="1"/>
                <w:color w:val="auto"/>
                <w:w w:val="99"/>
              </w:rPr>
              <w:t>Net Change in</w:t>
            </w:r>
          </w:p>
        </w:tc>
        <w:tc>
          <w:tcPr>
            <w:tcW w:w="0" w:type="dxa"/>
            <w:vAlign w:val="bottom"/>
          </w:tcPr>
          <w:p>
            <w:pPr>
              <w:spacing w:after="0"/>
              <w:rPr>
                <w:sz w:val="1"/>
                <w:szCs w:val="1"/>
                <w:color w:val="auto"/>
              </w:rPr>
            </w:pPr>
          </w:p>
        </w:tc>
      </w:tr>
      <w:tr>
        <w:trPr>
          <w:trHeight w:val="124"/>
        </w:trPr>
        <w:tc>
          <w:tcPr>
            <w:tcW w:w="5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60" w:type="dxa"/>
            <w:vAlign w:val="bottom"/>
            <w:gridSpan w:val="2"/>
            <w:vMerge w:val="restart"/>
          </w:tcPr>
          <w:p>
            <w:pPr>
              <w:jc w:val="center"/>
              <w:ind w:right="260"/>
              <w:spacing w:after="0"/>
              <w:rPr>
                <w:sz w:val="20"/>
                <w:szCs w:val="20"/>
                <w:color w:val="auto"/>
              </w:rPr>
            </w:pPr>
            <w:r>
              <w:rPr>
                <w:rFonts w:ascii="Arial" w:cs="Arial" w:eastAsia="Arial" w:hAnsi="Arial"/>
                <w:sz w:val="12"/>
                <w:szCs w:val="12"/>
                <w:b w:val="1"/>
                <w:bCs w:val="1"/>
                <w:color w:val="auto"/>
              </w:rPr>
              <w:t>Net Realized Gain</w:t>
            </w:r>
          </w:p>
        </w:tc>
        <w:tc>
          <w:tcPr>
            <w:tcW w:w="1500" w:type="dxa"/>
            <w:vAlign w:val="bottom"/>
            <w:gridSpan w:val="3"/>
          </w:tcPr>
          <w:p>
            <w:pPr>
              <w:jc w:val="center"/>
              <w:ind w:right="100"/>
              <w:spacing w:after="0" w:line="124" w:lineRule="exact"/>
              <w:rPr>
                <w:sz w:val="20"/>
                <w:szCs w:val="20"/>
                <w:color w:val="auto"/>
              </w:rPr>
            </w:pPr>
            <w:r>
              <w:rPr>
                <w:rFonts w:ascii="Arial" w:cs="Arial" w:eastAsia="Arial" w:hAnsi="Arial"/>
                <w:sz w:val="12"/>
                <w:szCs w:val="12"/>
                <w:b w:val="1"/>
                <w:bCs w:val="1"/>
                <w:color w:val="auto"/>
                <w:w w:val="98"/>
              </w:rPr>
              <w:t>Unrealized Appreciation</w:t>
            </w:r>
          </w:p>
        </w:tc>
        <w:tc>
          <w:tcPr>
            <w:tcW w:w="160" w:type="dxa"/>
            <w:vAlign w:val="bottom"/>
          </w:tcPr>
          <w:p>
            <w:pPr>
              <w:spacing w:after="0"/>
              <w:rPr>
                <w:sz w:val="10"/>
                <w:szCs w:val="10"/>
                <w:color w:val="auto"/>
              </w:rPr>
            </w:pPr>
          </w:p>
        </w:tc>
        <w:tc>
          <w:tcPr>
            <w:tcW w:w="1340" w:type="dxa"/>
            <w:vAlign w:val="bottom"/>
            <w:gridSpan w:val="2"/>
            <w:vMerge w:val="restart"/>
          </w:tcPr>
          <w:p>
            <w:pPr>
              <w:jc w:val="center"/>
              <w:ind w:right="240"/>
              <w:spacing w:after="0"/>
              <w:rPr>
                <w:sz w:val="20"/>
                <w:szCs w:val="20"/>
                <w:color w:val="auto"/>
              </w:rPr>
            </w:pPr>
            <w:r>
              <w:rPr>
                <w:rFonts w:ascii="Arial" w:cs="Arial" w:eastAsia="Arial" w:hAnsi="Arial"/>
                <w:sz w:val="12"/>
                <w:szCs w:val="12"/>
                <w:b w:val="1"/>
                <w:bCs w:val="1"/>
                <w:color w:val="auto"/>
              </w:rPr>
              <w:t>Net Realized Gain</w:t>
            </w:r>
          </w:p>
        </w:tc>
        <w:tc>
          <w:tcPr>
            <w:tcW w:w="1420" w:type="dxa"/>
            <w:vAlign w:val="bottom"/>
            <w:gridSpan w:val="2"/>
          </w:tcPr>
          <w:p>
            <w:pPr>
              <w:jc w:val="center"/>
              <w:spacing w:after="0" w:line="124" w:lineRule="exact"/>
              <w:rPr>
                <w:sz w:val="20"/>
                <w:szCs w:val="20"/>
                <w:color w:val="auto"/>
              </w:rPr>
            </w:pPr>
            <w:r>
              <w:rPr>
                <w:rFonts w:ascii="Arial" w:cs="Arial" w:eastAsia="Arial" w:hAnsi="Arial"/>
                <w:sz w:val="12"/>
                <w:szCs w:val="12"/>
                <w:b w:val="1"/>
                <w:bCs w:val="1"/>
                <w:color w:val="auto"/>
              </w:rPr>
              <w:t>Unrealized Appreciation</w:t>
            </w:r>
          </w:p>
        </w:tc>
        <w:tc>
          <w:tcPr>
            <w:tcW w:w="0" w:type="dxa"/>
            <w:vAlign w:val="bottom"/>
          </w:tcPr>
          <w:p>
            <w:pPr>
              <w:spacing w:after="0"/>
              <w:rPr>
                <w:sz w:val="1"/>
                <w:szCs w:val="1"/>
                <w:color w:val="auto"/>
              </w:rPr>
            </w:pPr>
          </w:p>
        </w:tc>
      </w:tr>
      <w:tr>
        <w:trPr>
          <w:trHeight w:val="121"/>
        </w:trPr>
        <w:tc>
          <w:tcPr>
            <w:tcW w:w="5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6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1360" w:type="dxa"/>
            <w:vAlign w:val="bottom"/>
            <w:gridSpan w:val="2"/>
          </w:tcPr>
          <w:p>
            <w:pPr>
              <w:jc w:val="center"/>
              <w:ind w:right="240"/>
              <w:spacing w:after="0" w:line="121" w:lineRule="exact"/>
              <w:rPr>
                <w:sz w:val="20"/>
                <w:szCs w:val="20"/>
                <w:color w:val="auto"/>
              </w:rPr>
            </w:pPr>
            <w:r>
              <w:rPr>
                <w:rFonts w:ascii="Arial" w:cs="Arial" w:eastAsia="Arial" w:hAnsi="Arial"/>
                <w:sz w:val="12"/>
                <w:szCs w:val="12"/>
                <w:b w:val="1"/>
                <w:bCs w:val="1"/>
                <w:color w:val="auto"/>
              </w:rPr>
              <w:t>(Depreciation) on</w:t>
            </w:r>
          </w:p>
        </w:tc>
        <w:tc>
          <w:tcPr>
            <w:tcW w:w="160" w:type="dxa"/>
            <w:vAlign w:val="bottom"/>
          </w:tcPr>
          <w:p>
            <w:pPr>
              <w:spacing w:after="0"/>
              <w:rPr>
                <w:sz w:val="10"/>
                <w:szCs w:val="10"/>
                <w:color w:val="auto"/>
              </w:rPr>
            </w:pPr>
          </w:p>
        </w:tc>
        <w:tc>
          <w:tcPr>
            <w:tcW w:w="134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1260" w:type="dxa"/>
            <w:vAlign w:val="bottom"/>
          </w:tcPr>
          <w:p>
            <w:pPr>
              <w:jc w:val="center"/>
              <w:ind w:right="68"/>
              <w:spacing w:after="0" w:line="121" w:lineRule="exact"/>
              <w:rPr>
                <w:sz w:val="20"/>
                <w:szCs w:val="20"/>
                <w:color w:val="auto"/>
              </w:rPr>
            </w:pPr>
            <w:r>
              <w:rPr>
                <w:rFonts w:ascii="Arial" w:cs="Arial" w:eastAsia="Arial" w:hAnsi="Arial"/>
                <w:sz w:val="12"/>
                <w:szCs w:val="12"/>
                <w:b w:val="1"/>
                <w:bCs w:val="1"/>
                <w:color w:val="auto"/>
              </w:rPr>
              <w:t>(Depreciation) on</w:t>
            </w:r>
          </w:p>
        </w:tc>
        <w:tc>
          <w:tcPr>
            <w:tcW w:w="0" w:type="dxa"/>
            <w:vAlign w:val="bottom"/>
          </w:tcPr>
          <w:p>
            <w:pPr>
              <w:spacing w:after="0"/>
              <w:rPr>
                <w:sz w:val="1"/>
                <w:szCs w:val="1"/>
                <w:color w:val="auto"/>
              </w:rPr>
            </w:pPr>
          </w:p>
        </w:tc>
      </w:tr>
      <w:tr>
        <w:trPr>
          <w:trHeight w:val="166"/>
        </w:trPr>
        <w:tc>
          <w:tcPr>
            <w:tcW w:w="5300" w:type="dxa"/>
            <w:vAlign w:val="bottom"/>
          </w:tcPr>
          <w:p>
            <w:pPr>
              <w:spacing w:after="0"/>
              <w:rPr>
                <w:sz w:val="14"/>
                <w:szCs w:val="14"/>
                <w:color w:val="auto"/>
              </w:rPr>
            </w:pPr>
          </w:p>
        </w:tc>
        <w:tc>
          <w:tcPr>
            <w:tcW w:w="1500" w:type="dxa"/>
            <w:vAlign w:val="bottom"/>
            <w:gridSpan w:val="3"/>
          </w:tcPr>
          <w:p>
            <w:pPr>
              <w:jc w:val="center"/>
              <w:ind w:right="100"/>
              <w:spacing w:after="0"/>
              <w:rPr>
                <w:sz w:val="20"/>
                <w:szCs w:val="20"/>
                <w:color w:val="auto"/>
              </w:rPr>
            </w:pPr>
            <w:r>
              <w:rPr>
                <w:rFonts w:ascii="Arial" w:cs="Arial" w:eastAsia="Arial" w:hAnsi="Arial"/>
                <w:sz w:val="12"/>
                <w:szCs w:val="12"/>
                <w:b w:val="1"/>
                <w:bCs w:val="1"/>
                <w:color w:val="auto"/>
              </w:rPr>
              <w:t>(Loss) on Investments</w:t>
            </w:r>
          </w:p>
        </w:tc>
        <w:tc>
          <w:tcPr>
            <w:tcW w:w="140" w:type="dxa"/>
            <w:vAlign w:val="bottom"/>
          </w:tcPr>
          <w:p>
            <w:pPr>
              <w:spacing w:after="0"/>
              <w:rPr>
                <w:sz w:val="14"/>
                <w:szCs w:val="14"/>
                <w:color w:val="auto"/>
              </w:rPr>
            </w:pPr>
          </w:p>
        </w:tc>
        <w:tc>
          <w:tcPr>
            <w:tcW w:w="136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rPr>
              <w:t>Investments</w:t>
            </w:r>
          </w:p>
        </w:tc>
        <w:tc>
          <w:tcPr>
            <w:tcW w:w="1500" w:type="dxa"/>
            <w:vAlign w:val="bottom"/>
            <w:gridSpan w:val="3"/>
          </w:tcPr>
          <w:p>
            <w:pPr>
              <w:jc w:val="center"/>
              <w:ind w:right="100"/>
              <w:spacing w:after="0"/>
              <w:rPr>
                <w:sz w:val="20"/>
                <w:szCs w:val="20"/>
                <w:color w:val="auto"/>
              </w:rPr>
            </w:pPr>
            <w:r>
              <w:rPr>
                <w:rFonts w:ascii="Arial" w:cs="Arial" w:eastAsia="Arial" w:hAnsi="Arial"/>
                <w:sz w:val="12"/>
                <w:szCs w:val="12"/>
                <w:b w:val="1"/>
                <w:bCs w:val="1"/>
                <w:color w:val="auto"/>
              </w:rPr>
              <w:t>(Loss) on Investments</w:t>
            </w:r>
          </w:p>
        </w:tc>
        <w:tc>
          <w:tcPr>
            <w:tcW w:w="160" w:type="dxa"/>
            <w:vAlign w:val="bottom"/>
          </w:tcPr>
          <w:p>
            <w:pPr>
              <w:spacing w:after="0"/>
              <w:rPr>
                <w:sz w:val="14"/>
                <w:szCs w:val="14"/>
                <w:color w:val="auto"/>
              </w:rPr>
            </w:pPr>
          </w:p>
        </w:tc>
        <w:tc>
          <w:tcPr>
            <w:tcW w:w="1260" w:type="dxa"/>
            <w:vAlign w:val="bottom"/>
          </w:tcPr>
          <w:p>
            <w:pPr>
              <w:jc w:val="center"/>
              <w:ind w:right="88"/>
              <w:spacing w:after="0"/>
              <w:rPr>
                <w:sz w:val="20"/>
                <w:szCs w:val="20"/>
                <w:color w:val="auto"/>
              </w:rPr>
            </w:pPr>
            <w:r>
              <w:rPr>
                <w:rFonts w:ascii="Arial" w:cs="Arial" w:eastAsia="Arial" w:hAnsi="Arial"/>
                <w:sz w:val="12"/>
                <w:szCs w:val="12"/>
                <w:b w:val="1"/>
                <w:bCs w:val="1"/>
                <w:color w:val="auto"/>
                <w:w w:val="99"/>
              </w:rPr>
              <w:t>Investments</w:t>
            </w:r>
          </w:p>
        </w:tc>
        <w:tc>
          <w:tcPr>
            <w:tcW w:w="0" w:type="dxa"/>
            <w:vAlign w:val="bottom"/>
          </w:tcPr>
          <w:p>
            <w:pPr>
              <w:spacing w:after="0"/>
              <w:rPr>
                <w:sz w:val="1"/>
                <w:szCs w:val="1"/>
                <w:color w:val="auto"/>
              </w:rPr>
            </w:pPr>
          </w:p>
        </w:tc>
      </w:tr>
      <w:tr>
        <w:trPr>
          <w:trHeight w:val="444"/>
        </w:trPr>
        <w:tc>
          <w:tcPr>
            <w:tcW w:w="5300" w:type="dxa"/>
            <w:vAlign w:val="bottom"/>
          </w:tcPr>
          <w:p>
            <w:pPr>
              <w:spacing w:after="0"/>
              <w:rPr>
                <w:sz w:val="20"/>
                <w:szCs w:val="20"/>
                <w:color w:val="auto"/>
              </w:rPr>
            </w:pPr>
            <w:r>
              <w:rPr>
                <w:rFonts w:ascii="Arial" w:cs="Arial" w:eastAsia="Arial" w:hAnsi="Arial"/>
                <w:sz w:val="15"/>
                <w:szCs w:val="15"/>
                <w:color w:val="auto"/>
              </w:rPr>
              <w:t>Investments and other financial instruments</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1,448</w:t>
            </w:r>
          </w:p>
        </w:tc>
        <w:tc>
          <w:tcPr>
            <w:tcW w:w="100" w:type="dxa"/>
            <w:vAlign w:val="bottom"/>
          </w:tcPr>
          <w:p>
            <w:pPr>
              <w:spacing w:after="0"/>
              <w:rPr>
                <w:sz w:val="24"/>
                <w:szCs w:val="24"/>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9,474</w:t>
            </w:r>
          </w:p>
        </w:tc>
        <w:tc>
          <w:tcPr>
            <w:tcW w:w="100" w:type="dxa"/>
            <w:vAlign w:val="bottom"/>
          </w:tcPr>
          <w:p>
            <w:pPr>
              <w:spacing w:after="0"/>
              <w:rPr>
                <w:sz w:val="24"/>
                <w:szCs w:val="24"/>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260" w:type="dxa"/>
            <w:vAlign w:val="bottom"/>
            <w:tcBorders>
              <w:top w:val="single" w:sz="8" w:color="auto"/>
            </w:tcBorders>
          </w:tcPr>
          <w:p>
            <w:pPr>
              <w:jc w:val="right"/>
              <w:ind w:right="8"/>
              <w:spacing w:after="0"/>
              <w:rPr>
                <w:sz w:val="20"/>
                <w:szCs w:val="20"/>
                <w:color w:val="auto"/>
              </w:rPr>
            </w:pPr>
            <w:r>
              <w:rPr>
                <w:rFonts w:ascii="Arial" w:cs="Arial" w:eastAsia="Arial" w:hAnsi="Arial"/>
                <w:sz w:val="15"/>
                <w:szCs w:val="15"/>
                <w:color w:val="auto"/>
              </w:rPr>
              <w:t>4,155</w:t>
            </w:r>
          </w:p>
        </w:tc>
        <w:tc>
          <w:tcPr>
            <w:tcW w:w="80" w:type="dxa"/>
            <w:vAlign w:val="bottom"/>
          </w:tcPr>
          <w:p>
            <w:pPr>
              <w:spacing w:after="0"/>
              <w:rPr>
                <w:sz w:val="24"/>
                <w:szCs w:val="24"/>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260" w:type="dxa"/>
            <w:vAlign w:val="bottom"/>
            <w:tcBorders>
              <w:top w:val="single" w:sz="8" w:color="auto"/>
            </w:tcBorders>
          </w:tcPr>
          <w:p>
            <w:pPr>
              <w:jc w:val="center"/>
              <w:ind w:left="668"/>
              <w:spacing w:after="0"/>
              <w:rPr>
                <w:sz w:val="20"/>
                <w:szCs w:val="20"/>
                <w:color w:val="auto"/>
              </w:rPr>
            </w:pPr>
            <w:r>
              <w:rPr>
                <w:rFonts w:ascii="Arial" w:cs="Arial" w:eastAsia="Arial" w:hAnsi="Arial"/>
                <w:sz w:val="15"/>
                <w:szCs w:val="15"/>
                <w:color w:val="auto"/>
              </w:rPr>
              <w:t>3,923</w:t>
            </w:r>
          </w:p>
        </w:tc>
        <w:tc>
          <w:tcPr>
            <w:tcW w:w="0" w:type="dxa"/>
            <w:vAlign w:val="bottom"/>
          </w:tcPr>
          <w:p>
            <w:pPr>
              <w:spacing w:after="0"/>
              <w:rPr>
                <w:sz w:val="1"/>
                <w:szCs w:val="1"/>
                <w:color w:val="auto"/>
              </w:rPr>
            </w:pPr>
          </w:p>
        </w:tc>
      </w:tr>
      <w:tr>
        <w:trPr>
          <w:trHeight w:val="209"/>
        </w:trPr>
        <w:tc>
          <w:tcPr>
            <w:tcW w:w="5300" w:type="dxa"/>
            <w:vAlign w:val="bottom"/>
          </w:tcPr>
          <w:p>
            <w:pPr>
              <w:spacing w:after="0" w:line="208" w:lineRule="exact"/>
              <w:rPr>
                <w:sz w:val="20"/>
                <w:szCs w:val="20"/>
                <w:color w:val="auto"/>
              </w:rPr>
            </w:pPr>
            <w:r>
              <w:rPr>
                <w:rFonts w:ascii="Arial" w:cs="Arial" w:eastAsia="Arial" w:hAnsi="Arial"/>
                <w:sz w:val="15"/>
                <w:szCs w:val="15"/>
                <w:color w:val="auto"/>
              </w:rPr>
              <w:t xml:space="preserve">CLO liabilities </w:t>
            </w:r>
            <w:r>
              <w:rPr>
                <w:rFonts w:ascii="Arial" w:cs="Arial" w:eastAsia="Arial" w:hAnsi="Arial"/>
                <w:sz w:val="20"/>
                <w:szCs w:val="20"/>
                <w:color w:val="auto"/>
                <w:vertAlign w:val="superscript"/>
              </w:rPr>
              <w:t>(1)</w:t>
            </w: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5"/>
                <w:szCs w:val="15"/>
                <w:color w:val="auto"/>
              </w:rPr>
              <w:t>(1,382)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5"/>
                <w:szCs w:val="15"/>
                <w:color w:val="auto"/>
              </w:rPr>
              <w:t>(9,788)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jc w:val="right"/>
              <w:ind w:right="8"/>
              <w:spacing w:after="0"/>
              <w:rPr>
                <w:sz w:val="20"/>
                <w:szCs w:val="20"/>
                <w:color w:val="auto"/>
              </w:rPr>
            </w:pPr>
            <w:r>
              <w:rPr>
                <w:rFonts w:ascii="Arial" w:cs="Arial" w:eastAsia="Arial" w:hAnsi="Arial"/>
                <w:sz w:val="15"/>
                <w:szCs w:val="15"/>
                <w:color w:val="auto"/>
              </w:rPr>
              <w:t>73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jc w:val="center"/>
              <w:ind w:left="648"/>
              <w:spacing w:after="0"/>
              <w:rPr>
                <w:sz w:val="20"/>
                <w:szCs w:val="20"/>
                <w:color w:val="auto"/>
              </w:rPr>
            </w:pPr>
            <w:r>
              <w:rPr>
                <w:rFonts w:ascii="Arial" w:cs="Arial" w:eastAsia="Arial" w:hAnsi="Arial"/>
                <w:sz w:val="15"/>
                <w:szCs w:val="15"/>
                <w:color w:val="auto"/>
              </w:rPr>
              <w:t>(4,643)</w:t>
            </w:r>
          </w:p>
        </w:tc>
        <w:tc>
          <w:tcPr>
            <w:tcW w:w="0" w:type="dxa"/>
            <w:vAlign w:val="bottom"/>
          </w:tcPr>
          <w:p>
            <w:pPr>
              <w:spacing w:after="0"/>
              <w:rPr>
                <w:sz w:val="1"/>
                <w:szCs w:val="1"/>
                <w:color w:val="auto"/>
              </w:rPr>
            </w:pPr>
          </w:p>
        </w:tc>
      </w:tr>
      <w:tr>
        <w:trPr>
          <w:trHeight w:val="206"/>
        </w:trPr>
        <w:tc>
          <w:tcPr>
            <w:tcW w:w="5300" w:type="dxa"/>
            <w:vAlign w:val="bottom"/>
          </w:tcPr>
          <w:p>
            <w:pPr>
              <w:spacing w:after="0" w:line="207" w:lineRule="exact"/>
              <w:rPr>
                <w:sz w:val="20"/>
                <w:szCs w:val="20"/>
                <w:color w:val="auto"/>
              </w:rPr>
            </w:pPr>
            <w:r>
              <w:rPr>
                <w:rFonts w:ascii="Arial" w:cs="Arial" w:eastAsia="Arial" w:hAnsi="Arial"/>
                <w:sz w:val="15"/>
                <w:szCs w:val="15"/>
                <w:color w:val="auto"/>
              </w:rPr>
              <w:t xml:space="preserve">Foreign-currency forward contracts </w:t>
            </w:r>
            <w:r>
              <w:rPr>
                <w:rFonts w:ascii="Arial" w:cs="Arial" w:eastAsia="Arial" w:hAnsi="Arial"/>
                <w:sz w:val="20"/>
                <w:szCs w:val="20"/>
                <w:color w:val="auto"/>
                <w:vertAlign w:val="superscript"/>
              </w:rPr>
              <w:t>(2)</w:t>
            </w:r>
          </w:p>
        </w:tc>
        <w:tc>
          <w:tcPr>
            <w:tcW w:w="14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5"/>
                <w:szCs w:val="15"/>
                <w:color w:val="auto"/>
              </w:rPr>
              <w:t>(1,824)</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5"/>
                <w:szCs w:val="15"/>
                <w:color w:val="auto"/>
              </w:rPr>
              <w:t>(3,789)</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5"/>
                <w:szCs w:val="15"/>
                <w:color w:val="auto"/>
              </w:rPr>
              <w:t>(956)</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jc w:val="center"/>
              <w:ind w:left="668"/>
              <w:spacing w:after="0"/>
              <w:rPr>
                <w:sz w:val="20"/>
                <w:szCs w:val="20"/>
                <w:color w:val="auto"/>
              </w:rPr>
            </w:pPr>
            <w:r>
              <w:rPr>
                <w:rFonts w:ascii="Arial" w:cs="Arial" w:eastAsia="Arial" w:hAnsi="Arial"/>
                <w:sz w:val="15"/>
                <w:szCs w:val="15"/>
                <w:color w:val="auto"/>
              </w:rPr>
              <w:t>4,148</w:t>
            </w:r>
          </w:p>
        </w:tc>
        <w:tc>
          <w:tcPr>
            <w:tcW w:w="0" w:type="dxa"/>
            <w:vAlign w:val="bottom"/>
          </w:tcPr>
          <w:p>
            <w:pPr>
              <w:spacing w:after="0"/>
              <w:rPr>
                <w:sz w:val="1"/>
                <w:szCs w:val="1"/>
                <w:color w:val="auto"/>
              </w:rPr>
            </w:pPr>
          </w:p>
        </w:tc>
      </w:tr>
      <w:tr>
        <w:trPr>
          <w:trHeight w:val="206"/>
        </w:trPr>
        <w:tc>
          <w:tcPr>
            <w:tcW w:w="5300" w:type="dxa"/>
            <w:vAlign w:val="bottom"/>
          </w:tcPr>
          <w:p>
            <w:pPr>
              <w:spacing w:after="0" w:line="207" w:lineRule="exact"/>
              <w:rPr>
                <w:sz w:val="20"/>
                <w:szCs w:val="20"/>
                <w:color w:val="auto"/>
              </w:rPr>
            </w:pPr>
            <w:r>
              <w:rPr>
                <w:rFonts w:ascii="Arial" w:cs="Arial" w:eastAsia="Arial" w:hAnsi="Arial"/>
                <w:sz w:val="15"/>
                <w:szCs w:val="15"/>
                <w:color w:val="auto"/>
              </w:rPr>
              <w:t xml:space="preserve">Total return, interest rate and credit default swaps </w:t>
            </w:r>
            <w:r>
              <w:rPr>
                <w:rFonts w:ascii="Arial" w:cs="Arial" w:eastAsia="Arial" w:hAnsi="Arial"/>
                <w:sz w:val="20"/>
                <w:szCs w:val="20"/>
                <w:color w:val="auto"/>
                <w:vertAlign w:val="superscript"/>
              </w:rPr>
              <w:t>(2)</w:t>
            </w:r>
          </w:p>
        </w:tc>
        <w:tc>
          <w:tcPr>
            <w:tcW w:w="14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5"/>
                <w:szCs w:val="15"/>
                <w:color w:val="auto"/>
              </w:rPr>
              <w:t>(99)</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5"/>
                <w:szCs w:val="15"/>
                <w:color w:val="auto"/>
              </w:rPr>
              <w:t>(6)</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7"/>
                <w:szCs w:val="17"/>
                <w:color w:val="auto"/>
              </w:rPr>
            </w:pPr>
          </w:p>
        </w:tc>
        <w:tc>
          <w:tcPr>
            <w:tcW w:w="1260" w:type="dxa"/>
            <w:vAlign w:val="bottom"/>
          </w:tcPr>
          <w:p>
            <w:pPr>
              <w:jc w:val="center"/>
              <w:ind w:left="648"/>
              <w:spacing w:after="0"/>
              <w:rPr>
                <w:sz w:val="20"/>
                <w:szCs w:val="20"/>
                <w:color w:val="auto"/>
              </w:rPr>
            </w:pPr>
            <w:r>
              <w:rPr>
                <w:rFonts w:ascii="Arial" w:cs="Arial" w:eastAsia="Arial" w:hAnsi="Arial"/>
                <w:sz w:val="15"/>
                <w:szCs w:val="15"/>
                <w:color w:val="auto"/>
              </w:rPr>
              <w:t>(2,955)</w:t>
            </w:r>
          </w:p>
        </w:tc>
        <w:tc>
          <w:tcPr>
            <w:tcW w:w="0" w:type="dxa"/>
            <w:vAlign w:val="bottom"/>
          </w:tcPr>
          <w:p>
            <w:pPr>
              <w:spacing w:after="0"/>
              <w:rPr>
                <w:sz w:val="1"/>
                <w:szCs w:val="1"/>
                <w:color w:val="auto"/>
              </w:rPr>
            </w:pPr>
          </w:p>
        </w:tc>
      </w:tr>
      <w:tr>
        <w:trPr>
          <w:trHeight w:val="206"/>
        </w:trPr>
        <w:tc>
          <w:tcPr>
            <w:tcW w:w="5300" w:type="dxa"/>
            <w:vAlign w:val="bottom"/>
          </w:tcPr>
          <w:p>
            <w:pPr>
              <w:spacing w:after="0" w:line="207" w:lineRule="exact"/>
              <w:rPr>
                <w:sz w:val="20"/>
                <w:szCs w:val="20"/>
                <w:color w:val="auto"/>
              </w:rPr>
            </w:pPr>
            <w:r>
              <w:rPr>
                <w:rFonts w:ascii="Arial" w:cs="Arial" w:eastAsia="Arial" w:hAnsi="Arial"/>
                <w:sz w:val="15"/>
                <w:szCs w:val="15"/>
                <w:color w:val="auto"/>
              </w:rPr>
              <w:t xml:space="preserve">Options and futures </w:t>
            </w:r>
            <w:r>
              <w:rPr>
                <w:rFonts w:ascii="Arial" w:cs="Arial" w:eastAsia="Arial" w:hAnsi="Arial"/>
                <w:sz w:val="20"/>
                <w:szCs w:val="20"/>
                <w:color w:val="auto"/>
                <w:vertAlign w:val="superscript"/>
              </w:rPr>
              <w:t>(2)</w:t>
            </w:r>
          </w:p>
        </w:tc>
        <w:tc>
          <w:tcPr>
            <w:tcW w:w="14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5"/>
                <w:szCs w:val="15"/>
                <w:color w:val="auto"/>
              </w:rPr>
              <w:t>(444)</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5"/>
                <w:szCs w:val="15"/>
                <w:color w:val="auto"/>
              </w:rPr>
              <w:t>(174)</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5"/>
                <w:szCs w:val="15"/>
                <w:color w:val="auto"/>
              </w:rPr>
              <w:t>(814)</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jc w:val="center"/>
              <w:ind w:left="648"/>
              <w:spacing w:after="0"/>
              <w:rPr>
                <w:sz w:val="20"/>
                <w:szCs w:val="20"/>
                <w:color w:val="auto"/>
              </w:rPr>
            </w:pPr>
            <w:r>
              <w:rPr>
                <w:rFonts w:ascii="Arial" w:cs="Arial" w:eastAsia="Arial" w:hAnsi="Arial"/>
                <w:sz w:val="15"/>
                <w:szCs w:val="15"/>
                <w:color w:val="auto"/>
              </w:rPr>
              <w:t>(1,136)</w:t>
            </w:r>
          </w:p>
        </w:tc>
        <w:tc>
          <w:tcPr>
            <w:tcW w:w="0" w:type="dxa"/>
            <w:vAlign w:val="bottom"/>
          </w:tcPr>
          <w:p>
            <w:pPr>
              <w:spacing w:after="0"/>
              <w:rPr>
                <w:sz w:val="1"/>
                <w:szCs w:val="1"/>
                <w:color w:val="auto"/>
              </w:rPr>
            </w:pPr>
          </w:p>
        </w:tc>
      </w:tr>
      <w:tr>
        <w:trPr>
          <w:trHeight w:val="206"/>
        </w:trPr>
        <w:tc>
          <w:tcPr>
            <w:tcW w:w="5300" w:type="dxa"/>
            <w:vAlign w:val="bottom"/>
          </w:tcPr>
          <w:p>
            <w:pPr>
              <w:spacing w:after="0" w:line="206" w:lineRule="exact"/>
              <w:rPr>
                <w:sz w:val="20"/>
                <w:szCs w:val="20"/>
                <w:color w:val="auto"/>
              </w:rPr>
            </w:pPr>
            <w:r>
              <w:rPr>
                <w:rFonts w:ascii="Arial" w:cs="Arial" w:eastAsia="Arial" w:hAnsi="Arial"/>
                <w:sz w:val="15"/>
                <w:szCs w:val="15"/>
                <w:color w:val="auto"/>
              </w:rPr>
              <w:t xml:space="preserve">Commodity swaps </w:t>
            </w:r>
            <w:r>
              <w:rPr>
                <w:rFonts w:ascii="Arial" w:cs="Arial" w:eastAsia="Arial" w:hAnsi="Arial"/>
                <w:sz w:val="20"/>
                <w:szCs w:val="20"/>
                <w:color w:val="auto"/>
                <w:vertAlign w:val="superscript"/>
              </w:rPr>
              <w:t>(2)</w:t>
            </w:r>
          </w:p>
        </w:tc>
        <w:tc>
          <w:tcPr>
            <w:tcW w:w="140" w:type="dxa"/>
            <w:vAlign w:val="bottom"/>
          </w:tcPr>
          <w:p>
            <w:pPr>
              <w:spacing w:after="0"/>
              <w:rPr>
                <w:sz w:val="17"/>
                <w:szCs w:val="17"/>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5"/>
                <w:szCs w:val="15"/>
                <w:color w:val="auto"/>
              </w:rPr>
              <w:t>(2,787)</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jc w:val="center"/>
              <w:ind w:left="668"/>
              <w:spacing w:after="0"/>
              <w:rPr>
                <w:sz w:val="20"/>
                <w:szCs w:val="20"/>
                <w:color w:val="auto"/>
              </w:rPr>
            </w:pPr>
            <w:r>
              <w:rPr>
                <w:rFonts w:ascii="Arial" w:cs="Arial" w:eastAsia="Arial" w:hAnsi="Arial"/>
                <w:sz w:val="15"/>
                <w:szCs w:val="15"/>
                <w:color w:val="auto"/>
              </w:rPr>
              <w:t>6,860</w:t>
            </w:r>
          </w:p>
        </w:tc>
        <w:tc>
          <w:tcPr>
            <w:tcW w:w="0" w:type="dxa"/>
            <w:vAlign w:val="bottom"/>
          </w:tcPr>
          <w:p>
            <w:pPr>
              <w:spacing w:after="0"/>
              <w:rPr>
                <w:sz w:val="1"/>
                <w:szCs w:val="1"/>
                <w:color w:val="auto"/>
              </w:rPr>
            </w:pPr>
          </w:p>
        </w:tc>
      </w:tr>
      <w:tr>
        <w:trPr>
          <w:trHeight w:val="199"/>
        </w:trPr>
        <w:tc>
          <w:tcPr>
            <w:tcW w:w="5300" w:type="dxa"/>
            <w:vAlign w:val="bottom"/>
          </w:tcPr>
          <w:p>
            <w:pPr>
              <w:ind w:left="300"/>
              <w:spacing w:after="0"/>
              <w:rPr>
                <w:sz w:val="20"/>
                <w:szCs w:val="20"/>
                <w:color w:val="auto"/>
              </w:rPr>
            </w:pPr>
            <w:r>
              <w:rPr>
                <w:rFonts w:ascii="Arial" w:cs="Arial" w:eastAsia="Arial" w:hAnsi="Arial"/>
                <w:sz w:val="15"/>
                <w:szCs w:val="15"/>
                <w:color w:val="auto"/>
              </w:rPr>
              <w:t>Total</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(2,301)</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(4,283)</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(329)</w:t>
            </w:r>
          </w:p>
        </w:tc>
        <w:tc>
          <w:tcPr>
            <w:tcW w:w="8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260" w:type="dxa"/>
            <w:vAlign w:val="bottom"/>
            <w:tcBorders>
              <w:top w:val="single" w:sz="8" w:color="auto"/>
              <w:bottom w:val="single" w:sz="8" w:color="auto"/>
            </w:tcBorders>
          </w:tcPr>
          <w:p>
            <w:pPr>
              <w:jc w:val="center"/>
              <w:ind w:left="668"/>
              <w:spacing w:after="0"/>
              <w:rPr>
                <w:sz w:val="20"/>
                <w:szCs w:val="20"/>
                <w:color w:val="auto"/>
              </w:rPr>
            </w:pPr>
            <w:r>
              <w:rPr>
                <w:rFonts w:ascii="Arial" w:cs="Arial" w:eastAsia="Arial" w:hAnsi="Arial"/>
                <w:sz w:val="15"/>
                <w:szCs w:val="15"/>
                <w:color w:val="auto"/>
              </w:rPr>
              <w:t>6,197</w:t>
            </w:r>
          </w:p>
        </w:tc>
        <w:tc>
          <w:tcPr>
            <w:tcW w:w="0" w:type="dxa"/>
            <w:vAlign w:val="bottom"/>
          </w:tcPr>
          <w:p>
            <w:pPr>
              <w:spacing w:after="0"/>
              <w:rPr>
                <w:sz w:val="1"/>
                <w:szCs w:val="1"/>
                <w:color w:val="auto"/>
              </w:rPr>
            </w:pPr>
          </w:p>
        </w:tc>
      </w:tr>
      <w:tr>
        <w:trPr>
          <w:trHeight w:val="20"/>
        </w:trPr>
        <w:tc>
          <w:tcPr>
            <w:tcW w:w="5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left="400" w:right="860" w:hanging="378"/>
        <w:spacing w:after="0" w:line="269" w:lineRule="auto"/>
        <w:tabs>
          <w:tab w:leader="none" w:pos="374" w:val="left"/>
        </w:tabs>
        <w:numPr>
          <w:ilvl w:val="0"/>
          <w:numId w:val="63"/>
        </w:numPr>
        <w:rPr>
          <w:rFonts w:ascii="Arial" w:cs="Arial" w:eastAsia="Arial" w:hAnsi="Arial"/>
          <w:sz w:val="15"/>
          <w:szCs w:val="15"/>
          <w:color w:val="auto"/>
        </w:rPr>
      </w:pPr>
      <w:r>
        <w:rPr>
          <w:rFonts w:ascii="Arial" w:cs="Arial" w:eastAsia="Arial" w:hAnsi="Arial"/>
          <w:sz w:val="15"/>
          <w:szCs w:val="15"/>
          <w:color w:val="auto"/>
        </w:rPr>
        <w:t>Represents the net change in the fair value of CLO liabilities based on the more observable fair value of CLO assets, as measured under the CLO measurement guidance. Please see note 2 for more information.</w:t>
      </w:r>
    </w:p>
    <w:p>
      <w:pPr>
        <w:spacing w:after="0" w:line="1" w:lineRule="exact"/>
        <w:rPr>
          <w:rFonts w:ascii="Arial" w:cs="Arial" w:eastAsia="Arial" w:hAnsi="Arial"/>
          <w:sz w:val="15"/>
          <w:szCs w:val="15"/>
          <w:color w:val="auto"/>
        </w:rPr>
      </w:pPr>
    </w:p>
    <w:p>
      <w:pPr>
        <w:ind w:left="360" w:hanging="338"/>
        <w:spacing w:after="0"/>
        <w:tabs>
          <w:tab w:leader="none" w:pos="360" w:val="left"/>
        </w:tabs>
        <w:numPr>
          <w:ilvl w:val="0"/>
          <w:numId w:val="63"/>
        </w:numPr>
        <w:rPr>
          <w:rFonts w:ascii="Arial" w:cs="Arial" w:eastAsia="Arial" w:hAnsi="Arial"/>
          <w:sz w:val="15"/>
          <w:szCs w:val="15"/>
          <w:color w:val="auto"/>
        </w:rPr>
      </w:pPr>
      <w:r>
        <w:rPr>
          <w:rFonts w:ascii="Arial" w:cs="Arial" w:eastAsia="Arial" w:hAnsi="Arial"/>
          <w:sz w:val="15"/>
          <w:szCs w:val="15"/>
          <w:color w:val="auto"/>
        </w:rPr>
        <w:t>Please see note 7 for additional information.</w:t>
      </w:r>
    </w:p>
    <w:p>
      <w:pPr>
        <w:spacing w:after="0" w:line="200" w:lineRule="exact"/>
        <w:rPr>
          <w:sz w:val="20"/>
          <w:szCs w:val="20"/>
          <w:color w:val="auto"/>
        </w:rPr>
      </w:pPr>
    </w:p>
    <w:p>
      <w:pPr>
        <w:spacing w:after="0" w:line="357"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21</w:t>
      </w:r>
    </w:p>
    <w:p>
      <w:pPr>
        <w:sectPr>
          <w:pgSz w:w="11900" w:h="16838" w:orient="portrait"/>
          <w:cols w:equalWidth="0" w:num="1">
            <w:col w:w="11220"/>
          </w:cols>
          <w:pgMar w:left="340" w:top="353" w:right="339" w:bottom="1440" w:gutter="0" w:footer="0" w:header="0"/>
        </w:sectPr>
      </w:pPr>
    </w:p>
    <w:bookmarkStart w:id="161" w:name="page162"/>
    <w:bookmarkEnd w:id="161"/>
    <w:p>
      <w:pPr>
        <w:jc w:val="center"/>
        <w:ind w:right="100"/>
        <w:spacing w:after="0"/>
        <w:rPr>
          <w:sz w:val="20"/>
          <w:szCs w:val="20"/>
          <w:color w:val="auto"/>
        </w:rPr>
      </w:pPr>
      <w:r>
        <w:rPr>
          <w:rFonts w:ascii="Arial" w:cs="Arial" w:eastAsia="Arial" w:hAnsi="Arial"/>
          <w:sz w:val="17"/>
          <w:szCs w:val="17"/>
          <w:b w:val="1"/>
          <w:bCs w:val="1"/>
          <w:color w:val="auto"/>
        </w:rPr>
        <w:t>Oaktree Capital I, L.P.</w:t>
      </w:r>
    </w:p>
    <w:p>
      <w:pPr>
        <w:spacing w:after="0" w:line="16"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Notes to Consolidated Financial Statements — (Continued)</w:t>
      </w:r>
    </w:p>
    <w:p>
      <w:pPr>
        <w:spacing w:after="0" w:line="11"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December 31, 2025</w:t>
      </w:r>
    </w:p>
    <w:p>
      <w:pPr>
        <w:spacing w:after="0" w:line="11"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 in thousands, except where noted)</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6. FAIR VALUE</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Fair Value of Financial Assets and Liabilities</w:t>
      </w:r>
    </w:p>
    <w:p>
      <w:pPr>
        <w:spacing w:after="0" w:line="90" w:lineRule="exact"/>
        <w:rPr>
          <w:sz w:val="20"/>
          <w:szCs w:val="20"/>
          <w:color w:val="auto"/>
        </w:rPr>
      </w:pPr>
    </w:p>
    <w:p>
      <w:pPr>
        <w:ind w:right="200" w:firstLine="619"/>
        <w:spacing w:after="0" w:line="265" w:lineRule="auto"/>
        <w:rPr>
          <w:sz w:val="20"/>
          <w:szCs w:val="20"/>
          <w:color w:val="auto"/>
        </w:rPr>
      </w:pPr>
      <w:r>
        <w:rPr>
          <w:rFonts w:ascii="Arial" w:cs="Arial" w:eastAsia="Arial" w:hAnsi="Arial"/>
          <w:sz w:val="17"/>
          <w:szCs w:val="17"/>
          <w:color w:val="auto"/>
        </w:rPr>
        <w:t>The short-term nature of cash and cash-equivalents, U.S. Treasury and other securities, receivables and accounts payable causes each of their carrying values to approximate fair value. The fair value of short-term investments included in cash and cash-equivalents and U.S. Treasury and other securities is a Level I valuation. The Company’s other financial assets and financial liabilities by fair-value hierarchy level are set forth below. Please see notes 9 and 12 for the fair value of the Company’s outstanding debt obligations and amounts due from/to affiliates, respectively.</w:t>
      </w:r>
    </w:p>
    <w:p>
      <w:pPr>
        <w:spacing w:after="0" w:line="77" w:lineRule="exact"/>
        <w:rPr>
          <w:sz w:val="20"/>
          <w:szCs w:val="20"/>
          <w:color w:val="auto"/>
        </w:rPr>
      </w:pPr>
    </w:p>
    <w:tbl>
      <w:tblPr>
        <w:tblLayout w:type="fixed"/>
        <w:tblInd w:w="640" w:type="dxa"/>
        <w:tblCellMar>
          <w:top w:w="0" w:type="dxa"/>
          <w:left w:w="0" w:type="dxa"/>
          <w:bottom w:w="0" w:type="dxa"/>
          <w:right w:w="0" w:type="dxa"/>
        </w:tblCellMar>
      </w:tblPr>
      <w:tr>
        <w:trPr>
          <w:trHeight w:val="169"/>
        </w:trPr>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5"/>
          </w:tcPr>
          <w:p>
            <w:pPr>
              <w:ind w:left="140"/>
              <w:spacing w:after="0"/>
              <w:rPr>
                <w:sz w:val="20"/>
                <w:szCs w:val="20"/>
                <w:color w:val="auto"/>
              </w:rPr>
            </w:pPr>
            <w:r>
              <w:rPr>
                <w:rFonts w:ascii="Arial" w:cs="Arial" w:eastAsia="Arial" w:hAnsi="Arial"/>
                <w:sz w:val="12"/>
                <w:szCs w:val="12"/>
                <w:b w:val="1"/>
                <w:bCs w:val="1"/>
                <w:color w:val="auto"/>
              </w:rPr>
              <w:t>As of December 31, 2025</w:t>
            </w: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5"/>
          </w:tcPr>
          <w:p>
            <w:pPr>
              <w:ind w:left="140"/>
              <w:spacing w:after="0"/>
              <w:rPr>
                <w:sz w:val="20"/>
                <w:szCs w:val="20"/>
                <w:color w:val="auto"/>
              </w:rPr>
            </w:pPr>
            <w:r>
              <w:rPr>
                <w:rFonts w:ascii="Arial" w:cs="Arial" w:eastAsia="Arial" w:hAnsi="Arial"/>
                <w:sz w:val="12"/>
                <w:szCs w:val="12"/>
                <w:b w:val="1"/>
                <w:bCs w:val="1"/>
                <w:color w:val="auto"/>
              </w:rPr>
              <w:t>As of December 31, 2024</w:t>
            </w:r>
          </w:p>
        </w:tc>
        <w:tc>
          <w:tcPr>
            <w:tcW w:w="2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gridSpan w:val="2"/>
          </w:tcPr>
          <w:p>
            <w:pPr>
              <w:ind w:left="80"/>
              <w:spacing w:after="0"/>
              <w:rPr>
                <w:sz w:val="20"/>
                <w:szCs w:val="20"/>
                <w:color w:val="auto"/>
              </w:rPr>
            </w:pPr>
            <w:r>
              <w:rPr>
                <w:rFonts w:ascii="Arial" w:cs="Arial" w:eastAsia="Arial" w:hAnsi="Arial"/>
                <w:sz w:val="12"/>
                <w:szCs w:val="12"/>
                <w:b w:val="1"/>
                <w:bCs w:val="1"/>
                <w:color w:val="auto"/>
              </w:rPr>
              <w:t>Level I</w:t>
            </w:r>
          </w:p>
        </w:tc>
        <w:tc>
          <w:tcPr>
            <w:tcW w:w="180" w:type="dxa"/>
            <w:vAlign w:val="bottom"/>
          </w:tcPr>
          <w:p>
            <w:pPr>
              <w:spacing w:after="0"/>
              <w:rPr>
                <w:sz w:val="14"/>
                <w:szCs w:val="14"/>
                <w:color w:val="auto"/>
              </w:rPr>
            </w:pPr>
          </w:p>
        </w:tc>
        <w:tc>
          <w:tcPr>
            <w:tcW w:w="920" w:type="dxa"/>
            <w:vAlign w:val="bottom"/>
            <w:gridSpan w:val="2"/>
          </w:tcPr>
          <w:p>
            <w:pPr>
              <w:ind w:left="80"/>
              <w:spacing w:after="0"/>
              <w:rPr>
                <w:sz w:val="20"/>
                <w:szCs w:val="20"/>
                <w:color w:val="auto"/>
              </w:rPr>
            </w:pPr>
            <w:r>
              <w:rPr>
                <w:rFonts w:ascii="Arial" w:cs="Arial" w:eastAsia="Arial" w:hAnsi="Arial"/>
                <w:sz w:val="12"/>
                <w:szCs w:val="12"/>
                <w:b w:val="1"/>
                <w:bCs w:val="1"/>
                <w:color w:val="auto"/>
              </w:rPr>
              <w:t>Level II</w:t>
            </w:r>
          </w:p>
        </w:tc>
        <w:tc>
          <w:tcPr>
            <w:tcW w:w="140" w:type="dxa"/>
            <w:vAlign w:val="bottom"/>
          </w:tcPr>
          <w:p>
            <w:pPr>
              <w:spacing w:after="0"/>
              <w:rPr>
                <w:sz w:val="14"/>
                <w:szCs w:val="14"/>
                <w:color w:val="auto"/>
              </w:rPr>
            </w:pPr>
          </w:p>
        </w:tc>
        <w:tc>
          <w:tcPr>
            <w:tcW w:w="940" w:type="dxa"/>
            <w:vAlign w:val="bottom"/>
            <w:gridSpan w:val="2"/>
          </w:tcPr>
          <w:p>
            <w:pPr>
              <w:ind w:left="40"/>
              <w:spacing w:after="0" w:line="164" w:lineRule="exact"/>
              <w:rPr>
                <w:sz w:val="20"/>
                <w:szCs w:val="20"/>
                <w:color w:val="auto"/>
              </w:rPr>
            </w:pPr>
            <w:r>
              <w:rPr>
                <w:rFonts w:ascii="Arial" w:cs="Arial" w:eastAsia="Arial" w:hAnsi="Arial"/>
                <w:sz w:val="12"/>
                <w:szCs w:val="12"/>
                <w:b w:val="1"/>
                <w:bCs w:val="1"/>
                <w:color w:val="auto"/>
              </w:rPr>
              <w:t xml:space="preserve">Level III </w:t>
            </w:r>
            <w:r>
              <w:rPr>
                <w:rFonts w:ascii="Arial" w:cs="Arial" w:eastAsia="Arial" w:hAnsi="Arial"/>
                <w:sz w:val="15"/>
                <w:szCs w:val="15"/>
                <w:b w:val="1"/>
                <w:bCs w:val="1"/>
                <w:color w:val="auto"/>
                <w:vertAlign w:val="superscript"/>
              </w:rPr>
              <w:t>(1)</w:t>
            </w:r>
          </w:p>
        </w:tc>
        <w:tc>
          <w:tcPr>
            <w:tcW w:w="220" w:type="dxa"/>
            <w:vAlign w:val="bottom"/>
          </w:tcPr>
          <w:p>
            <w:pPr>
              <w:spacing w:after="0"/>
              <w:rPr>
                <w:sz w:val="14"/>
                <w:szCs w:val="14"/>
                <w:color w:val="auto"/>
              </w:rPr>
            </w:pPr>
          </w:p>
        </w:tc>
        <w:tc>
          <w:tcPr>
            <w:tcW w:w="740" w:type="dxa"/>
            <w:vAlign w:val="bottom"/>
          </w:tcPr>
          <w:p>
            <w:pPr>
              <w:jc w:val="right"/>
              <w:ind w:right="272"/>
              <w:spacing w:after="0"/>
              <w:rPr>
                <w:sz w:val="20"/>
                <w:szCs w:val="20"/>
                <w:color w:val="auto"/>
              </w:rPr>
            </w:pPr>
            <w:r>
              <w:rPr>
                <w:rFonts w:ascii="Arial" w:cs="Arial" w:eastAsia="Arial" w:hAnsi="Arial"/>
                <w:sz w:val="12"/>
                <w:szCs w:val="12"/>
                <w:b w:val="1"/>
                <w:bCs w:val="1"/>
                <w:color w:val="auto"/>
              </w:rPr>
              <w:t>Total</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gridSpan w:val="2"/>
          </w:tcPr>
          <w:p>
            <w:pPr>
              <w:ind w:left="100"/>
              <w:spacing w:after="0"/>
              <w:rPr>
                <w:sz w:val="20"/>
                <w:szCs w:val="20"/>
                <w:color w:val="auto"/>
              </w:rPr>
            </w:pPr>
            <w:r>
              <w:rPr>
                <w:rFonts w:ascii="Arial" w:cs="Arial" w:eastAsia="Arial" w:hAnsi="Arial"/>
                <w:sz w:val="12"/>
                <w:szCs w:val="12"/>
                <w:b w:val="1"/>
                <w:bCs w:val="1"/>
                <w:color w:val="auto"/>
              </w:rPr>
              <w:t>Level I</w:t>
            </w:r>
          </w:p>
        </w:tc>
        <w:tc>
          <w:tcPr>
            <w:tcW w:w="180" w:type="dxa"/>
            <w:vAlign w:val="bottom"/>
          </w:tcPr>
          <w:p>
            <w:pPr>
              <w:spacing w:after="0"/>
              <w:rPr>
                <w:sz w:val="14"/>
                <w:szCs w:val="14"/>
                <w:color w:val="auto"/>
              </w:rPr>
            </w:pPr>
          </w:p>
        </w:tc>
        <w:tc>
          <w:tcPr>
            <w:tcW w:w="920" w:type="dxa"/>
            <w:vAlign w:val="bottom"/>
            <w:gridSpan w:val="2"/>
          </w:tcPr>
          <w:p>
            <w:pPr>
              <w:ind w:left="100"/>
              <w:spacing w:after="0"/>
              <w:rPr>
                <w:sz w:val="20"/>
                <w:szCs w:val="20"/>
                <w:color w:val="auto"/>
              </w:rPr>
            </w:pPr>
            <w:r>
              <w:rPr>
                <w:rFonts w:ascii="Arial" w:cs="Arial" w:eastAsia="Arial" w:hAnsi="Arial"/>
                <w:sz w:val="12"/>
                <w:szCs w:val="12"/>
                <w:b w:val="1"/>
                <w:bCs w:val="1"/>
                <w:color w:val="auto"/>
              </w:rPr>
              <w:t>Level II</w:t>
            </w:r>
          </w:p>
        </w:tc>
        <w:tc>
          <w:tcPr>
            <w:tcW w:w="180" w:type="dxa"/>
            <w:vAlign w:val="bottom"/>
          </w:tcPr>
          <w:p>
            <w:pPr>
              <w:spacing w:after="0"/>
              <w:rPr>
                <w:sz w:val="14"/>
                <w:szCs w:val="14"/>
                <w:color w:val="auto"/>
              </w:rPr>
            </w:pPr>
          </w:p>
        </w:tc>
        <w:tc>
          <w:tcPr>
            <w:tcW w:w="920" w:type="dxa"/>
            <w:vAlign w:val="bottom"/>
            <w:gridSpan w:val="2"/>
          </w:tcPr>
          <w:p>
            <w:pPr>
              <w:ind w:left="80"/>
              <w:spacing w:after="0"/>
              <w:rPr>
                <w:sz w:val="20"/>
                <w:szCs w:val="20"/>
                <w:color w:val="auto"/>
              </w:rPr>
            </w:pPr>
            <w:r>
              <w:rPr>
                <w:rFonts w:ascii="Arial" w:cs="Arial" w:eastAsia="Arial" w:hAnsi="Arial"/>
                <w:sz w:val="12"/>
                <w:szCs w:val="12"/>
                <w:b w:val="1"/>
                <w:bCs w:val="1"/>
                <w:color w:val="auto"/>
              </w:rPr>
              <w:t>Level III</w:t>
            </w:r>
          </w:p>
        </w:tc>
        <w:tc>
          <w:tcPr>
            <w:tcW w:w="22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2"/>
                <w:szCs w:val="12"/>
                <w:b w:val="1"/>
                <w:bCs w:val="1"/>
                <w:color w:val="auto"/>
              </w:rPr>
              <w:t>Total</w:t>
            </w:r>
          </w:p>
        </w:tc>
        <w:tc>
          <w:tcPr>
            <w:tcW w:w="0" w:type="dxa"/>
            <w:vAlign w:val="bottom"/>
          </w:tcPr>
          <w:p>
            <w:pPr>
              <w:spacing w:after="0"/>
              <w:rPr>
                <w:sz w:val="1"/>
                <w:szCs w:val="1"/>
                <w:color w:val="auto"/>
              </w:rPr>
            </w:pPr>
          </w:p>
        </w:tc>
      </w:tr>
      <w:tr>
        <w:trPr>
          <w:trHeight w:val="135"/>
        </w:trPr>
        <w:tc>
          <w:tcPr>
            <w:tcW w:w="2380" w:type="dxa"/>
            <w:vAlign w:val="bottom"/>
            <w:gridSpan w:val="3"/>
          </w:tcPr>
          <w:p>
            <w:pPr>
              <w:spacing w:after="0" w:line="135" w:lineRule="exact"/>
              <w:rPr>
                <w:sz w:val="20"/>
                <w:szCs w:val="20"/>
                <w:color w:val="auto"/>
              </w:rPr>
            </w:pPr>
            <w:r>
              <w:rPr>
                <w:rFonts w:ascii="Arial" w:cs="Arial" w:eastAsia="Arial" w:hAnsi="Arial"/>
                <w:sz w:val="14"/>
                <w:szCs w:val="14"/>
                <w:b w:val="1"/>
                <w:bCs w:val="1"/>
                <w:color w:val="auto"/>
              </w:rPr>
              <w:t>Assets</w:t>
            </w:r>
          </w:p>
        </w:tc>
        <w:tc>
          <w:tcPr>
            <w:tcW w:w="20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4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2380" w:type="dxa"/>
            <w:vAlign w:val="bottom"/>
            <w:gridSpan w:val="3"/>
          </w:tcPr>
          <w:p>
            <w:pPr>
              <w:spacing w:after="0"/>
              <w:rPr>
                <w:sz w:val="20"/>
                <w:szCs w:val="20"/>
                <w:color w:val="auto"/>
              </w:rPr>
            </w:pPr>
            <w:r>
              <w:rPr>
                <w:rFonts w:ascii="Arial" w:cs="Arial" w:eastAsia="Arial" w:hAnsi="Arial"/>
                <w:sz w:val="14"/>
                <w:szCs w:val="14"/>
                <w:color w:val="auto"/>
              </w:rPr>
              <w:t>Corporate investments</w:t>
            </w:r>
          </w:p>
        </w:tc>
        <w:tc>
          <w:tcPr>
            <w:tcW w:w="200" w:type="dxa"/>
            <w:vAlign w:val="bottom"/>
          </w:tcPr>
          <w:p>
            <w:pPr>
              <w:jc w:val="right"/>
              <w:ind w:right="31"/>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105,699</w:t>
            </w:r>
          </w:p>
        </w:tc>
        <w:tc>
          <w:tcPr>
            <w:tcW w:w="140" w:type="dxa"/>
            <w:vAlign w:val="bottom"/>
          </w:tcPr>
          <w:p>
            <w:pPr>
              <w:spacing w:after="0"/>
              <w:rPr>
                <w:sz w:val="17"/>
                <w:szCs w:val="17"/>
                <w:color w:val="auto"/>
              </w:rPr>
            </w:pPr>
          </w:p>
        </w:tc>
        <w:tc>
          <w:tcPr>
            <w:tcW w:w="180" w:type="dxa"/>
            <w:vAlign w:val="bottom"/>
          </w:tcPr>
          <w:p>
            <w:pPr>
              <w:jc w:val="right"/>
              <w:ind w:right="31"/>
              <w:spacing w:after="0"/>
              <w:rPr>
                <w:sz w:val="20"/>
                <w:szCs w:val="20"/>
                <w:color w:val="auto"/>
              </w:rPr>
            </w:pPr>
            <w:r>
              <w:rPr>
                <w:rFonts w:ascii="Arial" w:cs="Arial" w:eastAsia="Arial" w:hAnsi="Arial"/>
                <w:sz w:val="14"/>
                <w:szCs w:val="14"/>
                <w:color w:val="auto"/>
                <w:w w:val="76"/>
              </w:rPr>
              <w:t>$</w:t>
            </w: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118,839</w:t>
            </w:r>
          </w:p>
        </w:tc>
        <w:tc>
          <w:tcPr>
            <w:tcW w:w="140" w:type="dxa"/>
            <w:vAlign w:val="bottom"/>
          </w:tcPr>
          <w:p>
            <w:pPr>
              <w:spacing w:after="0"/>
              <w:rPr>
                <w:sz w:val="17"/>
                <w:szCs w:val="17"/>
                <w:color w:val="auto"/>
              </w:rPr>
            </w:pPr>
          </w:p>
        </w:tc>
        <w:tc>
          <w:tcPr>
            <w:tcW w:w="220" w:type="dxa"/>
            <w:vAlign w:val="bottom"/>
          </w:tcPr>
          <w:p>
            <w:pPr>
              <w:jc w:val="right"/>
              <w:ind w:right="51"/>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224,538</w:t>
            </w:r>
          </w:p>
        </w:tc>
        <w:tc>
          <w:tcPr>
            <w:tcW w:w="140" w:type="dxa"/>
            <w:vAlign w:val="bottom"/>
          </w:tcPr>
          <w:p>
            <w:pPr>
              <w:spacing w:after="0"/>
              <w:rPr>
                <w:sz w:val="17"/>
                <w:szCs w:val="17"/>
                <w:color w:val="auto"/>
              </w:rPr>
            </w:pPr>
          </w:p>
        </w:tc>
        <w:tc>
          <w:tcPr>
            <w:tcW w:w="200" w:type="dxa"/>
            <w:vAlign w:val="bottom"/>
          </w:tcPr>
          <w:p>
            <w:pPr>
              <w:jc w:val="right"/>
              <w:ind w:right="31"/>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56,585</w:t>
            </w:r>
          </w:p>
        </w:tc>
        <w:tc>
          <w:tcPr>
            <w:tcW w:w="140" w:type="dxa"/>
            <w:vAlign w:val="bottom"/>
          </w:tcPr>
          <w:p>
            <w:pPr>
              <w:spacing w:after="0"/>
              <w:rPr>
                <w:sz w:val="17"/>
                <w:szCs w:val="17"/>
                <w:color w:val="auto"/>
              </w:rPr>
            </w:pPr>
          </w:p>
        </w:tc>
        <w:tc>
          <w:tcPr>
            <w:tcW w:w="180" w:type="dxa"/>
            <w:vAlign w:val="bottom"/>
          </w:tcPr>
          <w:p>
            <w:pPr>
              <w:jc w:val="right"/>
              <w:ind w:right="11"/>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13"/>
              <w:spacing w:after="0"/>
              <w:rPr>
                <w:sz w:val="20"/>
                <w:szCs w:val="20"/>
                <w:color w:val="auto"/>
              </w:rPr>
            </w:pPr>
            <w:r>
              <w:rPr>
                <w:rFonts w:ascii="Arial" w:cs="Arial" w:eastAsia="Arial" w:hAnsi="Arial"/>
                <w:sz w:val="14"/>
                <w:szCs w:val="14"/>
                <w:color w:val="auto"/>
              </w:rPr>
              <w:t>87</w:t>
            </w:r>
          </w:p>
        </w:tc>
        <w:tc>
          <w:tcPr>
            <w:tcW w:w="140" w:type="dxa"/>
            <w:vAlign w:val="bottom"/>
          </w:tcPr>
          <w:p>
            <w:pPr>
              <w:spacing w:after="0"/>
              <w:rPr>
                <w:sz w:val="17"/>
                <w:szCs w:val="17"/>
                <w:color w:val="auto"/>
              </w:rPr>
            </w:pPr>
          </w:p>
        </w:tc>
        <w:tc>
          <w:tcPr>
            <w:tcW w:w="180" w:type="dxa"/>
            <w:vAlign w:val="bottom"/>
          </w:tcPr>
          <w:p>
            <w:pPr>
              <w:jc w:val="right"/>
              <w:ind w:right="31"/>
              <w:spacing w:after="0"/>
              <w:rPr>
                <w:sz w:val="20"/>
                <w:szCs w:val="20"/>
                <w:color w:val="auto"/>
              </w:rPr>
            </w:pPr>
            <w:r>
              <w:rPr>
                <w:rFonts w:ascii="Arial" w:cs="Arial" w:eastAsia="Arial" w:hAnsi="Arial"/>
                <w:sz w:val="14"/>
                <w:szCs w:val="14"/>
                <w:color w:val="auto"/>
                <w:w w:val="76"/>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106,446</w:t>
            </w:r>
          </w:p>
        </w:tc>
        <w:tc>
          <w:tcPr>
            <w:tcW w:w="140" w:type="dxa"/>
            <w:vAlign w:val="bottom"/>
          </w:tcPr>
          <w:p>
            <w:pPr>
              <w:spacing w:after="0"/>
              <w:rPr>
                <w:sz w:val="17"/>
                <w:szCs w:val="17"/>
                <w:color w:val="auto"/>
              </w:rPr>
            </w:pPr>
          </w:p>
        </w:tc>
        <w:tc>
          <w:tcPr>
            <w:tcW w:w="220" w:type="dxa"/>
            <w:vAlign w:val="bottom"/>
          </w:tcPr>
          <w:p>
            <w:pPr>
              <w:jc w:val="right"/>
              <w:ind w:right="51"/>
              <w:spacing w:after="0"/>
              <w:rPr>
                <w:sz w:val="20"/>
                <w:szCs w:val="20"/>
                <w:color w:val="auto"/>
              </w:rPr>
            </w:pPr>
            <w:r>
              <w:rPr>
                <w:rFonts w:ascii="Arial" w:cs="Arial" w:eastAsia="Arial" w:hAnsi="Arial"/>
                <w:sz w:val="14"/>
                <w:szCs w:val="14"/>
                <w:color w:val="auto"/>
              </w:rPr>
              <w:t>$</w:t>
            </w:r>
          </w:p>
        </w:tc>
        <w:tc>
          <w:tcPr>
            <w:tcW w:w="420" w:type="dxa"/>
            <w:vAlign w:val="bottom"/>
          </w:tcPr>
          <w:p>
            <w:pPr>
              <w:jc w:val="right"/>
              <w:spacing w:after="0"/>
              <w:rPr>
                <w:sz w:val="20"/>
                <w:szCs w:val="20"/>
                <w:color w:val="auto"/>
              </w:rPr>
            </w:pPr>
            <w:r>
              <w:rPr>
                <w:rFonts w:ascii="Arial" w:cs="Arial" w:eastAsia="Arial" w:hAnsi="Arial"/>
                <w:sz w:val="14"/>
                <w:szCs w:val="14"/>
                <w:color w:val="auto"/>
              </w:rPr>
              <w:t>163</w:t>
            </w:r>
          </w:p>
        </w:tc>
        <w:tc>
          <w:tcPr>
            <w:tcW w:w="0" w:type="dxa"/>
            <w:vAlign w:val="bottom"/>
          </w:tcPr>
          <w:p>
            <w:pPr>
              <w:spacing w:after="0"/>
              <w:rPr>
                <w:sz w:val="1"/>
                <w:szCs w:val="1"/>
                <w:color w:val="auto"/>
              </w:rPr>
            </w:pPr>
          </w:p>
        </w:tc>
      </w:tr>
      <w:tr>
        <w:trPr>
          <w:trHeight w:val="155"/>
        </w:trPr>
        <w:tc>
          <w:tcPr>
            <w:tcW w:w="2380" w:type="dxa"/>
            <w:vAlign w:val="bottom"/>
            <w:gridSpan w:val="3"/>
          </w:tcPr>
          <w:p>
            <w:pPr>
              <w:spacing w:after="0" w:line="155" w:lineRule="exact"/>
              <w:rPr>
                <w:sz w:val="20"/>
                <w:szCs w:val="20"/>
                <w:color w:val="auto"/>
              </w:rPr>
            </w:pPr>
            <w:r>
              <w:rPr>
                <w:rFonts w:ascii="Arial" w:cs="Arial" w:eastAsia="Arial" w:hAnsi="Arial"/>
                <w:sz w:val="14"/>
                <w:szCs w:val="14"/>
                <w:color w:val="auto"/>
              </w:rPr>
              <w:t>SPAC common stock and earn-out</w:t>
            </w:r>
          </w:p>
        </w:tc>
        <w:tc>
          <w:tcPr>
            <w:tcW w:w="200" w:type="dxa"/>
            <w:vAlign w:val="bottom"/>
          </w:tcPr>
          <w:p>
            <w:pPr>
              <w:spacing w:after="0"/>
              <w:rPr>
                <w:sz w:val="13"/>
                <w:szCs w:val="13"/>
                <w:color w:val="auto"/>
              </w:rPr>
            </w:pPr>
          </w:p>
        </w:tc>
        <w:tc>
          <w:tcPr>
            <w:tcW w:w="90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92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94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88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9,728</w:t>
            </w: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92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420" w:type="dxa"/>
            <w:vAlign w:val="bottom"/>
            <w:vMerge w:val="restart"/>
          </w:tcPr>
          <w:p>
            <w:pPr>
              <w:jc w:val="right"/>
              <w:spacing w:after="0"/>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180"/>
        </w:trPr>
        <w:tc>
          <w:tcPr>
            <w:tcW w:w="2380" w:type="dxa"/>
            <w:vAlign w:val="bottom"/>
            <w:gridSpan w:val="3"/>
          </w:tcPr>
          <w:p>
            <w:pPr>
              <w:ind w:left="160"/>
              <w:spacing w:after="0"/>
              <w:rPr>
                <w:sz w:val="20"/>
                <w:szCs w:val="20"/>
                <w:color w:val="auto"/>
              </w:rPr>
            </w:pPr>
            <w:r>
              <w:rPr>
                <w:rFonts w:ascii="Arial" w:cs="Arial" w:eastAsia="Arial" w:hAnsi="Arial"/>
                <w:sz w:val="14"/>
                <w:szCs w:val="14"/>
                <w:color w:val="auto"/>
              </w:rPr>
              <w:t>shares included in other assets</w:t>
            </w:r>
          </w:p>
        </w:tc>
        <w:tc>
          <w:tcPr>
            <w:tcW w:w="200" w:type="dxa"/>
            <w:vAlign w:val="bottom"/>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4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380" w:type="dxa"/>
            <w:vAlign w:val="bottom"/>
            <w:gridSpan w:val="3"/>
          </w:tcPr>
          <w:p>
            <w:pPr>
              <w:spacing w:after="0" w:line="142" w:lineRule="exact"/>
              <w:rPr>
                <w:sz w:val="20"/>
                <w:szCs w:val="20"/>
                <w:color w:val="auto"/>
              </w:rPr>
            </w:pPr>
            <w:r>
              <w:rPr>
                <w:rFonts w:ascii="Arial" w:cs="Arial" w:eastAsia="Arial" w:hAnsi="Arial"/>
                <w:sz w:val="14"/>
                <w:szCs w:val="14"/>
                <w:color w:val="auto"/>
              </w:rPr>
              <w:t>Foreign-currency forward contracts</w:t>
            </w:r>
          </w:p>
        </w:tc>
        <w:tc>
          <w:tcPr>
            <w:tcW w:w="200" w:type="dxa"/>
            <w:vAlign w:val="bottom"/>
          </w:tcPr>
          <w:p>
            <w:pPr>
              <w:spacing w:after="0"/>
              <w:rPr>
                <w:sz w:val="12"/>
                <w:szCs w:val="12"/>
                <w:color w:val="auto"/>
              </w:rPr>
            </w:pPr>
          </w:p>
        </w:tc>
        <w:tc>
          <w:tcPr>
            <w:tcW w:w="90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92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94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88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90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780" w:type="dxa"/>
            <w:vAlign w:val="bottom"/>
            <w:vMerge w:val="restart"/>
          </w:tcPr>
          <w:p>
            <w:pPr>
              <w:jc w:val="right"/>
              <w:ind w:right="13"/>
              <w:spacing w:after="0"/>
              <w:rPr>
                <w:sz w:val="20"/>
                <w:szCs w:val="20"/>
                <w:color w:val="auto"/>
              </w:rPr>
            </w:pPr>
            <w:r>
              <w:rPr>
                <w:rFonts w:ascii="Arial" w:cs="Arial" w:eastAsia="Arial" w:hAnsi="Arial"/>
                <w:sz w:val="14"/>
                <w:szCs w:val="14"/>
                <w:color w:val="auto"/>
              </w:rPr>
              <w:t>8,935</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420" w:type="dxa"/>
            <w:vAlign w:val="bottom"/>
            <w:vMerge w:val="restart"/>
          </w:tcPr>
          <w:p>
            <w:pPr>
              <w:jc w:val="right"/>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180"/>
        </w:trPr>
        <w:tc>
          <w:tcPr>
            <w:tcW w:w="2380" w:type="dxa"/>
            <w:vAlign w:val="bottom"/>
            <w:gridSpan w:val="3"/>
          </w:tcPr>
          <w:p>
            <w:pPr>
              <w:ind w:left="160"/>
              <w:spacing w:after="0"/>
              <w:rPr>
                <w:sz w:val="20"/>
                <w:szCs w:val="20"/>
                <w:color w:val="auto"/>
              </w:rPr>
            </w:pPr>
            <w:r>
              <w:rPr>
                <w:rFonts w:ascii="Arial" w:cs="Arial" w:eastAsia="Arial" w:hAnsi="Arial"/>
                <w:sz w:val="14"/>
                <w:szCs w:val="14"/>
                <w:color w:val="auto"/>
              </w:rPr>
              <w:t>included in corporate investments</w:t>
            </w:r>
          </w:p>
        </w:tc>
        <w:tc>
          <w:tcPr>
            <w:tcW w:w="200" w:type="dxa"/>
            <w:vAlign w:val="bottom"/>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4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380" w:type="dxa"/>
            <w:vAlign w:val="bottom"/>
            <w:gridSpan w:val="3"/>
          </w:tcPr>
          <w:p>
            <w:pPr>
              <w:spacing w:after="0" w:line="142" w:lineRule="exact"/>
              <w:rPr>
                <w:sz w:val="20"/>
                <w:szCs w:val="20"/>
                <w:color w:val="auto"/>
              </w:rPr>
            </w:pPr>
            <w:r>
              <w:rPr>
                <w:rFonts w:ascii="Arial" w:cs="Arial" w:eastAsia="Arial" w:hAnsi="Arial"/>
                <w:sz w:val="14"/>
                <w:szCs w:val="14"/>
                <w:color w:val="auto"/>
              </w:rPr>
              <w:t>Foreign-currency forward contracts</w:t>
            </w:r>
          </w:p>
        </w:tc>
        <w:tc>
          <w:tcPr>
            <w:tcW w:w="200" w:type="dxa"/>
            <w:vAlign w:val="bottom"/>
          </w:tcPr>
          <w:p>
            <w:pPr>
              <w:spacing w:after="0"/>
              <w:rPr>
                <w:sz w:val="12"/>
                <w:szCs w:val="12"/>
                <w:color w:val="auto"/>
              </w:rPr>
            </w:pPr>
          </w:p>
        </w:tc>
        <w:tc>
          <w:tcPr>
            <w:tcW w:w="90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3,628</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3,628</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92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92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380" w:type="dxa"/>
            <w:vAlign w:val="bottom"/>
            <w:gridSpan w:val="3"/>
          </w:tcPr>
          <w:p>
            <w:pPr>
              <w:ind w:left="160"/>
              <w:spacing w:after="0"/>
              <w:rPr>
                <w:sz w:val="20"/>
                <w:szCs w:val="20"/>
                <w:color w:val="auto"/>
              </w:rPr>
            </w:pPr>
            <w:r>
              <w:rPr>
                <w:rFonts w:ascii="Arial" w:cs="Arial" w:eastAsia="Arial" w:hAnsi="Arial"/>
                <w:sz w:val="14"/>
                <w:szCs w:val="14"/>
                <w:color w:val="auto"/>
              </w:rPr>
              <w:t>included in other assets</w:t>
            </w:r>
          </w:p>
        </w:tc>
        <w:tc>
          <w:tcPr>
            <w:tcW w:w="200" w:type="dxa"/>
            <w:vAlign w:val="bottom"/>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2380" w:type="dxa"/>
            <w:vAlign w:val="bottom"/>
            <w:gridSpan w:val="3"/>
          </w:tcPr>
          <w:p>
            <w:pPr>
              <w:spacing w:after="0"/>
              <w:rPr>
                <w:sz w:val="20"/>
                <w:szCs w:val="20"/>
                <w:color w:val="auto"/>
              </w:rPr>
            </w:pPr>
            <w:r>
              <w:rPr>
                <w:rFonts w:ascii="Arial" w:cs="Arial" w:eastAsia="Arial" w:hAnsi="Arial"/>
                <w:sz w:val="14"/>
                <w:szCs w:val="14"/>
                <w:color w:val="auto"/>
              </w:rPr>
              <w:t>Total assets</w:t>
            </w:r>
          </w:p>
        </w:tc>
        <w:tc>
          <w:tcPr>
            <w:tcW w:w="20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105,699</w:t>
            </w:r>
          </w:p>
        </w:tc>
        <w:tc>
          <w:tcPr>
            <w:tcW w:w="14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3,628</w:t>
            </w:r>
          </w:p>
        </w:tc>
        <w:tc>
          <w:tcPr>
            <w:tcW w:w="16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118,839</w:t>
            </w:r>
          </w:p>
        </w:tc>
        <w:tc>
          <w:tcPr>
            <w:tcW w:w="140" w:type="dxa"/>
            <w:vAlign w:val="bottom"/>
          </w:tcPr>
          <w:p>
            <w:pPr>
              <w:spacing w:after="0"/>
              <w:rPr>
                <w:sz w:val="16"/>
                <w:szCs w:val="16"/>
                <w:color w:val="auto"/>
              </w:rPr>
            </w:pPr>
          </w:p>
        </w:tc>
        <w:tc>
          <w:tcPr>
            <w:tcW w:w="22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228,166</w:t>
            </w:r>
          </w:p>
        </w:tc>
        <w:tc>
          <w:tcPr>
            <w:tcW w:w="14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66,313</w:t>
            </w:r>
          </w:p>
        </w:tc>
        <w:tc>
          <w:tcPr>
            <w:tcW w:w="14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4"/>
                <w:szCs w:val="14"/>
                <w:color w:val="auto"/>
              </w:rPr>
              <w:t>9,022</w:t>
            </w:r>
          </w:p>
        </w:tc>
        <w:tc>
          <w:tcPr>
            <w:tcW w:w="14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106,446</w:t>
            </w:r>
          </w:p>
        </w:tc>
        <w:tc>
          <w:tcPr>
            <w:tcW w:w="140" w:type="dxa"/>
            <w:vAlign w:val="bottom"/>
          </w:tcPr>
          <w:p>
            <w:pPr>
              <w:spacing w:after="0"/>
              <w:rPr>
                <w:sz w:val="16"/>
                <w:szCs w:val="16"/>
                <w:color w:val="auto"/>
              </w:rPr>
            </w:pPr>
          </w:p>
        </w:tc>
        <w:tc>
          <w:tcPr>
            <w:tcW w:w="22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4"/>
                <w:szCs w:val="14"/>
                <w:color w:val="auto"/>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181</w:t>
            </w:r>
          </w:p>
        </w:tc>
        <w:tc>
          <w:tcPr>
            <w:tcW w:w="0" w:type="dxa"/>
            <w:vAlign w:val="bottom"/>
          </w:tcPr>
          <w:p>
            <w:pPr>
              <w:spacing w:after="0"/>
              <w:rPr>
                <w:sz w:val="1"/>
                <w:szCs w:val="1"/>
                <w:color w:val="auto"/>
              </w:rPr>
            </w:pPr>
          </w:p>
        </w:tc>
      </w:tr>
      <w:tr>
        <w:trPr>
          <w:trHeight w:val="20"/>
        </w:trPr>
        <w:tc>
          <w:tcPr>
            <w:tcW w:w="64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5"/>
              </w:rPr>
              <w:t>Liabilities</w:t>
            </w:r>
          </w:p>
        </w:tc>
        <w:tc>
          <w:tcPr>
            <w:tcW w:w="1740" w:type="dxa"/>
            <w:vAlign w:val="bottom"/>
            <w:vMerge w:val="restart"/>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3"/>
        </w:trPr>
        <w:tc>
          <w:tcPr>
            <w:tcW w:w="640" w:type="dxa"/>
            <w:vAlign w:val="bottom"/>
            <w:tcBorders>
              <w:bottom w:val="single" w:sz="8" w:color="auto"/>
            </w:tcBorders>
            <w:gridSpan w:val="2"/>
            <w:vMerge w:val="continue"/>
          </w:tcPr>
          <w:p>
            <w:pPr>
              <w:spacing w:after="0"/>
              <w:rPr>
                <w:sz w:val="24"/>
                <w:szCs w:val="24"/>
                <w:color w:val="auto"/>
              </w:rPr>
            </w:pPr>
          </w:p>
        </w:tc>
        <w:tc>
          <w:tcPr>
            <w:tcW w:w="174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6"/>
        </w:trPr>
        <w:tc>
          <w:tcPr>
            <w:tcW w:w="2380" w:type="dxa"/>
            <w:vAlign w:val="bottom"/>
            <w:gridSpan w:val="3"/>
          </w:tcPr>
          <w:p>
            <w:pPr>
              <w:spacing w:after="0"/>
              <w:rPr>
                <w:sz w:val="20"/>
                <w:szCs w:val="20"/>
                <w:color w:val="auto"/>
              </w:rPr>
            </w:pPr>
            <w:r>
              <w:rPr>
                <w:rFonts w:ascii="Arial" w:cs="Arial" w:eastAsia="Arial" w:hAnsi="Arial"/>
                <w:sz w:val="14"/>
                <w:szCs w:val="14"/>
                <w:color w:val="auto"/>
              </w:rPr>
              <w:t>Foreign-currency forward contracts</w:t>
            </w:r>
          </w:p>
        </w:tc>
        <w:tc>
          <w:tcPr>
            <w:tcW w:w="200" w:type="dxa"/>
            <w:vAlign w:val="bottom"/>
            <w:vMerge w:val="restart"/>
          </w:tcPr>
          <w:p>
            <w:pPr>
              <w:jc w:val="right"/>
              <w:ind w:right="31"/>
              <w:spacing w:after="0"/>
              <w:rPr>
                <w:sz w:val="20"/>
                <w:szCs w:val="20"/>
                <w:color w:val="auto"/>
              </w:rPr>
            </w:pPr>
            <w:r>
              <w:rPr>
                <w:rFonts w:ascii="Arial" w:cs="Arial" w:eastAsia="Arial" w:hAnsi="Arial"/>
                <w:sz w:val="14"/>
                <w:szCs w:val="14"/>
                <w:color w:val="auto"/>
              </w:rPr>
              <w:t>$</w:t>
            </w:r>
          </w:p>
        </w:tc>
        <w:tc>
          <w:tcPr>
            <w:tcW w:w="90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vMerge w:val="restart"/>
          </w:tcPr>
          <w:p>
            <w:pPr>
              <w:jc w:val="right"/>
              <w:ind w:right="31"/>
              <w:spacing w:after="0"/>
              <w:rPr>
                <w:sz w:val="20"/>
                <w:szCs w:val="20"/>
                <w:color w:val="auto"/>
              </w:rPr>
            </w:pPr>
            <w:r>
              <w:rPr>
                <w:rFonts w:ascii="Arial" w:cs="Arial" w:eastAsia="Arial" w:hAnsi="Arial"/>
                <w:sz w:val="14"/>
                <w:szCs w:val="14"/>
                <w:color w:val="auto"/>
                <w:w w:val="76"/>
              </w:rPr>
              <w:t>$</w:t>
            </w: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(2,853)</w:t>
            </w:r>
          </w:p>
        </w:tc>
        <w:tc>
          <w:tcPr>
            <w:tcW w:w="160" w:type="dxa"/>
            <w:vAlign w:val="bottom"/>
          </w:tcPr>
          <w:p>
            <w:pPr>
              <w:spacing w:after="0"/>
              <w:rPr>
                <w:sz w:val="14"/>
                <w:szCs w:val="14"/>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220" w:type="dxa"/>
            <w:vAlign w:val="bottom"/>
            <w:vMerge w:val="restart"/>
          </w:tcPr>
          <w:p>
            <w:pPr>
              <w:jc w:val="right"/>
              <w:ind w:right="51"/>
              <w:spacing w:after="0"/>
              <w:rPr>
                <w:sz w:val="20"/>
                <w:szCs w:val="20"/>
                <w:color w:val="auto"/>
              </w:rPr>
            </w:pPr>
            <w:r>
              <w:rPr>
                <w:rFonts w:ascii="Arial" w:cs="Arial" w:eastAsia="Arial" w:hAnsi="Arial"/>
                <w:sz w:val="14"/>
                <w:szCs w:val="14"/>
                <w:color w:val="auto"/>
              </w:rPr>
              <w:t>$</w:t>
            </w: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(2,853)</w:t>
            </w:r>
          </w:p>
        </w:tc>
        <w:tc>
          <w:tcPr>
            <w:tcW w:w="140" w:type="dxa"/>
            <w:vAlign w:val="bottom"/>
          </w:tcPr>
          <w:p>
            <w:pPr>
              <w:spacing w:after="0"/>
              <w:rPr>
                <w:sz w:val="14"/>
                <w:szCs w:val="14"/>
                <w:color w:val="auto"/>
              </w:rPr>
            </w:pPr>
          </w:p>
        </w:tc>
        <w:tc>
          <w:tcPr>
            <w:tcW w:w="200" w:type="dxa"/>
            <w:vAlign w:val="bottom"/>
            <w:vMerge w:val="restart"/>
          </w:tcPr>
          <w:p>
            <w:pPr>
              <w:jc w:val="right"/>
              <w:ind w:right="31"/>
              <w:spacing w:after="0"/>
              <w:rPr>
                <w:sz w:val="20"/>
                <w:szCs w:val="20"/>
                <w:color w:val="auto"/>
              </w:rPr>
            </w:pPr>
            <w:r>
              <w:rPr>
                <w:rFonts w:ascii="Arial" w:cs="Arial" w:eastAsia="Arial" w:hAnsi="Arial"/>
                <w:sz w:val="14"/>
                <w:szCs w:val="14"/>
                <w:color w:val="auto"/>
              </w:rPr>
              <w:t>$</w:t>
            </w:r>
          </w:p>
        </w:tc>
        <w:tc>
          <w:tcPr>
            <w:tcW w:w="90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vMerge w:val="restart"/>
          </w:tcPr>
          <w:p>
            <w:pPr>
              <w:jc w:val="right"/>
              <w:ind w:right="11"/>
              <w:spacing w:after="0"/>
              <w:rPr>
                <w:sz w:val="20"/>
                <w:szCs w:val="20"/>
                <w:color w:val="auto"/>
              </w:rPr>
            </w:pPr>
            <w:r>
              <w:rPr>
                <w:rFonts w:ascii="Arial" w:cs="Arial" w:eastAsia="Arial" w:hAnsi="Arial"/>
                <w:sz w:val="14"/>
                <w:szCs w:val="14"/>
                <w:color w:val="auto"/>
              </w:rPr>
              <w:t>$</w:t>
            </w:r>
          </w:p>
        </w:tc>
        <w:tc>
          <w:tcPr>
            <w:tcW w:w="92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vMerge w:val="restart"/>
          </w:tcPr>
          <w:p>
            <w:pPr>
              <w:jc w:val="right"/>
              <w:ind w:right="31"/>
              <w:spacing w:after="0"/>
              <w:rPr>
                <w:sz w:val="20"/>
                <w:szCs w:val="20"/>
                <w:color w:val="auto"/>
              </w:rPr>
            </w:pPr>
            <w:r>
              <w:rPr>
                <w:rFonts w:ascii="Arial" w:cs="Arial" w:eastAsia="Arial" w:hAnsi="Arial"/>
                <w:sz w:val="14"/>
                <w:szCs w:val="14"/>
                <w:color w:val="auto"/>
                <w:w w:val="76"/>
              </w:rPr>
              <w:t>$</w:t>
            </w:r>
          </w:p>
        </w:tc>
        <w:tc>
          <w:tcPr>
            <w:tcW w:w="92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220" w:type="dxa"/>
            <w:vAlign w:val="bottom"/>
            <w:vMerge w:val="restart"/>
          </w:tcPr>
          <w:p>
            <w:pPr>
              <w:jc w:val="right"/>
              <w:ind w:right="51"/>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380" w:type="dxa"/>
            <w:vAlign w:val="bottom"/>
            <w:gridSpan w:val="3"/>
          </w:tcPr>
          <w:p>
            <w:pPr>
              <w:ind w:left="160"/>
              <w:spacing w:after="0"/>
              <w:rPr>
                <w:sz w:val="20"/>
                <w:szCs w:val="20"/>
                <w:color w:val="auto"/>
              </w:rPr>
            </w:pPr>
            <w:r>
              <w:rPr>
                <w:rFonts w:ascii="Arial" w:cs="Arial" w:eastAsia="Arial" w:hAnsi="Arial"/>
                <w:sz w:val="14"/>
                <w:szCs w:val="14"/>
                <w:color w:val="auto"/>
              </w:rPr>
              <w:t>included in corporate investments</w:t>
            </w:r>
          </w:p>
        </w:tc>
        <w:tc>
          <w:tcPr>
            <w:tcW w:w="200" w:type="dxa"/>
            <w:vAlign w:val="bottom"/>
            <w:vMerge w:val="continue"/>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18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vMerge w:val="continue"/>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74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vMerge w:val="continue"/>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180" w:type="dxa"/>
            <w:vAlign w:val="bottom"/>
            <w:vMerge w:val="continue"/>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180" w:type="dxa"/>
            <w:vAlign w:val="bottom"/>
            <w:vMerge w:val="continue"/>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380" w:type="dxa"/>
            <w:vAlign w:val="bottom"/>
            <w:gridSpan w:val="3"/>
          </w:tcPr>
          <w:p>
            <w:pPr>
              <w:spacing w:after="0" w:line="142" w:lineRule="exact"/>
              <w:rPr>
                <w:sz w:val="20"/>
                <w:szCs w:val="20"/>
                <w:color w:val="auto"/>
              </w:rPr>
            </w:pPr>
            <w:r>
              <w:rPr>
                <w:rFonts w:ascii="Arial" w:cs="Arial" w:eastAsia="Arial" w:hAnsi="Arial"/>
                <w:sz w:val="14"/>
                <w:szCs w:val="14"/>
                <w:color w:val="auto"/>
              </w:rPr>
              <w:t>Foreign-currency forward contracts</w:t>
            </w:r>
          </w:p>
        </w:tc>
        <w:tc>
          <w:tcPr>
            <w:tcW w:w="20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40" w:type="dxa"/>
            <w:vAlign w:val="bottom"/>
            <w:vMerge w:val="restart"/>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6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40" w:type="dxa"/>
            <w:vAlign w:val="bottom"/>
            <w:vMerge w:val="restart"/>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40" w:type="dxa"/>
            <w:vAlign w:val="bottom"/>
            <w:vMerge w:val="restart"/>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40" w:type="dxa"/>
            <w:vAlign w:val="bottom"/>
            <w:vMerge w:val="restart"/>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(9,655)</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40" w:type="dxa"/>
            <w:vAlign w:val="bottom"/>
            <w:vMerge w:val="restart"/>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vMerge w:val="restart"/>
          </w:tcPr>
          <w:p>
            <w:pPr>
              <w:jc w:val="right"/>
              <w:spacing w:after="0"/>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175"/>
        </w:trPr>
        <w:tc>
          <w:tcPr>
            <w:tcW w:w="2380" w:type="dxa"/>
            <w:vAlign w:val="bottom"/>
            <w:gridSpan w:val="3"/>
          </w:tcPr>
          <w:p>
            <w:pPr>
              <w:ind w:left="160"/>
              <w:spacing w:after="0"/>
              <w:rPr>
                <w:sz w:val="20"/>
                <w:szCs w:val="20"/>
                <w:color w:val="auto"/>
              </w:rPr>
            </w:pPr>
            <w:r>
              <w:rPr>
                <w:rFonts w:ascii="Arial" w:cs="Arial" w:eastAsia="Arial" w:hAnsi="Arial"/>
                <w:sz w:val="14"/>
                <w:szCs w:val="14"/>
                <w:color w:val="auto"/>
              </w:rPr>
              <w:t>included in other liabilities</w:t>
            </w:r>
          </w:p>
        </w:tc>
        <w:tc>
          <w:tcPr>
            <w:tcW w:w="2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vMerge w:val="continue"/>
          </w:tcPr>
          <w:p>
            <w:pPr>
              <w:spacing w:after="0"/>
              <w:rPr>
                <w:sz w:val="15"/>
                <w:szCs w:val="15"/>
                <w:color w:val="auto"/>
              </w:rPr>
            </w:pPr>
          </w:p>
        </w:tc>
        <w:tc>
          <w:tcPr>
            <w:tcW w:w="140" w:type="dxa"/>
            <w:vAlign w:val="bottom"/>
            <w:vMerge w:val="continue"/>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vMerge w:val="continue"/>
          </w:tcPr>
          <w:p>
            <w:pPr>
              <w:spacing w:after="0"/>
              <w:rPr>
                <w:sz w:val="15"/>
                <w:szCs w:val="15"/>
                <w:color w:val="auto"/>
              </w:rPr>
            </w:pPr>
          </w:p>
        </w:tc>
        <w:tc>
          <w:tcPr>
            <w:tcW w:w="160" w:type="dxa"/>
            <w:vAlign w:val="bottom"/>
            <w:vMerge w:val="continue"/>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vMerge w:val="continue"/>
          </w:tcPr>
          <w:p>
            <w:pPr>
              <w:spacing w:after="0"/>
              <w:rPr>
                <w:sz w:val="15"/>
                <w:szCs w:val="15"/>
                <w:color w:val="auto"/>
              </w:rPr>
            </w:pPr>
          </w:p>
        </w:tc>
        <w:tc>
          <w:tcPr>
            <w:tcW w:w="140" w:type="dxa"/>
            <w:vAlign w:val="bottom"/>
            <w:vMerge w:val="continue"/>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vMerge w:val="continue"/>
          </w:tcPr>
          <w:p>
            <w:pPr>
              <w:spacing w:after="0"/>
              <w:rPr>
                <w:sz w:val="15"/>
                <w:szCs w:val="15"/>
                <w:color w:val="auto"/>
              </w:rPr>
            </w:pPr>
          </w:p>
        </w:tc>
        <w:tc>
          <w:tcPr>
            <w:tcW w:w="140" w:type="dxa"/>
            <w:vAlign w:val="bottom"/>
            <w:vMerge w:val="continue"/>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vMerge w:val="continue"/>
          </w:tcPr>
          <w:p>
            <w:pPr>
              <w:spacing w:after="0"/>
              <w:rPr>
                <w:sz w:val="15"/>
                <w:szCs w:val="15"/>
                <w:color w:val="auto"/>
              </w:rPr>
            </w:pPr>
          </w:p>
        </w:tc>
        <w:tc>
          <w:tcPr>
            <w:tcW w:w="140" w:type="dxa"/>
            <w:vAlign w:val="bottom"/>
            <w:vMerge w:val="continue"/>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vMerge w:val="continue"/>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vMerge w:val="continue"/>
          </w:tcPr>
          <w:p>
            <w:pPr>
              <w:spacing w:after="0"/>
              <w:rPr>
                <w:sz w:val="15"/>
                <w:szCs w:val="15"/>
                <w:color w:val="auto"/>
              </w:rPr>
            </w:pPr>
          </w:p>
        </w:tc>
        <w:tc>
          <w:tcPr>
            <w:tcW w:w="140" w:type="dxa"/>
            <w:vAlign w:val="bottom"/>
            <w:vMerge w:val="continue"/>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2380" w:type="dxa"/>
            <w:vAlign w:val="bottom"/>
            <w:gridSpan w:val="3"/>
          </w:tcPr>
          <w:p>
            <w:pPr>
              <w:spacing w:after="0"/>
              <w:rPr>
                <w:sz w:val="20"/>
                <w:szCs w:val="20"/>
                <w:color w:val="auto"/>
              </w:rPr>
            </w:pPr>
            <w:r>
              <w:rPr>
                <w:rFonts w:ascii="Arial" w:cs="Arial" w:eastAsia="Arial" w:hAnsi="Arial"/>
                <w:sz w:val="14"/>
                <w:szCs w:val="14"/>
                <w:color w:val="auto"/>
              </w:rPr>
              <w:t>Total liabilities</w:t>
            </w:r>
          </w:p>
        </w:tc>
        <w:tc>
          <w:tcPr>
            <w:tcW w:w="200" w:type="dxa"/>
            <w:vAlign w:val="bottom"/>
          </w:tcPr>
          <w:p>
            <w:pPr>
              <w:jc w:val="right"/>
              <w:ind w:right="31"/>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jc w:val="right"/>
              <w:ind w:right="31"/>
              <w:spacing w:after="0"/>
              <w:rPr>
                <w:sz w:val="20"/>
                <w:szCs w:val="20"/>
                <w:color w:val="auto"/>
              </w:rPr>
            </w:pPr>
            <w:r>
              <w:rPr>
                <w:rFonts w:ascii="Arial" w:cs="Arial" w:eastAsia="Arial" w:hAnsi="Arial"/>
                <w:sz w:val="14"/>
                <w:szCs w:val="14"/>
                <w:color w:val="auto"/>
                <w:w w:val="76"/>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(2,853)</w:t>
            </w:r>
          </w:p>
        </w:tc>
        <w:tc>
          <w:tcPr>
            <w:tcW w:w="16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20" w:type="dxa"/>
            <w:vAlign w:val="bottom"/>
          </w:tcPr>
          <w:p>
            <w:pPr>
              <w:jc w:val="right"/>
              <w:ind w:right="51"/>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(2,853)</w:t>
            </w:r>
          </w:p>
        </w:tc>
        <w:tc>
          <w:tcPr>
            <w:tcW w:w="140" w:type="dxa"/>
            <w:vAlign w:val="bottom"/>
          </w:tcPr>
          <w:p>
            <w:pPr>
              <w:spacing w:after="0"/>
              <w:rPr>
                <w:sz w:val="16"/>
                <w:szCs w:val="16"/>
                <w:color w:val="auto"/>
              </w:rPr>
            </w:pPr>
          </w:p>
        </w:tc>
        <w:tc>
          <w:tcPr>
            <w:tcW w:w="200" w:type="dxa"/>
            <w:vAlign w:val="bottom"/>
          </w:tcPr>
          <w:p>
            <w:pPr>
              <w:jc w:val="right"/>
              <w:ind w:right="31"/>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jc w:val="right"/>
              <w:ind w:right="11"/>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(9,655)</w:t>
            </w:r>
          </w:p>
        </w:tc>
        <w:tc>
          <w:tcPr>
            <w:tcW w:w="140" w:type="dxa"/>
            <w:vAlign w:val="bottom"/>
          </w:tcPr>
          <w:p>
            <w:pPr>
              <w:spacing w:after="0"/>
              <w:rPr>
                <w:sz w:val="16"/>
                <w:szCs w:val="16"/>
                <w:color w:val="auto"/>
              </w:rPr>
            </w:pPr>
          </w:p>
        </w:tc>
        <w:tc>
          <w:tcPr>
            <w:tcW w:w="180" w:type="dxa"/>
            <w:vAlign w:val="bottom"/>
          </w:tcPr>
          <w:p>
            <w:pPr>
              <w:jc w:val="right"/>
              <w:ind w:right="31"/>
              <w:spacing w:after="0"/>
              <w:rPr>
                <w:sz w:val="20"/>
                <w:szCs w:val="20"/>
                <w:color w:val="auto"/>
              </w:rPr>
            </w:pPr>
            <w:r>
              <w:rPr>
                <w:rFonts w:ascii="Arial" w:cs="Arial" w:eastAsia="Arial" w:hAnsi="Arial"/>
                <w:sz w:val="14"/>
                <w:szCs w:val="14"/>
                <w:color w:val="auto"/>
                <w:w w:val="76"/>
              </w:rPr>
              <w:t>$</w:t>
            </w:r>
          </w:p>
        </w:tc>
        <w:tc>
          <w:tcPr>
            <w:tcW w:w="9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20" w:type="dxa"/>
            <w:vAlign w:val="bottom"/>
          </w:tcPr>
          <w:p>
            <w:pPr>
              <w:jc w:val="right"/>
              <w:ind w:right="51"/>
              <w:spacing w:after="0"/>
              <w:rPr>
                <w:sz w:val="20"/>
                <w:szCs w:val="20"/>
                <w:color w:val="auto"/>
              </w:rPr>
            </w:pPr>
            <w:r>
              <w:rPr>
                <w:rFonts w:ascii="Arial" w:cs="Arial" w:eastAsia="Arial" w:hAnsi="Arial"/>
                <w:sz w:val="14"/>
                <w:szCs w:val="14"/>
                <w:color w:val="auto"/>
              </w:rPr>
              <w:t>$</w:t>
            </w:r>
          </w:p>
        </w:tc>
        <w:tc>
          <w:tcPr>
            <w:tcW w:w="420" w:type="dxa"/>
            <w:vAlign w:val="bottom"/>
          </w:tcPr>
          <w:p>
            <w:pPr>
              <w:jc w:val="right"/>
              <w:spacing w:after="0"/>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106680</wp:posOffset>
            </wp:positionV>
            <wp:extent cx="38481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03">
                      <a:extLst>
                        <a:ext uri="{28A0092B-C50C-407E-A947-70E740481C1C}"/>
                      </a:extLst>
                    </a:blip>
                    <a:srcRect/>
                    <a:stretch>
                      <a:fillRect/>
                    </a:stretch>
                  </pic:blipFill>
                  <pic:spPr bwMode="auto">
                    <a:xfrm>
                      <a:off x="0" y="0"/>
                      <a:ext cx="384810" cy="8255"/>
                    </a:xfrm>
                    <a:prstGeom prst="rect">
                      <a:avLst/>
                    </a:prstGeom>
                    <a:noFill/>
                  </pic:spPr>
                </pic:pic>
              </a:graphicData>
            </a:graphic>
          </wp:anchor>
        </w:drawing>
      </w:r>
    </w:p>
    <w:p>
      <w:pPr>
        <w:spacing w:after="0" w:line="264" w:lineRule="exact"/>
        <w:rPr>
          <w:sz w:val="20"/>
          <w:szCs w:val="20"/>
          <w:color w:val="auto"/>
        </w:rPr>
      </w:pPr>
    </w:p>
    <w:p>
      <w:pPr>
        <w:ind w:left="460" w:right="300" w:hanging="457"/>
        <w:spacing w:after="0" w:line="264" w:lineRule="auto"/>
        <w:tabs>
          <w:tab w:leader="none" w:pos="354" w:val="left"/>
        </w:tabs>
        <w:numPr>
          <w:ilvl w:val="0"/>
          <w:numId w:val="64"/>
        </w:numPr>
        <w:rPr>
          <w:rFonts w:ascii="Arial" w:cs="Arial" w:eastAsia="Arial" w:hAnsi="Arial"/>
          <w:sz w:val="15"/>
          <w:szCs w:val="15"/>
          <w:color w:val="auto"/>
        </w:rPr>
      </w:pPr>
      <w:r>
        <w:rPr>
          <w:rFonts w:ascii="Arial" w:cs="Arial" w:eastAsia="Arial" w:hAnsi="Arial"/>
          <w:sz w:val="15"/>
          <w:szCs w:val="15"/>
          <w:color w:val="auto"/>
        </w:rPr>
        <w:t>The level III financial instrument represents a mezzanine loan purchased during the second quarter of 2023 and a partnership interest purchased during the fourth quarter of 2024. The loan was valued using recent market information and the significant unobservable input was broker quotations. The partnership interest was valued using recent transaction price.</w:t>
      </w:r>
    </w:p>
    <w:p>
      <w:pPr>
        <w:spacing w:after="0" w:line="200" w:lineRule="exact"/>
        <w:rPr>
          <w:sz w:val="20"/>
          <w:szCs w:val="20"/>
          <w:color w:val="auto"/>
        </w:rPr>
      </w:pPr>
    </w:p>
    <w:p>
      <w:pPr>
        <w:spacing w:after="0" w:line="335"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22</w:t>
      </w:r>
    </w:p>
    <w:p>
      <w:pPr>
        <w:sectPr>
          <w:pgSz w:w="11900" w:h="16838" w:orient="portrait"/>
          <w:cols w:equalWidth="0" w:num="1">
            <w:col w:w="11340"/>
          </w:cols>
          <w:pgMar w:left="320" w:top="353" w:right="239" w:bottom="1440" w:gutter="0" w:footer="0" w:header="0"/>
        </w:sectPr>
      </w:pPr>
    </w:p>
    <w:bookmarkStart w:id="162" w:name="page163"/>
    <w:bookmarkEnd w:id="162"/>
    <w:p>
      <w:pPr>
        <w:jc w:val="center"/>
        <w:ind w:right="-79"/>
        <w:spacing w:after="0"/>
        <w:rPr>
          <w:sz w:val="20"/>
          <w:szCs w:val="20"/>
          <w:color w:val="auto"/>
        </w:rPr>
      </w:pPr>
      <w:r>
        <w:rPr>
          <w:rFonts w:ascii="Arial" w:cs="Arial" w:eastAsia="Arial" w:hAnsi="Arial"/>
          <w:sz w:val="17"/>
          <w:szCs w:val="17"/>
          <w:b w:val="1"/>
          <w:bCs w:val="1"/>
          <w:color w:val="auto"/>
        </w:rPr>
        <w:t>Oaktree Capital I, L.P.</w:t>
      </w:r>
    </w:p>
    <w:p>
      <w:pPr>
        <w:spacing w:after="0" w:line="16"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Notes to Consolidated Financial Statements — (Continued)</w:t>
      </w:r>
    </w:p>
    <w:p>
      <w:pPr>
        <w:spacing w:after="0" w:line="11"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December 31, 2025</w:t>
      </w:r>
    </w:p>
    <w:p>
      <w:pPr>
        <w:spacing w:after="0" w:line="11"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 in thousands, except where noted)</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Fair Value of Financial Instruments Held By Consolidated Funds</w:t>
      </w:r>
    </w:p>
    <w:p>
      <w:pPr>
        <w:spacing w:after="0" w:line="168" w:lineRule="exact"/>
        <w:rPr>
          <w:sz w:val="20"/>
          <w:szCs w:val="20"/>
          <w:color w:val="auto"/>
        </w:rPr>
      </w:pPr>
    </w:p>
    <w:p>
      <w:pPr>
        <w:ind w:firstLine="619"/>
        <w:spacing w:after="0" w:line="265" w:lineRule="auto"/>
        <w:rPr>
          <w:sz w:val="20"/>
          <w:szCs w:val="20"/>
          <w:color w:val="auto"/>
        </w:rPr>
      </w:pPr>
      <w:r>
        <w:rPr>
          <w:rFonts w:ascii="Arial" w:cs="Arial" w:eastAsia="Arial" w:hAnsi="Arial"/>
          <w:sz w:val="17"/>
          <w:szCs w:val="17"/>
          <w:color w:val="auto"/>
        </w:rPr>
        <w:t>The short-term nature of cash and cash-equivalents held at the consolidated funds causes their carrying value to approximate fair value. The fair value of cash-equivalents is a Level I valuation. Derivatives may relate to a mix of Level I, II or III investments, and therefore their fair-value hierarchy level may not correspond to the fair-value hierarchy level of the economically hedged investment. The table below summarizes the investments and other financial instruments of the consolidated funds by fair-value hierarchy level:</w:t>
      </w:r>
    </w:p>
    <w:p>
      <w:pPr>
        <w:spacing w:after="0" w:line="193" w:lineRule="exact"/>
        <w:rPr>
          <w:sz w:val="20"/>
          <w:szCs w:val="20"/>
          <w:color w:val="auto"/>
        </w:rPr>
      </w:pPr>
    </w:p>
    <w:tbl>
      <w:tblPr>
        <w:tblLayout w:type="fixed"/>
        <w:tblInd w:w="20" w:type="dxa"/>
        <w:tblCellMar>
          <w:top w:w="0" w:type="dxa"/>
          <w:left w:w="0" w:type="dxa"/>
          <w:bottom w:w="0" w:type="dxa"/>
          <w:right w:w="0" w:type="dxa"/>
        </w:tblCellMar>
      </w:tblPr>
      <w:tr>
        <w:trPr>
          <w:trHeight w:val="169"/>
        </w:trPr>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gridSpan w:val="5"/>
          </w:tcPr>
          <w:p>
            <w:pPr>
              <w:ind w:left="180"/>
              <w:spacing w:after="0"/>
              <w:rPr>
                <w:sz w:val="20"/>
                <w:szCs w:val="20"/>
                <w:color w:val="auto"/>
              </w:rPr>
            </w:pPr>
            <w:r>
              <w:rPr>
                <w:rFonts w:ascii="Arial" w:cs="Arial" w:eastAsia="Arial" w:hAnsi="Arial"/>
                <w:sz w:val="12"/>
                <w:szCs w:val="12"/>
                <w:b w:val="1"/>
                <w:bCs w:val="1"/>
                <w:color w:val="auto"/>
              </w:rPr>
              <w:t>As of December 31, 2025</w:t>
            </w:r>
          </w:p>
        </w:tc>
        <w:tc>
          <w:tcPr>
            <w:tcW w:w="2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gridSpan w:val="5"/>
          </w:tcPr>
          <w:p>
            <w:pPr>
              <w:ind w:left="200"/>
              <w:spacing w:after="0"/>
              <w:rPr>
                <w:sz w:val="20"/>
                <w:szCs w:val="20"/>
                <w:color w:val="auto"/>
              </w:rPr>
            </w:pPr>
            <w:r>
              <w:rPr>
                <w:rFonts w:ascii="Arial" w:cs="Arial" w:eastAsia="Arial" w:hAnsi="Arial"/>
                <w:sz w:val="12"/>
                <w:szCs w:val="12"/>
                <w:b w:val="1"/>
                <w:bCs w:val="1"/>
                <w:color w:val="auto"/>
              </w:rPr>
              <w:t>As of December 31, 2024</w:t>
            </w: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2"/>
                <w:szCs w:val="12"/>
                <w:b w:val="1"/>
                <w:bCs w:val="1"/>
                <w:color w:val="auto"/>
              </w:rPr>
              <w:t>Level I</w:t>
            </w: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gridSpan w:val="2"/>
          </w:tcPr>
          <w:p>
            <w:pPr>
              <w:ind w:left="120"/>
              <w:spacing w:after="0"/>
              <w:rPr>
                <w:sz w:val="20"/>
                <w:szCs w:val="20"/>
                <w:color w:val="auto"/>
              </w:rPr>
            </w:pPr>
            <w:r>
              <w:rPr>
                <w:rFonts w:ascii="Arial" w:cs="Arial" w:eastAsia="Arial" w:hAnsi="Arial"/>
                <w:sz w:val="12"/>
                <w:szCs w:val="12"/>
                <w:b w:val="1"/>
                <w:bCs w:val="1"/>
                <w:color w:val="auto"/>
              </w:rPr>
              <w:t>Level II</w:t>
            </w:r>
          </w:p>
        </w:tc>
        <w:tc>
          <w:tcPr>
            <w:tcW w:w="200" w:type="dxa"/>
            <w:vAlign w:val="bottom"/>
          </w:tcPr>
          <w:p>
            <w:pPr>
              <w:spacing w:after="0"/>
              <w:rPr>
                <w:sz w:val="15"/>
                <w:szCs w:val="15"/>
                <w:color w:val="auto"/>
              </w:rPr>
            </w:pPr>
          </w:p>
        </w:tc>
        <w:tc>
          <w:tcPr>
            <w:tcW w:w="920" w:type="dxa"/>
            <w:vAlign w:val="bottom"/>
            <w:gridSpan w:val="2"/>
          </w:tcPr>
          <w:p>
            <w:pPr>
              <w:ind w:left="100"/>
              <w:spacing w:after="0"/>
              <w:rPr>
                <w:sz w:val="20"/>
                <w:szCs w:val="20"/>
                <w:color w:val="auto"/>
              </w:rPr>
            </w:pPr>
            <w:r>
              <w:rPr>
                <w:rFonts w:ascii="Arial" w:cs="Arial" w:eastAsia="Arial" w:hAnsi="Arial"/>
                <w:sz w:val="12"/>
                <w:szCs w:val="12"/>
                <w:b w:val="1"/>
                <w:bCs w:val="1"/>
                <w:color w:val="auto"/>
              </w:rPr>
              <w:t>Level III</w:t>
            </w:r>
          </w:p>
        </w:tc>
        <w:tc>
          <w:tcPr>
            <w:tcW w:w="240" w:type="dxa"/>
            <w:vAlign w:val="bottom"/>
          </w:tcPr>
          <w:p>
            <w:pPr>
              <w:spacing w:after="0"/>
              <w:rPr>
                <w:sz w:val="15"/>
                <w:szCs w:val="15"/>
                <w:color w:val="auto"/>
              </w:rPr>
            </w:pPr>
          </w:p>
        </w:tc>
        <w:tc>
          <w:tcPr>
            <w:tcW w:w="1020" w:type="dxa"/>
            <w:vAlign w:val="bottom"/>
            <w:gridSpan w:val="2"/>
          </w:tcPr>
          <w:p>
            <w:pPr>
              <w:ind w:left="160"/>
              <w:spacing w:after="0"/>
              <w:rPr>
                <w:sz w:val="20"/>
                <w:szCs w:val="20"/>
                <w:color w:val="auto"/>
              </w:rPr>
            </w:pPr>
            <w:r>
              <w:rPr>
                <w:rFonts w:ascii="Arial" w:cs="Arial" w:eastAsia="Arial" w:hAnsi="Arial"/>
                <w:sz w:val="12"/>
                <w:szCs w:val="12"/>
                <w:b w:val="1"/>
                <w:bCs w:val="1"/>
                <w:color w:val="auto"/>
              </w:rPr>
              <w:t>Total</w:t>
            </w:r>
          </w:p>
        </w:tc>
        <w:tc>
          <w:tcPr>
            <w:tcW w:w="200" w:type="dxa"/>
            <w:vAlign w:val="bottom"/>
          </w:tcPr>
          <w:p>
            <w:pPr>
              <w:spacing w:after="0"/>
              <w:rPr>
                <w:sz w:val="15"/>
                <w:szCs w:val="15"/>
                <w:color w:val="auto"/>
              </w:rPr>
            </w:pPr>
          </w:p>
        </w:tc>
        <w:tc>
          <w:tcPr>
            <w:tcW w:w="920" w:type="dxa"/>
            <w:vAlign w:val="bottom"/>
            <w:gridSpan w:val="2"/>
          </w:tcPr>
          <w:p>
            <w:pPr>
              <w:ind w:left="120"/>
              <w:spacing w:after="0"/>
              <w:rPr>
                <w:sz w:val="20"/>
                <w:szCs w:val="20"/>
                <w:color w:val="auto"/>
              </w:rPr>
            </w:pPr>
            <w:r>
              <w:rPr>
                <w:rFonts w:ascii="Arial" w:cs="Arial" w:eastAsia="Arial" w:hAnsi="Arial"/>
                <w:sz w:val="12"/>
                <w:szCs w:val="12"/>
                <w:b w:val="1"/>
                <w:bCs w:val="1"/>
                <w:color w:val="auto"/>
              </w:rPr>
              <w:t>Level I</w:t>
            </w:r>
          </w:p>
        </w:tc>
        <w:tc>
          <w:tcPr>
            <w:tcW w:w="200" w:type="dxa"/>
            <w:vAlign w:val="bottom"/>
          </w:tcPr>
          <w:p>
            <w:pPr>
              <w:spacing w:after="0"/>
              <w:rPr>
                <w:sz w:val="15"/>
                <w:szCs w:val="15"/>
                <w:color w:val="auto"/>
              </w:rPr>
            </w:pPr>
          </w:p>
        </w:tc>
        <w:tc>
          <w:tcPr>
            <w:tcW w:w="940" w:type="dxa"/>
            <w:vAlign w:val="bottom"/>
            <w:gridSpan w:val="2"/>
          </w:tcPr>
          <w:p>
            <w:pPr>
              <w:ind w:left="120"/>
              <w:spacing w:after="0"/>
              <w:rPr>
                <w:sz w:val="20"/>
                <w:szCs w:val="20"/>
                <w:color w:val="auto"/>
              </w:rPr>
            </w:pPr>
            <w:r>
              <w:rPr>
                <w:rFonts w:ascii="Arial" w:cs="Arial" w:eastAsia="Arial" w:hAnsi="Arial"/>
                <w:sz w:val="12"/>
                <w:szCs w:val="12"/>
                <w:b w:val="1"/>
                <w:bCs w:val="1"/>
                <w:color w:val="auto"/>
              </w:rPr>
              <w:t>Level II</w:t>
            </w:r>
          </w:p>
        </w:tc>
        <w:tc>
          <w:tcPr>
            <w:tcW w:w="200" w:type="dxa"/>
            <w:vAlign w:val="bottom"/>
          </w:tcPr>
          <w:p>
            <w:pPr>
              <w:spacing w:after="0"/>
              <w:rPr>
                <w:sz w:val="15"/>
                <w:szCs w:val="15"/>
                <w:color w:val="auto"/>
              </w:rPr>
            </w:pPr>
          </w:p>
        </w:tc>
        <w:tc>
          <w:tcPr>
            <w:tcW w:w="940" w:type="dxa"/>
            <w:vAlign w:val="bottom"/>
            <w:gridSpan w:val="2"/>
          </w:tcPr>
          <w:p>
            <w:pPr>
              <w:ind w:left="100"/>
              <w:spacing w:after="0"/>
              <w:rPr>
                <w:sz w:val="20"/>
                <w:szCs w:val="20"/>
                <w:color w:val="auto"/>
              </w:rPr>
            </w:pPr>
            <w:r>
              <w:rPr>
                <w:rFonts w:ascii="Arial" w:cs="Arial" w:eastAsia="Arial" w:hAnsi="Arial"/>
                <w:sz w:val="12"/>
                <w:szCs w:val="12"/>
                <w:b w:val="1"/>
                <w:bCs w:val="1"/>
                <w:color w:val="auto"/>
              </w:rPr>
              <w:t>Level III</w:t>
            </w:r>
          </w:p>
        </w:tc>
        <w:tc>
          <w:tcPr>
            <w:tcW w:w="220" w:type="dxa"/>
            <w:vAlign w:val="bottom"/>
          </w:tcPr>
          <w:p>
            <w:pPr>
              <w:spacing w:after="0"/>
              <w:rPr>
                <w:sz w:val="15"/>
                <w:szCs w:val="15"/>
                <w:color w:val="auto"/>
              </w:rPr>
            </w:pPr>
          </w:p>
        </w:tc>
        <w:tc>
          <w:tcPr>
            <w:tcW w:w="820" w:type="dxa"/>
            <w:vAlign w:val="bottom"/>
          </w:tcPr>
          <w:p>
            <w:pPr>
              <w:jc w:val="right"/>
              <w:ind w:right="316"/>
              <w:spacing w:after="0"/>
              <w:rPr>
                <w:sz w:val="20"/>
                <w:szCs w:val="20"/>
                <w:color w:val="auto"/>
              </w:rPr>
            </w:pPr>
            <w:r>
              <w:rPr>
                <w:rFonts w:ascii="Arial" w:cs="Arial" w:eastAsia="Arial" w:hAnsi="Arial"/>
                <w:sz w:val="12"/>
                <w:szCs w:val="12"/>
                <w:b w:val="1"/>
                <w:bCs w:val="1"/>
                <w:color w:val="auto"/>
              </w:rPr>
              <w:t>Total</w:t>
            </w:r>
          </w:p>
        </w:tc>
        <w:tc>
          <w:tcPr>
            <w:tcW w:w="0" w:type="dxa"/>
            <w:vAlign w:val="bottom"/>
          </w:tcPr>
          <w:p>
            <w:pPr>
              <w:spacing w:after="0"/>
              <w:rPr>
                <w:sz w:val="1"/>
                <w:szCs w:val="1"/>
                <w:color w:val="auto"/>
              </w:rPr>
            </w:pPr>
          </w:p>
        </w:tc>
      </w:tr>
      <w:tr>
        <w:trPr>
          <w:trHeight w:val="129"/>
        </w:trPr>
        <w:tc>
          <w:tcPr>
            <w:tcW w:w="2100" w:type="dxa"/>
            <w:vAlign w:val="bottom"/>
            <w:gridSpan w:val="3"/>
          </w:tcPr>
          <w:p>
            <w:pPr>
              <w:spacing w:after="0" w:line="129" w:lineRule="exact"/>
              <w:rPr>
                <w:sz w:val="20"/>
                <w:szCs w:val="20"/>
                <w:color w:val="auto"/>
              </w:rPr>
            </w:pPr>
            <w:r>
              <w:rPr>
                <w:rFonts w:ascii="Arial" w:cs="Arial" w:eastAsia="Arial" w:hAnsi="Arial"/>
                <w:sz w:val="13"/>
                <w:szCs w:val="13"/>
                <w:b w:val="1"/>
                <w:bCs w:val="1"/>
                <w:color w:val="auto"/>
              </w:rPr>
              <w:t>Assets</w:t>
            </w:r>
          </w:p>
        </w:tc>
        <w:tc>
          <w:tcPr>
            <w:tcW w:w="72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4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2100" w:type="dxa"/>
            <w:vAlign w:val="bottom"/>
            <w:gridSpan w:val="3"/>
          </w:tcPr>
          <w:p>
            <w:pPr>
              <w:spacing w:after="0"/>
              <w:rPr>
                <w:sz w:val="20"/>
                <w:szCs w:val="20"/>
                <w:color w:val="auto"/>
              </w:rPr>
            </w:pPr>
            <w:r>
              <w:rPr>
                <w:rFonts w:ascii="Arial" w:cs="Arial" w:eastAsia="Arial" w:hAnsi="Arial"/>
                <w:sz w:val="13"/>
                <w:szCs w:val="13"/>
                <w:color w:val="auto"/>
              </w:rPr>
              <w:t>Investments:</w:t>
            </w:r>
          </w:p>
        </w:tc>
        <w:tc>
          <w:tcPr>
            <w:tcW w:w="7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100" w:type="dxa"/>
            <w:vAlign w:val="bottom"/>
            <w:gridSpan w:val="3"/>
          </w:tcPr>
          <w:p>
            <w:pPr>
              <w:ind w:left="160"/>
              <w:spacing w:after="0"/>
              <w:rPr>
                <w:sz w:val="20"/>
                <w:szCs w:val="20"/>
                <w:color w:val="auto"/>
              </w:rPr>
            </w:pPr>
            <w:r>
              <w:rPr>
                <w:rFonts w:ascii="Arial" w:cs="Arial" w:eastAsia="Arial" w:hAnsi="Arial"/>
                <w:sz w:val="13"/>
                <w:szCs w:val="13"/>
                <w:color w:val="auto"/>
              </w:rPr>
              <w:t>Corporate debt – bank debt</w:t>
            </w:r>
          </w:p>
        </w:tc>
        <w:tc>
          <w:tcPr>
            <w:tcW w:w="720" w:type="dxa"/>
            <w:vAlign w:val="bottom"/>
          </w:tcPr>
          <w:p>
            <w:pPr>
              <w:jc w:val="right"/>
              <w:ind w:right="576"/>
              <w:spacing w:after="0"/>
              <w:rPr>
                <w:sz w:val="20"/>
                <w:szCs w:val="20"/>
                <w:color w:val="auto"/>
              </w:rPr>
            </w:pPr>
            <w:r>
              <w:rPr>
                <w:rFonts w:ascii="Arial" w:cs="Arial" w:eastAsia="Arial" w:hAnsi="Arial"/>
                <w:sz w:val="13"/>
                <w:szCs w:val="13"/>
                <w:color w:val="auto"/>
                <w:w w:val="82"/>
              </w:rPr>
              <w:t>$</w:t>
            </w:r>
          </w:p>
        </w:tc>
        <w:tc>
          <w:tcPr>
            <w:tcW w:w="3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0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3,784,449</w:t>
            </w:r>
          </w:p>
        </w:tc>
        <w:tc>
          <w:tcPr>
            <w:tcW w:w="80" w:type="dxa"/>
            <w:vAlign w:val="bottom"/>
          </w:tcPr>
          <w:p>
            <w:pPr>
              <w:spacing w:after="0"/>
              <w:rPr>
                <w:sz w:val="15"/>
                <w:szCs w:val="15"/>
                <w:color w:val="auto"/>
              </w:rPr>
            </w:pPr>
          </w:p>
        </w:tc>
        <w:tc>
          <w:tcPr>
            <w:tcW w:w="20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168,616</w:t>
            </w:r>
          </w:p>
        </w:tc>
        <w:tc>
          <w:tcPr>
            <w:tcW w:w="80" w:type="dxa"/>
            <w:vAlign w:val="bottom"/>
          </w:tcPr>
          <w:p>
            <w:pPr>
              <w:spacing w:after="0"/>
              <w:rPr>
                <w:sz w:val="15"/>
                <w:szCs w:val="15"/>
                <w:color w:val="auto"/>
              </w:rPr>
            </w:pPr>
          </w:p>
        </w:tc>
        <w:tc>
          <w:tcPr>
            <w:tcW w:w="240" w:type="dxa"/>
            <w:vAlign w:val="bottom"/>
          </w:tcPr>
          <w:p>
            <w:pPr>
              <w:jc w:val="right"/>
              <w:ind w:right="76"/>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3,953,065</w:t>
            </w:r>
          </w:p>
        </w:tc>
        <w:tc>
          <w:tcPr>
            <w:tcW w:w="200" w:type="dxa"/>
            <w:vAlign w:val="bottom"/>
          </w:tcPr>
          <w:p>
            <w:pPr>
              <w:spacing w:after="0"/>
              <w:rPr>
                <w:sz w:val="15"/>
                <w:szCs w:val="15"/>
                <w:color w:val="auto"/>
              </w:rPr>
            </w:pPr>
          </w:p>
        </w:tc>
        <w:tc>
          <w:tcPr>
            <w:tcW w:w="200" w:type="dxa"/>
            <w:vAlign w:val="bottom"/>
          </w:tcPr>
          <w:p>
            <w:pPr>
              <w:jc w:val="right"/>
              <w:ind w:right="56"/>
              <w:spacing w:after="0"/>
              <w:rPr>
                <w:sz w:val="20"/>
                <w:szCs w:val="20"/>
                <w:color w:val="auto"/>
              </w:rPr>
            </w:pPr>
            <w:r>
              <w:rPr>
                <w:rFonts w:ascii="Arial" w:cs="Arial" w:eastAsia="Arial" w:hAnsi="Arial"/>
                <w:sz w:val="13"/>
                <w:szCs w:val="13"/>
                <w:color w:val="auto"/>
                <w:w w:val="82"/>
              </w:rPr>
              <w:t>$</w:t>
            </w:r>
          </w:p>
        </w:tc>
        <w:tc>
          <w:tcPr>
            <w:tcW w:w="9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2,045,411</w:t>
            </w:r>
          </w:p>
        </w:tc>
        <w:tc>
          <w:tcPr>
            <w:tcW w:w="100" w:type="dxa"/>
            <w:vAlign w:val="bottom"/>
          </w:tcPr>
          <w:p>
            <w:pPr>
              <w:spacing w:after="0"/>
              <w:rPr>
                <w:sz w:val="15"/>
                <w:szCs w:val="15"/>
                <w:color w:val="auto"/>
              </w:rPr>
            </w:pPr>
          </w:p>
        </w:tc>
        <w:tc>
          <w:tcPr>
            <w:tcW w:w="200" w:type="dxa"/>
            <w:vAlign w:val="bottom"/>
          </w:tcPr>
          <w:p>
            <w:pPr>
              <w:jc w:val="right"/>
              <w:ind w:right="56"/>
              <w:spacing w:after="0"/>
              <w:rPr>
                <w:sz w:val="20"/>
                <w:szCs w:val="20"/>
                <w:color w:val="auto"/>
              </w:rPr>
            </w:pPr>
            <w:r>
              <w:rPr>
                <w:rFonts w:ascii="Arial" w:cs="Arial" w:eastAsia="Arial" w:hAnsi="Arial"/>
                <w:sz w:val="13"/>
                <w:szCs w:val="13"/>
                <w:color w:val="auto"/>
                <w:w w:val="82"/>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100,601</w:t>
            </w:r>
          </w:p>
        </w:tc>
        <w:tc>
          <w:tcPr>
            <w:tcW w:w="100" w:type="dxa"/>
            <w:vAlign w:val="bottom"/>
          </w:tcPr>
          <w:p>
            <w:pPr>
              <w:spacing w:after="0"/>
              <w:rPr>
                <w:sz w:val="15"/>
                <w:szCs w:val="15"/>
                <w:color w:val="auto"/>
              </w:rPr>
            </w:pPr>
          </w:p>
        </w:tc>
        <w:tc>
          <w:tcPr>
            <w:tcW w:w="220" w:type="dxa"/>
            <w:vAlign w:val="bottom"/>
          </w:tcPr>
          <w:p>
            <w:pPr>
              <w:jc w:val="right"/>
              <w:ind w:right="76"/>
              <w:spacing w:after="0"/>
              <w:rPr>
                <w:sz w:val="20"/>
                <w:szCs w:val="20"/>
                <w:color w:val="auto"/>
              </w:rPr>
            </w:pPr>
            <w:r>
              <w:rPr>
                <w:rFonts w:ascii="Arial" w:cs="Arial" w:eastAsia="Arial" w:hAnsi="Arial"/>
                <w:sz w:val="13"/>
                <w:szCs w:val="13"/>
                <w:color w:val="auto"/>
                <w:w w:val="82"/>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2,146,012</w:t>
            </w:r>
          </w:p>
        </w:tc>
        <w:tc>
          <w:tcPr>
            <w:tcW w:w="0" w:type="dxa"/>
            <w:vAlign w:val="bottom"/>
          </w:tcPr>
          <w:p>
            <w:pPr>
              <w:spacing w:after="0"/>
              <w:rPr>
                <w:sz w:val="1"/>
                <w:szCs w:val="1"/>
                <w:color w:val="auto"/>
              </w:rPr>
            </w:pPr>
          </w:p>
        </w:tc>
      </w:tr>
      <w:tr>
        <w:trPr>
          <w:trHeight w:val="180"/>
        </w:trPr>
        <w:tc>
          <w:tcPr>
            <w:tcW w:w="2100" w:type="dxa"/>
            <w:vAlign w:val="bottom"/>
            <w:gridSpan w:val="3"/>
          </w:tcPr>
          <w:p>
            <w:pPr>
              <w:ind w:left="160"/>
              <w:spacing w:after="0"/>
              <w:rPr>
                <w:sz w:val="20"/>
                <w:szCs w:val="20"/>
                <w:color w:val="auto"/>
              </w:rPr>
            </w:pPr>
            <w:r>
              <w:rPr>
                <w:rFonts w:ascii="Arial" w:cs="Arial" w:eastAsia="Arial" w:hAnsi="Arial"/>
                <w:sz w:val="13"/>
                <w:szCs w:val="13"/>
                <w:color w:val="auto"/>
              </w:rPr>
              <w:t>Corporate debt – all other</w:t>
            </w:r>
          </w:p>
        </w:tc>
        <w:tc>
          <w:tcPr>
            <w:tcW w:w="720" w:type="dxa"/>
            <w:vAlign w:val="bottom"/>
          </w:tcPr>
          <w:p>
            <w:pPr>
              <w:spacing w:after="0"/>
              <w:rPr>
                <w:sz w:val="15"/>
                <w:szCs w:val="15"/>
                <w:color w:val="auto"/>
              </w:rPr>
            </w:pPr>
          </w:p>
        </w:tc>
        <w:tc>
          <w:tcPr>
            <w:tcW w:w="3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410,572</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410,572</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274,497</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1,525</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276,022</w:t>
            </w:r>
          </w:p>
        </w:tc>
        <w:tc>
          <w:tcPr>
            <w:tcW w:w="0" w:type="dxa"/>
            <w:vAlign w:val="bottom"/>
          </w:tcPr>
          <w:p>
            <w:pPr>
              <w:spacing w:after="0"/>
              <w:rPr>
                <w:sz w:val="1"/>
                <w:szCs w:val="1"/>
                <w:color w:val="auto"/>
              </w:rPr>
            </w:pPr>
          </w:p>
        </w:tc>
      </w:tr>
      <w:tr>
        <w:trPr>
          <w:trHeight w:val="180"/>
        </w:trPr>
        <w:tc>
          <w:tcPr>
            <w:tcW w:w="2100" w:type="dxa"/>
            <w:vAlign w:val="bottom"/>
            <w:gridSpan w:val="3"/>
          </w:tcPr>
          <w:p>
            <w:pPr>
              <w:ind w:left="160"/>
              <w:spacing w:after="0"/>
              <w:rPr>
                <w:sz w:val="20"/>
                <w:szCs w:val="20"/>
                <w:color w:val="auto"/>
              </w:rPr>
            </w:pPr>
            <w:r>
              <w:rPr>
                <w:rFonts w:ascii="Arial" w:cs="Arial" w:eastAsia="Arial" w:hAnsi="Arial"/>
                <w:sz w:val="13"/>
                <w:szCs w:val="13"/>
                <w:color w:val="auto"/>
              </w:rPr>
              <w:t>Equities – common stock</w:t>
            </w:r>
          </w:p>
        </w:tc>
        <w:tc>
          <w:tcPr>
            <w:tcW w:w="720" w:type="dxa"/>
            <w:vAlign w:val="bottom"/>
          </w:tcPr>
          <w:p>
            <w:pPr>
              <w:spacing w:after="0"/>
              <w:rPr>
                <w:sz w:val="15"/>
                <w:szCs w:val="15"/>
                <w:color w:val="auto"/>
              </w:rPr>
            </w:pPr>
          </w:p>
        </w:tc>
        <w:tc>
          <w:tcPr>
            <w:tcW w:w="300" w:type="dxa"/>
            <w:vAlign w:val="bottom"/>
          </w:tcPr>
          <w:p>
            <w:pPr>
              <w:jc w:val="right"/>
              <w:spacing w:after="0"/>
              <w:rPr>
                <w:sz w:val="20"/>
                <w:szCs w:val="20"/>
                <w:color w:val="auto"/>
              </w:rPr>
            </w:pPr>
            <w:r>
              <w:rPr>
                <w:rFonts w:ascii="Arial" w:cs="Arial" w:eastAsia="Arial" w:hAnsi="Arial"/>
                <w:sz w:val="13"/>
                <w:szCs w:val="13"/>
                <w:color w:val="auto"/>
              </w:rPr>
              <w:t>680</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705</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7,690</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9,075</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jc w:val="right"/>
              <w:ind w:right="16"/>
              <w:spacing w:after="0"/>
              <w:rPr>
                <w:sz w:val="20"/>
                <w:szCs w:val="20"/>
                <w:color w:val="auto"/>
              </w:rPr>
            </w:pPr>
            <w:r>
              <w:rPr>
                <w:rFonts w:ascii="Arial" w:cs="Arial" w:eastAsia="Arial" w:hAnsi="Arial"/>
                <w:sz w:val="13"/>
                <w:szCs w:val="13"/>
                <w:color w:val="auto"/>
              </w:rPr>
              <w:t>118</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1,538</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1,656</w:t>
            </w:r>
          </w:p>
        </w:tc>
        <w:tc>
          <w:tcPr>
            <w:tcW w:w="0" w:type="dxa"/>
            <w:vAlign w:val="bottom"/>
          </w:tcPr>
          <w:p>
            <w:pPr>
              <w:spacing w:after="0"/>
              <w:rPr>
                <w:sz w:val="1"/>
                <w:szCs w:val="1"/>
                <w:color w:val="auto"/>
              </w:rPr>
            </w:pPr>
          </w:p>
        </w:tc>
      </w:tr>
      <w:tr>
        <w:trPr>
          <w:trHeight w:val="180"/>
        </w:trPr>
        <w:tc>
          <w:tcPr>
            <w:tcW w:w="2100" w:type="dxa"/>
            <w:vAlign w:val="bottom"/>
            <w:gridSpan w:val="3"/>
          </w:tcPr>
          <w:p>
            <w:pPr>
              <w:ind w:left="160"/>
              <w:spacing w:after="0"/>
              <w:rPr>
                <w:sz w:val="20"/>
                <w:szCs w:val="20"/>
                <w:color w:val="auto"/>
              </w:rPr>
            </w:pPr>
            <w:r>
              <w:rPr>
                <w:rFonts w:ascii="Arial" w:cs="Arial" w:eastAsia="Arial" w:hAnsi="Arial"/>
                <w:sz w:val="13"/>
                <w:szCs w:val="13"/>
                <w:color w:val="auto"/>
              </w:rPr>
              <w:t>Equities – preferred stock</w:t>
            </w:r>
          </w:p>
        </w:tc>
        <w:tc>
          <w:tcPr>
            <w:tcW w:w="720" w:type="dxa"/>
            <w:vAlign w:val="bottom"/>
          </w:tcPr>
          <w:p>
            <w:pPr>
              <w:spacing w:after="0"/>
              <w:rPr>
                <w:sz w:val="15"/>
                <w:szCs w:val="15"/>
                <w:color w:val="auto"/>
              </w:rPr>
            </w:pPr>
          </w:p>
        </w:tc>
        <w:tc>
          <w:tcPr>
            <w:tcW w:w="3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316,891</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316,891</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2,667</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2,667</w:t>
            </w:r>
          </w:p>
        </w:tc>
        <w:tc>
          <w:tcPr>
            <w:tcW w:w="0" w:type="dxa"/>
            <w:vAlign w:val="bottom"/>
          </w:tcPr>
          <w:p>
            <w:pPr>
              <w:spacing w:after="0"/>
              <w:rPr>
                <w:sz w:val="1"/>
                <w:szCs w:val="1"/>
                <w:color w:val="auto"/>
              </w:rPr>
            </w:pPr>
          </w:p>
        </w:tc>
      </w:tr>
      <w:tr>
        <w:trPr>
          <w:trHeight w:val="185"/>
        </w:trPr>
        <w:tc>
          <w:tcPr>
            <w:tcW w:w="2100" w:type="dxa"/>
            <w:vAlign w:val="bottom"/>
            <w:gridSpan w:val="3"/>
          </w:tcPr>
          <w:p>
            <w:pPr>
              <w:ind w:left="160"/>
              <w:spacing w:after="0"/>
              <w:rPr>
                <w:sz w:val="20"/>
                <w:szCs w:val="20"/>
                <w:color w:val="auto"/>
              </w:rPr>
            </w:pPr>
            <w:r>
              <w:rPr>
                <w:rFonts w:ascii="Arial" w:cs="Arial" w:eastAsia="Arial" w:hAnsi="Arial"/>
                <w:sz w:val="13"/>
                <w:szCs w:val="13"/>
                <w:color w:val="auto"/>
              </w:rPr>
              <w:t>Real estate</w:t>
            </w:r>
          </w:p>
        </w:tc>
        <w:tc>
          <w:tcPr>
            <w:tcW w:w="720" w:type="dxa"/>
            <w:vAlign w:val="bottom"/>
          </w:tcPr>
          <w:p>
            <w:pPr>
              <w:spacing w:after="0"/>
              <w:rPr>
                <w:sz w:val="16"/>
                <w:szCs w:val="16"/>
                <w:color w:val="auto"/>
              </w:rPr>
            </w:pPr>
          </w:p>
        </w:tc>
        <w:tc>
          <w:tcPr>
            <w:tcW w:w="3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6"/>
                <w:szCs w:val="16"/>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864</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864</w:t>
            </w: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3"/>
        </w:trPr>
        <w:tc>
          <w:tcPr>
            <w:tcW w:w="2100" w:type="dxa"/>
            <w:vAlign w:val="bottom"/>
            <w:gridSpan w:val="3"/>
          </w:tcPr>
          <w:p>
            <w:pPr>
              <w:ind w:left="300"/>
              <w:spacing w:after="0"/>
              <w:rPr>
                <w:sz w:val="20"/>
                <w:szCs w:val="20"/>
                <w:color w:val="auto"/>
              </w:rPr>
            </w:pPr>
            <w:r>
              <w:rPr>
                <w:rFonts w:ascii="Arial" w:cs="Arial" w:eastAsia="Arial" w:hAnsi="Arial"/>
                <w:sz w:val="13"/>
                <w:szCs w:val="13"/>
                <w:color w:val="auto"/>
              </w:rPr>
              <w:t>Total investments</w:t>
            </w:r>
          </w:p>
        </w:tc>
        <w:tc>
          <w:tcPr>
            <w:tcW w:w="720" w:type="dxa"/>
            <w:vAlign w:val="bottom"/>
            <w:tcBorders>
              <w:top w:val="single" w:sz="8" w:color="auto"/>
              <w:bottom w:val="single" w:sz="8" w:color="auto"/>
            </w:tcBorders>
          </w:tcPr>
          <w:p>
            <w:pPr>
              <w:spacing w:after="0"/>
              <w:rPr>
                <w:sz w:val="15"/>
                <w:szCs w:val="15"/>
                <w:color w:val="auto"/>
              </w:rPr>
            </w:pPr>
          </w:p>
        </w:tc>
        <w:tc>
          <w:tcPr>
            <w:tcW w:w="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680</w:t>
            </w:r>
          </w:p>
        </w:tc>
        <w:tc>
          <w:tcPr>
            <w:tcW w:w="80" w:type="dxa"/>
            <w:vAlign w:val="bottom"/>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4,195,726</w:t>
            </w:r>
          </w:p>
        </w:tc>
        <w:tc>
          <w:tcPr>
            <w:tcW w:w="80" w:type="dxa"/>
            <w:vAlign w:val="bottom"/>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494,061</w:t>
            </w:r>
          </w:p>
        </w:tc>
        <w:tc>
          <w:tcPr>
            <w:tcW w:w="80" w:type="dxa"/>
            <w:vAlign w:val="bottom"/>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4,690,467</w:t>
            </w:r>
          </w:p>
        </w:tc>
        <w:tc>
          <w:tcPr>
            <w:tcW w:w="200" w:type="dxa"/>
            <w:vAlign w:val="bottom"/>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84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3"/>
                <w:szCs w:val="13"/>
                <w:color w:val="auto"/>
              </w:rPr>
              <w:t>118</w:t>
            </w:r>
          </w:p>
        </w:tc>
        <w:tc>
          <w:tcPr>
            <w:tcW w:w="80" w:type="dxa"/>
            <w:vAlign w:val="bottom"/>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2,319,908</w:t>
            </w:r>
          </w:p>
        </w:tc>
        <w:tc>
          <w:tcPr>
            <w:tcW w:w="100" w:type="dxa"/>
            <w:vAlign w:val="bottom"/>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106,331</w:t>
            </w:r>
          </w:p>
        </w:tc>
        <w:tc>
          <w:tcPr>
            <w:tcW w:w="100" w:type="dxa"/>
            <w:vAlign w:val="bottom"/>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2,426,357</w:t>
            </w:r>
          </w:p>
        </w:tc>
        <w:tc>
          <w:tcPr>
            <w:tcW w:w="0" w:type="dxa"/>
            <w:vAlign w:val="bottom"/>
          </w:tcPr>
          <w:p>
            <w:pPr>
              <w:spacing w:after="0"/>
              <w:rPr>
                <w:sz w:val="1"/>
                <w:szCs w:val="1"/>
                <w:color w:val="auto"/>
              </w:rPr>
            </w:pPr>
          </w:p>
        </w:tc>
      </w:tr>
      <w:tr>
        <w:trPr>
          <w:trHeight w:val="156"/>
        </w:trPr>
        <w:tc>
          <w:tcPr>
            <w:tcW w:w="2100" w:type="dxa"/>
            <w:vAlign w:val="bottom"/>
            <w:gridSpan w:val="3"/>
          </w:tcPr>
          <w:p>
            <w:pPr>
              <w:spacing w:after="0"/>
              <w:rPr>
                <w:sz w:val="20"/>
                <w:szCs w:val="20"/>
                <w:color w:val="auto"/>
              </w:rPr>
            </w:pPr>
            <w:r>
              <w:rPr>
                <w:rFonts w:ascii="Arial" w:cs="Arial" w:eastAsia="Arial" w:hAnsi="Arial"/>
                <w:sz w:val="13"/>
                <w:szCs w:val="13"/>
                <w:color w:val="auto"/>
              </w:rPr>
              <w:t>Derivatives:</w:t>
            </w:r>
          </w:p>
        </w:tc>
        <w:tc>
          <w:tcPr>
            <w:tcW w:w="7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1"/>
        </w:trPr>
        <w:tc>
          <w:tcPr>
            <w:tcW w:w="2100" w:type="dxa"/>
            <w:vAlign w:val="bottom"/>
            <w:gridSpan w:val="3"/>
          </w:tcPr>
          <w:p>
            <w:pPr>
              <w:ind w:left="160"/>
              <w:spacing w:after="0" w:line="141" w:lineRule="exact"/>
              <w:rPr>
                <w:sz w:val="20"/>
                <w:szCs w:val="20"/>
                <w:color w:val="auto"/>
              </w:rPr>
            </w:pPr>
            <w:r>
              <w:rPr>
                <w:rFonts w:ascii="Arial" w:cs="Arial" w:eastAsia="Arial" w:hAnsi="Arial"/>
                <w:sz w:val="13"/>
                <w:szCs w:val="13"/>
                <w:color w:val="auto"/>
              </w:rPr>
              <w:t>Foreign-currency forward</w:t>
            </w:r>
          </w:p>
        </w:tc>
        <w:tc>
          <w:tcPr>
            <w:tcW w:w="720" w:type="dxa"/>
            <w:vAlign w:val="bottom"/>
          </w:tcPr>
          <w:p>
            <w:pPr>
              <w:spacing w:after="0"/>
              <w:rPr>
                <w:sz w:val="12"/>
                <w:szCs w:val="12"/>
                <w:color w:val="auto"/>
              </w:rPr>
            </w:pPr>
          </w:p>
        </w:tc>
        <w:tc>
          <w:tcPr>
            <w:tcW w:w="38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840" w:type="dxa"/>
            <w:vAlign w:val="bottom"/>
            <w:vMerge w:val="restart"/>
          </w:tcPr>
          <w:p>
            <w:pPr>
              <w:jc w:val="right"/>
              <w:spacing w:after="0"/>
              <w:rPr>
                <w:sz w:val="20"/>
                <w:szCs w:val="20"/>
                <w:color w:val="auto"/>
              </w:rPr>
            </w:pPr>
            <w:r>
              <w:rPr>
                <w:rFonts w:ascii="Arial" w:cs="Arial" w:eastAsia="Arial" w:hAnsi="Arial"/>
                <w:sz w:val="13"/>
                <w:szCs w:val="13"/>
                <w:color w:val="auto"/>
              </w:rPr>
              <w:t>57</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Arial" w:cs="Arial" w:eastAsia="Arial" w:hAnsi="Arial"/>
                <w:sz w:val="13"/>
                <w:szCs w:val="13"/>
                <w:color w:val="auto"/>
              </w:rPr>
              <w:t>57</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840" w:type="dxa"/>
            <w:vAlign w:val="bottom"/>
            <w:vMerge w:val="restart"/>
          </w:tcPr>
          <w:p>
            <w:pPr>
              <w:jc w:val="right"/>
              <w:spacing w:after="0"/>
              <w:rPr>
                <w:sz w:val="20"/>
                <w:szCs w:val="20"/>
                <w:color w:val="auto"/>
              </w:rPr>
            </w:pPr>
            <w:r>
              <w:rPr>
                <w:rFonts w:ascii="Arial" w:cs="Arial" w:eastAsia="Arial" w:hAnsi="Arial"/>
                <w:sz w:val="13"/>
                <w:szCs w:val="13"/>
                <w:color w:val="auto"/>
              </w:rPr>
              <w:t>3,336</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Arial" w:cs="Arial" w:eastAsia="Arial" w:hAnsi="Arial"/>
                <w:sz w:val="13"/>
                <w:szCs w:val="13"/>
                <w:color w:val="auto"/>
              </w:rPr>
              <w:t>3,336</w:t>
            </w:r>
          </w:p>
        </w:tc>
        <w:tc>
          <w:tcPr>
            <w:tcW w:w="0" w:type="dxa"/>
            <w:vAlign w:val="bottom"/>
          </w:tcPr>
          <w:p>
            <w:pPr>
              <w:spacing w:after="0"/>
              <w:rPr>
                <w:sz w:val="1"/>
                <w:szCs w:val="1"/>
                <w:color w:val="auto"/>
              </w:rPr>
            </w:pPr>
          </w:p>
        </w:tc>
      </w:tr>
      <w:tr>
        <w:trPr>
          <w:trHeight w:val="169"/>
        </w:trPr>
        <w:tc>
          <w:tcPr>
            <w:tcW w:w="2100" w:type="dxa"/>
            <w:vAlign w:val="bottom"/>
            <w:gridSpan w:val="3"/>
          </w:tcPr>
          <w:p>
            <w:pPr>
              <w:ind w:left="300"/>
              <w:spacing w:after="0"/>
              <w:rPr>
                <w:sz w:val="20"/>
                <w:szCs w:val="20"/>
                <w:color w:val="auto"/>
              </w:rPr>
            </w:pPr>
            <w:r>
              <w:rPr>
                <w:rFonts w:ascii="Arial" w:cs="Arial" w:eastAsia="Arial" w:hAnsi="Arial"/>
                <w:sz w:val="13"/>
                <w:szCs w:val="13"/>
                <w:color w:val="auto"/>
              </w:rPr>
              <w:t>contracts</w:t>
            </w:r>
          </w:p>
        </w:tc>
        <w:tc>
          <w:tcPr>
            <w:tcW w:w="720" w:type="dxa"/>
            <w:vAlign w:val="bottom"/>
          </w:tcPr>
          <w:p>
            <w:pPr>
              <w:spacing w:after="0"/>
              <w:rPr>
                <w:sz w:val="14"/>
                <w:szCs w:val="14"/>
                <w:color w:val="auto"/>
              </w:rPr>
            </w:pPr>
          </w:p>
        </w:tc>
        <w:tc>
          <w:tcPr>
            <w:tcW w:w="38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100" w:type="dxa"/>
            <w:vAlign w:val="bottom"/>
            <w:gridSpan w:val="3"/>
          </w:tcPr>
          <w:p>
            <w:pPr>
              <w:ind w:left="160"/>
              <w:spacing w:after="0"/>
              <w:rPr>
                <w:sz w:val="20"/>
                <w:szCs w:val="20"/>
                <w:color w:val="auto"/>
              </w:rPr>
            </w:pPr>
            <w:r>
              <w:rPr>
                <w:rFonts w:ascii="Arial" w:cs="Arial" w:eastAsia="Arial" w:hAnsi="Arial"/>
                <w:sz w:val="13"/>
                <w:szCs w:val="13"/>
                <w:color w:val="auto"/>
              </w:rPr>
              <w:t>Swaps</w:t>
            </w:r>
          </w:p>
        </w:tc>
        <w:tc>
          <w:tcPr>
            <w:tcW w:w="720" w:type="dxa"/>
            <w:vAlign w:val="bottom"/>
          </w:tcPr>
          <w:p>
            <w:pPr>
              <w:spacing w:after="0"/>
              <w:rPr>
                <w:sz w:val="15"/>
                <w:szCs w:val="15"/>
                <w:color w:val="auto"/>
              </w:rPr>
            </w:pPr>
          </w:p>
        </w:tc>
        <w:tc>
          <w:tcPr>
            <w:tcW w:w="3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1,600</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1,600</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5"/>
        </w:trPr>
        <w:tc>
          <w:tcPr>
            <w:tcW w:w="2100" w:type="dxa"/>
            <w:vAlign w:val="bottom"/>
            <w:gridSpan w:val="3"/>
          </w:tcPr>
          <w:p>
            <w:pPr>
              <w:ind w:left="160"/>
              <w:spacing w:after="0"/>
              <w:rPr>
                <w:sz w:val="20"/>
                <w:szCs w:val="20"/>
                <w:color w:val="auto"/>
              </w:rPr>
            </w:pPr>
            <w:r>
              <w:rPr>
                <w:rFonts w:ascii="Arial" w:cs="Arial" w:eastAsia="Arial" w:hAnsi="Arial"/>
                <w:sz w:val="13"/>
                <w:szCs w:val="13"/>
                <w:color w:val="auto"/>
              </w:rPr>
              <w:t>Options and futures</w:t>
            </w:r>
          </w:p>
        </w:tc>
        <w:tc>
          <w:tcPr>
            <w:tcW w:w="7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112</w:t>
            </w:r>
          </w:p>
        </w:tc>
        <w:tc>
          <w:tcPr>
            <w:tcW w:w="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112</w:t>
            </w:r>
          </w:p>
        </w:tc>
        <w:tc>
          <w:tcPr>
            <w:tcW w:w="2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318</w:t>
            </w:r>
          </w:p>
        </w:tc>
        <w:tc>
          <w:tcPr>
            <w:tcW w:w="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318</w:t>
            </w:r>
          </w:p>
        </w:tc>
        <w:tc>
          <w:tcPr>
            <w:tcW w:w="0" w:type="dxa"/>
            <w:vAlign w:val="bottom"/>
          </w:tcPr>
          <w:p>
            <w:pPr>
              <w:spacing w:after="0"/>
              <w:rPr>
                <w:sz w:val="1"/>
                <w:szCs w:val="1"/>
                <w:color w:val="auto"/>
              </w:rPr>
            </w:pPr>
          </w:p>
        </w:tc>
      </w:tr>
      <w:tr>
        <w:trPr>
          <w:trHeight w:val="180"/>
        </w:trPr>
        <w:tc>
          <w:tcPr>
            <w:tcW w:w="2100" w:type="dxa"/>
            <w:vAlign w:val="bottom"/>
            <w:gridSpan w:val="3"/>
          </w:tcPr>
          <w:p>
            <w:pPr>
              <w:ind w:left="300"/>
              <w:spacing w:after="0" w:line="181" w:lineRule="exact"/>
              <w:rPr>
                <w:sz w:val="20"/>
                <w:szCs w:val="20"/>
                <w:color w:val="auto"/>
              </w:rPr>
            </w:pPr>
            <w:r>
              <w:rPr>
                <w:rFonts w:ascii="Arial" w:cs="Arial" w:eastAsia="Arial" w:hAnsi="Arial"/>
                <w:sz w:val="13"/>
                <w:szCs w:val="13"/>
                <w:color w:val="auto"/>
              </w:rPr>
              <w:t xml:space="preserve">Total derivatives </w:t>
            </w:r>
            <w:r>
              <w:rPr>
                <w:rFonts w:ascii="Arial" w:cs="Arial" w:eastAsia="Arial" w:hAnsi="Arial"/>
                <w:sz w:val="16"/>
                <w:szCs w:val="16"/>
                <w:color w:val="auto"/>
                <w:vertAlign w:val="superscript"/>
              </w:rPr>
              <w:t>(1)</w:t>
            </w:r>
          </w:p>
        </w:tc>
        <w:tc>
          <w:tcPr>
            <w:tcW w:w="720" w:type="dxa"/>
            <w:vAlign w:val="bottom"/>
          </w:tcPr>
          <w:p>
            <w:pPr>
              <w:spacing w:after="0"/>
              <w:rPr>
                <w:sz w:val="15"/>
                <w:szCs w:val="15"/>
                <w:color w:val="auto"/>
              </w:rPr>
            </w:pPr>
          </w:p>
        </w:tc>
        <w:tc>
          <w:tcPr>
            <w:tcW w:w="300" w:type="dxa"/>
            <w:vAlign w:val="bottom"/>
          </w:tcPr>
          <w:p>
            <w:pPr>
              <w:jc w:val="right"/>
              <w:spacing w:after="0"/>
              <w:rPr>
                <w:sz w:val="20"/>
                <w:szCs w:val="20"/>
                <w:color w:val="auto"/>
              </w:rPr>
            </w:pPr>
            <w:r>
              <w:rPr>
                <w:rFonts w:ascii="Arial" w:cs="Arial" w:eastAsia="Arial" w:hAnsi="Arial"/>
                <w:sz w:val="13"/>
                <w:szCs w:val="13"/>
                <w:color w:val="auto"/>
              </w:rPr>
              <w:t>112</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57</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1,600</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1,769</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jc w:val="right"/>
              <w:ind w:right="16"/>
              <w:spacing w:after="0"/>
              <w:rPr>
                <w:sz w:val="20"/>
                <w:szCs w:val="20"/>
                <w:color w:val="auto"/>
              </w:rPr>
            </w:pPr>
            <w:r>
              <w:rPr>
                <w:rFonts w:ascii="Arial" w:cs="Arial" w:eastAsia="Arial" w:hAnsi="Arial"/>
                <w:sz w:val="13"/>
                <w:szCs w:val="13"/>
                <w:color w:val="auto"/>
              </w:rPr>
              <w:t>318</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3,336</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3,654</w:t>
            </w:r>
          </w:p>
        </w:tc>
        <w:tc>
          <w:tcPr>
            <w:tcW w:w="0" w:type="dxa"/>
            <w:vAlign w:val="bottom"/>
          </w:tcPr>
          <w:p>
            <w:pPr>
              <w:spacing w:after="0"/>
              <w:rPr>
                <w:sz w:val="1"/>
                <w:szCs w:val="1"/>
                <w:color w:val="auto"/>
              </w:rPr>
            </w:pPr>
          </w:p>
        </w:tc>
      </w:tr>
      <w:tr>
        <w:trPr>
          <w:trHeight w:val="173"/>
        </w:trPr>
        <w:tc>
          <w:tcPr>
            <w:tcW w:w="2100" w:type="dxa"/>
            <w:vAlign w:val="bottom"/>
            <w:gridSpan w:val="3"/>
          </w:tcPr>
          <w:p>
            <w:pPr>
              <w:spacing w:after="0"/>
              <w:rPr>
                <w:sz w:val="20"/>
                <w:szCs w:val="20"/>
                <w:color w:val="auto"/>
              </w:rPr>
            </w:pPr>
            <w:r>
              <w:rPr>
                <w:rFonts w:ascii="Arial" w:cs="Arial" w:eastAsia="Arial" w:hAnsi="Arial"/>
                <w:sz w:val="13"/>
                <w:szCs w:val="13"/>
                <w:color w:val="auto"/>
              </w:rPr>
              <w:t>Total assets</w:t>
            </w:r>
          </w:p>
        </w:tc>
        <w:tc>
          <w:tcPr>
            <w:tcW w:w="720" w:type="dxa"/>
            <w:vAlign w:val="bottom"/>
            <w:tcBorders>
              <w:top w:val="single" w:sz="8" w:color="auto"/>
              <w:bottom w:val="single" w:sz="8" w:color="auto"/>
            </w:tcBorders>
          </w:tcPr>
          <w:p>
            <w:pPr>
              <w:jc w:val="right"/>
              <w:ind w:right="576"/>
              <w:spacing w:after="0"/>
              <w:rPr>
                <w:sz w:val="20"/>
                <w:szCs w:val="20"/>
                <w:color w:val="auto"/>
              </w:rPr>
            </w:pPr>
            <w:r>
              <w:rPr>
                <w:rFonts w:ascii="Arial" w:cs="Arial" w:eastAsia="Arial" w:hAnsi="Arial"/>
                <w:sz w:val="13"/>
                <w:szCs w:val="13"/>
                <w:color w:val="auto"/>
                <w:w w:val="82"/>
              </w:rPr>
              <w:t>$</w:t>
            </w:r>
          </w:p>
        </w:tc>
        <w:tc>
          <w:tcPr>
            <w:tcW w:w="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792</w:t>
            </w:r>
          </w:p>
        </w:tc>
        <w:tc>
          <w:tcPr>
            <w:tcW w:w="80" w:type="dxa"/>
            <w:vAlign w:val="bottom"/>
          </w:tcPr>
          <w:p>
            <w:pPr>
              <w:spacing w:after="0"/>
              <w:rPr>
                <w:sz w:val="15"/>
                <w:szCs w:val="15"/>
                <w:color w:val="auto"/>
              </w:rPr>
            </w:pPr>
          </w:p>
        </w:tc>
        <w:tc>
          <w:tcPr>
            <w:tcW w:w="20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3"/>
                <w:szCs w:val="13"/>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4,195,783</w:t>
            </w:r>
          </w:p>
        </w:tc>
        <w:tc>
          <w:tcPr>
            <w:tcW w:w="80" w:type="dxa"/>
            <w:vAlign w:val="bottom"/>
          </w:tcPr>
          <w:p>
            <w:pPr>
              <w:spacing w:after="0"/>
              <w:rPr>
                <w:sz w:val="15"/>
                <w:szCs w:val="15"/>
                <w:color w:val="auto"/>
              </w:rPr>
            </w:pPr>
          </w:p>
        </w:tc>
        <w:tc>
          <w:tcPr>
            <w:tcW w:w="20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3"/>
                <w:szCs w:val="13"/>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495,661</w:t>
            </w:r>
          </w:p>
        </w:tc>
        <w:tc>
          <w:tcPr>
            <w:tcW w:w="80" w:type="dxa"/>
            <w:vAlign w:val="bottom"/>
          </w:tcPr>
          <w:p>
            <w:pPr>
              <w:spacing w:after="0"/>
              <w:rPr>
                <w:sz w:val="15"/>
                <w:szCs w:val="15"/>
                <w:color w:val="auto"/>
              </w:rPr>
            </w:pPr>
          </w:p>
        </w:tc>
        <w:tc>
          <w:tcPr>
            <w:tcW w:w="240" w:type="dxa"/>
            <w:vAlign w:val="bottom"/>
            <w:tcBorders>
              <w:top w:val="single" w:sz="8" w:color="auto"/>
              <w:bottom w:val="single" w:sz="8" w:color="auto"/>
            </w:tcBorders>
          </w:tcPr>
          <w:p>
            <w:pPr>
              <w:jc w:val="right"/>
              <w:ind w:right="76"/>
              <w:spacing w:after="0"/>
              <w:rPr>
                <w:sz w:val="20"/>
                <w:szCs w:val="20"/>
                <w:color w:val="auto"/>
              </w:rPr>
            </w:pPr>
            <w:r>
              <w:rPr>
                <w:rFonts w:ascii="Arial" w:cs="Arial" w:eastAsia="Arial" w:hAnsi="Arial"/>
                <w:sz w:val="13"/>
                <w:szCs w:val="13"/>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4,692,236</w:t>
            </w:r>
          </w:p>
        </w:tc>
        <w:tc>
          <w:tcPr>
            <w:tcW w:w="200" w:type="dxa"/>
            <w:vAlign w:val="bottom"/>
          </w:tcPr>
          <w:p>
            <w:pPr>
              <w:spacing w:after="0"/>
              <w:rPr>
                <w:sz w:val="15"/>
                <w:szCs w:val="15"/>
                <w:color w:val="auto"/>
              </w:rPr>
            </w:pPr>
          </w:p>
        </w:tc>
        <w:tc>
          <w:tcPr>
            <w:tcW w:w="200" w:type="dxa"/>
            <w:vAlign w:val="bottom"/>
            <w:tcBorders>
              <w:top w:val="single" w:sz="8" w:color="auto"/>
              <w:bottom w:val="single" w:sz="8" w:color="auto"/>
            </w:tcBorders>
          </w:tcPr>
          <w:p>
            <w:pPr>
              <w:jc w:val="right"/>
              <w:ind w:right="56"/>
              <w:spacing w:after="0"/>
              <w:rPr>
                <w:sz w:val="20"/>
                <w:szCs w:val="20"/>
                <w:color w:val="auto"/>
              </w:rPr>
            </w:pPr>
            <w:r>
              <w:rPr>
                <w:rFonts w:ascii="Arial" w:cs="Arial" w:eastAsia="Arial" w:hAnsi="Arial"/>
                <w:sz w:val="13"/>
                <w:szCs w:val="13"/>
                <w:color w:val="auto"/>
                <w:w w:val="82"/>
              </w:rPr>
              <w:t>$</w:t>
            </w:r>
          </w:p>
        </w:tc>
        <w:tc>
          <w:tcPr>
            <w:tcW w:w="84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3"/>
                <w:szCs w:val="13"/>
                <w:color w:val="auto"/>
              </w:rPr>
              <w:t>436</w:t>
            </w:r>
          </w:p>
        </w:tc>
        <w:tc>
          <w:tcPr>
            <w:tcW w:w="80" w:type="dxa"/>
            <w:vAlign w:val="bottom"/>
          </w:tcPr>
          <w:p>
            <w:pPr>
              <w:spacing w:after="0"/>
              <w:rPr>
                <w:sz w:val="15"/>
                <w:szCs w:val="15"/>
                <w:color w:val="auto"/>
              </w:rPr>
            </w:pPr>
          </w:p>
        </w:tc>
        <w:tc>
          <w:tcPr>
            <w:tcW w:w="20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3"/>
                <w:szCs w:val="13"/>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2,323,244</w:t>
            </w:r>
          </w:p>
        </w:tc>
        <w:tc>
          <w:tcPr>
            <w:tcW w:w="100" w:type="dxa"/>
            <w:vAlign w:val="bottom"/>
          </w:tcPr>
          <w:p>
            <w:pPr>
              <w:spacing w:after="0"/>
              <w:rPr>
                <w:sz w:val="15"/>
                <w:szCs w:val="15"/>
                <w:color w:val="auto"/>
              </w:rPr>
            </w:pPr>
          </w:p>
        </w:tc>
        <w:tc>
          <w:tcPr>
            <w:tcW w:w="200" w:type="dxa"/>
            <w:vAlign w:val="bottom"/>
            <w:tcBorders>
              <w:top w:val="single" w:sz="8" w:color="auto"/>
              <w:bottom w:val="single" w:sz="8" w:color="auto"/>
            </w:tcBorders>
          </w:tcPr>
          <w:p>
            <w:pPr>
              <w:jc w:val="right"/>
              <w:ind w:right="56"/>
              <w:spacing w:after="0"/>
              <w:rPr>
                <w:sz w:val="20"/>
                <w:szCs w:val="20"/>
                <w:color w:val="auto"/>
              </w:rPr>
            </w:pPr>
            <w:r>
              <w:rPr>
                <w:rFonts w:ascii="Arial" w:cs="Arial" w:eastAsia="Arial" w:hAnsi="Arial"/>
                <w:sz w:val="13"/>
                <w:szCs w:val="13"/>
                <w:color w:val="auto"/>
                <w:w w:val="82"/>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106,331</w:t>
            </w:r>
          </w:p>
        </w:tc>
        <w:tc>
          <w:tcPr>
            <w:tcW w:w="100" w:type="dxa"/>
            <w:vAlign w:val="bottom"/>
          </w:tcPr>
          <w:p>
            <w:pPr>
              <w:spacing w:after="0"/>
              <w:rPr>
                <w:sz w:val="15"/>
                <w:szCs w:val="15"/>
                <w:color w:val="auto"/>
              </w:rPr>
            </w:pPr>
          </w:p>
        </w:tc>
        <w:tc>
          <w:tcPr>
            <w:tcW w:w="220" w:type="dxa"/>
            <w:vAlign w:val="bottom"/>
            <w:tcBorders>
              <w:top w:val="single" w:sz="8" w:color="auto"/>
              <w:bottom w:val="single" w:sz="8" w:color="auto"/>
            </w:tcBorders>
          </w:tcPr>
          <w:p>
            <w:pPr>
              <w:jc w:val="right"/>
              <w:ind w:right="76"/>
              <w:spacing w:after="0"/>
              <w:rPr>
                <w:sz w:val="20"/>
                <w:szCs w:val="20"/>
                <w:color w:val="auto"/>
              </w:rPr>
            </w:pPr>
            <w:r>
              <w:rPr>
                <w:rFonts w:ascii="Arial" w:cs="Arial" w:eastAsia="Arial" w:hAnsi="Arial"/>
                <w:sz w:val="13"/>
                <w:szCs w:val="13"/>
                <w:color w:val="auto"/>
                <w:w w:val="82"/>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2,430,011</w:t>
            </w:r>
          </w:p>
        </w:tc>
        <w:tc>
          <w:tcPr>
            <w:tcW w:w="0" w:type="dxa"/>
            <w:vAlign w:val="bottom"/>
          </w:tcPr>
          <w:p>
            <w:pPr>
              <w:spacing w:after="0"/>
              <w:rPr>
                <w:sz w:val="1"/>
                <w:szCs w:val="1"/>
                <w:color w:val="auto"/>
              </w:rPr>
            </w:pPr>
          </w:p>
        </w:tc>
      </w:tr>
      <w:tr>
        <w:trPr>
          <w:trHeight w:val="20"/>
        </w:trPr>
        <w:tc>
          <w:tcPr>
            <w:tcW w:w="600" w:type="dxa"/>
            <w:vAlign w:val="bottom"/>
            <w:gridSpan w:val="2"/>
            <w:vMerge w:val="restart"/>
          </w:tcPr>
          <w:p>
            <w:pPr>
              <w:spacing w:after="0"/>
              <w:rPr>
                <w:sz w:val="20"/>
                <w:szCs w:val="20"/>
                <w:color w:val="auto"/>
              </w:rPr>
            </w:pPr>
            <w:r>
              <w:rPr>
                <w:rFonts w:ascii="Arial" w:cs="Arial" w:eastAsia="Arial" w:hAnsi="Arial"/>
                <w:sz w:val="13"/>
                <w:szCs w:val="13"/>
                <w:b w:val="1"/>
                <w:bCs w:val="1"/>
                <w:color w:val="auto"/>
                <w:w w:val="96"/>
              </w:rPr>
              <w:t>Liabilities</w:t>
            </w:r>
          </w:p>
        </w:tc>
        <w:tc>
          <w:tcPr>
            <w:tcW w:w="1500" w:type="dxa"/>
            <w:vAlign w:val="bottom"/>
            <w:vMerge w:val="restart"/>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0"/>
        </w:trPr>
        <w:tc>
          <w:tcPr>
            <w:tcW w:w="600" w:type="dxa"/>
            <w:vAlign w:val="bottom"/>
            <w:tcBorders>
              <w:bottom w:val="single" w:sz="8" w:color="auto"/>
            </w:tcBorders>
            <w:gridSpan w:val="2"/>
            <w:vMerge w:val="continue"/>
          </w:tcPr>
          <w:p>
            <w:pPr>
              <w:spacing w:after="0"/>
              <w:rPr>
                <w:sz w:val="24"/>
                <w:szCs w:val="24"/>
                <w:color w:val="auto"/>
              </w:rPr>
            </w:pPr>
          </w:p>
        </w:tc>
        <w:tc>
          <w:tcPr>
            <w:tcW w:w="1500" w:type="dxa"/>
            <w:vAlign w:val="bottom"/>
            <w:vMerge w:val="continue"/>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2100" w:type="dxa"/>
            <w:vAlign w:val="bottom"/>
            <w:gridSpan w:val="3"/>
          </w:tcPr>
          <w:p>
            <w:pPr>
              <w:spacing w:after="0"/>
              <w:rPr>
                <w:sz w:val="20"/>
                <w:szCs w:val="20"/>
                <w:color w:val="auto"/>
              </w:rPr>
            </w:pPr>
            <w:r>
              <w:rPr>
                <w:rFonts w:ascii="Arial" w:cs="Arial" w:eastAsia="Arial" w:hAnsi="Arial"/>
                <w:sz w:val="13"/>
                <w:szCs w:val="13"/>
                <w:color w:val="auto"/>
              </w:rPr>
              <w:t>CLO debt obligations:</w:t>
            </w:r>
          </w:p>
        </w:tc>
        <w:tc>
          <w:tcPr>
            <w:tcW w:w="7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100" w:type="dxa"/>
            <w:vAlign w:val="bottom"/>
            <w:gridSpan w:val="3"/>
          </w:tcPr>
          <w:p>
            <w:pPr>
              <w:ind w:left="160"/>
              <w:spacing w:after="0"/>
              <w:rPr>
                <w:sz w:val="20"/>
                <w:szCs w:val="20"/>
                <w:color w:val="auto"/>
              </w:rPr>
            </w:pPr>
            <w:r>
              <w:rPr>
                <w:rFonts w:ascii="Arial" w:cs="Arial" w:eastAsia="Arial" w:hAnsi="Arial"/>
                <w:sz w:val="13"/>
                <w:szCs w:val="13"/>
                <w:color w:val="auto"/>
              </w:rPr>
              <w:t>Senior secured notes</w:t>
            </w:r>
          </w:p>
        </w:tc>
        <w:tc>
          <w:tcPr>
            <w:tcW w:w="720" w:type="dxa"/>
            <w:vAlign w:val="bottom"/>
          </w:tcPr>
          <w:p>
            <w:pPr>
              <w:spacing w:after="0"/>
              <w:rPr>
                <w:sz w:val="15"/>
                <w:szCs w:val="15"/>
                <w:color w:val="auto"/>
              </w:rPr>
            </w:pPr>
          </w:p>
        </w:tc>
        <w:tc>
          <w:tcPr>
            <w:tcW w:w="3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(3,209,588)</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(3,209,588)</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(1,576,289)</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(1,576,289)</w:t>
            </w:r>
          </w:p>
        </w:tc>
        <w:tc>
          <w:tcPr>
            <w:tcW w:w="0" w:type="dxa"/>
            <w:vAlign w:val="bottom"/>
          </w:tcPr>
          <w:p>
            <w:pPr>
              <w:spacing w:after="0"/>
              <w:rPr>
                <w:sz w:val="1"/>
                <w:szCs w:val="1"/>
                <w:color w:val="auto"/>
              </w:rPr>
            </w:pPr>
          </w:p>
        </w:tc>
      </w:tr>
      <w:tr>
        <w:trPr>
          <w:trHeight w:val="185"/>
        </w:trPr>
        <w:tc>
          <w:tcPr>
            <w:tcW w:w="2100" w:type="dxa"/>
            <w:vAlign w:val="bottom"/>
            <w:gridSpan w:val="3"/>
          </w:tcPr>
          <w:p>
            <w:pPr>
              <w:ind w:left="160"/>
              <w:spacing w:after="0"/>
              <w:rPr>
                <w:sz w:val="20"/>
                <w:szCs w:val="20"/>
                <w:color w:val="auto"/>
              </w:rPr>
            </w:pPr>
            <w:r>
              <w:rPr>
                <w:rFonts w:ascii="Arial" w:cs="Arial" w:eastAsia="Arial" w:hAnsi="Arial"/>
                <w:sz w:val="13"/>
                <w:szCs w:val="13"/>
                <w:color w:val="auto"/>
              </w:rPr>
              <w:t>Subordinated notes</w:t>
            </w:r>
          </w:p>
        </w:tc>
        <w:tc>
          <w:tcPr>
            <w:tcW w:w="7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(198,774)</w:t>
            </w:r>
          </w:p>
        </w:tc>
        <w:tc>
          <w:tcPr>
            <w:tcW w:w="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(198,774)</w:t>
            </w:r>
          </w:p>
        </w:tc>
        <w:tc>
          <w:tcPr>
            <w:tcW w:w="2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(94,063)</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(94,063)</w:t>
            </w:r>
          </w:p>
        </w:tc>
        <w:tc>
          <w:tcPr>
            <w:tcW w:w="0" w:type="dxa"/>
            <w:vAlign w:val="bottom"/>
          </w:tcPr>
          <w:p>
            <w:pPr>
              <w:spacing w:after="0"/>
              <w:rPr>
                <w:sz w:val="1"/>
                <w:szCs w:val="1"/>
                <w:color w:val="auto"/>
              </w:rPr>
            </w:pPr>
          </w:p>
        </w:tc>
      </w:tr>
      <w:tr>
        <w:trPr>
          <w:trHeight w:val="180"/>
        </w:trPr>
        <w:tc>
          <w:tcPr>
            <w:tcW w:w="2100" w:type="dxa"/>
            <w:vAlign w:val="bottom"/>
            <w:gridSpan w:val="3"/>
          </w:tcPr>
          <w:p>
            <w:pPr>
              <w:ind w:left="300"/>
              <w:spacing w:after="0" w:line="181" w:lineRule="exact"/>
              <w:rPr>
                <w:sz w:val="20"/>
                <w:szCs w:val="20"/>
                <w:color w:val="auto"/>
              </w:rPr>
            </w:pPr>
            <w:r>
              <w:rPr>
                <w:rFonts w:ascii="Arial" w:cs="Arial" w:eastAsia="Arial" w:hAnsi="Arial"/>
                <w:sz w:val="13"/>
                <w:szCs w:val="13"/>
                <w:color w:val="auto"/>
              </w:rPr>
              <w:t xml:space="preserve">Total CLO debt obligations </w:t>
            </w:r>
            <w:r>
              <w:rPr>
                <w:rFonts w:ascii="Arial" w:cs="Arial" w:eastAsia="Arial" w:hAnsi="Arial"/>
                <w:sz w:val="16"/>
                <w:szCs w:val="16"/>
                <w:color w:val="auto"/>
                <w:vertAlign w:val="superscript"/>
              </w:rPr>
              <w:t>(2)</w:t>
            </w:r>
          </w:p>
        </w:tc>
        <w:tc>
          <w:tcPr>
            <w:tcW w:w="720" w:type="dxa"/>
            <w:vAlign w:val="bottom"/>
          </w:tcPr>
          <w:p>
            <w:pPr>
              <w:spacing w:after="0"/>
              <w:rPr>
                <w:sz w:val="15"/>
                <w:szCs w:val="15"/>
                <w:color w:val="auto"/>
              </w:rPr>
            </w:pPr>
          </w:p>
        </w:tc>
        <w:tc>
          <w:tcPr>
            <w:tcW w:w="3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(3,408,362)</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(3,408,362)</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(1,670,352)</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(1,670,352)</w:t>
            </w:r>
          </w:p>
        </w:tc>
        <w:tc>
          <w:tcPr>
            <w:tcW w:w="0" w:type="dxa"/>
            <w:vAlign w:val="bottom"/>
          </w:tcPr>
          <w:p>
            <w:pPr>
              <w:spacing w:after="0"/>
              <w:rPr>
                <w:sz w:val="1"/>
                <w:szCs w:val="1"/>
                <w:color w:val="auto"/>
              </w:rPr>
            </w:pPr>
          </w:p>
        </w:tc>
      </w:tr>
      <w:tr>
        <w:trPr>
          <w:trHeight w:val="149"/>
        </w:trPr>
        <w:tc>
          <w:tcPr>
            <w:tcW w:w="2100" w:type="dxa"/>
            <w:vAlign w:val="bottom"/>
            <w:gridSpan w:val="3"/>
          </w:tcPr>
          <w:p>
            <w:pPr>
              <w:spacing w:after="0"/>
              <w:rPr>
                <w:sz w:val="20"/>
                <w:szCs w:val="20"/>
                <w:color w:val="auto"/>
              </w:rPr>
            </w:pPr>
            <w:r>
              <w:rPr>
                <w:rFonts w:ascii="Arial" w:cs="Arial" w:eastAsia="Arial" w:hAnsi="Arial"/>
                <w:sz w:val="13"/>
                <w:szCs w:val="13"/>
                <w:color w:val="auto"/>
              </w:rPr>
              <w:t>Derivatives:</w:t>
            </w:r>
          </w:p>
        </w:tc>
        <w:tc>
          <w:tcPr>
            <w:tcW w:w="72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100" w:type="dxa"/>
            <w:vAlign w:val="bottom"/>
            <w:gridSpan w:val="3"/>
          </w:tcPr>
          <w:p>
            <w:pPr>
              <w:ind w:left="160"/>
              <w:spacing w:after="0" w:line="141" w:lineRule="exact"/>
              <w:rPr>
                <w:sz w:val="20"/>
                <w:szCs w:val="20"/>
                <w:color w:val="auto"/>
              </w:rPr>
            </w:pPr>
            <w:r>
              <w:rPr>
                <w:rFonts w:ascii="Arial" w:cs="Arial" w:eastAsia="Arial" w:hAnsi="Arial"/>
                <w:sz w:val="13"/>
                <w:szCs w:val="13"/>
                <w:color w:val="auto"/>
              </w:rPr>
              <w:t>Foreign-currency forward</w:t>
            </w:r>
          </w:p>
        </w:tc>
        <w:tc>
          <w:tcPr>
            <w:tcW w:w="720" w:type="dxa"/>
            <w:vAlign w:val="bottom"/>
            <w:vMerge w:val="restart"/>
          </w:tcPr>
          <w:p>
            <w:pPr>
              <w:jc w:val="right"/>
              <w:ind w:right="576"/>
              <w:spacing w:after="0"/>
              <w:rPr>
                <w:sz w:val="20"/>
                <w:szCs w:val="20"/>
                <w:color w:val="auto"/>
              </w:rPr>
            </w:pPr>
            <w:r>
              <w:rPr>
                <w:rFonts w:ascii="Arial" w:cs="Arial" w:eastAsia="Arial" w:hAnsi="Arial"/>
                <w:sz w:val="13"/>
                <w:szCs w:val="13"/>
                <w:color w:val="auto"/>
                <w:w w:val="82"/>
              </w:rPr>
              <w:t>$</w:t>
            </w:r>
          </w:p>
        </w:tc>
        <w:tc>
          <w:tcPr>
            <w:tcW w:w="38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200" w:type="dxa"/>
            <w:vAlign w:val="bottom"/>
            <w:vMerge w:val="restart"/>
          </w:tcPr>
          <w:p>
            <w:pPr>
              <w:jc w:val="right"/>
              <w:ind w:right="36"/>
              <w:spacing w:after="0"/>
              <w:rPr>
                <w:sz w:val="20"/>
                <w:szCs w:val="20"/>
                <w:color w:val="auto"/>
              </w:rPr>
            </w:pPr>
            <w:r>
              <w:rPr>
                <w:rFonts w:ascii="Arial" w:cs="Arial" w:eastAsia="Arial" w:hAnsi="Arial"/>
                <w:sz w:val="13"/>
                <w:szCs w:val="13"/>
                <w:color w:val="auto"/>
              </w:rPr>
              <w:t>$</w:t>
            </w:r>
          </w:p>
        </w:tc>
        <w:tc>
          <w:tcPr>
            <w:tcW w:w="840" w:type="dxa"/>
            <w:vAlign w:val="bottom"/>
            <w:vMerge w:val="restart"/>
          </w:tcPr>
          <w:p>
            <w:pPr>
              <w:jc w:val="right"/>
              <w:spacing w:after="0"/>
              <w:rPr>
                <w:sz w:val="20"/>
                <w:szCs w:val="20"/>
                <w:color w:val="auto"/>
              </w:rPr>
            </w:pPr>
            <w:r>
              <w:rPr>
                <w:rFonts w:ascii="Arial" w:cs="Arial" w:eastAsia="Arial" w:hAnsi="Arial"/>
                <w:sz w:val="13"/>
                <w:szCs w:val="13"/>
                <w:color w:val="auto"/>
              </w:rPr>
              <w:t>(846)</w:t>
            </w:r>
          </w:p>
        </w:tc>
        <w:tc>
          <w:tcPr>
            <w:tcW w:w="80" w:type="dxa"/>
            <w:vAlign w:val="bottom"/>
          </w:tcPr>
          <w:p>
            <w:pPr>
              <w:spacing w:after="0"/>
              <w:rPr>
                <w:sz w:val="12"/>
                <w:szCs w:val="12"/>
                <w:color w:val="auto"/>
              </w:rPr>
            </w:pPr>
          </w:p>
        </w:tc>
        <w:tc>
          <w:tcPr>
            <w:tcW w:w="200" w:type="dxa"/>
            <w:vAlign w:val="bottom"/>
            <w:vMerge w:val="restart"/>
          </w:tcPr>
          <w:p>
            <w:pPr>
              <w:jc w:val="right"/>
              <w:ind w:right="36"/>
              <w:spacing w:after="0"/>
              <w:rPr>
                <w:sz w:val="20"/>
                <w:szCs w:val="20"/>
                <w:color w:val="auto"/>
              </w:rPr>
            </w:pPr>
            <w:r>
              <w:rPr>
                <w:rFonts w:ascii="Arial" w:cs="Arial" w:eastAsia="Arial" w:hAnsi="Arial"/>
                <w:sz w:val="13"/>
                <w:szCs w:val="13"/>
                <w:color w:val="auto"/>
              </w:rPr>
              <w:t>$</w:t>
            </w:r>
          </w:p>
        </w:tc>
        <w:tc>
          <w:tcPr>
            <w:tcW w:w="92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240" w:type="dxa"/>
            <w:vAlign w:val="bottom"/>
            <w:vMerge w:val="restart"/>
          </w:tcPr>
          <w:p>
            <w:pPr>
              <w:jc w:val="right"/>
              <w:ind w:right="76"/>
              <w:spacing w:after="0"/>
              <w:rPr>
                <w:sz w:val="20"/>
                <w:szCs w:val="20"/>
                <w:color w:val="auto"/>
              </w:rPr>
            </w:pPr>
            <w:r>
              <w:rPr>
                <w:rFonts w:ascii="Arial" w:cs="Arial" w:eastAsia="Arial" w:hAnsi="Arial"/>
                <w:sz w:val="13"/>
                <w:szCs w:val="13"/>
                <w:color w:val="auto"/>
              </w:rPr>
              <w:t>$</w:t>
            </w:r>
          </w:p>
        </w:tc>
        <w:tc>
          <w:tcPr>
            <w:tcW w:w="820" w:type="dxa"/>
            <w:vAlign w:val="bottom"/>
            <w:vMerge w:val="restart"/>
          </w:tcPr>
          <w:p>
            <w:pPr>
              <w:jc w:val="right"/>
              <w:spacing w:after="0"/>
              <w:rPr>
                <w:sz w:val="20"/>
                <w:szCs w:val="20"/>
                <w:color w:val="auto"/>
              </w:rPr>
            </w:pPr>
            <w:r>
              <w:rPr>
                <w:rFonts w:ascii="Arial" w:cs="Arial" w:eastAsia="Arial" w:hAnsi="Arial"/>
                <w:sz w:val="13"/>
                <w:szCs w:val="13"/>
                <w:color w:val="auto"/>
              </w:rPr>
              <w:t>(846)</w:t>
            </w:r>
          </w:p>
        </w:tc>
        <w:tc>
          <w:tcPr>
            <w:tcW w:w="200" w:type="dxa"/>
            <w:vAlign w:val="bottom"/>
          </w:tcPr>
          <w:p>
            <w:pPr>
              <w:spacing w:after="0"/>
              <w:rPr>
                <w:sz w:val="12"/>
                <w:szCs w:val="12"/>
                <w:color w:val="auto"/>
              </w:rPr>
            </w:pPr>
          </w:p>
        </w:tc>
        <w:tc>
          <w:tcPr>
            <w:tcW w:w="200" w:type="dxa"/>
            <w:vAlign w:val="bottom"/>
            <w:vMerge w:val="restart"/>
          </w:tcPr>
          <w:p>
            <w:pPr>
              <w:jc w:val="right"/>
              <w:ind w:right="56"/>
              <w:spacing w:after="0"/>
              <w:rPr>
                <w:sz w:val="20"/>
                <w:szCs w:val="20"/>
                <w:color w:val="auto"/>
              </w:rPr>
            </w:pPr>
            <w:r>
              <w:rPr>
                <w:rFonts w:ascii="Arial" w:cs="Arial" w:eastAsia="Arial" w:hAnsi="Arial"/>
                <w:sz w:val="13"/>
                <w:szCs w:val="13"/>
                <w:color w:val="auto"/>
                <w:w w:val="82"/>
              </w:rPr>
              <w:t>$</w:t>
            </w:r>
          </w:p>
        </w:tc>
        <w:tc>
          <w:tcPr>
            <w:tcW w:w="92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vMerge w:val="restart"/>
          </w:tcPr>
          <w:p>
            <w:pPr>
              <w:jc w:val="right"/>
              <w:ind w:right="36"/>
              <w:spacing w:after="0"/>
              <w:rPr>
                <w:sz w:val="20"/>
                <w:szCs w:val="20"/>
                <w:color w:val="auto"/>
              </w:rPr>
            </w:pPr>
            <w:r>
              <w:rPr>
                <w:rFonts w:ascii="Arial" w:cs="Arial" w:eastAsia="Arial" w:hAnsi="Arial"/>
                <w:sz w:val="13"/>
                <w:szCs w:val="13"/>
                <w:color w:val="auto"/>
              </w:rPr>
              <w:t>$</w:t>
            </w:r>
          </w:p>
        </w:tc>
        <w:tc>
          <w:tcPr>
            <w:tcW w:w="840" w:type="dxa"/>
            <w:vAlign w:val="bottom"/>
            <w:vMerge w:val="restart"/>
          </w:tcPr>
          <w:p>
            <w:pPr>
              <w:jc w:val="right"/>
              <w:spacing w:after="0"/>
              <w:rPr>
                <w:sz w:val="20"/>
                <w:szCs w:val="20"/>
                <w:color w:val="auto"/>
              </w:rPr>
            </w:pPr>
            <w:r>
              <w:rPr>
                <w:rFonts w:ascii="Arial" w:cs="Arial" w:eastAsia="Arial" w:hAnsi="Arial"/>
                <w:sz w:val="13"/>
                <w:szCs w:val="13"/>
                <w:color w:val="auto"/>
              </w:rPr>
              <w:t>(336)</w:t>
            </w:r>
          </w:p>
        </w:tc>
        <w:tc>
          <w:tcPr>
            <w:tcW w:w="100" w:type="dxa"/>
            <w:vAlign w:val="bottom"/>
          </w:tcPr>
          <w:p>
            <w:pPr>
              <w:spacing w:after="0"/>
              <w:rPr>
                <w:sz w:val="12"/>
                <w:szCs w:val="12"/>
                <w:color w:val="auto"/>
              </w:rPr>
            </w:pPr>
          </w:p>
        </w:tc>
        <w:tc>
          <w:tcPr>
            <w:tcW w:w="200" w:type="dxa"/>
            <w:vAlign w:val="bottom"/>
            <w:vMerge w:val="restart"/>
          </w:tcPr>
          <w:p>
            <w:pPr>
              <w:jc w:val="right"/>
              <w:ind w:right="56"/>
              <w:spacing w:after="0"/>
              <w:rPr>
                <w:sz w:val="20"/>
                <w:szCs w:val="20"/>
                <w:color w:val="auto"/>
              </w:rPr>
            </w:pPr>
            <w:r>
              <w:rPr>
                <w:rFonts w:ascii="Arial" w:cs="Arial" w:eastAsia="Arial" w:hAnsi="Arial"/>
                <w:sz w:val="13"/>
                <w:szCs w:val="13"/>
                <w:color w:val="auto"/>
                <w:w w:val="82"/>
              </w:rPr>
              <w:t>$</w:t>
            </w:r>
          </w:p>
        </w:tc>
        <w:tc>
          <w:tcPr>
            <w:tcW w:w="94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220" w:type="dxa"/>
            <w:vAlign w:val="bottom"/>
            <w:vMerge w:val="restart"/>
          </w:tcPr>
          <w:p>
            <w:pPr>
              <w:jc w:val="right"/>
              <w:ind w:right="76"/>
              <w:spacing w:after="0"/>
              <w:rPr>
                <w:sz w:val="20"/>
                <w:szCs w:val="20"/>
                <w:color w:val="auto"/>
              </w:rPr>
            </w:pPr>
            <w:r>
              <w:rPr>
                <w:rFonts w:ascii="Arial" w:cs="Arial" w:eastAsia="Arial" w:hAnsi="Arial"/>
                <w:sz w:val="13"/>
                <w:szCs w:val="13"/>
                <w:color w:val="auto"/>
                <w:w w:val="82"/>
              </w:rPr>
              <w:t>$</w:t>
            </w:r>
          </w:p>
        </w:tc>
        <w:tc>
          <w:tcPr>
            <w:tcW w:w="820" w:type="dxa"/>
            <w:vAlign w:val="bottom"/>
            <w:vMerge w:val="restart"/>
          </w:tcPr>
          <w:p>
            <w:pPr>
              <w:jc w:val="right"/>
              <w:spacing w:after="0"/>
              <w:rPr>
                <w:sz w:val="20"/>
                <w:szCs w:val="20"/>
                <w:color w:val="auto"/>
              </w:rPr>
            </w:pPr>
            <w:r>
              <w:rPr>
                <w:rFonts w:ascii="Arial" w:cs="Arial" w:eastAsia="Arial" w:hAnsi="Arial"/>
                <w:sz w:val="13"/>
                <w:szCs w:val="13"/>
                <w:color w:val="auto"/>
              </w:rPr>
              <w:t>(336)</w:t>
            </w:r>
          </w:p>
        </w:tc>
        <w:tc>
          <w:tcPr>
            <w:tcW w:w="0" w:type="dxa"/>
            <w:vAlign w:val="bottom"/>
          </w:tcPr>
          <w:p>
            <w:pPr>
              <w:spacing w:after="0"/>
              <w:rPr>
                <w:sz w:val="1"/>
                <w:szCs w:val="1"/>
                <w:color w:val="auto"/>
              </w:rPr>
            </w:pPr>
          </w:p>
        </w:tc>
      </w:tr>
      <w:tr>
        <w:trPr>
          <w:trHeight w:val="169"/>
        </w:trPr>
        <w:tc>
          <w:tcPr>
            <w:tcW w:w="2100" w:type="dxa"/>
            <w:vAlign w:val="bottom"/>
            <w:gridSpan w:val="3"/>
          </w:tcPr>
          <w:p>
            <w:pPr>
              <w:ind w:left="300"/>
              <w:spacing w:after="0"/>
              <w:rPr>
                <w:sz w:val="20"/>
                <w:szCs w:val="20"/>
                <w:color w:val="auto"/>
              </w:rPr>
            </w:pPr>
            <w:r>
              <w:rPr>
                <w:rFonts w:ascii="Arial" w:cs="Arial" w:eastAsia="Arial" w:hAnsi="Arial"/>
                <w:sz w:val="13"/>
                <w:szCs w:val="13"/>
                <w:color w:val="auto"/>
              </w:rPr>
              <w:t>contracts</w:t>
            </w:r>
          </w:p>
        </w:tc>
        <w:tc>
          <w:tcPr>
            <w:tcW w:w="720" w:type="dxa"/>
            <w:vAlign w:val="bottom"/>
            <w:vMerge w:val="continue"/>
          </w:tcPr>
          <w:p>
            <w:pPr>
              <w:spacing w:after="0"/>
              <w:rPr>
                <w:sz w:val="14"/>
                <w:szCs w:val="14"/>
                <w:color w:val="auto"/>
              </w:rPr>
            </w:pPr>
          </w:p>
        </w:tc>
        <w:tc>
          <w:tcPr>
            <w:tcW w:w="380" w:type="dxa"/>
            <w:vAlign w:val="bottom"/>
            <w:gridSpan w:val="2"/>
            <w:vMerge w:val="continue"/>
          </w:tcPr>
          <w:p>
            <w:pPr>
              <w:spacing w:after="0"/>
              <w:rPr>
                <w:sz w:val="14"/>
                <w:szCs w:val="14"/>
                <w:color w:val="auto"/>
              </w:rPr>
            </w:pPr>
          </w:p>
        </w:tc>
        <w:tc>
          <w:tcPr>
            <w:tcW w:w="20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vMerge w:val="continue"/>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24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vMerge w:val="continue"/>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20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2100" w:type="dxa"/>
            <w:vAlign w:val="bottom"/>
            <w:gridSpan w:val="3"/>
          </w:tcPr>
          <w:p>
            <w:pPr>
              <w:ind w:left="160"/>
              <w:spacing w:after="0"/>
              <w:rPr>
                <w:sz w:val="20"/>
                <w:szCs w:val="20"/>
                <w:color w:val="auto"/>
              </w:rPr>
            </w:pPr>
            <w:r>
              <w:rPr>
                <w:rFonts w:ascii="Arial" w:cs="Arial" w:eastAsia="Arial" w:hAnsi="Arial"/>
                <w:sz w:val="13"/>
                <w:szCs w:val="13"/>
                <w:color w:val="auto"/>
              </w:rPr>
              <w:t>Options and futures</w:t>
            </w:r>
          </w:p>
        </w:tc>
        <w:tc>
          <w:tcPr>
            <w:tcW w:w="7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(38)</w:t>
            </w:r>
          </w:p>
        </w:tc>
        <w:tc>
          <w:tcPr>
            <w:tcW w:w="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(38)</w:t>
            </w:r>
          </w:p>
        </w:tc>
        <w:tc>
          <w:tcPr>
            <w:tcW w:w="0" w:type="dxa"/>
            <w:vAlign w:val="bottom"/>
          </w:tcPr>
          <w:p>
            <w:pPr>
              <w:spacing w:after="0"/>
              <w:rPr>
                <w:sz w:val="1"/>
                <w:szCs w:val="1"/>
                <w:color w:val="auto"/>
              </w:rPr>
            </w:pPr>
          </w:p>
        </w:tc>
      </w:tr>
      <w:tr>
        <w:trPr>
          <w:trHeight w:val="180"/>
        </w:trPr>
        <w:tc>
          <w:tcPr>
            <w:tcW w:w="2100" w:type="dxa"/>
            <w:vAlign w:val="bottom"/>
            <w:gridSpan w:val="3"/>
          </w:tcPr>
          <w:p>
            <w:pPr>
              <w:ind w:left="300"/>
              <w:spacing w:after="0" w:line="181" w:lineRule="exact"/>
              <w:rPr>
                <w:sz w:val="20"/>
                <w:szCs w:val="20"/>
                <w:color w:val="auto"/>
              </w:rPr>
            </w:pPr>
            <w:r>
              <w:rPr>
                <w:rFonts w:ascii="Arial" w:cs="Arial" w:eastAsia="Arial" w:hAnsi="Arial"/>
                <w:sz w:val="13"/>
                <w:szCs w:val="13"/>
                <w:color w:val="auto"/>
              </w:rPr>
              <w:t xml:space="preserve">Total derivatives </w:t>
            </w:r>
            <w:r>
              <w:rPr>
                <w:rFonts w:ascii="Arial" w:cs="Arial" w:eastAsia="Arial" w:hAnsi="Arial"/>
                <w:sz w:val="16"/>
                <w:szCs w:val="16"/>
                <w:color w:val="auto"/>
                <w:vertAlign w:val="superscript"/>
              </w:rPr>
              <w:t>(3)</w:t>
            </w:r>
          </w:p>
        </w:tc>
        <w:tc>
          <w:tcPr>
            <w:tcW w:w="7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(846)</w:t>
            </w:r>
          </w:p>
        </w:tc>
        <w:tc>
          <w:tcPr>
            <w:tcW w:w="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(846)</w:t>
            </w:r>
          </w:p>
        </w:tc>
        <w:tc>
          <w:tcPr>
            <w:tcW w:w="2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(38)</w:t>
            </w:r>
          </w:p>
        </w:tc>
        <w:tc>
          <w:tcPr>
            <w:tcW w:w="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(336)</w:t>
            </w: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(374)</w:t>
            </w:r>
          </w:p>
        </w:tc>
        <w:tc>
          <w:tcPr>
            <w:tcW w:w="0" w:type="dxa"/>
            <w:vAlign w:val="bottom"/>
          </w:tcPr>
          <w:p>
            <w:pPr>
              <w:spacing w:after="0"/>
              <w:rPr>
                <w:sz w:val="1"/>
                <w:szCs w:val="1"/>
                <w:color w:val="auto"/>
              </w:rPr>
            </w:pPr>
          </w:p>
        </w:tc>
      </w:tr>
      <w:tr>
        <w:trPr>
          <w:trHeight w:val="173"/>
        </w:trPr>
        <w:tc>
          <w:tcPr>
            <w:tcW w:w="2100" w:type="dxa"/>
            <w:vAlign w:val="bottom"/>
            <w:gridSpan w:val="3"/>
          </w:tcPr>
          <w:p>
            <w:pPr>
              <w:spacing w:after="0"/>
              <w:rPr>
                <w:sz w:val="20"/>
                <w:szCs w:val="20"/>
                <w:color w:val="auto"/>
              </w:rPr>
            </w:pPr>
            <w:r>
              <w:rPr>
                <w:rFonts w:ascii="Arial" w:cs="Arial" w:eastAsia="Arial" w:hAnsi="Arial"/>
                <w:sz w:val="13"/>
                <w:szCs w:val="13"/>
                <w:color w:val="auto"/>
              </w:rPr>
              <w:t>Total liabilities</w:t>
            </w:r>
          </w:p>
        </w:tc>
        <w:tc>
          <w:tcPr>
            <w:tcW w:w="720" w:type="dxa"/>
            <w:vAlign w:val="bottom"/>
          </w:tcPr>
          <w:p>
            <w:pPr>
              <w:jc w:val="right"/>
              <w:ind w:right="576"/>
              <w:spacing w:after="0"/>
              <w:rPr>
                <w:sz w:val="20"/>
                <w:szCs w:val="20"/>
                <w:color w:val="auto"/>
              </w:rPr>
            </w:pPr>
            <w:r>
              <w:rPr>
                <w:rFonts w:ascii="Arial" w:cs="Arial" w:eastAsia="Arial" w:hAnsi="Arial"/>
                <w:sz w:val="13"/>
                <w:szCs w:val="13"/>
                <w:color w:val="auto"/>
                <w:w w:val="82"/>
              </w:rPr>
              <w:t>$</w:t>
            </w:r>
          </w:p>
        </w:tc>
        <w:tc>
          <w:tcPr>
            <w:tcW w:w="3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0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(3,409,208)</w:t>
            </w:r>
          </w:p>
        </w:tc>
        <w:tc>
          <w:tcPr>
            <w:tcW w:w="80" w:type="dxa"/>
            <w:vAlign w:val="bottom"/>
          </w:tcPr>
          <w:p>
            <w:pPr>
              <w:spacing w:after="0"/>
              <w:rPr>
                <w:sz w:val="15"/>
                <w:szCs w:val="15"/>
                <w:color w:val="auto"/>
              </w:rPr>
            </w:pPr>
          </w:p>
        </w:tc>
        <w:tc>
          <w:tcPr>
            <w:tcW w:w="20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40" w:type="dxa"/>
            <w:vAlign w:val="bottom"/>
          </w:tcPr>
          <w:p>
            <w:pPr>
              <w:jc w:val="right"/>
              <w:ind w:right="76"/>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(3,409,208)</w:t>
            </w:r>
          </w:p>
        </w:tc>
        <w:tc>
          <w:tcPr>
            <w:tcW w:w="200" w:type="dxa"/>
            <w:vAlign w:val="bottom"/>
          </w:tcPr>
          <w:p>
            <w:pPr>
              <w:spacing w:after="0"/>
              <w:rPr>
                <w:sz w:val="15"/>
                <w:szCs w:val="15"/>
                <w:color w:val="auto"/>
              </w:rPr>
            </w:pPr>
          </w:p>
        </w:tc>
        <w:tc>
          <w:tcPr>
            <w:tcW w:w="200" w:type="dxa"/>
            <w:vAlign w:val="bottom"/>
          </w:tcPr>
          <w:p>
            <w:pPr>
              <w:jc w:val="right"/>
              <w:ind w:right="56"/>
              <w:spacing w:after="0"/>
              <w:rPr>
                <w:sz w:val="20"/>
                <w:szCs w:val="20"/>
                <w:color w:val="auto"/>
              </w:rPr>
            </w:pPr>
            <w:r>
              <w:rPr>
                <w:rFonts w:ascii="Arial" w:cs="Arial" w:eastAsia="Arial" w:hAnsi="Arial"/>
                <w:sz w:val="13"/>
                <w:szCs w:val="13"/>
                <w:color w:val="auto"/>
                <w:w w:val="82"/>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(38)</w:t>
            </w:r>
          </w:p>
        </w:tc>
        <w:tc>
          <w:tcPr>
            <w:tcW w:w="80" w:type="dxa"/>
            <w:vAlign w:val="bottom"/>
          </w:tcPr>
          <w:p>
            <w:pPr>
              <w:spacing w:after="0"/>
              <w:rPr>
                <w:sz w:val="15"/>
                <w:szCs w:val="15"/>
                <w:color w:val="auto"/>
              </w:rPr>
            </w:pPr>
          </w:p>
        </w:tc>
        <w:tc>
          <w:tcPr>
            <w:tcW w:w="20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(1,670,688)</w:t>
            </w:r>
          </w:p>
        </w:tc>
        <w:tc>
          <w:tcPr>
            <w:tcW w:w="100" w:type="dxa"/>
            <w:vAlign w:val="bottom"/>
          </w:tcPr>
          <w:p>
            <w:pPr>
              <w:spacing w:after="0"/>
              <w:rPr>
                <w:sz w:val="15"/>
                <w:szCs w:val="15"/>
                <w:color w:val="auto"/>
              </w:rPr>
            </w:pPr>
          </w:p>
        </w:tc>
        <w:tc>
          <w:tcPr>
            <w:tcW w:w="200" w:type="dxa"/>
            <w:vAlign w:val="bottom"/>
          </w:tcPr>
          <w:p>
            <w:pPr>
              <w:jc w:val="right"/>
              <w:ind w:right="56"/>
              <w:spacing w:after="0"/>
              <w:rPr>
                <w:sz w:val="20"/>
                <w:szCs w:val="20"/>
                <w:color w:val="auto"/>
              </w:rPr>
            </w:pPr>
            <w:r>
              <w:rPr>
                <w:rFonts w:ascii="Arial" w:cs="Arial" w:eastAsia="Arial" w:hAnsi="Arial"/>
                <w:sz w:val="13"/>
                <w:szCs w:val="13"/>
                <w:color w:val="auto"/>
                <w:w w:val="82"/>
              </w:rPr>
              <w:t>$</w:t>
            </w:r>
          </w:p>
        </w:tc>
        <w:tc>
          <w:tcPr>
            <w:tcW w:w="9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20" w:type="dxa"/>
            <w:vAlign w:val="bottom"/>
          </w:tcPr>
          <w:p>
            <w:pPr>
              <w:jc w:val="right"/>
              <w:ind w:right="76"/>
              <w:spacing w:after="0"/>
              <w:rPr>
                <w:sz w:val="20"/>
                <w:szCs w:val="20"/>
                <w:color w:val="auto"/>
              </w:rPr>
            </w:pPr>
            <w:r>
              <w:rPr>
                <w:rFonts w:ascii="Arial" w:cs="Arial" w:eastAsia="Arial" w:hAnsi="Arial"/>
                <w:sz w:val="13"/>
                <w:szCs w:val="13"/>
                <w:color w:val="auto"/>
                <w:w w:val="82"/>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(1,670,726)</w:t>
            </w: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204470</wp:posOffset>
            </wp:positionV>
            <wp:extent cx="38481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04">
                      <a:extLst>
                        <a:ext uri="{28A0092B-C50C-407E-A947-70E740481C1C}"/>
                      </a:extLst>
                    </a:blip>
                    <a:srcRect/>
                    <a:stretch>
                      <a:fillRect/>
                    </a:stretch>
                  </pic:blipFill>
                  <pic:spPr bwMode="auto">
                    <a:xfrm>
                      <a:off x="0" y="0"/>
                      <a:ext cx="384810" cy="8255"/>
                    </a:xfrm>
                    <a:prstGeom prst="rect">
                      <a:avLst/>
                    </a:prstGeom>
                    <a:noFill/>
                  </pic:spPr>
                </pic:pic>
              </a:graphicData>
            </a:graphic>
          </wp:anchor>
        </w:drawing>
      </w:r>
    </w:p>
    <w:p>
      <w:pPr>
        <w:spacing w:after="0" w:line="200" w:lineRule="exact"/>
        <w:rPr>
          <w:sz w:val="20"/>
          <w:szCs w:val="20"/>
          <w:color w:val="auto"/>
        </w:rPr>
      </w:pPr>
    </w:p>
    <w:p>
      <w:pPr>
        <w:spacing w:after="0" w:line="232" w:lineRule="exact"/>
        <w:rPr>
          <w:sz w:val="20"/>
          <w:szCs w:val="20"/>
          <w:color w:val="auto"/>
        </w:rPr>
      </w:pPr>
    </w:p>
    <w:p>
      <w:pPr>
        <w:ind w:left="360" w:hanging="357"/>
        <w:spacing w:after="0"/>
        <w:tabs>
          <w:tab w:leader="none" w:pos="360" w:val="left"/>
        </w:tabs>
        <w:numPr>
          <w:ilvl w:val="0"/>
          <w:numId w:val="65"/>
        </w:numPr>
        <w:rPr>
          <w:rFonts w:ascii="Arial" w:cs="Arial" w:eastAsia="Arial" w:hAnsi="Arial"/>
          <w:sz w:val="15"/>
          <w:szCs w:val="15"/>
          <w:color w:val="auto"/>
        </w:rPr>
      </w:pPr>
      <w:r>
        <w:rPr>
          <w:rFonts w:ascii="Arial" w:cs="Arial" w:eastAsia="Arial" w:hAnsi="Arial"/>
          <w:sz w:val="15"/>
          <w:szCs w:val="15"/>
          <w:color w:val="auto"/>
        </w:rPr>
        <w:t>Amounts are included in other assets under “assets of consolidated funds” in the consolidated statements of financial condition.</w:t>
      </w:r>
    </w:p>
    <w:p>
      <w:pPr>
        <w:spacing w:after="0" w:line="31" w:lineRule="exact"/>
        <w:rPr>
          <w:rFonts w:ascii="Arial" w:cs="Arial" w:eastAsia="Arial" w:hAnsi="Arial"/>
          <w:sz w:val="15"/>
          <w:szCs w:val="15"/>
          <w:color w:val="auto"/>
        </w:rPr>
      </w:pPr>
    </w:p>
    <w:p>
      <w:pPr>
        <w:ind w:left="360" w:hanging="357"/>
        <w:spacing w:after="0"/>
        <w:tabs>
          <w:tab w:leader="none" w:pos="360" w:val="left"/>
        </w:tabs>
        <w:numPr>
          <w:ilvl w:val="0"/>
          <w:numId w:val="65"/>
        </w:numPr>
        <w:rPr>
          <w:rFonts w:ascii="Arial" w:cs="Arial" w:eastAsia="Arial" w:hAnsi="Arial"/>
          <w:sz w:val="15"/>
          <w:szCs w:val="15"/>
          <w:color w:val="auto"/>
        </w:rPr>
      </w:pPr>
      <w:r>
        <w:rPr>
          <w:rFonts w:ascii="Arial" w:cs="Arial" w:eastAsia="Arial" w:hAnsi="Arial"/>
          <w:sz w:val="15"/>
          <w:szCs w:val="15"/>
          <w:color w:val="auto"/>
        </w:rPr>
        <w:t>The fair value of CLO liabilities is classified based on the more observable fair value of CLO assets. Please see notes 2 and 9 for more information.</w:t>
      </w:r>
    </w:p>
    <w:p>
      <w:pPr>
        <w:spacing w:after="0" w:line="11" w:lineRule="exact"/>
        <w:rPr>
          <w:rFonts w:ascii="Arial" w:cs="Arial" w:eastAsia="Arial" w:hAnsi="Arial"/>
          <w:sz w:val="15"/>
          <w:szCs w:val="15"/>
          <w:color w:val="auto"/>
        </w:rPr>
      </w:pPr>
    </w:p>
    <w:p>
      <w:pPr>
        <w:ind w:left="380" w:right="260" w:hanging="377"/>
        <w:spacing w:after="0" w:line="275" w:lineRule="auto"/>
        <w:tabs>
          <w:tab w:leader="none" w:pos="346" w:val="left"/>
        </w:tabs>
        <w:numPr>
          <w:ilvl w:val="0"/>
          <w:numId w:val="65"/>
        </w:numPr>
        <w:rPr>
          <w:rFonts w:ascii="Arial" w:cs="Arial" w:eastAsia="Arial" w:hAnsi="Arial"/>
          <w:sz w:val="15"/>
          <w:szCs w:val="15"/>
          <w:color w:val="auto"/>
        </w:rPr>
      </w:pPr>
      <w:r>
        <w:rPr>
          <w:rFonts w:ascii="Arial" w:cs="Arial" w:eastAsia="Arial" w:hAnsi="Arial"/>
          <w:sz w:val="15"/>
          <w:szCs w:val="15"/>
          <w:color w:val="auto"/>
        </w:rPr>
        <w:t>Amounts are included in accounts payable, accrued expenses and other liabilities under “liabilities of consolidated funds” in the consolidated statements of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23</w:t>
      </w:r>
    </w:p>
    <w:p>
      <w:pPr>
        <w:sectPr>
          <w:pgSz w:w="11900" w:h="16838" w:orient="portrait"/>
          <w:cols w:equalWidth="0" w:num="1">
            <w:col w:w="11160"/>
          </w:cols>
          <w:pgMar w:left="320" w:top="353" w:right="419" w:bottom="1440" w:gutter="0" w:footer="0" w:header="0"/>
        </w:sectPr>
      </w:pPr>
    </w:p>
    <w:bookmarkStart w:id="163" w:name="page164"/>
    <w:bookmarkEnd w:id="163"/>
    <w:p>
      <w:pPr>
        <w:jc w:val="center"/>
        <w:spacing w:after="0"/>
        <w:rPr>
          <w:sz w:val="20"/>
          <w:szCs w:val="20"/>
          <w:color w:val="auto"/>
        </w:rPr>
      </w:pPr>
      <w:r>
        <w:rPr>
          <w:rFonts w:ascii="Arial" w:cs="Arial" w:eastAsia="Arial" w:hAnsi="Arial"/>
          <w:sz w:val="17"/>
          <w:szCs w:val="17"/>
          <w:b w:val="1"/>
          <w:bCs w:val="1"/>
          <w:color w:val="auto"/>
        </w:rPr>
        <w:t>Oaktree Capital I, L.P.</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 (Continued)</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December 31, 2025</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 in thousands, except where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following tables set forth a summary of changes in the fair value of Level III investments:</w:t>
      </w:r>
    </w:p>
    <w:p>
      <w:pPr>
        <w:spacing w:after="0" w:line="31"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2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rPr>
              <w:t>Corporate</w:t>
            </w:r>
          </w:p>
        </w:tc>
        <w:tc>
          <w:tcPr>
            <w:tcW w:w="120" w:type="dxa"/>
            <w:vAlign w:val="bottom"/>
          </w:tcPr>
          <w:p>
            <w:pPr>
              <w:spacing w:after="0"/>
              <w:rPr>
                <w:sz w:val="12"/>
                <w:szCs w:val="12"/>
                <w:color w:val="auto"/>
              </w:rPr>
            </w:pPr>
          </w:p>
        </w:tc>
        <w:tc>
          <w:tcPr>
            <w:tcW w:w="940" w:type="dxa"/>
            <w:vAlign w:val="bottom"/>
            <w:gridSpan w:val="2"/>
          </w:tcPr>
          <w:p>
            <w:pPr>
              <w:jc w:val="center"/>
              <w:ind w:right="280"/>
              <w:spacing w:after="0"/>
              <w:rPr>
                <w:sz w:val="20"/>
                <w:szCs w:val="20"/>
                <w:color w:val="auto"/>
              </w:rPr>
            </w:pPr>
            <w:r>
              <w:rPr>
                <w:rFonts w:ascii="Arial" w:cs="Arial" w:eastAsia="Arial" w:hAnsi="Arial"/>
                <w:sz w:val="12"/>
                <w:szCs w:val="12"/>
                <w:b w:val="1"/>
                <w:bCs w:val="1"/>
                <w:color w:val="auto"/>
              </w:rPr>
              <w:t>Corporate</w:t>
            </w:r>
          </w:p>
        </w:tc>
        <w:tc>
          <w:tcPr>
            <w:tcW w:w="140" w:type="dxa"/>
            <w:vAlign w:val="bottom"/>
          </w:tcPr>
          <w:p>
            <w:pPr>
              <w:spacing w:after="0"/>
              <w:rPr>
                <w:sz w:val="12"/>
                <w:szCs w:val="12"/>
                <w:color w:val="auto"/>
              </w:rPr>
            </w:pPr>
          </w:p>
        </w:tc>
        <w:tc>
          <w:tcPr>
            <w:tcW w:w="920" w:type="dxa"/>
            <w:vAlign w:val="bottom"/>
            <w:gridSpan w:val="2"/>
          </w:tcPr>
          <w:p>
            <w:pPr>
              <w:jc w:val="center"/>
              <w:ind w:right="280"/>
              <w:spacing w:after="0"/>
              <w:rPr>
                <w:sz w:val="20"/>
                <w:szCs w:val="20"/>
                <w:color w:val="auto"/>
              </w:rPr>
            </w:pPr>
            <w:r>
              <w:rPr>
                <w:rFonts w:ascii="Arial" w:cs="Arial" w:eastAsia="Arial" w:hAnsi="Arial"/>
                <w:sz w:val="12"/>
                <w:szCs w:val="12"/>
                <w:b w:val="1"/>
                <w:bCs w:val="1"/>
                <w:color w:val="auto"/>
                <w:w w:val="98"/>
              </w:rPr>
              <w:t>Equities –</w:t>
            </w:r>
          </w:p>
        </w:tc>
        <w:tc>
          <w:tcPr>
            <w:tcW w:w="120" w:type="dxa"/>
            <w:vAlign w:val="bottom"/>
          </w:tcPr>
          <w:p>
            <w:pPr>
              <w:spacing w:after="0"/>
              <w:rPr>
                <w:sz w:val="12"/>
                <w:szCs w:val="12"/>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w w:val="98"/>
              </w:rPr>
              <w:t>Equities –</w:t>
            </w: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4"/>
        </w:trPr>
        <w:tc>
          <w:tcPr>
            <w:tcW w:w="2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gridSpan w:val="2"/>
          </w:tcPr>
          <w:p>
            <w:pPr>
              <w:jc w:val="center"/>
              <w:ind w:right="240"/>
              <w:spacing w:after="0" w:line="124" w:lineRule="exact"/>
              <w:rPr>
                <w:sz w:val="20"/>
                <w:szCs w:val="20"/>
                <w:color w:val="auto"/>
              </w:rPr>
            </w:pPr>
            <w:r>
              <w:rPr>
                <w:rFonts w:ascii="Arial" w:cs="Arial" w:eastAsia="Arial" w:hAnsi="Arial"/>
                <w:sz w:val="12"/>
                <w:szCs w:val="12"/>
                <w:b w:val="1"/>
                <w:bCs w:val="1"/>
                <w:color w:val="auto"/>
              </w:rPr>
              <w:t>Debt – Bank</w:t>
            </w:r>
          </w:p>
        </w:tc>
        <w:tc>
          <w:tcPr>
            <w:tcW w:w="120" w:type="dxa"/>
            <w:vAlign w:val="bottom"/>
          </w:tcPr>
          <w:p>
            <w:pPr>
              <w:spacing w:after="0"/>
              <w:rPr>
                <w:sz w:val="10"/>
                <w:szCs w:val="10"/>
                <w:color w:val="auto"/>
              </w:rPr>
            </w:pPr>
          </w:p>
        </w:tc>
        <w:tc>
          <w:tcPr>
            <w:tcW w:w="940" w:type="dxa"/>
            <w:vAlign w:val="bottom"/>
            <w:gridSpan w:val="2"/>
          </w:tcPr>
          <w:p>
            <w:pPr>
              <w:jc w:val="center"/>
              <w:ind w:right="260"/>
              <w:spacing w:after="0" w:line="124" w:lineRule="exact"/>
              <w:rPr>
                <w:sz w:val="20"/>
                <w:szCs w:val="20"/>
                <w:color w:val="auto"/>
              </w:rPr>
            </w:pPr>
            <w:r>
              <w:rPr>
                <w:rFonts w:ascii="Arial" w:cs="Arial" w:eastAsia="Arial" w:hAnsi="Arial"/>
                <w:sz w:val="12"/>
                <w:szCs w:val="12"/>
                <w:b w:val="1"/>
                <w:bCs w:val="1"/>
                <w:color w:val="auto"/>
              </w:rPr>
              <w:t>Debt – All</w:t>
            </w:r>
          </w:p>
        </w:tc>
        <w:tc>
          <w:tcPr>
            <w:tcW w:w="140" w:type="dxa"/>
            <w:vAlign w:val="bottom"/>
          </w:tcPr>
          <w:p>
            <w:pPr>
              <w:spacing w:after="0"/>
              <w:rPr>
                <w:sz w:val="10"/>
                <w:szCs w:val="10"/>
                <w:color w:val="auto"/>
              </w:rPr>
            </w:pPr>
          </w:p>
        </w:tc>
        <w:tc>
          <w:tcPr>
            <w:tcW w:w="920" w:type="dxa"/>
            <w:vAlign w:val="bottom"/>
            <w:gridSpan w:val="2"/>
          </w:tcPr>
          <w:p>
            <w:pPr>
              <w:jc w:val="center"/>
              <w:ind w:right="280"/>
              <w:spacing w:after="0" w:line="124" w:lineRule="exact"/>
              <w:rPr>
                <w:sz w:val="20"/>
                <w:szCs w:val="20"/>
                <w:color w:val="auto"/>
              </w:rPr>
            </w:pPr>
            <w:r>
              <w:rPr>
                <w:rFonts w:ascii="Arial" w:cs="Arial" w:eastAsia="Arial" w:hAnsi="Arial"/>
                <w:sz w:val="12"/>
                <w:szCs w:val="12"/>
                <w:b w:val="1"/>
                <w:bCs w:val="1"/>
                <w:color w:val="auto"/>
                <w:w w:val="99"/>
              </w:rPr>
              <w:t>Common</w:t>
            </w:r>
          </w:p>
        </w:tc>
        <w:tc>
          <w:tcPr>
            <w:tcW w:w="120" w:type="dxa"/>
            <w:vAlign w:val="bottom"/>
          </w:tcPr>
          <w:p>
            <w:pPr>
              <w:spacing w:after="0"/>
              <w:rPr>
                <w:sz w:val="10"/>
                <w:szCs w:val="10"/>
                <w:color w:val="auto"/>
              </w:rPr>
            </w:pPr>
          </w:p>
        </w:tc>
        <w:tc>
          <w:tcPr>
            <w:tcW w:w="900" w:type="dxa"/>
            <w:vAlign w:val="bottom"/>
            <w:gridSpan w:val="2"/>
          </w:tcPr>
          <w:p>
            <w:pPr>
              <w:jc w:val="center"/>
              <w:ind w:right="260"/>
              <w:spacing w:after="0" w:line="124" w:lineRule="exact"/>
              <w:rPr>
                <w:sz w:val="20"/>
                <w:szCs w:val="20"/>
                <w:color w:val="auto"/>
              </w:rPr>
            </w:pPr>
            <w:r>
              <w:rPr>
                <w:rFonts w:ascii="Arial" w:cs="Arial" w:eastAsia="Arial" w:hAnsi="Arial"/>
                <w:sz w:val="12"/>
                <w:szCs w:val="12"/>
                <w:b w:val="1"/>
                <w:bCs w:val="1"/>
                <w:color w:val="auto"/>
                <w:w w:val="97"/>
              </w:rPr>
              <w:t>Preferred</w:t>
            </w:r>
          </w:p>
        </w:tc>
        <w:tc>
          <w:tcPr>
            <w:tcW w:w="120" w:type="dxa"/>
            <w:vAlign w:val="bottom"/>
          </w:tcPr>
          <w:p>
            <w:pPr>
              <w:spacing w:after="0"/>
              <w:rPr>
                <w:sz w:val="10"/>
                <w:szCs w:val="10"/>
                <w:color w:val="auto"/>
              </w:rPr>
            </w:pPr>
          </w:p>
        </w:tc>
        <w:tc>
          <w:tcPr>
            <w:tcW w:w="9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Real Estate</w:t>
            </w:r>
          </w:p>
        </w:tc>
        <w:tc>
          <w:tcPr>
            <w:tcW w:w="180" w:type="dxa"/>
            <w:vAlign w:val="bottom"/>
          </w:tcPr>
          <w:p>
            <w:pPr>
              <w:spacing w:after="0"/>
              <w:rPr>
                <w:sz w:val="10"/>
                <w:szCs w:val="10"/>
                <w:color w:val="auto"/>
              </w:rPr>
            </w:pPr>
          </w:p>
        </w:tc>
        <w:tc>
          <w:tcPr>
            <w:tcW w:w="84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Swaps</w:t>
            </w:r>
          </w:p>
        </w:tc>
        <w:tc>
          <w:tcPr>
            <w:tcW w:w="220" w:type="dxa"/>
            <w:vAlign w:val="bottom"/>
          </w:tcPr>
          <w:p>
            <w:pPr>
              <w:spacing w:after="0"/>
              <w:rPr>
                <w:sz w:val="10"/>
                <w:szCs w:val="10"/>
                <w:color w:val="auto"/>
              </w:rPr>
            </w:pPr>
          </w:p>
        </w:tc>
        <w:tc>
          <w:tcPr>
            <w:tcW w:w="720" w:type="dxa"/>
            <w:vAlign w:val="bottom"/>
            <w:vMerge w:val="restart"/>
          </w:tcPr>
          <w:p>
            <w:pPr>
              <w:jc w:val="right"/>
              <w:ind w:right="256"/>
              <w:spacing w:after="0"/>
              <w:rPr>
                <w:sz w:val="20"/>
                <w:szCs w:val="20"/>
                <w:color w:val="auto"/>
              </w:rPr>
            </w:pPr>
            <w:r>
              <w:rPr>
                <w:rFonts w:ascii="Arial" w:cs="Arial" w:eastAsia="Arial" w:hAnsi="Arial"/>
                <w:sz w:val="12"/>
                <w:szCs w:val="12"/>
                <w:b w:val="1"/>
                <w:bCs w:val="1"/>
                <w:color w:val="auto"/>
              </w:rPr>
              <w:t>Total</w:t>
            </w:r>
          </w:p>
        </w:tc>
        <w:tc>
          <w:tcPr>
            <w:tcW w:w="0" w:type="dxa"/>
            <w:vAlign w:val="bottom"/>
          </w:tcPr>
          <w:p>
            <w:pPr>
              <w:spacing w:after="0"/>
              <w:rPr>
                <w:sz w:val="1"/>
                <w:szCs w:val="1"/>
                <w:color w:val="auto"/>
              </w:rPr>
            </w:pPr>
          </w:p>
        </w:tc>
      </w:tr>
      <w:tr>
        <w:trPr>
          <w:trHeight w:val="165"/>
        </w:trPr>
        <w:tc>
          <w:tcPr>
            <w:tcW w:w="2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97"/>
              </w:rPr>
              <w:t>Debt</w:t>
            </w:r>
          </w:p>
        </w:tc>
        <w:tc>
          <w:tcPr>
            <w:tcW w:w="120" w:type="dxa"/>
            <w:vAlign w:val="bottom"/>
          </w:tcPr>
          <w:p>
            <w:pPr>
              <w:spacing w:after="0"/>
              <w:rPr>
                <w:sz w:val="14"/>
                <w:szCs w:val="14"/>
                <w:color w:val="auto"/>
              </w:rPr>
            </w:pPr>
          </w:p>
        </w:tc>
        <w:tc>
          <w:tcPr>
            <w:tcW w:w="94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w w:val="99"/>
              </w:rPr>
              <w:t>Other</w:t>
            </w:r>
          </w:p>
        </w:tc>
        <w:tc>
          <w:tcPr>
            <w:tcW w:w="140" w:type="dxa"/>
            <w:vAlign w:val="bottom"/>
          </w:tcPr>
          <w:p>
            <w:pPr>
              <w:spacing w:after="0"/>
              <w:rPr>
                <w:sz w:val="14"/>
                <w:szCs w:val="14"/>
                <w:color w:val="auto"/>
              </w:rPr>
            </w:pPr>
          </w:p>
        </w:tc>
        <w:tc>
          <w:tcPr>
            <w:tcW w:w="920" w:type="dxa"/>
            <w:vAlign w:val="bottom"/>
            <w:gridSpan w:val="2"/>
          </w:tcPr>
          <w:p>
            <w:pPr>
              <w:jc w:val="center"/>
              <w:ind w:right="280"/>
              <w:spacing w:after="0"/>
              <w:rPr>
                <w:sz w:val="20"/>
                <w:szCs w:val="20"/>
                <w:color w:val="auto"/>
              </w:rPr>
            </w:pPr>
            <w:r>
              <w:rPr>
                <w:rFonts w:ascii="Arial" w:cs="Arial" w:eastAsia="Arial" w:hAnsi="Arial"/>
                <w:sz w:val="12"/>
                <w:szCs w:val="12"/>
                <w:b w:val="1"/>
                <w:bCs w:val="1"/>
                <w:color w:val="auto"/>
                <w:w w:val="97"/>
              </w:rPr>
              <w:t>Stock</w:t>
            </w:r>
          </w:p>
        </w:tc>
        <w:tc>
          <w:tcPr>
            <w:tcW w:w="120" w:type="dxa"/>
            <w:vAlign w:val="bottom"/>
          </w:tcPr>
          <w:p>
            <w:pPr>
              <w:spacing w:after="0"/>
              <w:rPr>
                <w:sz w:val="14"/>
                <w:szCs w:val="14"/>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w w:val="97"/>
              </w:rPr>
              <w:t>Stock</w:t>
            </w:r>
          </w:p>
        </w:tc>
        <w:tc>
          <w:tcPr>
            <w:tcW w:w="12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020" w:type="dxa"/>
            <w:vAlign w:val="bottom"/>
            <w:gridSpan w:val="3"/>
          </w:tcPr>
          <w:p>
            <w:pPr>
              <w:spacing w:after="0"/>
              <w:rPr>
                <w:sz w:val="20"/>
                <w:szCs w:val="20"/>
                <w:color w:val="auto"/>
              </w:rPr>
            </w:pPr>
            <w:r>
              <w:rPr>
                <w:rFonts w:ascii="Arial" w:cs="Arial" w:eastAsia="Arial" w:hAnsi="Arial"/>
                <w:sz w:val="12"/>
                <w:szCs w:val="12"/>
                <w:b w:val="1"/>
                <w:bCs w:val="1"/>
                <w:color w:val="auto"/>
              </w:rPr>
              <w:t>Twelve months ended December 31, 2025</w:t>
            </w:r>
          </w:p>
        </w:tc>
        <w:tc>
          <w:tcPr>
            <w:tcW w:w="1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2360" w:type="dxa"/>
            <w:vAlign w:val="bottom"/>
            <w:tcBorders>
              <w:top w:val="single" w:sz="8" w:color="auto"/>
            </w:tcBorders>
            <w:gridSpan w:val="2"/>
          </w:tcPr>
          <w:p>
            <w:pPr>
              <w:spacing w:after="0"/>
              <w:rPr>
                <w:sz w:val="20"/>
                <w:szCs w:val="20"/>
                <w:color w:val="auto"/>
              </w:rPr>
            </w:pPr>
            <w:r>
              <w:rPr>
                <w:rFonts w:ascii="Arial" w:cs="Arial" w:eastAsia="Arial" w:hAnsi="Arial"/>
                <w:sz w:val="13"/>
                <w:szCs w:val="13"/>
                <w:color w:val="auto"/>
              </w:rPr>
              <w:t>Beginning balance</w:t>
            </w:r>
          </w:p>
        </w:tc>
        <w:tc>
          <w:tcPr>
            <w:tcW w:w="166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100,601</w:t>
            </w:r>
          </w:p>
        </w:tc>
        <w:tc>
          <w:tcPr>
            <w:tcW w:w="14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1,525</w:t>
            </w:r>
          </w:p>
        </w:tc>
        <w:tc>
          <w:tcPr>
            <w:tcW w:w="16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1,538</w:t>
            </w:r>
          </w:p>
        </w:tc>
        <w:tc>
          <w:tcPr>
            <w:tcW w:w="14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2,667</w:t>
            </w:r>
          </w:p>
        </w:tc>
        <w:tc>
          <w:tcPr>
            <w:tcW w:w="14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tcPr>
          <w:p>
            <w:pPr>
              <w:jc w:val="right"/>
              <w:ind w:right="36"/>
              <w:spacing w:after="0"/>
              <w:rPr>
                <w:sz w:val="20"/>
                <w:szCs w:val="20"/>
                <w:color w:val="auto"/>
              </w:rPr>
            </w:pPr>
            <w:r>
              <w:rPr>
                <w:rFonts w:ascii="Arial" w:cs="Arial" w:eastAsia="Arial" w:hAnsi="Arial"/>
                <w:sz w:val="13"/>
                <w:szCs w:val="13"/>
                <w:color w:val="auto"/>
                <w:w w:val="82"/>
              </w:rPr>
              <w:t>$</w:t>
            </w:r>
          </w:p>
        </w:tc>
        <w:tc>
          <w:tcPr>
            <w:tcW w:w="8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20" w:type="dxa"/>
            <w:vAlign w:val="bottom"/>
          </w:tcPr>
          <w:p>
            <w:pPr>
              <w:jc w:val="right"/>
              <w:ind w:right="56"/>
              <w:spacing w:after="0"/>
              <w:rPr>
                <w:sz w:val="20"/>
                <w:szCs w:val="20"/>
                <w:color w:val="auto"/>
              </w:rPr>
            </w:pPr>
            <w:r>
              <w:rPr>
                <w:rFonts w:ascii="Arial" w:cs="Arial" w:eastAsia="Arial" w:hAnsi="Arial"/>
                <w:sz w:val="13"/>
                <w:szCs w:val="13"/>
                <w:color w:val="auto"/>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106,331</w:t>
            </w:r>
          </w:p>
        </w:tc>
        <w:tc>
          <w:tcPr>
            <w:tcW w:w="0" w:type="dxa"/>
            <w:vAlign w:val="bottom"/>
          </w:tcPr>
          <w:p>
            <w:pPr>
              <w:spacing w:after="0"/>
              <w:rPr>
                <w:sz w:val="1"/>
                <w:szCs w:val="1"/>
                <w:color w:val="auto"/>
              </w:rPr>
            </w:pPr>
          </w:p>
        </w:tc>
      </w:tr>
      <w:tr>
        <w:trPr>
          <w:trHeight w:val="180"/>
        </w:trPr>
        <w:tc>
          <w:tcPr>
            <w:tcW w:w="4020" w:type="dxa"/>
            <w:vAlign w:val="bottom"/>
            <w:gridSpan w:val="3"/>
          </w:tcPr>
          <w:p>
            <w:pPr>
              <w:ind w:left="300"/>
              <w:spacing w:after="0"/>
              <w:rPr>
                <w:sz w:val="20"/>
                <w:szCs w:val="20"/>
                <w:color w:val="auto"/>
              </w:rPr>
            </w:pPr>
            <w:r>
              <w:rPr>
                <w:rFonts w:ascii="Arial" w:cs="Arial" w:eastAsia="Arial" w:hAnsi="Arial"/>
                <w:sz w:val="13"/>
                <w:szCs w:val="13"/>
                <w:color w:val="auto"/>
              </w:rPr>
              <w:t>Initial consolidation of funds</w:t>
            </w:r>
          </w:p>
        </w:tc>
        <w:tc>
          <w:tcPr>
            <w:tcW w:w="100" w:type="dxa"/>
            <w:vAlign w:val="bottom"/>
          </w:tcPr>
          <w:p>
            <w:pPr>
              <w:spacing w:after="0"/>
              <w:rPr>
                <w:sz w:val="15"/>
                <w:szCs w:val="15"/>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725</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800" w:type="dxa"/>
            <w:vAlign w:val="bottom"/>
          </w:tcPr>
          <w:p>
            <w:pPr>
              <w:jc w:val="right"/>
              <w:ind w:right="16"/>
              <w:spacing w:after="0"/>
              <w:rPr>
                <w:sz w:val="20"/>
                <w:szCs w:val="20"/>
                <w:color w:val="auto"/>
              </w:rPr>
            </w:pPr>
            <w:r>
              <w:rPr>
                <w:rFonts w:ascii="Arial" w:cs="Arial" w:eastAsia="Arial" w:hAnsi="Arial"/>
                <w:sz w:val="13"/>
                <w:szCs w:val="13"/>
                <w:color w:val="auto"/>
              </w:rPr>
              <w:t>495</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1,220</w:t>
            </w:r>
          </w:p>
        </w:tc>
        <w:tc>
          <w:tcPr>
            <w:tcW w:w="0" w:type="dxa"/>
            <w:vAlign w:val="bottom"/>
          </w:tcPr>
          <w:p>
            <w:pPr>
              <w:spacing w:after="0"/>
              <w:rPr>
                <w:sz w:val="1"/>
                <w:szCs w:val="1"/>
                <w:color w:val="auto"/>
              </w:rPr>
            </w:pPr>
          </w:p>
        </w:tc>
      </w:tr>
      <w:tr>
        <w:trPr>
          <w:trHeight w:val="180"/>
        </w:trPr>
        <w:tc>
          <w:tcPr>
            <w:tcW w:w="4020" w:type="dxa"/>
            <w:vAlign w:val="bottom"/>
            <w:gridSpan w:val="3"/>
          </w:tcPr>
          <w:p>
            <w:pPr>
              <w:ind w:left="300"/>
              <w:spacing w:after="0"/>
              <w:rPr>
                <w:sz w:val="20"/>
                <w:szCs w:val="20"/>
                <w:color w:val="auto"/>
              </w:rPr>
            </w:pPr>
            <w:r>
              <w:rPr>
                <w:rFonts w:ascii="Arial" w:cs="Arial" w:eastAsia="Arial" w:hAnsi="Arial"/>
                <w:sz w:val="13"/>
                <w:szCs w:val="13"/>
                <w:color w:val="auto"/>
              </w:rPr>
              <w:t>Transfers into Level III</w:t>
            </w: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1,585</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35</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1,620</w:t>
            </w:r>
          </w:p>
        </w:tc>
        <w:tc>
          <w:tcPr>
            <w:tcW w:w="0" w:type="dxa"/>
            <w:vAlign w:val="bottom"/>
          </w:tcPr>
          <w:p>
            <w:pPr>
              <w:spacing w:after="0"/>
              <w:rPr>
                <w:sz w:val="1"/>
                <w:szCs w:val="1"/>
                <w:color w:val="auto"/>
              </w:rPr>
            </w:pPr>
          </w:p>
        </w:tc>
      </w:tr>
      <w:tr>
        <w:trPr>
          <w:trHeight w:val="180"/>
        </w:trPr>
        <w:tc>
          <w:tcPr>
            <w:tcW w:w="4020" w:type="dxa"/>
            <w:vAlign w:val="bottom"/>
            <w:gridSpan w:val="3"/>
          </w:tcPr>
          <w:p>
            <w:pPr>
              <w:ind w:left="300"/>
              <w:spacing w:after="0"/>
              <w:rPr>
                <w:sz w:val="20"/>
                <w:szCs w:val="20"/>
                <w:color w:val="auto"/>
              </w:rPr>
            </w:pPr>
            <w:r>
              <w:rPr>
                <w:rFonts w:ascii="Arial" w:cs="Arial" w:eastAsia="Arial" w:hAnsi="Arial"/>
                <w:sz w:val="13"/>
                <w:szCs w:val="13"/>
                <w:color w:val="auto"/>
              </w:rPr>
              <w:t>Transfers out of Level III</w:t>
            </w: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(5,356)</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(1,525)</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(35)</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(6,916)</w:t>
            </w:r>
          </w:p>
        </w:tc>
        <w:tc>
          <w:tcPr>
            <w:tcW w:w="0" w:type="dxa"/>
            <w:vAlign w:val="bottom"/>
          </w:tcPr>
          <w:p>
            <w:pPr>
              <w:spacing w:after="0"/>
              <w:rPr>
                <w:sz w:val="1"/>
                <w:szCs w:val="1"/>
                <w:color w:val="auto"/>
              </w:rPr>
            </w:pPr>
          </w:p>
        </w:tc>
      </w:tr>
      <w:tr>
        <w:trPr>
          <w:trHeight w:val="180"/>
        </w:trPr>
        <w:tc>
          <w:tcPr>
            <w:tcW w:w="4020" w:type="dxa"/>
            <w:vAlign w:val="bottom"/>
            <w:gridSpan w:val="3"/>
          </w:tcPr>
          <w:p>
            <w:pPr>
              <w:ind w:left="300"/>
              <w:spacing w:after="0"/>
              <w:rPr>
                <w:sz w:val="20"/>
                <w:szCs w:val="20"/>
                <w:color w:val="auto"/>
              </w:rPr>
            </w:pPr>
            <w:r>
              <w:rPr>
                <w:rFonts w:ascii="Arial" w:cs="Arial" w:eastAsia="Arial" w:hAnsi="Arial"/>
                <w:sz w:val="13"/>
                <w:szCs w:val="13"/>
                <w:color w:val="auto"/>
              </w:rPr>
              <w:t>Purchases</w:t>
            </w: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121,696</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4,830</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315,853</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jc w:val="right"/>
              <w:ind w:right="16"/>
              <w:spacing w:after="0"/>
              <w:rPr>
                <w:sz w:val="20"/>
                <w:szCs w:val="20"/>
                <w:color w:val="auto"/>
              </w:rPr>
            </w:pPr>
            <w:r>
              <w:rPr>
                <w:rFonts w:ascii="Arial" w:cs="Arial" w:eastAsia="Arial" w:hAnsi="Arial"/>
                <w:sz w:val="13"/>
                <w:szCs w:val="13"/>
                <w:color w:val="auto"/>
              </w:rPr>
              <w:t>369</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1,600</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444,348</w:t>
            </w:r>
          </w:p>
        </w:tc>
        <w:tc>
          <w:tcPr>
            <w:tcW w:w="0" w:type="dxa"/>
            <w:vAlign w:val="bottom"/>
          </w:tcPr>
          <w:p>
            <w:pPr>
              <w:spacing w:after="0"/>
              <w:rPr>
                <w:sz w:val="1"/>
                <w:szCs w:val="1"/>
                <w:color w:val="auto"/>
              </w:rPr>
            </w:pPr>
          </w:p>
        </w:tc>
      </w:tr>
      <w:tr>
        <w:trPr>
          <w:trHeight w:val="180"/>
        </w:trPr>
        <w:tc>
          <w:tcPr>
            <w:tcW w:w="4020" w:type="dxa"/>
            <w:vAlign w:val="bottom"/>
            <w:gridSpan w:val="3"/>
          </w:tcPr>
          <w:p>
            <w:pPr>
              <w:ind w:left="300"/>
              <w:spacing w:after="0"/>
              <w:rPr>
                <w:sz w:val="20"/>
                <w:szCs w:val="20"/>
                <w:color w:val="auto"/>
              </w:rPr>
            </w:pPr>
            <w:r>
              <w:rPr>
                <w:rFonts w:ascii="Arial" w:cs="Arial" w:eastAsia="Arial" w:hAnsi="Arial"/>
                <w:sz w:val="13"/>
                <w:szCs w:val="13"/>
                <w:color w:val="auto"/>
              </w:rPr>
              <w:t>Sales</w:t>
            </w: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(51,156)</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(108)</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(1,949)</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(53,213)</w:t>
            </w:r>
          </w:p>
        </w:tc>
        <w:tc>
          <w:tcPr>
            <w:tcW w:w="0" w:type="dxa"/>
            <w:vAlign w:val="bottom"/>
          </w:tcPr>
          <w:p>
            <w:pPr>
              <w:spacing w:after="0"/>
              <w:rPr>
                <w:sz w:val="1"/>
                <w:szCs w:val="1"/>
                <w:color w:val="auto"/>
              </w:rPr>
            </w:pPr>
          </w:p>
        </w:tc>
      </w:tr>
      <w:tr>
        <w:trPr>
          <w:trHeight w:val="180"/>
        </w:trPr>
        <w:tc>
          <w:tcPr>
            <w:tcW w:w="4020" w:type="dxa"/>
            <w:vAlign w:val="bottom"/>
            <w:gridSpan w:val="3"/>
          </w:tcPr>
          <w:p>
            <w:pPr>
              <w:ind w:left="300"/>
              <w:spacing w:after="0"/>
              <w:rPr>
                <w:sz w:val="20"/>
                <w:szCs w:val="20"/>
                <w:color w:val="auto"/>
              </w:rPr>
            </w:pPr>
            <w:r>
              <w:rPr>
                <w:rFonts w:ascii="Arial" w:cs="Arial" w:eastAsia="Arial" w:hAnsi="Arial"/>
                <w:sz w:val="13"/>
                <w:szCs w:val="13"/>
                <w:color w:val="auto"/>
              </w:rPr>
              <w:t>Realized gain (losses), net</w:t>
            </w: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(70)</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(27)</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(27)</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(124)</w:t>
            </w:r>
          </w:p>
        </w:tc>
        <w:tc>
          <w:tcPr>
            <w:tcW w:w="0" w:type="dxa"/>
            <w:vAlign w:val="bottom"/>
          </w:tcPr>
          <w:p>
            <w:pPr>
              <w:spacing w:after="0"/>
              <w:rPr>
                <w:sz w:val="1"/>
                <w:szCs w:val="1"/>
                <w:color w:val="auto"/>
              </w:rPr>
            </w:pPr>
          </w:p>
        </w:tc>
      </w:tr>
      <w:tr>
        <w:trPr>
          <w:trHeight w:val="186"/>
        </w:trPr>
        <w:tc>
          <w:tcPr>
            <w:tcW w:w="4020" w:type="dxa"/>
            <w:vAlign w:val="bottom"/>
            <w:gridSpan w:val="3"/>
          </w:tcPr>
          <w:p>
            <w:pPr>
              <w:ind w:left="300"/>
              <w:spacing w:after="0"/>
              <w:rPr>
                <w:sz w:val="20"/>
                <w:szCs w:val="20"/>
                <w:color w:val="auto"/>
              </w:rPr>
            </w:pPr>
            <w:r>
              <w:rPr>
                <w:rFonts w:ascii="Arial" w:cs="Arial" w:eastAsia="Arial" w:hAnsi="Arial"/>
                <w:sz w:val="13"/>
                <w:szCs w:val="13"/>
                <w:color w:val="auto"/>
              </w:rPr>
              <w:t>Unrealized appreciation (depreciation), net</w:t>
            </w:r>
          </w:p>
        </w:tc>
        <w:tc>
          <w:tcPr>
            <w:tcW w:w="1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1,316</w:t>
            </w:r>
          </w:p>
        </w:tc>
        <w:tc>
          <w:tcPr>
            <w:tcW w:w="1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732</w:t>
            </w:r>
          </w:p>
        </w:tc>
        <w:tc>
          <w:tcPr>
            <w:tcW w:w="1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347</w:t>
            </w:r>
          </w:p>
        </w:tc>
        <w:tc>
          <w:tcPr>
            <w:tcW w:w="1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2,395</w:t>
            </w:r>
          </w:p>
        </w:tc>
        <w:tc>
          <w:tcPr>
            <w:tcW w:w="0" w:type="dxa"/>
            <w:vAlign w:val="bottom"/>
          </w:tcPr>
          <w:p>
            <w:pPr>
              <w:spacing w:after="0"/>
              <w:rPr>
                <w:sz w:val="1"/>
                <w:szCs w:val="1"/>
                <w:color w:val="auto"/>
              </w:rPr>
            </w:pPr>
          </w:p>
        </w:tc>
      </w:tr>
      <w:tr>
        <w:trPr>
          <w:trHeight w:val="179"/>
        </w:trPr>
        <w:tc>
          <w:tcPr>
            <w:tcW w:w="4020" w:type="dxa"/>
            <w:vAlign w:val="bottom"/>
            <w:gridSpan w:val="3"/>
          </w:tcPr>
          <w:p>
            <w:pPr>
              <w:spacing w:after="0"/>
              <w:rPr>
                <w:sz w:val="20"/>
                <w:szCs w:val="20"/>
                <w:color w:val="auto"/>
              </w:rPr>
            </w:pPr>
            <w:r>
              <w:rPr>
                <w:rFonts w:ascii="Arial" w:cs="Arial" w:eastAsia="Arial" w:hAnsi="Arial"/>
                <w:sz w:val="13"/>
                <w:szCs w:val="13"/>
                <w:color w:val="auto"/>
              </w:rPr>
              <w:t>Ending balance</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168,616</w:t>
            </w:r>
          </w:p>
        </w:tc>
        <w:tc>
          <w:tcPr>
            <w:tcW w:w="14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7,690</w:t>
            </w:r>
          </w:p>
        </w:tc>
        <w:tc>
          <w:tcPr>
            <w:tcW w:w="14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316,891</w:t>
            </w:r>
          </w:p>
        </w:tc>
        <w:tc>
          <w:tcPr>
            <w:tcW w:w="14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16"/>
              <w:spacing w:after="0"/>
              <w:rPr>
                <w:sz w:val="20"/>
                <w:szCs w:val="20"/>
                <w:color w:val="auto"/>
              </w:rPr>
            </w:pPr>
            <w:r>
              <w:rPr>
                <w:rFonts w:ascii="Arial" w:cs="Arial" w:eastAsia="Arial" w:hAnsi="Arial"/>
                <w:sz w:val="13"/>
                <w:szCs w:val="13"/>
                <w:color w:val="auto"/>
              </w:rPr>
              <w:t>864</w:t>
            </w:r>
          </w:p>
        </w:tc>
        <w:tc>
          <w:tcPr>
            <w:tcW w:w="140" w:type="dxa"/>
            <w:vAlign w:val="bottom"/>
          </w:tcPr>
          <w:p>
            <w:pPr>
              <w:spacing w:after="0"/>
              <w:rPr>
                <w:sz w:val="15"/>
                <w:szCs w:val="15"/>
                <w:color w:val="auto"/>
              </w:rPr>
            </w:pPr>
          </w:p>
        </w:tc>
        <w:tc>
          <w:tcPr>
            <w:tcW w:w="180" w:type="dxa"/>
            <w:vAlign w:val="bottom"/>
          </w:tcPr>
          <w:p>
            <w:pPr>
              <w:jc w:val="right"/>
              <w:ind w:right="36"/>
              <w:spacing w:after="0"/>
              <w:rPr>
                <w:sz w:val="20"/>
                <w:szCs w:val="20"/>
                <w:color w:val="auto"/>
              </w:rPr>
            </w:pPr>
            <w:r>
              <w:rPr>
                <w:rFonts w:ascii="Arial" w:cs="Arial" w:eastAsia="Arial" w:hAnsi="Arial"/>
                <w:sz w:val="13"/>
                <w:szCs w:val="13"/>
                <w:color w:val="auto"/>
                <w:w w:val="82"/>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1,600</w:t>
            </w:r>
          </w:p>
        </w:tc>
        <w:tc>
          <w:tcPr>
            <w:tcW w:w="80" w:type="dxa"/>
            <w:vAlign w:val="bottom"/>
          </w:tcPr>
          <w:p>
            <w:pPr>
              <w:spacing w:after="0"/>
              <w:rPr>
                <w:sz w:val="15"/>
                <w:szCs w:val="15"/>
                <w:color w:val="auto"/>
              </w:rPr>
            </w:pPr>
          </w:p>
        </w:tc>
        <w:tc>
          <w:tcPr>
            <w:tcW w:w="220" w:type="dxa"/>
            <w:vAlign w:val="bottom"/>
          </w:tcPr>
          <w:p>
            <w:pPr>
              <w:jc w:val="right"/>
              <w:ind w:right="56"/>
              <w:spacing w:after="0"/>
              <w:rPr>
                <w:sz w:val="20"/>
                <w:szCs w:val="20"/>
                <w:color w:val="auto"/>
              </w:rPr>
            </w:pPr>
            <w:r>
              <w:rPr>
                <w:rFonts w:ascii="Arial" w:cs="Arial" w:eastAsia="Arial" w:hAnsi="Arial"/>
                <w:sz w:val="13"/>
                <w:szCs w:val="13"/>
                <w:color w:val="auto"/>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495,661</w:t>
            </w:r>
          </w:p>
        </w:tc>
        <w:tc>
          <w:tcPr>
            <w:tcW w:w="0" w:type="dxa"/>
            <w:vAlign w:val="bottom"/>
          </w:tcPr>
          <w:p>
            <w:pPr>
              <w:spacing w:after="0"/>
              <w:rPr>
                <w:sz w:val="1"/>
                <w:szCs w:val="1"/>
                <w:color w:val="auto"/>
              </w:rPr>
            </w:pPr>
          </w:p>
        </w:tc>
      </w:tr>
      <w:tr>
        <w:trPr>
          <w:trHeight w:val="20"/>
        </w:trPr>
        <w:tc>
          <w:tcPr>
            <w:tcW w:w="4020" w:type="dxa"/>
            <w:vAlign w:val="bottom"/>
            <w:gridSpan w:val="3"/>
            <w:vMerge w:val="restart"/>
          </w:tcPr>
          <w:p>
            <w:pPr>
              <w:spacing w:after="0" w:line="135" w:lineRule="exact"/>
              <w:rPr>
                <w:sz w:val="20"/>
                <w:szCs w:val="20"/>
                <w:color w:val="auto"/>
              </w:rPr>
            </w:pPr>
            <w:r>
              <w:rPr>
                <w:rFonts w:ascii="Arial" w:cs="Arial" w:eastAsia="Arial" w:hAnsi="Arial"/>
                <w:sz w:val="13"/>
                <w:szCs w:val="13"/>
                <w:color w:val="auto"/>
              </w:rPr>
              <w:t>Net change in unrealized appreciation (depreciation) attributable to</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4020" w:type="dxa"/>
            <w:vAlign w:val="bottom"/>
            <w:gridSpan w:val="3"/>
            <w:vMerge w:val="continue"/>
          </w:tcPr>
          <w:p>
            <w:pPr>
              <w:spacing w:after="0"/>
              <w:rPr>
                <w:sz w:val="8"/>
                <w:szCs w:val="8"/>
                <w:color w:val="auto"/>
              </w:rPr>
            </w:pPr>
          </w:p>
        </w:tc>
        <w:tc>
          <w:tcPr>
            <w:tcW w:w="10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vMerge w:val="restart"/>
          </w:tcPr>
          <w:p>
            <w:pPr>
              <w:jc w:val="right"/>
              <w:spacing w:after="0"/>
              <w:rPr>
                <w:sz w:val="20"/>
                <w:szCs w:val="20"/>
                <w:color w:val="auto"/>
              </w:rPr>
            </w:pPr>
            <w:r>
              <w:rPr>
                <w:rFonts w:ascii="Arial" w:cs="Arial" w:eastAsia="Arial" w:hAnsi="Arial"/>
                <w:sz w:val="13"/>
                <w:szCs w:val="13"/>
                <w:color w:val="auto"/>
              </w:rPr>
              <w:t>(882)</w:t>
            </w:r>
          </w:p>
        </w:tc>
        <w:tc>
          <w:tcPr>
            <w:tcW w:w="140" w:type="dxa"/>
            <w:vAlign w:val="bottom"/>
          </w:tcPr>
          <w:p>
            <w:pPr>
              <w:spacing w:after="0"/>
              <w:rPr>
                <w:sz w:val="8"/>
                <w:szCs w:val="8"/>
                <w:color w:val="auto"/>
              </w:rPr>
            </w:pPr>
          </w:p>
        </w:tc>
        <w:tc>
          <w:tcPr>
            <w:tcW w:w="1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94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vMerge w:val="restart"/>
          </w:tcPr>
          <w:p>
            <w:pPr>
              <w:jc w:val="right"/>
              <w:spacing w:after="0"/>
              <w:rPr>
                <w:sz w:val="20"/>
                <w:szCs w:val="20"/>
                <w:color w:val="auto"/>
              </w:rPr>
            </w:pPr>
            <w:r>
              <w:rPr>
                <w:rFonts w:ascii="Arial" w:cs="Arial" w:eastAsia="Arial" w:hAnsi="Arial"/>
                <w:sz w:val="13"/>
                <w:szCs w:val="13"/>
                <w:color w:val="auto"/>
              </w:rPr>
              <w:t>726</w:t>
            </w:r>
          </w:p>
        </w:tc>
        <w:tc>
          <w:tcPr>
            <w:tcW w:w="140" w:type="dxa"/>
            <w:vAlign w:val="bottom"/>
          </w:tcPr>
          <w:p>
            <w:pPr>
              <w:spacing w:after="0"/>
              <w:rPr>
                <w:sz w:val="8"/>
                <w:szCs w:val="8"/>
                <w:color w:val="auto"/>
              </w:rPr>
            </w:pPr>
          </w:p>
        </w:tc>
        <w:tc>
          <w:tcPr>
            <w:tcW w:w="1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760" w:type="dxa"/>
            <w:vAlign w:val="bottom"/>
            <w:vMerge w:val="restart"/>
          </w:tcPr>
          <w:p>
            <w:pPr>
              <w:jc w:val="right"/>
              <w:spacing w:after="0"/>
              <w:rPr>
                <w:sz w:val="20"/>
                <w:szCs w:val="20"/>
                <w:color w:val="auto"/>
              </w:rPr>
            </w:pPr>
            <w:r>
              <w:rPr>
                <w:rFonts w:ascii="Arial" w:cs="Arial" w:eastAsia="Arial" w:hAnsi="Arial"/>
                <w:sz w:val="13"/>
                <w:szCs w:val="13"/>
                <w:color w:val="auto"/>
              </w:rPr>
              <w:t>423</w:t>
            </w:r>
          </w:p>
        </w:tc>
        <w:tc>
          <w:tcPr>
            <w:tcW w:w="140" w:type="dxa"/>
            <w:vAlign w:val="bottom"/>
          </w:tcPr>
          <w:p>
            <w:pPr>
              <w:spacing w:after="0"/>
              <w:rPr>
                <w:sz w:val="8"/>
                <w:szCs w:val="8"/>
                <w:color w:val="auto"/>
              </w:rPr>
            </w:pPr>
          </w:p>
        </w:tc>
        <w:tc>
          <w:tcPr>
            <w:tcW w:w="1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94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vMerge w:val="restart"/>
          </w:tcPr>
          <w:p>
            <w:pPr>
              <w:jc w:val="right"/>
              <w:ind w:right="36"/>
              <w:spacing w:after="0"/>
              <w:rPr>
                <w:sz w:val="20"/>
                <w:szCs w:val="20"/>
                <w:color w:val="auto"/>
              </w:rPr>
            </w:pPr>
            <w:r>
              <w:rPr>
                <w:rFonts w:ascii="Arial" w:cs="Arial" w:eastAsia="Arial" w:hAnsi="Arial"/>
                <w:sz w:val="13"/>
                <w:szCs w:val="13"/>
                <w:color w:val="auto"/>
                <w:w w:val="82"/>
              </w:rPr>
              <w:t>$</w:t>
            </w:r>
          </w:p>
        </w:tc>
        <w:tc>
          <w:tcPr>
            <w:tcW w:w="84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220" w:type="dxa"/>
            <w:vAlign w:val="bottom"/>
            <w:vMerge w:val="restart"/>
          </w:tcPr>
          <w:p>
            <w:pPr>
              <w:jc w:val="right"/>
              <w:ind w:right="56"/>
              <w:spacing w:after="0"/>
              <w:rPr>
                <w:sz w:val="20"/>
                <w:szCs w:val="20"/>
                <w:color w:val="auto"/>
              </w:rPr>
            </w:pPr>
            <w:r>
              <w:rPr>
                <w:rFonts w:ascii="Arial" w:cs="Arial" w:eastAsia="Arial" w:hAnsi="Arial"/>
                <w:sz w:val="13"/>
                <w:szCs w:val="13"/>
                <w:color w:val="auto"/>
              </w:rPr>
              <w:t>$</w:t>
            </w:r>
          </w:p>
        </w:tc>
        <w:tc>
          <w:tcPr>
            <w:tcW w:w="720" w:type="dxa"/>
            <w:vAlign w:val="bottom"/>
            <w:vMerge w:val="restart"/>
          </w:tcPr>
          <w:p>
            <w:pPr>
              <w:jc w:val="right"/>
              <w:spacing w:after="0"/>
              <w:rPr>
                <w:sz w:val="20"/>
                <w:szCs w:val="20"/>
                <w:color w:val="auto"/>
              </w:rPr>
            </w:pPr>
            <w:r>
              <w:rPr>
                <w:rFonts w:ascii="Arial" w:cs="Arial" w:eastAsia="Arial" w:hAnsi="Arial"/>
                <w:sz w:val="13"/>
                <w:szCs w:val="13"/>
                <w:color w:val="auto"/>
              </w:rPr>
              <w:t>267</w:t>
            </w:r>
          </w:p>
        </w:tc>
        <w:tc>
          <w:tcPr>
            <w:tcW w:w="0" w:type="dxa"/>
            <w:vAlign w:val="bottom"/>
          </w:tcPr>
          <w:p>
            <w:pPr>
              <w:spacing w:after="0"/>
              <w:rPr>
                <w:sz w:val="1"/>
                <w:szCs w:val="1"/>
                <w:color w:val="auto"/>
              </w:rPr>
            </w:pPr>
          </w:p>
        </w:tc>
      </w:tr>
      <w:tr>
        <w:trPr>
          <w:trHeight w:val="154"/>
        </w:trPr>
        <w:tc>
          <w:tcPr>
            <w:tcW w:w="4020" w:type="dxa"/>
            <w:vAlign w:val="bottom"/>
            <w:gridSpan w:val="3"/>
          </w:tcPr>
          <w:p>
            <w:pPr>
              <w:ind w:left="160"/>
              <w:spacing w:after="0"/>
              <w:rPr>
                <w:sz w:val="20"/>
                <w:szCs w:val="20"/>
                <w:color w:val="auto"/>
              </w:rPr>
            </w:pPr>
            <w:r>
              <w:rPr>
                <w:rFonts w:ascii="Arial" w:cs="Arial" w:eastAsia="Arial" w:hAnsi="Arial"/>
                <w:sz w:val="13"/>
                <w:szCs w:val="13"/>
                <w:color w:val="auto"/>
              </w:rPr>
              <w:t>assets still held at end of period</w:t>
            </w:r>
          </w:p>
        </w:tc>
        <w:tc>
          <w:tcPr>
            <w:tcW w:w="100" w:type="dxa"/>
            <w:vAlign w:val="bottom"/>
            <w:vMerge w:val="continue"/>
          </w:tcPr>
          <w:p>
            <w:pPr>
              <w:spacing w:after="0"/>
              <w:rPr>
                <w:sz w:val="13"/>
                <w:szCs w:val="13"/>
                <w:color w:val="auto"/>
              </w:rPr>
            </w:pPr>
          </w:p>
        </w:tc>
        <w:tc>
          <w:tcPr>
            <w:tcW w:w="80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vMerge w:val="continue"/>
          </w:tcPr>
          <w:p>
            <w:pPr>
              <w:spacing w:after="0"/>
              <w:rPr>
                <w:sz w:val="13"/>
                <w:szCs w:val="13"/>
                <w:color w:val="auto"/>
              </w:rPr>
            </w:pPr>
          </w:p>
        </w:tc>
        <w:tc>
          <w:tcPr>
            <w:tcW w:w="940" w:type="dxa"/>
            <w:vAlign w:val="bottom"/>
            <w:gridSpan w:val="2"/>
            <w:vMerge w:val="continue"/>
          </w:tcPr>
          <w:p>
            <w:pPr>
              <w:spacing w:after="0"/>
              <w:rPr>
                <w:sz w:val="13"/>
                <w:szCs w:val="13"/>
                <w:color w:val="auto"/>
              </w:rPr>
            </w:pPr>
          </w:p>
        </w:tc>
        <w:tc>
          <w:tcPr>
            <w:tcW w:w="140" w:type="dxa"/>
            <w:vAlign w:val="bottom"/>
            <w:vMerge w:val="continue"/>
          </w:tcPr>
          <w:p>
            <w:pPr>
              <w:spacing w:after="0"/>
              <w:rPr>
                <w:sz w:val="13"/>
                <w:szCs w:val="13"/>
                <w:color w:val="auto"/>
              </w:rPr>
            </w:pPr>
          </w:p>
        </w:tc>
        <w:tc>
          <w:tcPr>
            <w:tcW w:w="78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vMerge w:val="continue"/>
          </w:tcPr>
          <w:p>
            <w:pPr>
              <w:spacing w:after="0"/>
              <w:rPr>
                <w:sz w:val="13"/>
                <w:szCs w:val="13"/>
                <w:color w:val="auto"/>
              </w:rPr>
            </w:pPr>
          </w:p>
        </w:tc>
        <w:tc>
          <w:tcPr>
            <w:tcW w:w="76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vMerge w:val="continue"/>
          </w:tcPr>
          <w:p>
            <w:pPr>
              <w:spacing w:after="0"/>
              <w:rPr>
                <w:sz w:val="13"/>
                <w:szCs w:val="13"/>
                <w:color w:val="auto"/>
              </w:rPr>
            </w:pPr>
          </w:p>
        </w:tc>
        <w:tc>
          <w:tcPr>
            <w:tcW w:w="940" w:type="dxa"/>
            <w:vAlign w:val="bottom"/>
            <w:gridSpan w:val="2"/>
            <w:vMerge w:val="continue"/>
          </w:tcPr>
          <w:p>
            <w:pPr>
              <w:spacing w:after="0"/>
              <w:rPr>
                <w:sz w:val="13"/>
                <w:szCs w:val="13"/>
                <w:color w:val="auto"/>
              </w:rPr>
            </w:pPr>
          </w:p>
        </w:tc>
        <w:tc>
          <w:tcPr>
            <w:tcW w:w="180" w:type="dxa"/>
            <w:vAlign w:val="bottom"/>
            <w:vMerge w:val="continue"/>
          </w:tcPr>
          <w:p>
            <w:pPr>
              <w:spacing w:after="0"/>
              <w:rPr>
                <w:sz w:val="13"/>
                <w:szCs w:val="13"/>
                <w:color w:val="auto"/>
              </w:rPr>
            </w:pPr>
          </w:p>
        </w:tc>
        <w:tc>
          <w:tcPr>
            <w:tcW w:w="840" w:type="dxa"/>
            <w:vAlign w:val="bottom"/>
            <w:gridSpan w:val="2"/>
            <w:vMerge w:val="continue"/>
          </w:tcPr>
          <w:p>
            <w:pPr>
              <w:spacing w:after="0"/>
              <w:rPr>
                <w:sz w:val="13"/>
                <w:szCs w:val="13"/>
                <w:color w:val="auto"/>
              </w:rPr>
            </w:pPr>
          </w:p>
        </w:tc>
        <w:tc>
          <w:tcPr>
            <w:tcW w:w="220" w:type="dxa"/>
            <w:vAlign w:val="bottom"/>
            <w:vMerge w:val="continue"/>
          </w:tcPr>
          <w:p>
            <w:pPr>
              <w:spacing w:after="0"/>
              <w:rPr>
                <w:sz w:val="13"/>
                <w:szCs w:val="13"/>
                <w:color w:val="auto"/>
              </w:rPr>
            </w:pPr>
          </w:p>
        </w:tc>
        <w:tc>
          <w:tcPr>
            <w:tcW w:w="7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160" w:type="dxa"/>
            <w:vAlign w:val="bottom"/>
            <w:vMerge w:val="restart"/>
          </w:tcPr>
          <w:p>
            <w:pPr>
              <w:spacing w:after="0"/>
              <w:rPr>
                <w:sz w:val="20"/>
                <w:szCs w:val="20"/>
                <w:color w:val="auto"/>
              </w:rPr>
            </w:pPr>
            <w:r>
              <w:rPr>
                <w:rFonts w:ascii="Arial" w:cs="Arial" w:eastAsia="Arial" w:hAnsi="Arial"/>
                <w:sz w:val="12"/>
                <w:szCs w:val="12"/>
                <w:b w:val="1"/>
                <w:bCs w:val="1"/>
                <w:color w:val="auto"/>
                <w:w w:val="99"/>
              </w:rPr>
              <w:t>Six months ended December 31, 2024</w:t>
            </w:r>
          </w:p>
        </w:tc>
        <w:tc>
          <w:tcPr>
            <w:tcW w:w="1860" w:type="dxa"/>
            <w:vAlign w:val="bottom"/>
            <w:gridSpan w:val="2"/>
            <w:vMerge w:val="restart"/>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2160" w:type="dxa"/>
            <w:vAlign w:val="bottom"/>
            <w:tcBorders>
              <w:bottom w:val="single" w:sz="8" w:color="auto"/>
            </w:tcBorders>
            <w:vMerge w:val="continue"/>
          </w:tcPr>
          <w:p>
            <w:pPr>
              <w:spacing w:after="0"/>
              <w:rPr>
                <w:sz w:val="11"/>
                <w:szCs w:val="11"/>
                <w:color w:val="auto"/>
              </w:rPr>
            </w:pPr>
          </w:p>
        </w:tc>
        <w:tc>
          <w:tcPr>
            <w:tcW w:w="186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4020" w:type="dxa"/>
            <w:vAlign w:val="bottom"/>
            <w:gridSpan w:val="3"/>
          </w:tcPr>
          <w:p>
            <w:pPr>
              <w:spacing w:after="0"/>
              <w:rPr>
                <w:sz w:val="20"/>
                <w:szCs w:val="20"/>
                <w:color w:val="auto"/>
              </w:rPr>
            </w:pPr>
            <w:r>
              <w:rPr>
                <w:rFonts w:ascii="Arial" w:cs="Arial" w:eastAsia="Arial" w:hAnsi="Arial"/>
                <w:sz w:val="13"/>
                <w:szCs w:val="13"/>
                <w:color w:val="auto"/>
              </w:rPr>
              <w:t>Beginning balance</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64,950</w:t>
            </w:r>
          </w:p>
        </w:tc>
        <w:tc>
          <w:tcPr>
            <w:tcW w:w="14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10</w:t>
            </w:r>
          </w:p>
        </w:tc>
        <w:tc>
          <w:tcPr>
            <w:tcW w:w="16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575</w:t>
            </w:r>
          </w:p>
        </w:tc>
        <w:tc>
          <w:tcPr>
            <w:tcW w:w="14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2,356</w:t>
            </w:r>
          </w:p>
        </w:tc>
        <w:tc>
          <w:tcPr>
            <w:tcW w:w="14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tcPr>
          <w:p>
            <w:pPr>
              <w:jc w:val="right"/>
              <w:ind w:right="36"/>
              <w:spacing w:after="0"/>
              <w:rPr>
                <w:sz w:val="20"/>
                <w:szCs w:val="20"/>
                <w:color w:val="auto"/>
              </w:rPr>
            </w:pPr>
            <w:r>
              <w:rPr>
                <w:rFonts w:ascii="Arial" w:cs="Arial" w:eastAsia="Arial" w:hAnsi="Arial"/>
                <w:sz w:val="13"/>
                <w:szCs w:val="13"/>
                <w:color w:val="auto"/>
                <w:w w:val="82"/>
              </w:rPr>
              <w:t>$</w:t>
            </w:r>
          </w:p>
        </w:tc>
        <w:tc>
          <w:tcPr>
            <w:tcW w:w="8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20" w:type="dxa"/>
            <w:vAlign w:val="bottom"/>
          </w:tcPr>
          <w:p>
            <w:pPr>
              <w:jc w:val="right"/>
              <w:ind w:right="56"/>
              <w:spacing w:after="0"/>
              <w:rPr>
                <w:sz w:val="20"/>
                <w:szCs w:val="20"/>
                <w:color w:val="auto"/>
              </w:rPr>
            </w:pPr>
            <w:r>
              <w:rPr>
                <w:rFonts w:ascii="Arial" w:cs="Arial" w:eastAsia="Arial" w:hAnsi="Arial"/>
                <w:sz w:val="13"/>
                <w:szCs w:val="13"/>
                <w:color w:val="auto"/>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67,891</w:t>
            </w:r>
          </w:p>
        </w:tc>
        <w:tc>
          <w:tcPr>
            <w:tcW w:w="0" w:type="dxa"/>
            <w:vAlign w:val="bottom"/>
          </w:tcPr>
          <w:p>
            <w:pPr>
              <w:spacing w:after="0"/>
              <w:rPr>
                <w:sz w:val="1"/>
                <w:szCs w:val="1"/>
                <w:color w:val="auto"/>
              </w:rPr>
            </w:pPr>
          </w:p>
        </w:tc>
      </w:tr>
      <w:tr>
        <w:trPr>
          <w:trHeight w:val="180"/>
        </w:trPr>
        <w:tc>
          <w:tcPr>
            <w:tcW w:w="4020" w:type="dxa"/>
            <w:vAlign w:val="bottom"/>
            <w:gridSpan w:val="3"/>
          </w:tcPr>
          <w:p>
            <w:pPr>
              <w:ind w:left="300"/>
              <w:spacing w:after="0"/>
              <w:rPr>
                <w:sz w:val="20"/>
                <w:szCs w:val="20"/>
                <w:color w:val="auto"/>
              </w:rPr>
            </w:pPr>
            <w:r>
              <w:rPr>
                <w:rFonts w:ascii="Arial" w:cs="Arial" w:eastAsia="Arial" w:hAnsi="Arial"/>
                <w:sz w:val="13"/>
                <w:szCs w:val="13"/>
                <w:color w:val="auto"/>
              </w:rPr>
              <w:t>Initial consolidation of funds</w:t>
            </w: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2,962</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2,962</w:t>
            </w:r>
          </w:p>
        </w:tc>
        <w:tc>
          <w:tcPr>
            <w:tcW w:w="0" w:type="dxa"/>
            <w:vAlign w:val="bottom"/>
          </w:tcPr>
          <w:p>
            <w:pPr>
              <w:spacing w:after="0"/>
              <w:rPr>
                <w:sz w:val="1"/>
                <w:szCs w:val="1"/>
                <w:color w:val="auto"/>
              </w:rPr>
            </w:pPr>
          </w:p>
        </w:tc>
      </w:tr>
      <w:tr>
        <w:trPr>
          <w:trHeight w:val="180"/>
        </w:trPr>
        <w:tc>
          <w:tcPr>
            <w:tcW w:w="4020" w:type="dxa"/>
            <w:vAlign w:val="bottom"/>
            <w:gridSpan w:val="3"/>
          </w:tcPr>
          <w:p>
            <w:pPr>
              <w:ind w:left="300"/>
              <w:spacing w:after="0"/>
              <w:rPr>
                <w:sz w:val="20"/>
                <w:szCs w:val="20"/>
                <w:color w:val="auto"/>
              </w:rPr>
            </w:pPr>
            <w:r>
              <w:rPr>
                <w:rFonts w:ascii="Arial" w:cs="Arial" w:eastAsia="Arial" w:hAnsi="Arial"/>
                <w:sz w:val="13"/>
                <w:szCs w:val="13"/>
                <w:color w:val="auto"/>
              </w:rPr>
              <w:t>Transfers into Level III</w:t>
            </w: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2,223</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2,445</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106</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4,774</w:t>
            </w:r>
          </w:p>
        </w:tc>
        <w:tc>
          <w:tcPr>
            <w:tcW w:w="0" w:type="dxa"/>
            <w:vAlign w:val="bottom"/>
          </w:tcPr>
          <w:p>
            <w:pPr>
              <w:spacing w:after="0"/>
              <w:rPr>
                <w:sz w:val="1"/>
                <w:szCs w:val="1"/>
                <w:color w:val="auto"/>
              </w:rPr>
            </w:pPr>
          </w:p>
        </w:tc>
      </w:tr>
      <w:tr>
        <w:trPr>
          <w:trHeight w:val="180"/>
        </w:trPr>
        <w:tc>
          <w:tcPr>
            <w:tcW w:w="4020" w:type="dxa"/>
            <w:vAlign w:val="bottom"/>
            <w:gridSpan w:val="3"/>
          </w:tcPr>
          <w:p>
            <w:pPr>
              <w:ind w:left="300"/>
              <w:spacing w:after="0"/>
              <w:rPr>
                <w:sz w:val="20"/>
                <w:szCs w:val="20"/>
                <w:color w:val="auto"/>
              </w:rPr>
            </w:pPr>
            <w:r>
              <w:rPr>
                <w:rFonts w:ascii="Arial" w:cs="Arial" w:eastAsia="Arial" w:hAnsi="Arial"/>
                <w:sz w:val="13"/>
                <w:szCs w:val="13"/>
                <w:color w:val="auto"/>
              </w:rPr>
              <w:t>Transfers out of Level III</w:t>
            </w: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(9,962)</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(21)</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(106)</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(10,089)</w:t>
            </w:r>
          </w:p>
        </w:tc>
        <w:tc>
          <w:tcPr>
            <w:tcW w:w="0" w:type="dxa"/>
            <w:vAlign w:val="bottom"/>
          </w:tcPr>
          <w:p>
            <w:pPr>
              <w:spacing w:after="0"/>
              <w:rPr>
                <w:sz w:val="1"/>
                <w:szCs w:val="1"/>
                <w:color w:val="auto"/>
              </w:rPr>
            </w:pPr>
          </w:p>
        </w:tc>
      </w:tr>
      <w:tr>
        <w:trPr>
          <w:trHeight w:val="180"/>
        </w:trPr>
        <w:tc>
          <w:tcPr>
            <w:tcW w:w="4020" w:type="dxa"/>
            <w:vAlign w:val="bottom"/>
            <w:gridSpan w:val="3"/>
          </w:tcPr>
          <w:p>
            <w:pPr>
              <w:ind w:left="300"/>
              <w:spacing w:after="0"/>
              <w:rPr>
                <w:sz w:val="20"/>
                <w:szCs w:val="20"/>
                <w:color w:val="auto"/>
              </w:rPr>
            </w:pPr>
            <w:r>
              <w:rPr>
                <w:rFonts w:ascii="Arial" w:cs="Arial" w:eastAsia="Arial" w:hAnsi="Arial"/>
                <w:sz w:val="13"/>
                <w:szCs w:val="13"/>
                <w:color w:val="auto"/>
              </w:rPr>
              <w:t>Purchases</w:t>
            </w: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52,914</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895</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53,809</w:t>
            </w:r>
          </w:p>
        </w:tc>
        <w:tc>
          <w:tcPr>
            <w:tcW w:w="0" w:type="dxa"/>
            <w:vAlign w:val="bottom"/>
          </w:tcPr>
          <w:p>
            <w:pPr>
              <w:spacing w:after="0"/>
              <w:rPr>
                <w:sz w:val="1"/>
                <w:szCs w:val="1"/>
                <w:color w:val="auto"/>
              </w:rPr>
            </w:pPr>
          </w:p>
        </w:tc>
      </w:tr>
      <w:tr>
        <w:trPr>
          <w:trHeight w:val="180"/>
        </w:trPr>
        <w:tc>
          <w:tcPr>
            <w:tcW w:w="4020" w:type="dxa"/>
            <w:vAlign w:val="bottom"/>
            <w:gridSpan w:val="3"/>
          </w:tcPr>
          <w:p>
            <w:pPr>
              <w:ind w:left="300"/>
              <w:spacing w:after="0"/>
              <w:rPr>
                <w:sz w:val="20"/>
                <w:szCs w:val="20"/>
                <w:color w:val="auto"/>
              </w:rPr>
            </w:pPr>
            <w:r>
              <w:rPr>
                <w:rFonts w:ascii="Arial" w:cs="Arial" w:eastAsia="Arial" w:hAnsi="Arial"/>
                <w:sz w:val="13"/>
                <w:szCs w:val="13"/>
                <w:color w:val="auto"/>
              </w:rPr>
              <w:t>Sales</w:t>
            </w: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(14,018)</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(856)</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(14,874)</w:t>
            </w:r>
          </w:p>
        </w:tc>
        <w:tc>
          <w:tcPr>
            <w:tcW w:w="0" w:type="dxa"/>
            <w:vAlign w:val="bottom"/>
          </w:tcPr>
          <w:p>
            <w:pPr>
              <w:spacing w:after="0"/>
              <w:rPr>
                <w:sz w:val="1"/>
                <w:szCs w:val="1"/>
                <w:color w:val="auto"/>
              </w:rPr>
            </w:pPr>
          </w:p>
        </w:tc>
      </w:tr>
      <w:tr>
        <w:trPr>
          <w:trHeight w:val="180"/>
        </w:trPr>
        <w:tc>
          <w:tcPr>
            <w:tcW w:w="4020" w:type="dxa"/>
            <w:vAlign w:val="bottom"/>
            <w:gridSpan w:val="3"/>
          </w:tcPr>
          <w:p>
            <w:pPr>
              <w:ind w:left="300"/>
              <w:spacing w:after="0"/>
              <w:rPr>
                <w:sz w:val="20"/>
                <w:szCs w:val="20"/>
                <w:color w:val="auto"/>
              </w:rPr>
            </w:pPr>
            <w:r>
              <w:rPr>
                <w:rFonts w:ascii="Arial" w:cs="Arial" w:eastAsia="Arial" w:hAnsi="Arial"/>
                <w:sz w:val="13"/>
                <w:szCs w:val="13"/>
                <w:color w:val="auto"/>
              </w:rPr>
              <w:t>Realized gains (losses), net</w:t>
            </w: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(1,394)</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(1,394)</w:t>
            </w:r>
          </w:p>
        </w:tc>
        <w:tc>
          <w:tcPr>
            <w:tcW w:w="0" w:type="dxa"/>
            <w:vAlign w:val="bottom"/>
          </w:tcPr>
          <w:p>
            <w:pPr>
              <w:spacing w:after="0"/>
              <w:rPr>
                <w:sz w:val="1"/>
                <w:szCs w:val="1"/>
                <w:color w:val="auto"/>
              </w:rPr>
            </w:pPr>
          </w:p>
        </w:tc>
      </w:tr>
      <w:tr>
        <w:trPr>
          <w:trHeight w:val="186"/>
        </w:trPr>
        <w:tc>
          <w:tcPr>
            <w:tcW w:w="4020" w:type="dxa"/>
            <w:vAlign w:val="bottom"/>
            <w:gridSpan w:val="3"/>
          </w:tcPr>
          <w:p>
            <w:pPr>
              <w:ind w:left="300"/>
              <w:spacing w:after="0"/>
              <w:rPr>
                <w:sz w:val="20"/>
                <w:szCs w:val="20"/>
                <w:color w:val="auto"/>
              </w:rPr>
            </w:pPr>
            <w:r>
              <w:rPr>
                <w:rFonts w:ascii="Arial" w:cs="Arial" w:eastAsia="Arial" w:hAnsi="Arial"/>
                <w:sz w:val="13"/>
                <w:szCs w:val="13"/>
                <w:color w:val="auto"/>
              </w:rPr>
              <w:t>Unrealized appreciation (depreciation), net</w:t>
            </w:r>
          </w:p>
        </w:tc>
        <w:tc>
          <w:tcPr>
            <w:tcW w:w="1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2,926</w:t>
            </w:r>
          </w:p>
        </w:tc>
        <w:tc>
          <w:tcPr>
            <w:tcW w:w="1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(53)</w:t>
            </w:r>
          </w:p>
        </w:tc>
        <w:tc>
          <w:tcPr>
            <w:tcW w:w="1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68</w:t>
            </w:r>
          </w:p>
        </w:tc>
        <w:tc>
          <w:tcPr>
            <w:tcW w:w="1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311</w:t>
            </w:r>
          </w:p>
        </w:tc>
        <w:tc>
          <w:tcPr>
            <w:tcW w:w="1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3,252</w:t>
            </w:r>
          </w:p>
        </w:tc>
        <w:tc>
          <w:tcPr>
            <w:tcW w:w="0" w:type="dxa"/>
            <w:vAlign w:val="bottom"/>
          </w:tcPr>
          <w:p>
            <w:pPr>
              <w:spacing w:after="0"/>
              <w:rPr>
                <w:sz w:val="1"/>
                <w:szCs w:val="1"/>
                <w:color w:val="auto"/>
              </w:rPr>
            </w:pPr>
          </w:p>
        </w:tc>
      </w:tr>
      <w:tr>
        <w:trPr>
          <w:trHeight w:val="179"/>
        </w:trPr>
        <w:tc>
          <w:tcPr>
            <w:tcW w:w="4020" w:type="dxa"/>
            <w:vAlign w:val="bottom"/>
            <w:gridSpan w:val="3"/>
          </w:tcPr>
          <w:p>
            <w:pPr>
              <w:spacing w:after="0"/>
              <w:rPr>
                <w:sz w:val="20"/>
                <w:szCs w:val="20"/>
                <w:color w:val="auto"/>
              </w:rPr>
            </w:pPr>
            <w:r>
              <w:rPr>
                <w:rFonts w:ascii="Arial" w:cs="Arial" w:eastAsia="Arial" w:hAnsi="Arial"/>
                <w:sz w:val="13"/>
                <w:szCs w:val="13"/>
                <w:color w:val="auto"/>
              </w:rPr>
              <w:t>Ending balance</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100,601</w:t>
            </w:r>
          </w:p>
        </w:tc>
        <w:tc>
          <w:tcPr>
            <w:tcW w:w="14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1,525</w:t>
            </w:r>
          </w:p>
        </w:tc>
        <w:tc>
          <w:tcPr>
            <w:tcW w:w="16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1,538</w:t>
            </w:r>
          </w:p>
        </w:tc>
        <w:tc>
          <w:tcPr>
            <w:tcW w:w="14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2,667</w:t>
            </w:r>
          </w:p>
        </w:tc>
        <w:tc>
          <w:tcPr>
            <w:tcW w:w="14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tcPr>
          <w:p>
            <w:pPr>
              <w:jc w:val="right"/>
              <w:ind w:right="36"/>
              <w:spacing w:after="0"/>
              <w:rPr>
                <w:sz w:val="20"/>
                <w:szCs w:val="20"/>
                <w:color w:val="auto"/>
              </w:rPr>
            </w:pPr>
            <w:r>
              <w:rPr>
                <w:rFonts w:ascii="Arial" w:cs="Arial" w:eastAsia="Arial" w:hAnsi="Arial"/>
                <w:sz w:val="13"/>
                <w:szCs w:val="13"/>
                <w:color w:val="auto"/>
                <w:w w:val="82"/>
              </w:rPr>
              <w:t>$</w:t>
            </w:r>
          </w:p>
        </w:tc>
        <w:tc>
          <w:tcPr>
            <w:tcW w:w="8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20" w:type="dxa"/>
            <w:vAlign w:val="bottom"/>
          </w:tcPr>
          <w:p>
            <w:pPr>
              <w:jc w:val="right"/>
              <w:ind w:right="56"/>
              <w:spacing w:after="0"/>
              <w:rPr>
                <w:sz w:val="20"/>
                <w:szCs w:val="20"/>
                <w:color w:val="auto"/>
              </w:rPr>
            </w:pPr>
            <w:r>
              <w:rPr>
                <w:rFonts w:ascii="Arial" w:cs="Arial" w:eastAsia="Arial" w:hAnsi="Arial"/>
                <w:sz w:val="13"/>
                <w:szCs w:val="13"/>
                <w:color w:val="auto"/>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106,331</w:t>
            </w:r>
          </w:p>
        </w:tc>
        <w:tc>
          <w:tcPr>
            <w:tcW w:w="0" w:type="dxa"/>
            <w:vAlign w:val="bottom"/>
          </w:tcPr>
          <w:p>
            <w:pPr>
              <w:spacing w:after="0"/>
              <w:rPr>
                <w:sz w:val="1"/>
                <w:szCs w:val="1"/>
                <w:color w:val="auto"/>
              </w:rPr>
            </w:pPr>
          </w:p>
        </w:tc>
      </w:tr>
      <w:tr>
        <w:trPr>
          <w:trHeight w:val="20"/>
        </w:trPr>
        <w:tc>
          <w:tcPr>
            <w:tcW w:w="4020" w:type="dxa"/>
            <w:vAlign w:val="bottom"/>
            <w:gridSpan w:val="3"/>
            <w:vMerge w:val="restart"/>
          </w:tcPr>
          <w:p>
            <w:pPr>
              <w:spacing w:after="0" w:line="135" w:lineRule="exact"/>
              <w:rPr>
                <w:sz w:val="20"/>
                <w:szCs w:val="20"/>
                <w:color w:val="auto"/>
              </w:rPr>
            </w:pPr>
            <w:r>
              <w:rPr>
                <w:rFonts w:ascii="Arial" w:cs="Arial" w:eastAsia="Arial" w:hAnsi="Arial"/>
                <w:sz w:val="13"/>
                <w:szCs w:val="13"/>
                <w:color w:val="auto"/>
              </w:rPr>
              <w:t>Net change in unrealized appreciation (depreciation) attributable to</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4020" w:type="dxa"/>
            <w:vAlign w:val="bottom"/>
            <w:gridSpan w:val="3"/>
            <w:vMerge w:val="continue"/>
          </w:tcPr>
          <w:p>
            <w:pPr>
              <w:spacing w:after="0"/>
              <w:rPr>
                <w:sz w:val="8"/>
                <w:szCs w:val="8"/>
                <w:color w:val="auto"/>
              </w:rPr>
            </w:pPr>
          </w:p>
        </w:tc>
        <w:tc>
          <w:tcPr>
            <w:tcW w:w="10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vMerge w:val="restart"/>
          </w:tcPr>
          <w:p>
            <w:pPr>
              <w:jc w:val="right"/>
              <w:spacing w:after="0"/>
              <w:rPr>
                <w:sz w:val="20"/>
                <w:szCs w:val="20"/>
                <w:color w:val="auto"/>
              </w:rPr>
            </w:pPr>
            <w:r>
              <w:rPr>
                <w:rFonts w:ascii="Arial" w:cs="Arial" w:eastAsia="Arial" w:hAnsi="Arial"/>
                <w:sz w:val="13"/>
                <w:szCs w:val="13"/>
                <w:color w:val="auto"/>
              </w:rPr>
              <w:t>904</w:t>
            </w:r>
          </w:p>
        </w:tc>
        <w:tc>
          <w:tcPr>
            <w:tcW w:w="140" w:type="dxa"/>
            <w:vAlign w:val="bottom"/>
          </w:tcPr>
          <w:p>
            <w:pPr>
              <w:spacing w:after="0"/>
              <w:rPr>
                <w:sz w:val="8"/>
                <w:szCs w:val="8"/>
                <w:color w:val="auto"/>
              </w:rPr>
            </w:pPr>
          </w:p>
        </w:tc>
        <w:tc>
          <w:tcPr>
            <w:tcW w:w="1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780" w:type="dxa"/>
            <w:vAlign w:val="bottom"/>
            <w:vMerge w:val="restart"/>
          </w:tcPr>
          <w:p>
            <w:pPr>
              <w:jc w:val="right"/>
              <w:spacing w:after="0"/>
              <w:rPr>
                <w:sz w:val="20"/>
                <w:szCs w:val="20"/>
                <w:color w:val="auto"/>
              </w:rPr>
            </w:pPr>
            <w:r>
              <w:rPr>
                <w:rFonts w:ascii="Arial" w:cs="Arial" w:eastAsia="Arial" w:hAnsi="Arial"/>
                <w:sz w:val="13"/>
                <w:szCs w:val="13"/>
                <w:color w:val="auto"/>
              </w:rPr>
              <w:t>(103)</w:t>
            </w:r>
          </w:p>
        </w:tc>
        <w:tc>
          <w:tcPr>
            <w:tcW w:w="160" w:type="dxa"/>
            <w:vAlign w:val="bottom"/>
          </w:tcPr>
          <w:p>
            <w:pPr>
              <w:spacing w:after="0"/>
              <w:rPr>
                <w:sz w:val="8"/>
                <w:szCs w:val="8"/>
                <w:color w:val="auto"/>
              </w:rPr>
            </w:pPr>
          </w:p>
        </w:tc>
        <w:tc>
          <w:tcPr>
            <w:tcW w:w="14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vMerge w:val="restart"/>
          </w:tcPr>
          <w:p>
            <w:pPr>
              <w:jc w:val="right"/>
              <w:spacing w:after="0"/>
              <w:rPr>
                <w:sz w:val="20"/>
                <w:szCs w:val="20"/>
                <w:color w:val="auto"/>
              </w:rPr>
            </w:pPr>
            <w:r>
              <w:rPr>
                <w:rFonts w:ascii="Arial" w:cs="Arial" w:eastAsia="Arial" w:hAnsi="Arial"/>
                <w:sz w:val="13"/>
                <w:szCs w:val="13"/>
                <w:color w:val="auto"/>
              </w:rPr>
              <w:t>77</w:t>
            </w:r>
          </w:p>
        </w:tc>
        <w:tc>
          <w:tcPr>
            <w:tcW w:w="140" w:type="dxa"/>
            <w:vAlign w:val="bottom"/>
          </w:tcPr>
          <w:p>
            <w:pPr>
              <w:spacing w:after="0"/>
              <w:rPr>
                <w:sz w:val="8"/>
                <w:szCs w:val="8"/>
                <w:color w:val="auto"/>
              </w:rPr>
            </w:pPr>
          </w:p>
        </w:tc>
        <w:tc>
          <w:tcPr>
            <w:tcW w:w="1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760" w:type="dxa"/>
            <w:vAlign w:val="bottom"/>
            <w:vMerge w:val="restart"/>
          </w:tcPr>
          <w:p>
            <w:pPr>
              <w:jc w:val="right"/>
              <w:spacing w:after="0"/>
              <w:rPr>
                <w:sz w:val="20"/>
                <w:szCs w:val="20"/>
                <w:color w:val="auto"/>
              </w:rPr>
            </w:pPr>
            <w:r>
              <w:rPr>
                <w:rFonts w:ascii="Arial" w:cs="Arial" w:eastAsia="Arial" w:hAnsi="Arial"/>
                <w:sz w:val="13"/>
                <w:szCs w:val="13"/>
                <w:color w:val="auto"/>
              </w:rPr>
              <w:t>312</w:t>
            </w:r>
          </w:p>
        </w:tc>
        <w:tc>
          <w:tcPr>
            <w:tcW w:w="140" w:type="dxa"/>
            <w:vAlign w:val="bottom"/>
          </w:tcPr>
          <w:p>
            <w:pPr>
              <w:spacing w:after="0"/>
              <w:rPr>
                <w:sz w:val="8"/>
                <w:szCs w:val="8"/>
                <w:color w:val="auto"/>
              </w:rPr>
            </w:pPr>
          </w:p>
        </w:tc>
        <w:tc>
          <w:tcPr>
            <w:tcW w:w="1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94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vMerge w:val="restart"/>
          </w:tcPr>
          <w:p>
            <w:pPr>
              <w:jc w:val="right"/>
              <w:ind w:right="36"/>
              <w:spacing w:after="0"/>
              <w:rPr>
                <w:sz w:val="20"/>
                <w:szCs w:val="20"/>
                <w:color w:val="auto"/>
              </w:rPr>
            </w:pPr>
            <w:r>
              <w:rPr>
                <w:rFonts w:ascii="Arial" w:cs="Arial" w:eastAsia="Arial" w:hAnsi="Arial"/>
                <w:sz w:val="13"/>
                <w:szCs w:val="13"/>
                <w:color w:val="auto"/>
                <w:w w:val="82"/>
              </w:rPr>
              <w:t>$</w:t>
            </w:r>
          </w:p>
        </w:tc>
        <w:tc>
          <w:tcPr>
            <w:tcW w:w="84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220" w:type="dxa"/>
            <w:vAlign w:val="bottom"/>
            <w:vMerge w:val="restart"/>
          </w:tcPr>
          <w:p>
            <w:pPr>
              <w:jc w:val="right"/>
              <w:ind w:right="56"/>
              <w:spacing w:after="0"/>
              <w:rPr>
                <w:sz w:val="20"/>
                <w:szCs w:val="20"/>
                <w:color w:val="auto"/>
              </w:rPr>
            </w:pPr>
            <w:r>
              <w:rPr>
                <w:rFonts w:ascii="Arial" w:cs="Arial" w:eastAsia="Arial" w:hAnsi="Arial"/>
                <w:sz w:val="13"/>
                <w:szCs w:val="13"/>
                <w:color w:val="auto"/>
              </w:rPr>
              <w:t>$</w:t>
            </w:r>
          </w:p>
        </w:tc>
        <w:tc>
          <w:tcPr>
            <w:tcW w:w="720" w:type="dxa"/>
            <w:vAlign w:val="bottom"/>
            <w:vMerge w:val="restart"/>
          </w:tcPr>
          <w:p>
            <w:pPr>
              <w:jc w:val="right"/>
              <w:spacing w:after="0"/>
              <w:rPr>
                <w:sz w:val="20"/>
                <w:szCs w:val="20"/>
                <w:color w:val="auto"/>
              </w:rPr>
            </w:pPr>
            <w:r>
              <w:rPr>
                <w:rFonts w:ascii="Arial" w:cs="Arial" w:eastAsia="Arial" w:hAnsi="Arial"/>
                <w:sz w:val="13"/>
                <w:szCs w:val="13"/>
                <w:color w:val="auto"/>
              </w:rPr>
              <w:t>1,190</w:t>
            </w:r>
          </w:p>
        </w:tc>
        <w:tc>
          <w:tcPr>
            <w:tcW w:w="0" w:type="dxa"/>
            <w:vAlign w:val="bottom"/>
          </w:tcPr>
          <w:p>
            <w:pPr>
              <w:spacing w:after="0"/>
              <w:rPr>
                <w:sz w:val="1"/>
                <w:szCs w:val="1"/>
                <w:color w:val="auto"/>
              </w:rPr>
            </w:pPr>
          </w:p>
        </w:tc>
      </w:tr>
      <w:tr>
        <w:trPr>
          <w:trHeight w:val="154"/>
        </w:trPr>
        <w:tc>
          <w:tcPr>
            <w:tcW w:w="4020" w:type="dxa"/>
            <w:vAlign w:val="bottom"/>
            <w:gridSpan w:val="3"/>
          </w:tcPr>
          <w:p>
            <w:pPr>
              <w:ind w:left="160"/>
              <w:spacing w:after="0"/>
              <w:rPr>
                <w:sz w:val="20"/>
                <w:szCs w:val="20"/>
                <w:color w:val="auto"/>
              </w:rPr>
            </w:pPr>
            <w:r>
              <w:rPr>
                <w:rFonts w:ascii="Arial" w:cs="Arial" w:eastAsia="Arial" w:hAnsi="Arial"/>
                <w:sz w:val="13"/>
                <w:szCs w:val="13"/>
                <w:color w:val="auto"/>
              </w:rPr>
              <w:t>assets still held at end of period</w:t>
            </w:r>
          </w:p>
        </w:tc>
        <w:tc>
          <w:tcPr>
            <w:tcW w:w="100" w:type="dxa"/>
            <w:vAlign w:val="bottom"/>
            <w:vMerge w:val="continue"/>
          </w:tcPr>
          <w:p>
            <w:pPr>
              <w:spacing w:after="0"/>
              <w:rPr>
                <w:sz w:val="13"/>
                <w:szCs w:val="13"/>
                <w:color w:val="auto"/>
              </w:rPr>
            </w:pPr>
          </w:p>
        </w:tc>
        <w:tc>
          <w:tcPr>
            <w:tcW w:w="80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vMerge w:val="continue"/>
          </w:tcPr>
          <w:p>
            <w:pPr>
              <w:spacing w:after="0"/>
              <w:rPr>
                <w:sz w:val="13"/>
                <w:szCs w:val="13"/>
                <w:color w:val="auto"/>
              </w:rPr>
            </w:pPr>
          </w:p>
        </w:tc>
        <w:tc>
          <w:tcPr>
            <w:tcW w:w="78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vMerge w:val="continue"/>
          </w:tcPr>
          <w:p>
            <w:pPr>
              <w:spacing w:after="0"/>
              <w:rPr>
                <w:sz w:val="13"/>
                <w:szCs w:val="13"/>
                <w:color w:val="auto"/>
              </w:rPr>
            </w:pPr>
          </w:p>
        </w:tc>
        <w:tc>
          <w:tcPr>
            <w:tcW w:w="78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vMerge w:val="continue"/>
          </w:tcPr>
          <w:p>
            <w:pPr>
              <w:spacing w:after="0"/>
              <w:rPr>
                <w:sz w:val="13"/>
                <w:szCs w:val="13"/>
                <w:color w:val="auto"/>
              </w:rPr>
            </w:pPr>
          </w:p>
        </w:tc>
        <w:tc>
          <w:tcPr>
            <w:tcW w:w="76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vMerge w:val="continue"/>
          </w:tcPr>
          <w:p>
            <w:pPr>
              <w:spacing w:after="0"/>
              <w:rPr>
                <w:sz w:val="13"/>
                <w:szCs w:val="13"/>
                <w:color w:val="auto"/>
              </w:rPr>
            </w:pPr>
          </w:p>
        </w:tc>
        <w:tc>
          <w:tcPr>
            <w:tcW w:w="940" w:type="dxa"/>
            <w:vAlign w:val="bottom"/>
            <w:gridSpan w:val="2"/>
            <w:vMerge w:val="continue"/>
          </w:tcPr>
          <w:p>
            <w:pPr>
              <w:spacing w:after="0"/>
              <w:rPr>
                <w:sz w:val="13"/>
                <w:szCs w:val="13"/>
                <w:color w:val="auto"/>
              </w:rPr>
            </w:pPr>
          </w:p>
        </w:tc>
        <w:tc>
          <w:tcPr>
            <w:tcW w:w="180" w:type="dxa"/>
            <w:vAlign w:val="bottom"/>
            <w:vMerge w:val="continue"/>
          </w:tcPr>
          <w:p>
            <w:pPr>
              <w:spacing w:after="0"/>
              <w:rPr>
                <w:sz w:val="13"/>
                <w:szCs w:val="13"/>
                <w:color w:val="auto"/>
              </w:rPr>
            </w:pPr>
          </w:p>
        </w:tc>
        <w:tc>
          <w:tcPr>
            <w:tcW w:w="840" w:type="dxa"/>
            <w:vAlign w:val="bottom"/>
            <w:gridSpan w:val="2"/>
            <w:vMerge w:val="continue"/>
          </w:tcPr>
          <w:p>
            <w:pPr>
              <w:spacing w:after="0"/>
              <w:rPr>
                <w:sz w:val="13"/>
                <w:szCs w:val="13"/>
                <w:color w:val="auto"/>
              </w:rPr>
            </w:pPr>
          </w:p>
        </w:tc>
        <w:tc>
          <w:tcPr>
            <w:tcW w:w="220" w:type="dxa"/>
            <w:vAlign w:val="bottom"/>
            <w:vMerge w:val="continue"/>
          </w:tcPr>
          <w:p>
            <w:pPr>
              <w:spacing w:after="0"/>
              <w:rPr>
                <w:sz w:val="13"/>
                <w:szCs w:val="13"/>
                <w:color w:val="auto"/>
              </w:rPr>
            </w:pPr>
          </w:p>
        </w:tc>
        <w:tc>
          <w:tcPr>
            <w:tcW w:w="7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1" w:lineRule="exact"/>
        <w:rPr>
          <w:sz w:val="20"/>
          <w:szCs w:val="20"/>
          <w:color w:val="auto"/>
        </w:rPr>
      </w:pPr>
    </w:p>
    <w:p>
      <w:pPr>
        <w:ind w:right="280" w:firstLine="619"/>
        <w:spacing w:after="0" w:line="271" w:lineRule="auto"/>
        <w:rPr>
          <w:sz w:val="20"/>
          <w:szCs w:val="20"/>
          <w:color w:val="auto"/>
        </w:rPr>
      </w:pPr>
      <w:r>
        <w:rPr>
          <w:rFonts w:ascii="Arial" w:cs="Arial" w:eastAsia="Arial" w:hAnsi="Arial"/>
          <w:sz w:val="17"/>
          <w:szCs w:val="17"/>
          <w:color w:val="auto"/>
        </w:rPr>
        <w:t>Total realized and unrealized gains and losses recorded for Level III investments are included in net realized gain on consolidated funds’ investments or net change in unrealized appreciation (depreciation) on consolidated funds’ investments in the consolidated statements of operations.</w:t>
      </w:r>
    </w:p>
    <w:p>
      <w:pPr>
        <w:spacing w:after="0" w:line="163" w:lineRule="exact"/>
        <w:rPr>
          <w:sz w:val="20"/>
          <w:szCs w:val="20"/>
          <w:color w:val="auto"/>
        </w:rPr>
      </w:pPr>
    </w:p>
    <w:p>
      <w:pPr>
        <w:ind w:right="100" w:firstLine="619"/>
        <w:spacing w:after="0" w:line="265" w:lineRule="auto"/>
        <w:rPr>
          <w:sz w:val="20"/>
          <w:szCs w:val="20"/>
          <w:color w:val="auto"/>
        </w:rPr>
      </w:pPr>
      <w:r>
        <w:rPr>
          <w:rFonts w:ascii="Arial" w:cs="Arial" w:eastAsia="Arial" w:hAnsi="Arial"/>
          <w:sz w:val="17"/>
          <w:szCs w:val="17"/>
          <w:color w:val="auto"/>
        </w:rPr>
        <w:t>Transfers out of Level III are generally attributable to certain investments that experienced a more significant level of market trading activity or completed an initial public offering during the respective period and thus were valued using observable inputs. Transfers into Level III typically reflect either investments that experienced a less significant level of market trading activity during the period or portfolio companies that undertook restructurings or bankruptcy proceedings and thus were valued in the absence of observable inputs.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24</w:t>
      </w:r>
    </w:p>
    <w:p>
      <w:pPr>
        <w:sectPr>
          <w:pgSz w:w="11900" w:h="16838" w:orient="portrait"/>
          <w:cols w:equalWidth="0" w:num="1">
            <w:col w:w="11240"/>
          </w:cols>
          <w:pgMar w:left="320" w:top="353" w:right="339" w:bottom="1440" w:gutter="0" w:footer="0" w:header="0"/>
        </w:sectPr>
      </w:pPr>
    </w:p>
    <w:bookmarkStart w:id="164" w:name="page165"/>
    <w:bookmarkEnd w:id="164"/>
    <w:p>
      <w:pPr>
        <w:jc w:val="center"/>
        <w:spacing w:after="0"/>
        <w:rPr>
          <w:sz w:val="20"/>
          <w:szCs w:val="20"/>
          <w:color w:val="auto"/>
        </w:rPr>
      </w:pPr>
      <w:r>
        <w:rPr>
          <w:rFonts w:ascii="Arial" w:cs="Arial" w:eastAsia="Arial" w:hAnsi="Arial"/>
          <w:sz w:val="17"/>
          <w:szCs w:val="17"/>
          <w:b w:val="1"/>
          <w:bCs w:val="1"/>
          <w:color w:val="auto"/>
        </w:rPr>
        <w:t>Oaktree Capital I, L.P.</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 (Continued)</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December 31, 2025</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 in thousands, except where noted)</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right="60" w:firstLine="619"/>
        <w:spacing w:after="0" w:line="290" w:lineRule="auto"/>
        <w:rPr>
          <w:sz w:val="20"/>
          <w:szCs w:val="20"/>
          <w:color w:val="auto"/>
        </w:rPr>
      </w:pPr>
      <w:r>
        <w:rPr>
          <w:rFonts w:ascii="Arial" w:cs="Arial" w:eastAsia="Arial" w:hAnsi="Arial"/>
          <w:sz w:val="17"/>
          <w:szCs w:val="17"/>
          <w:color w:val="auto"/>
        </w:rPr>
        <w:t>The following table sets forth a summary of the valuation techniques and quantitative information utilized in determining the fair value of the consolidated funds’ Level III investments as of December 31, 2025:</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1840" w:type="dxa"/>
            <w:vAlign w:val="bottom"/>
            <w:vMerge w:val="restart"/>
          </w:tcPr>
          <w:p>
            <w:pPr>
              <w:ind w:left="480"/>
              <w:spacing w:after="0"/>
              <w:rPr>
                <w:sz w:val="20"/>
                <w:szCs w:val="20"/>
                <w:color w:val="auto"/>
              </w:rPr>
            </w:pPr>
            <w:r>
              <w:rPr>
                <w:rFonts w:ascii="Arial" w:cs="Arial" w:eastAsia="Arial" w:hAnsi="Arial"/>
                <w:sz w:val="11"/>
                <w:szCs w:val="11"/>
                <w:b w:val="1"/>
                <w:bCs w:val="1"/>
                <w:color w:val="auto"/>
              </w:rPr>
              <w:t>Investment Type</w:t>
            </w:r>
          </w:p>
        </w:tc>
        <w:tc>
          <w:tcPr>
            <w:tcW w:w="220" w:type="dxa"/>
            <w:vAlign w:val="bottom"/>
            <w:vMerge w:val="restart"/>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vMerge w:val="restart"/>
          </w:tcPr>
          <w:p>
            <w:pPr>
              <w:jc w:val="right"/>
              <w:ind w:right="200"/>
              <w:spacing w:after="0"/>
              <w:rPr>
                <w:sz w:val="20"/>
                <w:szCs w:val="20"/>
                <w:color w:val="auto"/>
              </w:rPr>
            </w:pPr>
            <w:r>
              <w:rPr>
                <w:rFonts w:ascii="Arial" w:cs="Arial" w:eastAsia="Arial" w:hAnsi="Arial"/>
                <w:sz w:val="11"/>
                <w:szCs w:val="11"/>
                <w:b w:val="1"/>
                <w:bCs w:val="1"/>
                <w:color w:val="auto"/>
              </w:rPr>
              <w:t>Fair Value</w:t>
            </w:r>
          </w:p>
        </w:tc>
        <w:tc>
          <w:tcPr>
            <w:tcW w:w="200" w:type="dxa"/>
            <w:vAlign w:val="bottom"/>
          </w:tcPr>
          <w:p>
            <w:pPr>
              <w:spacing w:after="0"/>
              <w:rPr>
                <w:sz w:val="10"/>
                <w:szCs w:val="10"/>
                <w:color w:val="auto"/>
              </w:rPr>
            </w:pPr>
          </w:p>
        </w:tc>
        <w:tc>
          <w:tcPr>
            <w:tcW w:w="2440" w:type="dxa"/>
            <w:vAlign w:val="bottom"/>
            <w:vMerge w:val="restart"/>
          </w:tcPr>
          <w:p>
            <w:pPr>
              <w:ind w:left="680"/>
              <w:spacing w:after="0"/>
              <w:rPr>
                <w:sz w:val="20"/>
                <w:szCs w:val="20"/>
                <w:color w:val="auto"/>
              </w:rPr>
            </w:pPr>
            <w:r>
              <w:rPr>
                <w:rFonts w:ascii="Arial" w:cs="Arial" w:eastAsia="Arial" w:hAnsi="Arial"/>
                <w:sz w:val="11"/>
                <w:szCs w:val="11"/>
                <w:b w:val="1"/>
                <w:bCs w:val="1"/>
                <w:color w:val="auto"/>
              </w:rPr>
              <w:t>Valuation Technique</w:t>
            </w:r>
          </w:p>
        </w:tc>
        <w:tc>
          <w:tcPr>
            <w:tcW w:w="200" w:type="dxa"/>
            <w:vAlign w:val="bottom"/>
            <w:vMerge w:val="restart"/>
          </w:tcPr>
          <w:p>
            <w:pPr>
              <w:spacing w:after="0"/>
              <w:rPr>
                <w:sz w:val="10"/>
                <w:szCs w:val="10"/>
                <w:color w:val="auto"/>
              </w:rPr>
            </w:pPr>
          </w:p>
        </w:tc>
        <w:tc>
          <w:tcPr>
            <w:tcW w:w="2640" w:type="dxa"/>
            <w:vAlign w:val="bottom"/>
            <w:gridSpan w:val="2"/>
          </w:tcPr>
          <w:p>
            <w:pPr>
              <w:ind w:left="540"/>
              <w:spacing w:after="0"/>
              <w:rPr>
                <w:sz w:val="20"/>
                <w:szCs w:val="20"/>
                <w:color w:val="auto"/>
              </w:rPr>
            </w:pPr>
            <w:r>
              <w:rPr>
                <w:rFonts w:ascii="Arial" w:cs="Arial" w:eastAsia="Arial" w:hAnsi="Arial"/>
                <w:sz w:val="11"/>
                <w:szCs w:val="11"/>
                <w:b w:val="1"/>
                <w:bCs w:val="1"/>
                <w:color w:val="auto"/>
              </w:rPr>
              <w:t>Significant Unobservable</w:t>
            </w:r>
          </w:p>
        </w:tc>
        <w:tc>
          <w:tcPr>
            <w:tcW w:w="1240" w:type="dxa"/>
            <w:vAlign w:val="bottom"/>
            <w:vMerge w:val="restart"/>
          </w:tcPr>
          <w:p>
            <w:pPr>
              <w:jc w:val="center"/>
              <w:spacing w:after="0"/>
              <w:rPr>
                <w:sz w:val="20"/>
                <w:szCs w:val="20"/>
                <w:color w:val="auto"/>
              </w:rPr>
            </w:pPr>
            <w:r>
              <w:rPr>
                <w:rFonts w:ascii="Arial" w:cs="Arial" w:eastAsia="Arial" w:hAnsi="Arial"/>
                <w:sz w:val="11"/>
                <w:szCs w:val="11"/>
                <w:b w:val="1"/>
                <w:bCs w:val="1"/>
                <w:color w:val="auto"/>
              </w:rPr>
              <w:t>Range</w:t>
            </w:r>
          </w:p>
        </w:tc>
        <w:tc>
          <w:tcPr>
            <w:tcW w:w="200" w:type="dxa"/>
            <w:vAlign w:val="bottom"/>
            <w:vMerge w:val="restart"/>
          </w:tcPr>
          <w:p>
            <w:pPr>
              <w:spacing w:after="0"/>
              <w:rPr>
                <w:sz w:val="10"/>
                <w:szCs w:val="10"/>
                <w:color w:val="auto"/>
              </w:rPr>
            </w:pPr>
          </w:p>
        </w:tc>
        <w:tc>
          <w:tcPr>
            <w:tcW w:w="1240" w:type="dxa"/>
            <w:vAlign w:val="bottom"/>
            <w:vMerge w:val="restart"/>
          </w:tcPr>
          <w:p>
            <w:pPr>
              <w:jc w:val="center"/>
              <w:spacing w:after="0"/>
              <w:rPr>
                <w:sz w:val="20"/>
                <w:szCs w:val="20"/>
                <w:color w:val="auto"/>
              </w:rPr>
            </w:pPr>
            <w:r>
              <w:rPr>
                <w:rFonts w:ascii="Arial" w:cs="Arial" w:eastAsia="Arial" w:hAnsi="Arial"/>
                <w:sz w:val="11"/>
                <w:szCs w:val="11"/>
                <w:b w:val="1"/>
                <w:bCs w:val="1"/>
                <w:color w:val="auto"/>
                <w:w w:val="97"/>
              </w:rPr>
              <w:t xml:space="preserve">Weighted Average </w:t>
            </w:r>
            <w:r>
              <w:rPr>
                <w:rFonts w:ascii="Arial" w:cs="Arial" w:eastAsia="Arial" w:hAnsi="Arial"/>
                <w:sz w:val="14"/>
                <w:szCs w:val="14"/>
                <w:b w:val="1"/>
                <w:bCs w:val="1"/>
                <w:color w:val="auto"/>
                <w:w w:val="97"/>
                <w:vertAlign w:val="superscript"/>
              </w:rPr>
              <w:t>(3)</w:t>
            </w:r>
          </w:p>
        </w:tc>
        <w:tc>
          <w:tcPr>
            <w:tcW w:w="0" w:type="dxa"/>
            <w:vAlign w:val="bottom"/>
          </w:tcPr>
          <w:p>
            <w:pPr>
              <w:spacing w:after="0"/>
              <w:rPr>
                <w:sz w:val="1"/>
                <w:szCs w:val="1"/>
                <w:color w:val="auto"/>
              </w:rPr>
            </w:pPr>
          </w:p>
        </w:tc>
      </w:tr>
      <w:tr>
        <w:trPr>
          <w:trHeight w:val="150"/>
        </w:trPr>
        <w:tc>
          <w:tcPr>
            <w:tcW w:w="1840" w:type="dxa"/>
            <w:vAlign w:val="bottom"/>
            <w:tcBorders>
              <w:bottom w:val="single" w:sz="8" w:color="auto"/>
            </w:tcBorders>
            <w:vMerge w:val="continue"/>
          </w:tcPr>
          <w:p>
            <w:pPr>
              <w:spacing w:after="0"/>
              <w:rPr>
                <w:sz w:val="13"/>
                <w:szCs w:val="13"/>
                <w:color w:val="auto"/>
              </w:rPr>
            </w:pPr>
          </w:p>
        </w:tc>
        <w:tc>
          <w:tcPr>
            <w:tcW w:w="220" w:type="dxa"/>
            <w:vAlign w:val="bottom"/>
            <w:vMerge w:val="continue"/>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vMerge w:val="continue"/>
          </w:tcPr>
          <w:p>
            <w:pPr>
              <w:spacing w:after="0"/>
              <w:rPr>
                <w:sz w:val="13"/>
                <w:szCs w:val="13"/>
                <w:color w:val="auto"/>
              </w:rPr>
            </w:pPr>
          </w:p>
        </w:tc>
        <w:tc>
          <w:tcPr>
            <w:tcW w:w="200" w:type="dxa"/>
            <w:vAlign w:val="bottom"/>
          </w:tcPr>
          <w:p>
            <w:pPr>
              <w:spacing w:after="0"/>
              <w:rPr>
                <w:sz w:val="13"/>
                <w:szCs w:val="13"/>
                <w:color w:val="auto"/>
              </w:rPr>
            </w:pPr>
          </w:p>
        </w:tc>
        <w:tc>
          <w:tcPr>
            <w:tcW w:w="2440" w:type="dxa"/>
            <w:vAlign w:val="bottom"/>
            <w:tcBorders>
              <w:bottom w:val="single" w:sz="8" w:color="auto"/>
            </w:tcBorders>
            <w:vMerge w:val="continue"/>
          </w:tcPr>
          <w:p>
            <w:pPr>
              <w:spacing w:after="0"/>
              <w:rPr>
                <w:sz w:val="13"/>
                <w:szCs w:val="13"/>
                <w:color w:val="auto"/>
              </w:rPr>
            </w:pPr>
          </w:p>
        </w:tc>
        <w:tc>
          <w:tcPr>
            <w:tcW w:w="200" w:type="dxa"/>
            <w:vAlign w:val="bottom"/>
            <w:vMerge w:val="continue"/>
          </w:tcPr>
          <w:p>
            <w:pPr>
              <w:spacing w:after="0"/>
              <w:rPr>
                <w:sz w:val="13"/>
                <w:szCs w:val="13"/>
                <w:color w:val="auto"/>
              </w:rPr>
            </w:pPr>
          </w:p>
        </w:tc>
        <w:tc>
          <w:tcPr>
            <w:tcW w:w="2440" w:type="dxa"/>
            <w:vAlign w:val="bottom"/>
            <w:tcBorders>
              <w:bottom w:val="single" w:sz="8" w:color="auto"/>
            </w:tcBorders>
          </w:tcPr>
          <w:p>
            <w:pPr>
              <w:ind w:left="960"/>
              <w:spacing w:after="0" w:line="150" w:lineRule="exact"/>
              <w:rPr>
                <w:sz w:val="20"/>
                <w:szCs w:val="20"/>
                <w:color w:val="auto"/>
              </w:rPr>
            </w:pPr>
            <w:r>
              <w:rPr>
                <w:rFonts w:ascii="Arial" w:cs="Arial" w:eastAsia="Arial" w:hAnsi="Arial"/>
                <w:sz w:val="17"/>
                <w:szCs w:val="17"/>
                <w:b w:val="1"/>
                <w:bCs w:val="1"/>
                <w:color w:val="auto"/>
                <w:vertAlign w:val="subscript"/>
              </w:rPr>
              <w:t>Inputs</w:t>
            </w:r>
            <w:r>
              <w:rPr>
                <w:rFonts w:ascii="Arial" w:cs="Arial" w:eastAsia="Arial" w:hAnsi="Arial"/>
                <w:sz w:val="6"/>
                <w:szCs w:val="6"/>
                <w:b w:val="1"/>
                <w:bCs w:val="1"/>
                <w:color w:val="auto"/>
              </w:rPr>
              <w:t xml:space="preserve"> (1)(2)</w:t>
            </w:r>
          </w:p>
        </w:tc>
        <w:tc>
          <w:tcPr>
            <w:tcW w:w="200" w:type="dxa"/>
            <w:vAlign w:val="bottom"/>
          </w:tcPr>
          <w:p>
            <w:pPr>
              <w:spacing w:after="0"/>
              <w:rPr>
                <w:sz w:val="13"/>
                <w:szCs w:val="13"/>
                <w:color w:val="auto"/>
              </w:rPr>
            </w:pPr>
          </w:p>
        </w:tc>
        <w:tc>
          <w:tcPr>
            <w:tcW w:w="1240" w:type="dxa"/>
            <w:vAlign w:val="bottom"/>
            <w:tcBorders>
              <w:bottom w:val="single" w:sz="8" w:color="auto"/>
            </w:tcBorders>
            <w:vMerge w:val="continue"/>
          </w:tcPr>
          <w:p>
            <w:pPr>
              <w:spacing w:after="0"/>
              <w:rPr>
                <w:sz w:val="13"/>
                <w:szCs w:val="13"/>
                <w:color w:val="auto"/>
              </w:rPr>
            </w:pPr>
          </w:p>
        </w:tc>
        <w:tc>
          <w:tcPr>
            <w:tcW w:w="200" w:type="dxa"/>
            <w:vAlign w:val="bottom"/>
            <w:vMerge w:val="continue"/>
          </w:tcPr>
          <w:p>
            <w:pPr>
              <w:spacing w:after="0"/>
              <w:rPr>
                <w:sz w:val="13"/>
                <w:szCs w:val="13"/>
                <w:color w:val="auto"/>
              </w:rPr>
            </w:pPr>
          </w:p>
        </w:tc>
        <w:tc>
          <w:tcPr>
            <w:tcW w:w="124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76"/>
        </w:trPr>
        <w:tc>
          <w:tcPr>
            <w:tcW w:w="2060" w:type="dxa"/>
            <w:vAlign w:val="bottom"/>
            <w:gridSpan w:val="2"/>
          </w:tcPr>
          <w:p>
            <w:pPr>
              <w:ind w:left="20"/>
              <w:spacing w:after="0"/>
              <w:rPr>
                <w:sz w:val="20"/>
                <w:szCs w:val="20"/>
                <w:color w:val="auto"/>
              </w:rPr>
            </w:pPr>
            <w:r>
              <w:rPr>
                <w:rFonts w:ascii="Arial" w:cs="Arial" w:eastAsia="Arial" w:hAnsi="Arial"/>
                <w:sz w:val="12"/>
                <w:szCs w:val="12"/>
                <w:color w:val="auto"/>
              </w:rPr>
              <w:t>Credit-oriented investments:</w:t>
            </w:r>
          </w:p>
        </w:tc>
        <w:tc>
          <w:tcPr>
            <w:tcW w:w="1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4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4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6"/>
        </w:trPr>
        <w:tc>
          <w:tcPr>
            <w:tcW w:w="1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jc w:val="right"/>
              <w:ind w:right="20"/>
              <w:spacing w:after="0"/>
              <w:rPr>
                <w:sz w:val="20"/>
                <w:szCs w:val="20"/>
                <w:color w:val="auto"/>
              </w:rPr>
            </w:pPr>
            <w:r>
              <w:rPr>
                <w:rFonts w:ascii="Arial" w:cs="Arial" w:eastAsia="Arial" w:hAnsi="Arial"/>
                <w:sz w:val="12"/>
                <w:szCs w:val="12"/>
                <w:color w:val="auto"/>
                <w:w w:val="89"/>
              </w:rPr>
              <w:t>$</w:t>
            </w:r>
          </w:p>
        </w:tc>
        <w:tc>
          <w:tcPr>
            <w:tcW w:w="860" w:type="dxa"/>
            <w:vAlign w:val="bottom"/>
          </w:tcPr>
          <w:p>
            <w:pPr>
              <w:jc w:val="right"/>
              <w:spacing w:after="0"/>
              <w:rPr>
                <w:sz w:val="20"/>
                <w:szCs w:val="20"/>
                <w:color w:val="auto"/>
              </w:rPr>
            </w:pPr>
            <w:r>
              <w:rPr>
                <w:rFonts w:ascii="Arial" w:cs="Arial" w:eastAsia="Arial" w:hAnsi="Arial"/>
                <w:sz w:val="12"/>
                <w:szCs w:val="12"/>
                <w:color w:val="auto"/>
              </w:rPr>
              <w:t>124,145</w:t>
            </w:r>
          </w:p>
        </w:tc>
        <w:tc>
          <w:tcPr>
            <w:tcW w:w="200" w:type="dxa"/>
            <w:vAlign w:val="bottom"/>
          </w:tcPr>
          <w:p>
            <w:pPr>
              <w:spacing w:after="0"/>
              <w:rPr>
                <w:sz w:val="15"/>
                <w:szCs w:val="15"/>
                <w:color w:val="auto"/>
              </w:rPr>
            </w:pPr>
          </w:p>
        </w:tc>
        <w:tc>
          <w:tcPr>
            <w:tcW w:w="2640" w:type="dxa"/>
            <w:vAlign w:val="bottom"/>
            <w:gridSpan w:val="2"/>
          </w:tcPr>
          <w:p>
            <w:pPr>
              <w:ind w:left="20"/>
              <w:spacing w:after="0"/>
              <w:rPr>
                <w:sz w:val="20"/>
                <w:szCs w:val="20"/>
                <w:color w:val="auto"/>
              </w:rPr>
            </w:pPr>
            <w:r>
              <w:rPr>
                <w:rFonts w:ascii="Arial" w:cs="Arial" w:eastAsia="Arial" w:hAnsi="Arial"/>
                <w:sz w:val="12"/>
                <w:szCs w:val="12"/>
                <w:color w:val="auto"/>
              </w:rPr>
              <w:t xml:space="preserve">Discounted cash flow </w:t>
            </w:r>
            <w:r>
              <w:rPr>
                <w:rFonts w:ascii="Arial" w:cs="Arial" w:eastAsia="Arial" w:hAnsi="Arial"/>
                <w:sz w:val="15"/>
                <w:szCs w:val="15"/>
                <w:color w:val="auto"/>
                <w:vertAlign w:val="superscript"/>
              </w:rPr>
              <w:t>(6)</w:t>
            </w:r>
          </w:p>
        </w:tc>
        <w:tc>
          <w:tcPr>
            <w:tcW w:w="2640" w:type="dxa"/>
            <w:vAlign w:val="bottom"/>
            <w:gridSpan w:val="2"/>
          </w:tcPr>
          <w:p>
            <w:pPr>
              <w:ind w:left="20"/>
              <w:spacing w:after="0"/>
              <w:rPr>
                <w:sz w:val="20"/>
                <w:szCs w:val="20"/>
                <w:color w:val="auto"/>
              </w:rPr>
            </w:pPr>
            <w:r>
              <w:rPr>
                <w:rFonts w:ascii="Arial" w:cs="Arial" w:eastAsia="Arial" w:hAnsi="Arial"/>
                <w:sz w:val="12"/>
                <w:szCs w:val="12"/>
                <w:color w:val="auto"/>
              </w:rPr>
              <w:t>Discount rate</w:t>
            </w:r>
          </w:p>
        </w:tc>
        <w:tc>
          <w:tcPr>
            <w:tcW w:w="1240" w:type="dxa"/>
            <w:vAlign w:val="bottom"/>
          </w:tcPr>
          <w:p>
            <w:pPr>
              <w:jc w:val="center"/>
              <w:spacing w:after="0"/>
              <w:rPr>
                <w:sz w:val="20"/>
                <w:szCs w:val="20"/>
                <w:color w:val="auto"/>
              </w:rPr>
            </w:pPr>
            <w:r>
              <w:rPr>
                <w:rFonts w:ascii="Arial" w:cs="Arial" w:eastAsia="Arial" w:hAnsi="Arial"/>
                <w:sz w:val="12"/>
                <w:szCs w:val="12"/>
                <w:color w:val="auto"/>
                <w:w w:val="99"/>
              </w:rPr>
              <w:t>3% - 27%</w:t>
            </w:r>
          </w:p>
        </w:tc>
        <w:tc>
          <w:tcPr>
            <w:tcW w:w="200" w:type="dxa"/>
            <w:vAlign w:val="bottom"/>
          </w:tcPr>
          <w:p>
            <w:pPr>
              <w:spacing w:after="0"/>
              <w:rPr>
                <w:sz w:val="15"/>
                <w:szCs w:val="15"/>
                <w:color w:val="auto"/>
              </w:rPr>
            </w:pPr>
          </w:p>
        </w:tc>
        <w:tc>
          <w:tcPr>
            <w:tcW w:w="1240" w:type="dxa"/>
            <w:vAlign w:val="bottom"/>
          </w:tcPr>
          <w:p>
            <w:pPr>
              <w:jc w:val="center"/>
              <w:spacing w:after="0"/>
              <w:rPr>
                <w:sz w:val="20"/>
                <w:szCs w:val="20"/>
                <w:color w:val="auto"/>
              </w:rPr>
            </w:pPr>
            <w:r>
              <w:rPr>
                <w:rFonts w:ascii="Arial" w:cs="Arial" w:eastAsia="Arial" w:hAnsi="Arial"/>
                <w:sz w:val="12"/>
                <w:szCs w:val="12"/>
                <w:color w:val="auto"/>
                <w:w w:val="99"/>
              </w:rPr>
              <w:t>12%</w:t>
            </w:r>
          </w:p>
        </w:tc>
        <w:tc>
          <w:tcPr>
            <w:tcW w:w="0" w:type="dxa"/>
            <w:vAlign w:val="bottom"/>
          </w:tcPr>
          <w:p>
            <w:pPr>
              <w:spacing w:after="0"/>
              <w:rPr>
                <w:sz w:val="1"/>
                <w:szCs w:val="1"/>
                <w:color w:val="auto"/>
              </w:rPr>
            </w:pPr>
          </w:p>
        </w:tc>
      </w:tr>
      <w:tr>
        <w:trPr>
          <w:trHeight w:val="168"/>
        </w:trPr>
        <w:tc>
          <w:tcPr>
            <w:tcW w:w="1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15</w:t>
            </w:r>
          </w:p>
        </w:tc>
        <w:tc>
          <w:tcPr>
            <w:tcW w:w="200" w:type="dxa"/>
            <w:vAlign w:val="bottom"/>
          </w:tcPr>
          <w:p>
            <w:pPr>
              <w:spacing w:after="0"/>
              <w:rPr>
                <w:sz w:val="14"/>
                <w:szCs w:val="14"/>
                <w:color w:val="auto"/>
              </w:rPr>
            </w:pPr>
          </w:p>
        </w:tc>
        <w:tc>
          <w:tcPr>
            <w:tcW w:w="2640" w:type="dxa"/>
            <w:vAlign w:val="bottom"/>
            <w:gridSpan w:val="2"/>
          </w:tcPr>
          <w:p>
            <w:pPr>
              <w:ind w:left="20"/>
              <w:spacing w:after="0" w:line="168" w:lineRule="exact"/>
              <w:rPr>
                <w:sz w:val="20"/>
                <w:szCs w:val="20"/>
                <w:color w:val="auto"/>
              </w:rPr>
            </w:pPr>
            <w:r>
              <w:rPr>
                <w:rFonts w:ascii="Arial" w:cs="Arial" w:eastAsia="Arial" w:hAnsi="Arial"/>
                <w:sz w:val="12"/>
                <w:szCs w:val="12"/>
                <w:color w:val="auto"/>
              </w:rPr>
              <w:t xml:space="preserve">Expected Recovery </w:t>
            </w:r>
            <w:r>
              <w:rPr>
                <w:rFonts w:ascii="Arial" w:cs="Arial" w:eastAsia="Arial" w:hAnsi="Arial"/>
                <w:sz w:val="15"/>
                <w:szCs w:val="15"/>
                <w:color w:val="auto"/>
                <w:vertAlign w:val="superscript"/>
              </w:rPr>
              <w:t>(11)</w:t>
            </w:r>
          </w:p>
        </w:tc>
        <w:tc>
          <w:tcPr>
            <w:tcW w:w="2640" w:type="dxa"/>
            <w:vAlign w:val="bottom"/>
            <w:gridSpan w:val="2"/>
          </w:tcPr>
          <w:p>
            <w:pPr>
              <w:ind w:left="20"/>
              <w:spacing w:after="0"/>
              <w:rPr>
                <w:sz w:val="20"/>
                <w:szCs w:val="20"/>
                <w:color w:val="auto"/>
              </w:rPr>
            </w:pPr>
            <w:r>
              <w:rPr>
                <w:rFonts w:ascii="Arial" w:cs="Arial" w:eastAsia="Arial" w:hAnsi="Arial"/>
                <w:sz w:val="12"/>
                <w:szCs w:val="12"/>
                <w:color w:val="auto"/>
              </w:rPr>
              <w:t>Not applicable</w:t>
            </w:r>
          </w:p>
        </w:tc>
        <w:tc>
          <w:tcPr>
            <w:tcW w:w="1440" w:type="dxa"/>
            <w:vAlign w:val="bottom"/>
            <w:gridSpan w:val="2"/>
          </w:tcPr>
          <w:p>
            <w:pPr>
              <w:jc w:val="center"/>
              <w:ind w:right="200"/>
              <w:spacing w:after="0"/>
              <w:rPr>
                <w:sz w:val="20"/>
                <w:szCs w:val="20"/>
                <w:color w:val="auto"/>
              </w:rPr>
            </w:pPr>
            <w:r>
              <w:rPr>
                <w:rFonts w:ascii="Arial" w:cs="Arial" w:eastAsia="Arial" w:hAnsi="Arial"/>
                <w:sz w:val="12"/>
                <w:szCs w:val="12"/>
                <w:color w:val="auto"/>
                <w:w w:val="99"/>
              </w:rPr>
              <w:t>Not applicable</w:t>
            </w:r>
          </w:p>
        </w:tc>
        <w:tc>
          <w:tcPr>
            <w:tcW w:w="1240" w:type="dxa"/>
            <w:vAlign w:val="bottom"/>
          </w:tcPr>
          <w:p>
            <w:pPr>
              <w:jc w:val="center"/>
              <w:spacing w:after="0"/>
              <w:rPr>
                <w:sz w:val="20"/>
                <w:szCs w:val="20"/>
                <w:color w:val="auto"/>
              </w:rPr>
            </w:pPr>
            <w:r>
              <w:rPr>
                <w:rFonts w:ascii="Arial" w:cs="Arial" w:eastAsia="Arial" w:hAnsi="Arial"/>
                <w:sz w:val="12"/>
                <w:szCs w:val="12"/>
                <w:color w:val="auto"/>
                <w:w w:val="99"/>
              </w:rPr>
              <w:t>Not applicable</w:t>
            </w:r>
          </w:p>
        </w:tc>
        <w:tc>
          <w:tcPr>
            <w:tcW w:w="0" w:type="dxa"/>
            <w:vAlign w:val="bottom"/>
          </w:tcPr>
          <w:p>
            <w:pPr>
              <w:spacing w:after="0"/>
              <w:rPr>
                <w:sz w:val="1"/>
                <w:szCs w:val="1"/>
                <w:color w:val="auto"/>
              </w:rPr>
            </w:pPr>
          </w:p>
        </w:tc>
      </w:tr>
      <w:tr>
        <w:trPr>
          <w:trHeight w:val="168"/>
        </w:trPr>
        <w:tc>
          <w:tcPr>
            <w:tcW w:w="1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34,109</w:t>
            </w:r>
          </w:p>
        </w:tc>
        <w:tc>
          <w:tcPr>
            <w:tcW w:w="200" w:type="dxa"/>
            <w:vAlign w:val="bottom"/>
          </w:tcPr>
          <w:p>
            <w:pPr>
              <w:spacing w:after="0"/>
              <w:rPr>
                <w:sz w:val="14"/>
                <w:szCs w:val="14"/>
                <w:color w:val="auto"/>
              </w:rPr>
            </w:pPr>
          </w:p>
        </w:tc>
        <w:tc>
          <w:tcPr>
            <w:tcW w:w="2640" w:type="dxa"/>
            <w:vAlign w:val="bottom"/>
            <w:gridSpan w:val="2"/>
          </w:tcPr>
          <w:p>
            <w:pPr>
              <w:ind w:left="20"/>
              <w:spacing w:after="0" w:line="168" w:lineRule="exact"/>
              <w:rPr>
                <w:sz w:val="20"/>
                <w:szCs w:val="20"/>
                <w:color w:val="auto"/>
              </w:rPr>
            </w:pPr>
            <w:r>
              <w:rPr>
                <w:rFonts w:ascii="Arial" w:cs="Arial" w:eastAsia="Arial" w:hAnsi="Arial"/>
                <w:sz w:val="12"/>
                <w:szCs w:val="12"/>
                <w:color w:val="auto"/>
              </w:rPr>
              <w:t xml:space="preserve">Recent market information </w:t>
            </w:r>
            <w:r>
              <w:rPr>
                <w:rFonts w:ascii="Arial" w:cs="Arial" w:eastAsia="Arial" w:hAnsi="Arial"/>
                <w:sz w:val="15"/>
                <w:szCs w:val="15"/>
                <w:color w:val="auto"/>
                <w:vertAlign w:val="superscript"/>
              </w:rPr>
              <w:t>(5)</w:t>
            </w:r>
          </w:p>
        </w:tc>
        <w:tc>
          <w:tcPr>
            <w:tcW w:w="2640" w:type="dxa"/>
            <w:vAlign w:val="bottom"/>
            <w:gridSpan w:val="2"/>
          </w:tcPr>
          <w:p>
            <w:pPr>
              <w:ind w:left="20"/>
              <w:spacing w:after="0"/>
              <w:rPr>
                <w:sz w:val="20"/>
                <w:szCs w:val="20"/>
                <w:color w:val="auto"/>
              </w:rPr>
            </w:pPr>
            <w:r>
              <w:rPr>
                <w:rFonts w:ascii="Arial" w:cs="Arial" w:eastAsia="Arial" w:hAnsi="Arial"/>
                <w:sz w:val="12"/>
                <w:szCs w:val="12"/>
                <w:color w:val="auto"/>
              </w:rPr>
              <w:t>Quoted prices</w:t>
            </w:r>
          </w:p>
        </w:tc>
        <w:tc>
          <w:tcPr>
            <w:tcW w:w="1440" w:type="dxa"/>
            <w:vAlign w:val="bottom"/>
            <w:gridSpan w:val="2"/>
          </w:tcPr>
          <w:p>
            <w:pPr>
              <w:jc w:val="center"/>
              <w:ind w:right="200"/>
              <w:spacing w:after="0"/>
              <w:rPr>
                <w:sz w:val="20"/>
                <w:szCs w:val="20"/>
                <w:color w:val="auto"/>
              </w:rPr>
            </w:pPr>
            <w:r>
              <w:rPr>
                <w:rFonts w:ascii="Arial" w:cs="Arial" w:eastAsia="Arial" w:hAnsi="Arial"/>
                <w:sz w:val="12"/>
                <w:szCs w:val="12"/>
                <w:color w:val="auto"/>
                <w:w w:val="99"/>
              </w:rPr>
              <w:t>Not applicable</w:t>
            </w:r>
          </w:p>
        </w:tc>
        <w:tc>
          <w:tcPr>
            <w:tcW w:w="1240" w:type="dxa"/>
            <w:vAlign w:val="bottom"/>
          </w:tcPr>
          <w:p>
            <w:pPr>
              <w:jc w:val="center"/>
              <w:spacing w:after="0"/>
              <w:rPr>
                <w:sz w:val="20"/>
                <w:szCs w:val="20"/>
                <w:color w:val="auto"/>
              </w:rPr>
            </w:pPr>
            <w:r>
              <w:rPr>
                <w:rFonts w:ascii="Arial" w:cs="Arial" w:eastAsia="Arial" w:hAnsi="Arial"/>
                <w:sz w:val="12"/>
                <w:szCs w:val="12"/>
                <w:color w:val="auto"/>
                <w:w w:val="99"/>
              </w:rPr>
              <w:t>Not applicable</w:t>
            </w:r>
          </w:p>
        </w:tc>
        <w:tc>
          <w:tcPr>
            <w:tcW w:w="0" w:type="dxa"/>
            <w:vAlign w:val="bottom"/>
          </w:tcPr>
          <w:p>
            <w:pPr>
              <w:spacing w:after="0"/>
              <w:rPr>
                <w:sz w:val="1"/>
                <w:szCs w:val="1"/>
                <w:color w:val="auto"/>
              </w:rPr>
            </w:pPr>
          </w:p>
        </w:tc>
      </w:tr>
      <w:tr>
        <w:trPr>
          <w:trHeight w:val="168"/>
        </w:trPr>
        <w:tc>
          <w:tcPr>
            <w:tcW w:w="1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11,600</w:t>
            </w:r>
          </w:p>
        </w:tc>
        <w:tc>
          <w:tcPr>
            <w:tcW w:w="200" w:type="dxa"/>
            <w:vAlign w:val="bottom"/>
          </w:tcPr>
          <w:p>
            <w:pPr>
              <w:spacing w:after="0"/>
              <w:rPr>
                <w:sz w:val="14"/>
                <w:szCs w:val="14"/>
                <w:color w:val="auto"/>
              </w:rPr>
            </w:pPr>
          </w:p>
        </w:tc>
        <w:tc>
          <w:tcPr>
            <w:tcW w:w="2640" w:type="dxa"/>
            <w:vAlign w:val="bottom"/>
            <w:gridSpan w:val="2"/>
          </w:tcPr>
          <w:p>
            <w:pPr>
              <w:ind w:left="20"/>
              <w:spacing w:after="0" w:line="168" w:lineRule="exact"/>
              <w:rPr>
                <w:sz w:val="20"/>
                <w:szCs w:val="20"/>
                <w:color w:val="auto"/>
              </w:rPr>
            </w:pPr>
            <w:r>
              <w:rPr>
                <w:rFonts w:ascii="Arial" w:cs="Arial" w:eastAsia="Arial" w:hAnsi="Arial"/>
                <w:sz w:val="12"/>
                <w:szCs w:val="12"/>
                <w:color w:val="auto"/>
              </w:rPr>
              <w:t xml:space="preserve">Recent transaction price </w:t>
            </w:r>
            <w:r>
              <w:rPr>
                <w:rFonts w:ascii="Arial" w:cs="Arial" w:eastAsia="Arial" w:hAnsi="Arial"/>
                <w:sz w:val="15"/>
                <w:szCs w:val="15"/>
                <w:color w:val="auto"/>
                <w:vertAlign w:val="superscript"/>
              </w:rPr>
              <w:t>(4)</w:t>
            </w:r>
          </w:p>
        </w:tc>
        <w:tc>
          <w:tcPr>
            <w:tcW w:w="2640" w:type="dxa"/>
            <w:vAlign w:val="bottom"/>
            <w:gridSpan w:val="2"/>
          </w:tcPr>
          <w:p>
            <w:pPr>
              <w:ind w:left="20"/>
              <w:spacing w:after="0"/>
              <w:rPr>
                <w:sz w:val="20"/>
                <w:szCs w:val="20"/>
                <w:color w:val="auto"/>
              </w:rPr>
            </w:pPr>
            <w:r>
              <w:rPr>
                <w:rFonts w:ascii="Arial" w:cs="Arial" w:eastAsia="Arial" w:hAnsi="Arial"/>
                <w:sz w:val="12"/>
                <w:szCs w:val="12"/>
                <w:color w:val="auto"/>
              </w:rPr>
              <w:t>Quoted prices</w:t>
            </w:r>
          </w:p>
        </w:tc>
        <w:tc>
          <w:tcPr>
            <w:tcW w:w="1440" w:type="dxa"/>
            <w:vAlign w:val="bottom"/>
            <w:gridSpan w:val="2"/>
          </w:tcPr>
          <w:p>
            <w:pPr>
              <w:jc w:val="center"/>
              <w:ind w:right="200"/>
              <w:spacing w:after="0"/>
              <w:rPr>
                <w:sz w:val="20"/>
                <w:szCs w:val="20"/>
                <w:color w:val="auto"/>
              </w:rPr>
            </w:pPr>
            <w:r>
              <w:rPr>
                <w:rFonts w:ascii="Arial" w:cs="Arial" w:eastAsia="Arial" w:hAnsi="Arial"/>
                <w:sz w:val="12"/>
                <w:szCs w:val="12"/>
                <w:color w:val="auto"/>
                <w:w w:val="99"/>
              </w:rPr>
              <w:t>Not applicable</w:t>
            </w:r>
          </w:p>
        </w:tc>
        <w:tc>
          <w:tcPr>
            <w:tcW w:w="1240" w:type="dxa"/>
            <w:vAlign w:val="bottom"/>
          </w:tcPr>
          <w:p>
            <w:pPr>
              <w:jc w:val="center"/>
              <w:spacing w:after="0"/>
              <w:rPr>
                <w:sz w:val="20"/>
                <w:szCs w:val="20"/>
                <w:color w:val="auto"/>
              </w:rPr>
            </w:pPr>
            <w:r>
              <w:rPr>
                <w:rFonts w:ascii="Arial" w:cs="Arial" w:eastAsia="Arial" w:hAnsi="Arial"/>
                <w:sz w:val="12"/>
                <w:szCs w:val="12"/>
                <w:color w:val="auto"/>
                <w:w w:val="99"/>
              </w:rPr>
              <w:t>Not applicable</w:t>
            </w:r>
          </w:p>
        </w:tc>
        <w:tc>
          <w:tcPr>
            <w:tcW w:w="0" w:type="dxa"/>
            <w:vAlign w:val="bottom"/>
          </w:tcPr>
          <w:p>
            <w:pPr>
              <w:spacing w:after="0"/>
              <w:rPr>
                <w:sz w:val="1"/>
                <w:szCs w:val="1"/>
                <w:color w:val="auto"/>
              </w:rPr>
            </w:pPr>
          </w:p>
        </w:tc>
      </w:tr>
      <w:tr>
        <w:trPr>
          <w:trHeight w:val="168"/>
        </w:trPr>
        <w:tc>
          <w:tcPr>
            <w:tcW w:w="1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347</w:t>
            </w:r>
          </w:p>
        </w:tc>
        <w:tc>
          <w:tcPr>
            <w:tcW w:w="200" w:type="dxa"/>
            <w:vAlign w:val="bottom"/>
          </w:tcPr>
          <w:p>
            <w:pPr>
              <w:spacing w:after="0"/>
              <w:rPr>
                <w:sz w:val="14"/>
                <w:szCs w:val="14"/>
                <w:color w:val="auto"/>
              </w:rPr>
            </w:pPr>
          </w:p>
        </w:tc>
        <w:tc>
          <w:tcPr>
            <w:tcW w:w="2640" w:type="dxa"/>
            <w:vAlign w:val="bottom"/>
            <w:gridSpan w:val="2"/>
          </w:tcPr>
          <w:p>
            <w:pPr>
              <w:ind w:left="20"/>
              <w:spacing w:after="0" w:line="168" w:lineRule="exact"/>
              <w:rPr>
                <w:sz w:val="20"/>
                <w:szCs w:val="20"/>
                <w:color w:val="auto"/>
              </w:rPr>
            </w:pPr>
            <w:r>
              <w:rPr>
                <w:rFonts w:ascii="Arial" w:cs="Arial" w:eastAsia="Arial" w:hAnsi="Arial"/>
                <w:sz w:val="12"/>
                <w:szCs w:val="12"/>
                <w:color w:val="auto"/>
              </w:rPr>
              <w:t xml:space="preserve">Market approach (comparable companies) </w:t>
            </w:r>
            <w:r>
              <w:rPr>
                <w:rFonts w:ascii="Arial" w:cs="Arial" w:eastAsia="Arial" w:hAnsi="Arial"/>
                <w:sz w:val="15"/>
                <w:szCs w:val="15"/>
                <w:color w:val="auto"/>
                <w:vertAlign w:val="superscript"/>
              </w:rPr>
              <w:t>(7)</w:t>
            </w:r>
          </w:p>
        </w:tc>
        <w:tc>
          <w:tcPr>
            <w:tcW w:w="2640" w:type="dxa"/>
            <w:vAlign w:val="bottom"/>
            <w:gridSpan w:val="2"/>
          </w:tcPr>
          <w:p>
            <w:pPr>
              <w:ind w:left="20"/>
              <w:spacing w:after="0" w:line="168" w:lineRule="exact"/>
              <w:rPr>
                <w:sz w:val="20"/>
                <w:szCs w:val="20"/>
                <w:color w:val="auto"/>
              </w:rPr>
            </w:pPr>
            <w:r>
              <w:rPr>
                <w:rFonts w:ascii="Arial" w:cs="Arial" w:eastAsia="Arial" w:hAnsi="Arial"/>
                <w:sz w:val="12"/>
                <w:szCs w:val="12"/>
                <w:color w:val="auto"/>
              </w:rPr>
              <w:t xml:space="preserve">Revenue multiple </w:t>
            </w:r>
            <w:r>
              <w:rPr>
                <w:rFonts w:ascii="Arial" w:cs="Arial" w:eastAsia="Arial" w:hAnsi="Arial"/>
                <w:sz w:val="15"/>
                <w:szCs w:val="15"/>
                <w:color w:val="auto"/>
                <w:vertAlign w:val="superscript"/>
              </w:rPr>
              <w:t>(8)</w:t>
            </w:r>
          </w:p>
        </w:tc>
        <w:tc>
          <w:tcPr>
            <w:tcW w:w="1440" w:type="dxa"/>
            <w:vAlign w:val="bottom"/>
            <w:gridSpan w:val="2"/>
          </w:tcPr>
          <w:p>
            <w:pPr>
              <w:jc w:val="center"/>
              <w:ind w:right="200"/>
              <w:spacing w:after="0"/>
              <w:rPr>
                <w:sz w:val="20"/>
                <w:szCs w:val="20"/>
                <w:color w:val="auto"/>
              </w:rPr>
            </w:pPr>
            <w:r>
              <w:rPr>
                <w:rFonts w:ascii="Arial" w:cs="Arial" w:eastAsia="Arial" w:hAnsi="Arial"/>
                <w:sz w:val="12"/>
                <w:szCs w:val="12"/>
                <w:color w:val="auto"/>
                <w:w w:val="99"/>
              </w:rPr>
              <w:t>1.6x - 1.6x</w:t>
            </w:r>
          </w:p>
        </w:tc>
        <w:tc>
          <w:tcPr>
            <w:tcW w:w="1240" w:type="dxa"/>
            <w:vAlign w:val="bottom"/>
          </w:tcPr>
          <w:p>
            <w:pPr>
              <w:jc w:val="center"/>
              <w:spacing w:after="0"/>
              <w:rPr>
                <w:sz w:val="20"/>
                <w:szCs w:val="20"/>
                <w:color w:val="auto"/>
              </w:rPr>
            </w:pPr>
            <w:r>
              <w:rPr>
                <w:rFonts w:ascii="Arial" w:cs="Arial" w:eastAsia="Arial" w:hAnsi="Arial"/>
                <w:sz w:val="12"/>
                <w:szCs w:val="12"/>
                <w:color w:val="auto"/>
                <w:w w:val="96"/>
              </w:rPr>
              <w:t>1.6x</w:t>
            </w:r>
          </w:p>
        </w:tc>
        <w:tc>
          <w:tcPr>
            <w:tcW w:w="0" w:type="dxa"/>
            <w:vAlign w:val="bottom"/>
          </w:tcPr>
          <w:p>
            <w:pPr>
              <w:spacing w:after="0"/>
              <w:rPr>
                <w:sz w:val="1"/>
                <w:szCs w:val="1"/>
                <w:color w:val="auto"/>
              </w:rPr>
            </w:pPr>
          </w:p>
        </w:tc>
      </w:tr>
      <w:tr>
        <w:trPr>
          <w:trHeight w:val="159"/>
        </w:trPr>
        <w:tc>
          <w:tcPr>
            <w:tcW w:w="2060" w:type="dxa"/>
            <w:vAlign w:val="bottom"/>
            <w:gridSpan w:val="2"/>
          </w:tcPr>
          <w:p>
            <w:pPr>
              <w:ind w:left="20"/>
              <w:spacing w:after="0"/>
              <w:rPr>
                <w:sz w:val="20"/>
                <w:szCs w:val="20"/>
                <w:color w:val="auto"/>
              </w:rPr>
            </w:pPr>
            <w:r>
              <w:rPr>
                <w:rFonts w:ascii="Arial" w:cs="Arial" w:eastAsia="Arial" w:hAnsi="Arial"/>
                <w:sz w:val="12"/>
                <w:szCs w:val="12"/>
                <w:color w:val="auto"/>
              </w:rPr>
              <w:t>Equity investments:</w:t>
            </w: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1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284,969</w:t>
            </w:r>
          </w:p>
        </w:tc>
        <w:tc>
          <w:tcPr>
            <w:tcW w:w="200" w:type="dxa"/>
            <w:vAlign w:val="bottom"/>
          </w:tcPr>
          <w:p>
            <w:pPr>
              <w:spacing w:after="0"/>
              <w:rPr>
                <w:sz w:val="15"/>
                <w:szCs w:val="15"/>
                <w:color w:val="auto"/>
              </w:rPr>
            </w:pPr>
          </w:p>
        </w:tc>
        <w:tc>
          <w:tcPr>
            <w:tcW w:w="2640" w:type="dxa"/>
            <w:vAlign w:val="bottom"/>
            <w:gridSpan w:val="2"/>
          </w:tcPr>
          <w:p>
            <w:pPr>
              <w:ind w:left="20"/>
              <w:spacing w:after="0"/>
              <w:rPr>
                <w:sz w:val="20"/>
                <w:szCs w:val="20"/>
                <w:color w:val="auto"/>
              </w:rPr>
            </w:pPr>
            <w:r>
              <w:rPr>
                <w:rFonts w:ascii="Arial" w:cs="Arial" w:eastAsia="Arial" w:hAnsi="Arial"/>
                <w:sz w:val="12"/>
                <w:szCs w:val="12"/>
                <w:color w:val="auto"/>
              </w:rPr>
              <w:t xml:space="preserve">Recent transaction price </w:t>
            </w:r>
            <w:r>
              <w:rPr>
                <w:rFonts w:ascii="Arial" w:cs="Arial" w:eastAsia="Arial" w:hAnsi="Arial"/>
                <w:sz w:val="15"/>
                <w:szCs w:val="15"/>
                <w:color w:val="auto"/>
                <w:vertAlign w:val="superscript"/>
              </w:rPr>
              <w:t>(4)</w:t>
            </w:r>
          </w:p>
        </w:tc>
        <w:tc>
          <w:tcPr>
            <w:tcW w:w="2640" w:type="dxa"/>
            <w:vAlign w:val="bottom"/>
            <w:gridSpan w:val="2"/>
          </w:tcPr>
          <w:p>
            <w:pPr>
              <w:ind w:left="20"/>
              <w:spacing w:after="0"/>
              <w:rPr>
                <w:sz w:val="20"/>
                <w:szCs w:val="20"/>
                <w:color w:val="auto"/>
              </w:rPr>
            </w:pPr>
            <w:r>
              <w:rPr>
                <w:rFonts w:ascii="Arial" w:cs="Arial" w:eastAsia="Arial" w:hAnsi="Arial"/>
                <w:sz w:val="12"/>
                <w:szCs w:val="12"/>
                <w:color w:val="auto"/>
              </w:rPr>
              <w:t>Quoted prices</w:t>
            </w:r>
          </w:p>
        </w:tc>
        <w:tc>
          <w:tcPr>
            <w:tcW w:w="1440" w:type="dxa"/>
            <w:vAlign w:val="bottom"/>
            <w:gridSpan w:val="2"/>
          </w:tcPr>
          <w:p>
            <w:pPr>
              <w:jc w:val="center"/>
              <w:ind w:right="200"/>
              <w:spacing w:after="0"/>
              <w:rPr>
                <w:sz w:val="20"/>
                <w:szCs w:val="20"/>
                <w:color w:val="auto"/>
              </w:rPr>
            </w:pPr>
            <w:r>
              <w:rPr>
                <w:rFonts w:ascii="Arial" w:cs="Arial" w:eastAsia="Arial" w:hAnsi="Arial"/>
                <w:sz w:val="12"/>
                <w:szCs w:val="12"/>
                <w:color w:val="auto"/>
                <w:w w:val="99"/>
              </w:rPr>
              <w:t>Not applicable</w:t>
            </w:r>
          </w:p>
        </w:tc>
        <w:tc>
          <w:tcPr>
            <w:tcW w:w="1240" w:type="dxa"/>
            <w:vAlign w:val="bottom"/>
          </w:tcPr>
          <w:p>
            <w:pPr>
              <w:jc w:val="center"/>
              <w:spacing w:after="0"/>
              <w:rPr>
                <w:sz w:val="20"/>
                <w:szCs w:val="20"/>
                <w:color w:val="auto"/>
              </w:rPr>
            </w:pPr>
            <w:r>
              <w:rPr>
                <w:rFonts w:ascii="Arial" w:cs="Arial" w:eastAsia="Arial" w:hAnsi="Arial"/>
                <w:sz w:val="12"/>
                <w:szCs w:val="12"/>
                <w:color w:val="auto"/>
                <w:w w:val="99"/>
              </w:rPr>
              <w:t>Not applicable</w:t>
            </w:r>
          </w:p>
        </w:tc>
        <w:tc>
          <w:tcPr>
            <w:tcW w:w="0" w:type="dxa"/>
            <w:vAlign w:val="bottom"/>
          </w:tcPr>
          <w:p>
            <w:pPr>
              <w:spacing w:after="0"/>
              <w:rPr>
                <w:sz w:val="1"/>
                <w:szCs w:val="1"/>
                <w:color w:val="auto"/>
              </w:rPr>
            </w:pPr>
          </w:p>
        </w:tc>
      </w:tr>
      <w:tr>
        <w:trPr>
          <w:trHeight w:val="168"/>
        </w:trPr>
        <w:tc>
          <w:tcPr>
            <w:tcW w:w="1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38,191</w:t>
            </w:r>
          </w:p>
        </w:tc>
        <w:tc>
          <w:tcPr>
            <w:tcW w:w="200" w:type="dxa"/>
            <w:vAlign w:val="bottom"/>
          </w:tcPr>
          <w:p>
            <w:pPr>
              <w:spacing w:after="0"/>
              <w:rPr>
                <w:sz w:val="14"/>
                <w:szCs w:val="14"/>
                <w:color w:val="auto"/>
              </w:rPr>
            </w:pPr>
          </w:p>
        </w:tc>
        <w:tc>
          <w:tcPr>
            <w:tcW w:w="2640" w:type="dxa"/>
            <w:vAlign w:val="bottom"/>
            <w:gridSpan w:val="2"/>
          </w:tcPr>
          <w:p>
            <w:pPr>
              <w:ind w:left="20"/>
              <w:spacing w:after="0" w:line="168" w:lineRule="exact"/>
              <w:rPr>
                <w:sz w:val="20"/>
                <w:szCs w:val="20"/>
                <w:color w:val="auto"/>
              </w:rPr>
            </w:pPr>
            <w:r>
              <w:rPr>
                <w:rFonts w:ascii="Arial" w:cs="Arial" w:eastAsia="Arial" w:hAnsi="Arial"/>
                <w:sz w:val="12"/>
                <w:szCs w:val="12"/>
                <w:color w:val="auto"/>
              </w:rPr>
              <w:t xml:space="preserve">Discounted cash flow </w:t>
            </w:r>
            <w:r>
              <w:rPr>
                <w:rFonts w:ascii="Arial" w:cs="Arial" w:eastAsia="Arial" w:hAnsi="Arial"/>
                <w:sz w:val="15"/>
                <w:szCs w:val="15"/>
                <w:color w:val="auto"/>
                <w:vertAlign w:val="superscript"/>
              </w:rPr>
              <w:t>(6)</w:t>
            </w:r>
          </w:p>
        </w:tc>
        <w:tc>
          <w:tcPr>
            <w:tcW w:w="2640" w:type="dxa"/>
            <w:vAlign w:val="bottom"/>
            <w:gridSpan w:val="2"/>
          </w:tcPr>
          <w:p>
            <w:pPr>
              <w:ind w:left="20"/>
              <w:spacing w:after="0"/>
              <w:rPr>
                <w:sz w:val="20"/>
                <w:szCs w:val="20"/>
                <w:color w:val="auto"/>
              </w:rPr>
            </w:pPr>
            <w:r>
              <w:rPr>
                <w:rFonts w:ascii="Arial" w:cs="Arial" w:eastAsia="Arial" w:hAnsi="Arial"/>
                <w:sz w:val="12"/>
                <w:szCs w:val="12"/>
                <w:color w:val="auto"/>
              </w:rPr>
              <w:t>Discount rate</w:t>
            </w:r>
          </w:p>
        </w:tc>
        <w:tc>
          <w:tcPr>
            <w:tcW w:w="1240" w:type="dxa"/>
            <w:vAlign w:val="bottom"/>
          </w:tcPr>
          <w:p>
            <w:pPr>
              <w:jc w:val="center"/>
              <w:spacing w:after="0"/>
              <w:rPr>
                <w:sz w:val="20"/>
                <w:szCs w:val="20"/>
                <w:color w:val="auto"/>
              </w:rPr>
            </w:pPr>
            <w:r>
              <w:rPr>
                <w:rFonts w:ascii="Arial" w:cs="Arial" w:eastAsia="Arial" w:hAnsi="Arial"/>
                <w:sz w:val="12"/>
                <w:szCs w:val="12"/>
                <w:color w:val="auto"/>
                <w:w w:val="99"/>
              </w:rPr>
              <w:t>8% - 20%</w:t>
            </w:r>
          </w:p>
        </w:tc>
        <w:tc>
          <w:tcPr>
            <w:tcW w:w="200" w:type="dxa"/>
            <w:vAlign w:val="bottom"/>
          </w:tcPr>
          <w:p>
            <w:pPr>
              <w:spacing w:after="0"/>
              <w:rPr>
                <w:sz w:val="14"/>
                <w:szCs w:val="14"/>
                <w:color w:val="auto"/>
              </w:rPr>
            </w:pPr>
          </w:p>
        </w:tc>
        <w:tc>
          <w:tcPr>
            <w:tcW w:w="1240" w:type="dxa"/>
            <w:vAlign w:val="bottom"/>
          </w:tcPr>
          <w:p>
            <w:pPr>
              <w:jc w:val="center"/>
              <w:spacing w:after="0"/>
              <w:rPr>
                <w:sz w:val="20"/>
                <w:szCs w:val="20"/>
                <w:color w:val="auto"/>
              </w:rPr>
            </w:pPr>
            <w:r>
              <w:rPr>
                <w:rFonts w:ascii="Arial" w:cs="Arial" w:eastAsia="Arial" w:hAnsi="Arial"/>
                <w:sz w:val="12"/>
                <w:szCs w:val="12"/>
                <w:color w:val="auto"/>
                <w:w w:val="91"/>
              </w:rPr>
              <w:t>11%</w:t>
            </w:r>
          </w:p>
        </w:tc>
        <w:tc>
          <w:tcPr>
            <w:tcW w:w="0" w:type="dxa"/>
            <w:vAlign w:val="bottom"/>
          </w:tcPr>
          <w:p>
            <w:pPr>
              <w:spacing w:after="0"/>
              <w:rPr>
                <w:sz w:val="1"/>
                <w:szCs w:val="1"/>
                <w:color w:val="auto"/>
              </w:rPr>
            </w:pPr>
          </w:p>
        </w:tc>
      </w:tr>
      <w:tr>
        <w:trPr>
          <w:trHeight w:val="168"/>
        </w:trPr>
        <w:tc>
          <w:tcPr>
            <w:tcW w:w="1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473</w:t>
            </w:r>
          </w:p>
        </w:tc>
        <w:tc>
          <w:tcPr>
            <w:tcW w:w="200" w:type="dxa"/>
            <w:vAlign w:val="bottom"/>
          </w:tcPr>
          <w:p>
            <w:pPr>
              <w:spacing w:after="0"/>
              <w:rPr>
                <w:sz w:val="14"/>
                <w:szCs w:val="14"/>
                <w:color w:val="auto"/>
              </w:rPr>
            </w:pPr>
          </w:p>
        </w:tc>
        <w:tc>
          <w:tcPr>
            <w:tcW w:w="2640" w:type="dxa"/>
            <w:vAlign w:val="bottom"/>
            <w:gridSpan w:val="2"/>
          </w:tcPr>
          <w:p>
            <w:pPr>
              <w:ind w:left="20"/>
              <w:spacing w:after="0" w:line="168" w:lineRule="exact"/>
              <w:rPr>
                <w:sz w:val="20"/>
                <w:szCs w:val="20"/>
                <w:color w:val="auto"/>
              </w:rPr>
            </w:pPr>
            <w:r>
              <w:rPr>
                <w:rFonts w:ascii="Arial" w:cs="Arial" w:eastAsia="Arial" w:hAnsi="Arial"/>
                <w:sz w:val="12"/>
                <w:szCs w:val="12"/>
                <w:color w:val="auto"/>
              </w:rPr>
              <w:t xml:space="preserve">Market approach (comparable companies) </w:t>
            </w:r>
            <w:r>
              <w:rPr>
                <w:rFonts w:ascii="Arial" w:cs="Arial" w:eastAsia="Arial" w:hAnsi="Arial"/>
                <w:sz w:val="15"/>
                <w:szCs w:val="15"/>
                <w:color w:val="auto"/>
                <w:vertAlign w:val="superscript"/>
              </w:rPr>
              <w:t>(7)</w:t>
            </w:r>
          </w:p>
        </w:tc>
        <w:tc>
          <w:tcPr>
            <w:tcW w:w="2640" w:type="dxa"/>
            <w:vAlign w:val="bottom"/>
            <w:gridSpan w:val="2"/>
          </w:tcPr>
          <w:p>
            <w:pPr>
              <w:ind w:left="20"/>
              <w:spacing w:after="0" w:line="168" w:lineRule="exact"/>
              <w:rPr>
                <w:sz w:val="20"/>
                <w:szCs w:val="20"/>
                <w:color w:val="auto"/>
              </w:rPr>
            </w:pPr>
            <w:r>
              <w:rPr>
                <w:rFonts w:ascii="Arial" w:cs="Arial" w:eastAsia="Arial" w:hAnsi="Arial"/>
                <w:sz w:val="12"/>
                <w:szCs w:val="12"/>
                <w:color w:val="auto"/>
              </w:rPr>
              <w:t xml:space="preserve">Earnings multiple </w:t>
            </w:r>
            <w:r>
              <w:rPr>
                <w:rFonts w:ascii="Arial" w:cs="Arial" w:eastAsia="Arial" w:hAnsi="Arial"/>
                <w:sz w:val="15"/>
                <w:szCs w:val="15"/>
                <w:color w:val="auto"/>
                <w:vertAlign w:val="superscript"/>
              </w:rPr>
              <w:t>(10)</w:t>
            </w:r>
          </w:p>
        </w:tc>
        <w:tc>
          <w:tcPr>
            <w:tcW w:w="1440" w:type="dxa"/>
            <w:vAlign w:val="bottom"/>
            <w:gridSpan w:val="2"/>
          </w:tcPr>
          <w:p>
            <w:pPr>
              <w:jc w:val="center"/>
              <w:ind w:right="200"/>
              <w:spacing w:after="0"/>
              <w:rPr>
                <w:sz w:val="20"/>
                <w:szCs w:val="20"/>
                <w:color w:val="auto"/>
              </w:rPr>
            </w:pPr>
            <w:r>
              <w:rPr>
                <w:rFonts w:ascii="Arial" w:cs="Arial" w:eastAsia="Arial" w:hAnsi="Arial"/>
                <w:sz w:val="12"/>
                <w:szCs w:val="12"/>
                <w:color w:val="auto"/>
                <w:w w:val="99"/>
              </w:rPr>
              <w:t>1.6x - 6.8x</w:t>
            </w:r>
          </w:p>
        </w:tc>
        <w:tc>
          <w:tcPr>
            <w:tcW w:w="1240" w:type="dxa"/>
            <w:vAlign w:val="bottom"/>
          </w:tcPr>
          <w:p>
            <w:pPr>
              <w:jc w:val="center"/>
              <w:spacing w:after="0"/>
              <w:rPr>
                <w:sz w:val="20"/>
                <w:szCs w:val="20"/>
                <w:color w:val="auto"/>
              </w:rPr>
            </w:pPr>
            <w:r>
              <w:rPr>
                <w:rFonts w:ascii="Arial" w:cs="Arial" w:eastAsia="Arial" w:hAnsi="Arial"/>
                <w:sz w:val="12"/>
                <w:szCs w:val="12"/>
                <w:color w:val="auto"/>
                <w:w w:val="96"/>
              </w:rPr>
              <w:t>5.6x</w:t>
            </w:r>
          </w:p>
        </w:tc>
        <w:tc>
          <w:tcPr>
            <w:tcW w:w="0" w:type="dxa"/>
            <w:vAlign w:val="bottom"/>
          </w:tcPr>
          <w:p>
            <w:pPr>
              <w:spacing w:after="0"/>
              <w:rPr>
                <w:sz w:val="1"/>
                <w:szCs w:val="1"/>
                <w:color w:val="auto"/>
              </w:rPr>
            </w:pPr>
          </w:p>
        </w:tc>
      </w:tr>
      <w:tr>
        <w:trPr>
          <w:trHeight w:val="168"/>
        </w:trPr>
        <w:tc>
          <w:tcPr>
            <w:tcW w:w="1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761</w:t>
            </w:r>
          </w:p>
        </w:tc>
        <w:tc>
          <w:tcPr>
            <w:tcW w:w="200" w:type="dxa"/>
            <w:vAlign w:val="bottom"/>
          </w:tcPr>
          <w:p>
            <w:pPr>
              <w:spacing w:after="0"/>
              <w:rPr>
                <w:sz w:val="14"/>
                <w:szCs w:val="14"/>
                <w:color w:val="auto"/>
              </w:rPr>
            </w:pPr>
          </w:p>
        </w:tc>
        <w:tc>
          <w:tcPr>
            <w:tcW w:w="2640" w:type="dxa"/>
            <w:vAlign w:val="bottom"/>
            <w:gridSpan w:val="2"/>
          </w:tcPr>
          <w:p>
            <w:pPr>
              <w:ind w:left="20"/>
              <w:spacing w:after="0" w:line="168" w:lineRule="exact"/>
              <w:rPr>
                <w:sz w:val="20"/>
                <w:szCs w:val="20"/>
                <w:color w:val="auto"/>
              </w:rPr>
            </w:pPr>
            <w:r>
              <w:rPr>
                <w:rFonts w:ascii="Arial" w:cs="Arial" w:eastAsia="Arial" w:hAnsi="Arial"/>
                <w:sz w:val="12"/>
                <w:szCs w:val="12"/>
                <w:color w:val="auto"/>
              </w:rPr>
              <w:t xml:space="preserve">Expected Recovery </w:t>
            </w:r>
            <w:r>
              <w:rPr>
                <w:rFonts w:ascii="Arial" w:cs="Arial" w:eastAsia="Arial" w:hAnsi="Arial"/>
                <w:sz w:val="15"/>
                <w:szCs w:val="15"/>
                <w:color w:val="auto"/>
                <w:vertAlign w:val="superscript"/>
              </w:rPr>
              <w:t>(11)</w:t>
            </w:r>
          </w:p>
        </w:tc>
        <w:tc>
          <w:tcPr>
            <w:tcW w:w="2640" w:type="dxa"/>
            <w:vAlign w:val="bottom"/>
            <w:gridSpan w:val="2"/>
          </w:tcPr>
          <w:p>
            <w:pPr>
              <w:ind w:left="20"/>
              <w:spacing w:after="0"/>
              <w:rPr>
                <w:sz w:val="20"/>
                <w:szCs w:val="20"/>
                <w:color w:val="auto"/>
              </w:rPr>
            </w:pPr>
            <w:r>
              <w:rPr>
                <w:rFonts w:ascii="Arial" w:cs="Arial" w:eastAsia="Arial" w:hAnsi="Arial"/>
                <w:sz w:val="12"/>
                <w:szCs w:val="12"/>
                <w:color w:val="auto"/>
              </w:rPr>
              <w:t>Not applicable</w:t>
            </w:r>
          </w:p>
        </w:tc>
        <w:tc>
          <w:tcPr>
            <w:tcW w:w="1440" w:type="dxa"/>
            <w:vAlign w:val="bottom"/>
            <w:gridSpan w:val="2"/>
          </w:tcPr>
          <w:p>
            <w:pPr>
              <w:jc w:val="center"/>
              <w:ind w:right="200"/>
              <w:spacing w:after="0"/>
              <w:rPr>
                <w:sz w:val="20"/>
                <w:szCs w:val="20"/>
                <w:color w:val="auto"/>
              </w:rPr>
            </w:pPr>
            <w:r>
              <w:rPr>
                <w:rFonts w:ascii="Arial" w:cs="Arial" w:eastAsia="Arial" w:hAnsi="Arial"/>
                <w:sz w:val="12"/>
                <w:szCs w:val="12"/>
                <w:color w:val="auto"/>
                <w:w w:val="99"/>
              </w:rPr>
              <w:t>Not applicable</w:t>
            </w:r>
          </w:p>
        </w:tc>
        <w:tc>
          <w:tcPr>
            <w:tcW w:w="1240" w:type="dxa"/>
            <w:vAlign w:val="bottom"/>
          </w:tcPr>
          <w:p>
            <w:pPr>
              <w:jc w:val="center"/>
              <w:spacing w:after="0"/>
              <w:rPr>
                <w:sz w:val="20"/>
                <w:szCs w:val="20"/>
                <w:color w:val="auto"/>
              </w:rPr>
            </w:pPr>
            <w:r>
              <w:rPr>
                <w:rFonts w:ascii="Arial" w:cs="Arial" w:eastAsia="Arial" w:hAnsi="Arial"/>
                <w:sz w:val="12"/>
                <w:szCs w:val="12"/>
                <w:color w:val="auto"/>
                <w:w w:val="99"/>
              </w:rPr>
              <w:t>Not applicable</w:t>
            </w:r>
          </w:p>
        </w:tc>
        <w:tc>
          <w:tcPr>
            <w:tcW w:w="0" w:type="dxa"/>
            <w:vAlign w:val="bottom"/>
          </w:tcPr>
          <w:p>
            <w:pPr>
              <w:spacing w:after="0"/>
              <w:rPr>
                <w:sz w:val="1"/>
                <w:szCs w:val="1"/>
                <w:color w:val="auto"/>
              </w:rPr>
            </w:pPr>
          </w:p>
        </w:tc>
      </w:tr>
      <w:tr>
        <w:trPr>
          <w:trHeight w:val="168"/>
        </w:trPr>
        <w:tc>
          <w:tcPr>
            <w:tcW w:w="1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187</w:t>
            </w:r>
          </w:p>
        </w:tc>
        <w:tc>
          <w:tcPr>
            <w:tcW w:w="200" w:type="dxa"/>
            <w:vAlign w:val="bottom"/>
          </w:tcPr>
          <w:p>
            <w:pPr>
              <w:spacing w:after="0"/>
              <w:rPr>
                <w:sz w:val="14"/>
                <w:szCs w:val="14"/>
                <w:color w:val="auto"/>
              </w:rPr>
            </w:pPr>
          </w:p>
        </w:tc>
        <w:tc>
          <w:tcPr>
            <w:tcW w:w="2640" w:type="dxa"/>
            <w:vAlign w:val="bottom"/>
            <w:gridSpan w:val="2"/>
          </w:tcPr>
          <w:p>
            <w:pPr>
              <w:ind w:left="20"/>
              <w:spacing w:after="0" w:line="168" w:lineRule="exact"/>
              <w:rPr>
                <w:sz w:val="20"/>
                <w:szCs w:val="20"/>
                <w:color w:val="auto"/>
              </w:rPr>
            </w:pPr>
            <w:r>
              <w:rPr>
                <w:rFonts w:ascii="Arial" w:cs="Arial" w:eastAsia="Arial" w:hAnsi="Arial"/>
                <w:sz w:val="12"/>
                <w:szCs w:val="12"/>
                <w:color w:val="auto"/>
              </w:rPr>
              <w:t xml:space="preserve">Black Scholes </w:t>
            </w:r>
            <w:r>
              <w:rPr>
                <w:rFonts w:ascii="Arial" w:cs="Arial" w:eastAsia="Arial" w:hAnsi="Arial"/>
                <w:sz w:val="15"/>
                <w:szCs w:val="15"/>
                <w:color w:val="auto"/>
                <w:vertAlign w:val="superscript"/>
              </w:rPr>
              <w:t>(11)</w:t>
            </w:r>
          </w:p>
        </w:tc>
        <w:tc>
          <w:tcPr>
            <w:tcW w:w="2640" w:type="dxa"/>
            <w:vAlign w:val="bottom"/>
            <w:gridSpan w:val="2"/>
          </w:tcPr>
          <w:p>
            <w:pPr>
              <w:ind w:left="20"/>
              <w:spacing w:after="0"/>
              <w:rPr>
                <w:sz w:val="20"/>
                <w:szCs w:val="20"/>
                <w:color w:val="auto"/>
              </w:rPr>
            </w:pPr>
            <w:r>
              <w:rPr>
                <w:rFonts w:ascii="Arial" w:cs="Arial" w:eastAsia="Arial" w:hAnsi="Arial"/>
                <w:sz w:val="12"/>
                <w:szCs w:val="12"/>
                <w:color w:val="auto"/>
              </w:rPr>
              <w:t>Not applicable</w:t>
            </w:r>
          </w:p>
        </w:tc>
        <w:tc>
          <w:tcPr>
            <w:tcW w:w="1440" w:type="dxa"/>
            <w:vAlign w:val="bottom"/>
            <w:gridSpan w:val="2"/>
          </w:tcPr>
          <w:p>
            <w:pPr>
              <w:jc w:val="center"/>
              <w:ind w:right="200"/>
              <w:spacing w:after="0"/>
              <w:rPr>
                <w:sz w:val="20"/>
                <w:szCs w:val="20"/>
                <w:color w:val="auto"/>
              </w:rPr>
            </w:pPr>
            <w:r>
              <w:rPr>
                <w:rFonts w:ascii="Arial" w:cs="Arial" w:eastAsia="Arial" w:hAnsi="Arial"/>
                <w:sz w:val="12"/>
                <w:szCs w:val="12"/>
                <w:color w:val="auto"/>
                <w:w w:val="99"/>
              </w:rPr>
              <w:t>Not applicable</w:t>
            </w:r>
          </w:p>
        </w:tc>
        <w:tc>
          <w:tcPr>
            <w:tcW w:w="1240" w:type="dxa"/>
            <w:vAlign w:val="bottom"/>
          </w:tcPr>
          <w:p>
            <w:pPr>
              <w:jc w:val="center"/>
              <w:spacing w:after="0"/>
              <w:rPr>
                <w:sz w:val="20"/>
                <w:szCs w:val="20"/>
                <w:color w:val="auto"/>
              </w:rPr>
            </w:pPr>
            <w:r>
              <w:rPr>
                <w:rFonts w:ascii="Arial" w:cs="Arial" w:eastAsia="Arial" w:hAnsi="Arial"/>
                <w:sz w:val="12"/>
                <w:szCs w:val="12"/>
                <w:color w:val="auto"/>
                <w:w w:val="99"/>
              </w:rPr>
              <w:t>Not applicable</w:t>
            </w:r>
          </w:p>
        </w:tc>
        <w:tc>
          <w:tcPr>
            <w:tcW w:w="0" w:type="dxa"/>
            <w:vAlign w:val="bottom"/>
          </w:tcPr>
          <w:p>
            <w:pPr>
              <w:spacing w:after="0"/>
              <w:rPr>
                <w:sz w:val="1"/>
                <w:szCs w:val="1"/>
                <w:color w:val="auto"/>
              </w:rPr>
            </w:pPr>
          </w:p>
        </w:tc>
      </w:tr>
      <w:tr>
        <w:trPr>
          <w:trHeight w:val="159"/>
        </w:trPr>
        <w:tc>
          <w:tcPr>
            <w:tcW w:w="2060" w:type="dxa"/>
            <w:vAlign w:val="bottom"/>
            <w:gridSpan w:val="2"/>
          </w:tcPr>
          <w:p>
            <w:pPr>
              <w:ind w:left="20"/>
              <w:spacing w:after="0"/>
              <w:rPr>
                <w:sz w:val="20"/>
                <w:szCs w:val="20"/>
                <w:color w:val="auto"/>
              </w:rPr>
            </w:pPr>
            <w:r>
              <w:rPr>
                <w:rFonts w:ascii="Arial" w:cs="Arial" w:eastAsia="Arial" w:hAnsi="Arial"/>
                <w:sz w:val="12"/>
                <w:szCs w:val="12"/>
                <w:color w:val="auto"/>
              </w:rPr>
              <w:t>Real estate-oriented investments:</w:t>
            </w: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1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369</w:t>
            </w:r>
          </w:p>
        </w:tc>
        <w:tc>
          <w:tcPr>
            <w:tcW w:w="200" w:type="dxa"/>
            <w:vAlign w:val="bottom"/>
          </w:tcPr>
          <w:p>
            <w:pPr>
              <w:spacing w:after="0"/>
              <w:rPr>
                <w:sz w:val="15"/>
                <w:szCs w:val="15"/>
                <w:color w:val="auto"/>
              </w:rPr>
            </w:pPr>
          </w:p>
        </w:tc>
        <w:tc>
          <w:tcPr>
            <w:tcW w:w="2640" w:type="dxa"/>
            <w:vAlign w:val="bottom"/>
            <w:gridSpan w:val="2"/>
          </w:tcPr>
          <w:p>
            <w:pPr>
              <w:ind w:left="20"/>
              <w:spacing w:after="0"/>
              <w:rPr>
                <w:sz w:val="20"/>
                <w:szCs w:val="20"/>
                <w:color w:val="auto"/>
              </w:rPr>
            </w:pPr>
            <w:r>
              <w:rPr>
                <w:rFonts w:ascii="Arial" w:cs="Arial" w:eastAsia="Arial" w:hAnsi="Arial"/>
                <w:sz w:val="12"/>
                <w:szCs w:val="12"/>
                <w:color w:val="auto"/>
              </w:rPr>
              <w:t xml:space="preserve">Recent transaction price </w:t>
            </w:r>
            <w:r>
              <w:rPr>
                <w:rFonts w:ascii="Arial" w:cs="Arial" w:eastAsia="Arial" w:hAnsi="Arial"/>
                <w:sz w:val="15"/>
                <w:szCs w:val="15"/>
                <w:color w:val="auto"/>
                <w:vertAlign w:val="superscript"/>
              </w:rPr>
              <w:t>(4)</w:t>
            </w:r>
          </w:p>
        </w:tc>
        <w:tc>
          <w:tcPr>
            <w:tcW w:w="2640" w:type="dxa"/>
            <w:vAlign w:val="bottom"/>
            <w:gridSpan w:val="2"/>
          </w:tcPr>
          <w:p>
            <w:pPr>
              <w:ind w:left="20"/>
              <w:spacing w:after="0"/>
              <w:rPr>
                <w:sz w:val="20"/>
                <w:szCs w:val="20"/>
                <w:color w:val="auto"/>
              </w:rPr>
            </w:pPr>
            <w:r>
              <w:rPr>
                <w:rFonts w:ascii="Arial" w:cs="Arial" w:eastAsia="Arial" w:hAnsi="Arial"/>
                <w:sz w:val="12"/>
                <w:szCs w:val="12"/>
                <w:color w:val="auto"/>
              </w:rPr>
              <w:t>Quoted prices</w:t>
            </w:r>
          </w:p>
        </w:tc>
        <w:tc>
          <w:tcPr>
            <w:tcW w:w="1440" w:type="dxa"/>
            <w:vAlign w:val="bottom"/>
            <w:gridSpan w:val="2"/>
          </w:tcPr>
          <w:p>
            <w:pPr>
              <w:jc w:val="center"/>
              <w:ind w:right="200"/>
              <w:spacing w:after="0"/>
              <w:rPr>
                <w:sz w:val="20"/>
                <w:szCs w:val="20"/>
                <w:color w:val="auto"/>
              </w:rPr>
            </w:pPr>
            <w:r>
              <w:rPr>
                <w:rFonts w:ascii="Arial" w:cs="Arial" w:eastAsia="Arial" w:hAnsi="Arial"/>
                <w:sz w:val="12"/>
                <w:szCs w:val="12"/>
                <w:color w:val="auto"/>
                <w:w w:val="99"/>
              </w:rPr>
              <w:t>Not applicable</w:t>
            </w:r>
          </w:p>
        </w:tc>
        <w:tc>
          <w:tcPr>
            <w:tcW w:w="1240" w:type="dxa"/>
            <w:vAlign w:val="bottom"/>
          </w:tcPr>
          <w:p>
            <w:pPr>
              <w:jc w:val="center"/>
              <w:spacing w:after="0"/>
              <w:rPr>
                <w:sz w:val="20"/>
                <w:szCs w:val="20"/>
                <w:color w:val="auto"/>
              </w:rPr>
            </w:pPr>
            <w:r>
              <w:rPr>
                <w:rFonts w:ascii="Arial" w:cs="Arial" w:eastAsia="Arial" w:hAnsi="Arial"/>
                <w:sz w:val="12"/>
                <w:szCs w:val="12"/>
                <w:color w:val="auto"/>
                <w:w w:val="99"/>
              </w:rPr>
              <w:t>Not applicable</w:t>
            </w:r>
          </w:p>
        </w:tc>
        <w:tc>
          <w:tcPr>
            <w:tcW w:w="0" w:type="dxa"/>
            <w:vAlign w:val="bottom"/>
          </w:tcPr>
          <w:p>
            <w:pPr>
              <w:spacing w:after="0"/>
              <w:rPr>
                <w:sz w:val="1"/>
                <w:szCs w:val="1"/>
                <w:color w:val="auto"/>
              </w:rPr>
            </w:pPr>
          </w:p>
        </w:tc>
      </w:tr>
      <w:tr>
        <w:trPr>
          <w:trHeight w:val="121"/>
        </w:trPr>
        <w:tc>
          <w:tcPr>
            <w:tcW w:w="18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tcPr>
          <w:p>
            <w:pPr>
              <w:jc w:val="right"/>
              <w:spacing w:after="0" w:line="121" w:lineRule="exact"/>
              <w:rPr>
                <w:sz w:val="20"/>
                <w:szCs w:val="20"/>
                <w:color w:val="auto"/>
              </w:rPr>
            </w:pPr>
            <w:r>
              <w:rPr>
                <w:rFonts w:ascii="Arial" w:cs="Arial" w:eastAsia="Arial" w:hAnsi="Arial"/>
                <w:sz w:val="12"/>
                <w:szCs w:val="12"/>
                <w:color w:val="auto"/>
              </w:rPr>
              <w:t>495</w:t>
            </w:r>
          </w:p>
        </w:tc>
        <w:tc>
          <w:tcPr>
            <w:tcW w:w="200" w:type="dxa"/>
            <w:vAlign w:val="bottom"/>
          </w:tcPr>
          <w:p>
            <w:pPr>
              <w:spacing w:after="0"/>
              <w:rPr>
                <w:sz w:val="10"/>
                <w:szCs w:val="10"/>
                <w:color w:val="auto"/>
              </w:rPr>
            </w:pPr>
          </w:p>
        </w:tc>
        <w:tc>
          <w:tcPr>
            <w:tcW w:w="2640" w:type="dxa"/>
            <w:vAlign w:val="bottom"/>
            <w:gridSpan w:val="2"/>
          </w:tcPr>
          <w:p>
            <w:pPr>
              <w:ind w:left="20"/>
              <w:spacing w:after="0" w:line="121" w:lineRule="exact"/>
              <w:rPr>
                <w:sz w:val="20"/>
                <w:szCs w:val="20"/>
                <w:color w:val="auto"/>
              </w:rPr>
            </w:pPr>
            <w:r>
              <w:rPr>
                <w:rFonts w:ascii="Arial" w:cs="Arial" w:eastAsia="Arial" w:hAnsi="Arial"/>
                <w:sz w:val="12"/>
                <w:szCs w:val="12"/>
                <w:color w:val="auto"/>
              </w:rPr>
              <w:t>Market approach (value of underlying</w:t>
            </w:r>
          </w:p>
        </w:tc>
        <w:tc>
          <w:tcPr>
            <w:tcW w:w="2640" w:type="dxa"/>
            <w:vAlign w:val="bottom"/>
            <w:gridSpan w:val="2"/>
          </w:tcPr>
          <w:p>
            <w:pPr>
              <w:ind w:left="20"/>
              <w:spacing w:after="0" w:line="121" w:lineRule="exact"/>
              <w:rPr>
                <w:sz w:val="20"/>
                <w:szCs w:val="20"/>
                <w:color w:val="auto"/>
              </w:rPr>
            </w:pPr>
            <w:r>
              <w:rPr>
                <w:rFonts w:ascii="Arial" w:cs="Arial" w:eastAsia="Arial" w:hAnsi="Arial"/>
                <w:sz w:val="11"/>
                <w:szCs w:val="11"/>
                <w:color w:val="auto"/>
              </w:rPr>
              <w:t xml:space="preserve">Multiple of underlying assets </w:t>
            </w:r>
            <w:r>
              <w:rPr>
                <w:rFonts w:ascii="Arial" w:cs="Arial" w:eastAsia="Arial" w:hAnsi="Arial"/>
                <w:sz w:val="14"/>
                <w:szCs w:val="14"/>
                <w:color w:val="auto"/>
                <w:vertAlign w:val="superscript"/>
              </w:rPr>
              <w:t>(9)</w:t>
            </w:r>
          </w:p>
        </w:tc>
        <w:tc>
          <w:tcPr>
            <w:tcW w:w="1440" w:type="dxa"/>
            <w:vAlign w:val="bottom"/>
            <w:gridSpan w:val="2"/>
          </w:tcPr>
          <w:p>
            <w:pPr>
              <w:jc w:val="center"/>
              <w:ind w:right="200"/>
              <w:spacing w:after="0" w:line="121" w:lineRule="exact"/>
              <w:rPr>
                <w:sz w:val="20"/>
                <w:szCs w:val="20"/>
                <w:color w:val="auto"/>
              </w:rPr>
            </w:pPr>
            <w:r>
              <w:rPr>
                <w:rFonts w:ascii="Arial" w:cs="Arial" w:eastAsia="Arial" w:hAnsi="Arial"/>
                <w:sz w:val="12"/>
                <w:szCs w:val="12"/>
                <w:color w:val="auto"/>
                <w:w w:val="99"/>
              </w:rPr>
              <w:t>1.0x - 1.0x</w:t>
            </w:r>
          </w:p>
        </w:tc>
        <w:tc>
          <w:tcPr>
            <w:tcW w:w="1240" w:type="dxa"/>
            <w:vAlign w:val="bottom"/>
          </w:tcPr>
          <w:p>
            <w:pPr>
              <w:jc w:val="center"/>
              <w:spacing w:after="0" w:line="121" w:lineRule="exact"/>
              <w:rPr>
                <w:sz w:val="20"/>
                <w:szCs w:val="20"/>
                <w:color w:val="auto"/>
              </w:rPr>
            </w:pPr>
            <w:r>
              <w:rPr>
                <w:rFonts w:ascii="Arial" w:cs="Arial" w:eastAsia="Arial" w:hAnsi="Arial"/>
                <w:sz w:val="12"/>
                <w:szCs w:val="12"/>
                <w:color w:val="auto"/>
                <w:w w:val="96"/>
              </w:rPr>
              <w:t>1.0x</w:t>
            </w:r>
          </w:p>
        </w:tc>
        <w:tc>
          <w:tcPr>
            <w:tcW w:w="0" w:type="dxa"/>
            <w:vAlign w:val="bottom"/>
          </w:tcPr>
          <w:p>
            <w:pPr>
              <w:spacing w:after="0"/>
              <w:rPr>
                <w:sz w:val="1"/>
                <w:szCs w:val="1"/>
                <w:color w:val="auto"/>
              </w:rPr>
            </w:pPr>
          </w:p>
        </w:tc>
      </w:tr>
      <w:tr>
        <w:trPr>
          <w:trHeight w:val="159"/>
        </w:trPr>
        <w:tc>
          <w:tcPr>
            <w:tcW w:w="1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40" w:type="dxa"/>
            <w:vAlign w:val="bottom"/>
            <w:gridSpan w:val="2"/>
          </w:tcPr>
          <w:p>
            <w:pPr>
              <w:ind w:left="20"/>
              <w:spacing w:after="0"/>
              <w:rPr>
                <w:sz w:val="20"/>
                <w:szCs w:val="20"/>
                <w:color w:val="auto"/>
              </w:rPr>
            </w:pPr>
            <w:r>
              <w:rPr>
                <w:rFonts w:ascii="Arial" w:cs="Arial" w:eastAsia="Arial" w:hAnsi="Arial"/>
                <w:sz w:val="12"/>
                <w:szCs w:val="12"/>
                <w:color w:val="auto"/>
              </w:rPr>
              <w:t>assets)</w:t>
            </w:r>
          </w:p>
        </w:tc>
        <w:tc>
          <w:tcPr>
            <w:tcW w:w="2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
        </w:trPr>
        <w:tc>
          <w:tcPr>
            <w:tcW w:w="2060" w:type="dxa"/>
            <w:vAlign w:val="bottom"/>
            <w:gridSpan w:val="2"/>
            <w:vMerge w:val="restart"/>
          </w:tcPr>
          <w:p>
            <w:pPr>
              <w:ind w:left="20"/>
              <w:spacing w:after="0"/>
              <w:rPr>
                <w:sz w:val="20"/>
                <w:szCs w:val="20"/>
                <w:color w:val="auto"/>
              </w:rPr>
            </w:pPr>
            <w:r>
              <w:rPr>
                <w:rFonts w:ascii="Arial" w:cs="Arial" w:eastAsia="Arial" w:hAnsi="Arial"/>
                <w:sz w:val="12"/>
                <w:szCs w:val="12"/>
                <w:color w:val="auto"/>
              </w:rPr>
              <w:t>Total Level III</w:t>
            </w: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6"/>
        </w:trPr>
        <w:tc>
          <w:tcPr>
            <w:tcW w:w="2060" w:type="dxa"/>
            <w:vAlign w:val="bottom"/>
            <w:gridSpan w:val="2"/>
            <w:vMerge w:val="continue"/>
          </w:tcPr>
          <w:p>
            <w:pPr>
              <w:spacing w:after="0"/>
              <w:rPr>
                <w:sz w:val="8"/>
                <w:szCs w:val="8"/>
                <w:color w:val="auto"/>
              </w:rPr>
            </w:pPr>
          </w:p>
        </w:tc>
        <w:tc>
          <w:tcPr>
            <w:tcW w:w="160" w:type="dxa"/>
            <w:vAlign w:val="bottom"/>
            <w:vMerge w:val="restart"/>
          </w:tcPr>
          <w:p>
            <w:pPr>
              <w:jc w:val="right"/>
              <w:ind w:right="20"/>
              <w:spacing w:after="0"/>
              <w:rPr>
                <w:sz w:val="20"/>
                <w:szCs w:val="20"/>
                <w:color w:val="auto"/>
              </w:rPr>
            </w:pPr>
            <w:r>
              <w:rPr>
                <w:rFonts w:ascii="Arial" w:cs="Arial" w:eastAsia="Arial" w:hAnsi="Arial"/>
                <w:sz w:val="12"/>
                <w:szCs w:val="12"/>
                <w:color w:val="auto"/>
                <w:w w:val="89"/>
              </w:rPr>
              <w:t>$</w:t>
            </w:r>
          </w:p>
        </w:tc>
        <w:tc>
          <w:tcPr>
            <w:tcW w:w="860" w:type="dxa"/>
            <w:vAlign w:val="bottom"/>
            <w:vMerge w:val="restart"/>
          </w:tcPr>
          <w:p>
            <w:pPr>
              <w:jc w:val="right"/>
              <w:spacing w:after="0"/>
              <w:rPr>
                <w:sz w:val="20"/>
                <w:szCs w:val="20"/>
                <w:color w:val="auto"/>
              </w:rPr>
            </w:pPr>
            <w:r>
              <w:rPr>
                <w:rFonts w:ascii="Arial" w:cs="Arial" w:eastAsia="Arial" w:hAnsi="Arial"/>
                <w:sz w:val="12"/>
                <w:szCs w:val="12"/>
                <w:color w:val="auto"/>
              </w:rPr>
              <w:t>495,661</w:t>
            </w:r>
          </w:p>
        </w:tc>
        <w:tc>
          <w:tcPr>
            <w:tcW w:w="200" w:type="dxa"/>
            <w:vAlign w:val="bottom"/>
          </w:tcPr>
          <w:p>
            <w:pPr>
              <w:spacing w:after="0"/>
              <w:rPr>
                <w:sz w:val="8"/>
                <w:szCs w:val="8"/>
                <w:color w:val="auto"/>
              </w:rPr>
            </w:pPr>
          </w:p>
        </w:tc>
        <w:tc>
          <w:tcPr>
            <w:tcW w:w="2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0"/>
        </w:trPr>
        <w:tc>
          <w:tcPr>
            <w:tcW w:w="2060" w:type="dxa"/>
            <w:vAlign w:val="bottom"/>
            <w:gridSpan w:val="2"/>
          </w:tcPr>
          <w:p>
            <w:pPr>
              <w:ind w:left="120"/>
              <w:spacing w:after="0"/>
              <w:rPr>
                <w:sz w:val="20"/>
                <w:szCs w:val="20"/>
                <w:color w:val="auto"/>
              </w:rPr>
            </w:pPr>
            <w:r>
              <w:rPr>
                <w:rFonts w:ascii="Arial" w:cs="Arial" w:eastAsia="Arial" w:hAnsi="Arial"/>
                <w:sz w:val="12"/>
                <w:szCs w:val="12"/>
                <w:color w:val="auto"/>
              </w:rPr>
              <w:t>investments</w:t>
            </w:r>
          </w:p>
        </w:tc>
        <w:tc>
          <w:tcPr>
            <w:tcW w:w="160" w:type="dxa"/>
            <w:vAlign w:val="bottom"/>
            <w:tcBorders>
              <w:bottom w:val="single" w:sz="8" w:color="auto"/>
            </w:tcBorders>
            <w:vMerge w:val="continue"/>
          </w:tcPr>
          <w:p>
            <w:pPr>
              <w:spacing w:after="0"/>
              <w:rPr>
                <w:sz w:val="13"/>
                <w:szCs w:val="13"/>
                <w:color w:val="auto"/>
              </w:rPr>
            </w:pPr>
          </w:p>
        </w:tc>
        <w:tc>
          <w:tcPr>
            <w:tcW w:w="860" w:type="dxa"/>
            <w:vAlign w:val="bottom"/>
            <w:tcBorders>
              <w:bottom w:val="single" w:sz="8" w:color="auto"/>
            </w:tcBorders>
            <w:vMerge w:val="continue"/>
          </w:tcPr>
          <w:p>
            <w:pPr>
              <w:spacing w:after="0"/>
              <w:rPr>
                <w:sz w:val="13"/>
                <w:szCs w:val="13"/>
                <w:color w:val="auto"/>
              </w:rPr>
            </w:pPr>
          </w:p>
        </w:tc>
        <w:tc>
          <w:tcPr>
            <w:tcW w:w="200" w:type="dxa"/>
            <w:vAlign w:val="bottom"/>
          </w:tcPr>
          <w:p>
            <w:pPr>
              <w:spacing w:after="0"/>
              <w:rPr>
                <w:sz w:val="13"/>
                <w:szCs w:val="13"/>
                <w:color w:val="auto"/>
              </w:rPr>
            </w:pPr>
          </w:p>
        </w:tc>
        <w:tc>
          <w:tcPr>
            <w:tcW w:w="2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8" w:lineRule="exact"/>
        <w:rPr>
          <w:sz w:val="20"/>
          <w:szCs w:val="20"/>
          <w:color w:val="auto"/>
        </w:rPr>
      </w:pPr>
    </w:p>
    <w:p>
      <w:pPr>
        <w:jc w:val="both"/>
        <w:ind w:right="60" w:firstLine="619"/>
        <w:spacing w:after="0" w:line="290" w:lineRule="auto"/>
        <w:rPr>
          <w:sz w:val="20"/>
          <w:szCs w:val="20"/>
          <w:color w:val="auto"/>
        </w:rPr>
      </w:pPr>
      <w:r>
        <w:rPr>
          <w:rFonts w:ascii="Arial" w:cs="Arial" w:eastAsia="Arial" w:hAnsi="Arial"/>
          <w:sz w:val="17"/>
          <w:szCs w:val="17"/>
          <w:color w:val="auto"/>
        </w:rPr>
        <w:t>The following table sets forth a summary of the valuation techniques and quantitative information utilized in determining the fair value of the consolidated funds’ Level III investments as of December 31, 2024:</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1840" w:type="dxa"/>
            <w:vAlign w:val="bottom"/>
            <w:vMerge w:val="restart"/>
          </w:tcPr>
          <w:p>
            <w:pPr>
              <w:ind w:left="480"/>
              <w:spacing w:after="0"/>
              <w:rPr>
                <w:sz w:val="20"/>
                <w:szCs w:val="20"/>
                <w:color w:val="auto"/>
              </w:rPr>
            </w:pPr>
            <w:r>
              <w:rPr>
                <w:rFonts w:ascii="Arial" w:cs="Arial" w:eastAsia="Arial" w:hAnsi="Arial"/>
                <w:sz w:val="11"/>
                <w:szCs w:val="11"/>
                <w:b w:val="1"/>
                <w:bCs w:val="1"/>
                <w:color w:val="auto"/>
              </w:rPr>
              <w:t>Investment Type</w:t>
            </w:r>
          </w:p>
        </w:tc>
        <w:tc>
          <w:tcPr>
            <w:tcW w:w="220" w:type="dxa"/>
            <w:vAlign w:val="bottom"/>
            <w:vMerge w:val="restart"/>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vMerge w:val="restart"/>
          </w:tcPr>
          <w:p>
            <w:pPr>
              <w:jc w:val="right"/>
              <w:ind w:right="200"/>
              <w:spacing w:after="0"/>
              <w:rPr>
                <w:sz w:val="20"/>
                <w:szCs w:val="20"/>
                <w:color w:val="auto"/>
              </w:rPr>
            </w:pPr>
            <w:r>
              <w:rPr>
                <w:rFonts w:ascii="Arial" w:cs="Arial" w:eastAsia="Arial" w:hAnsi="Arial"/>
                <w:sz w:val="11"/>
                <w:szCs w:val="11"/>
                <w:b w:val="1"/>
                <w:bCs w:val="1"/>
                <w:color w:val="auto"/>
              </w:rPr>
              <w:t>Fair Value</w:t>
            </w:r>
          </w:p>
        </w:tc>
        <w:tc>
          <w:tcPr>
            <w:tcW w:w="200" w:type="dxa"/>
            <w:vAlign w:val="bottom"/>
          </w:tcPr>
          <w:p>
            <w:pPr>
              <w:spacing w:after="0"/>
              <w:rPr>
                <w:sz w:val="10"/>
                <w:szCs w:val="10"/>
                <w:color w:val="auto"/>
              </w:rPr>
            </w:pPr>
          </w:p>
        </w:tc>
        <w:tc>
          <w:tcPr>
            <w:tcW w:w="2440" w:type="dxa"/>
            <w:vAlign w:val="bottom"/>
            <w:vMerge w:val="restart"/>
          </w:tcPr>
          <w:p>
            <w:pPr>
              <w:ind w:left="680"/>
              <w:spacing w:after="0"/>
              <w:rPr>
                <w:sz w:val="20"/>
                <w:szCs w:val="20"/>
                <w:color w:val="auto"/>
              </w:rPr>
            </w:pPr>
            <w:r>
              <w:rPr>
                <w:rFonts w:ascii="Arial" w:cs="Arial" w:eastAsia="Arial" w:hAnsi="Arial"/>
                <w:sz w:val="11"/>
                <w:szCs w:val="11"/>
                <w:b w:val="1"/>
                <w:bCs w:val="1"/>
                <w:color w:val="auto"/>
              </w:rPr>
              <w:t>Valuation Technique</w:t>
            </w:r>
          </w:p>
        </w:tc>
        <w:tc>
          <w:tcPr>
            <w:tcW w:w="200" w:type="dxa"/>
            <w:vAlign w:val="bottom"/>
            <w:vMerge w:val="restart"/>
          </w:tcPr>
          <w:p>
            <w:pPr>
              <w:spacing w:after="0"/>
              <w:rPr>
                <w:sz w:val="10"/>
                <w:szCs w:val="10"/>
                <w:color w:val="auto"/>
              </w:rPr>
            </w:pPr>
          </w:p>
        </w:tc>
        <w:tc>
          <w:tcPr>
            <w:tcW w:w="2640" w:type="dxa"/>
            <w:vAlign w:val="bottom"/>
            <w:gridSpan w:val="2"/>
          </w:tcPr>
          <w:p>
            <w:pPr>
              <w:ind w:left="540"/>
              <w:spacing w:after="0"/>
              <w:rPr>
                <w:sz w:val="20"/>
                <w:szCs w:val="20"/>
                <w:color w:val="auto"/>
              </w:rPr>
            </w:pPr>
            <w:r>
              <w:rPr>
                <w:rFonts w:ascii="Arial" w:cs="Arial" w:eastAsia="Arial" w:hAnsi="Arial"/>
                <w:sz w:val="11"/>
                <w:szCs w:val="11"/>
                <w:b w:val="1"/>
                <w:bCs w:val="1"/>
                <w:color w:val="auto"/>
              </w:rPr>
              <w:t>Significant Unobservable</w:t>
            </w:r>
          </w:p>
        </w:tc>
        <w:tc>
          <w:tcPr>
            <w:tcW w:w="1240" w:type="dxa"/>
            <w:vAlign w:val="bottom"/>
            <w:gridSpan w:val="2"/>
            <w:vMerge w:val="restart"/>
          </w:tcPr>
          <w:p>
            <w:pPr>
              <w:jc w:val="center"/>
              <w:spacing w:after="0"/>
              <w:rPr>
                <w:sz w:val="20"/>
                <w:szCs w:val="20"/>
                <w:color w:val="auto"/>
              </w:rPr>
            </w:pPr>
            <w:r>
              <w:rPr>
                <w:rFonts w:ascii="Arial" w:cs="Arial" w:eastAsia="Arial" w:hAnsi="Arial"/>
                <w:sz w:val="11"/>
                <w:szCs w:val="11"/>
                <w:b w:val="1"/>
                <w:bCs w:val="1"/>
                <w:color w:val="auto"/>
              </w:rPr>
              <w:t>Range</w:t>
            </w:r>
          </w:p>
        </w:tc>
        <w:tc>
          <w:tcPr>
            <w:tcW w:w="200" w:type="dxa"/>
            <w:vAlign w:val="bottom"/>
            <w:vMerge w:val="restart"/>
          </w:tcPr>
          <w:p>
            <w:pPr>
              <w:spacing w:after="0"/>
              <w:rPr>
                <w:sz w:val="10"/>
                <w:szCs w:val="10"/>
                <w:color w:val="auto"/>
              </w:rPr>
            </w:pPr>
          </w:p>
        </w:tc>
        <w:tc>
          <w:tcPr>
            <w:tcW w:w="1240" w:type="dxa"/>
            <w:vAlign w:val="bottom"/>
            <w:vMerge w:val="restart"/>
          </w:tcPr>
          <w:p>
            <w:pPr>
              <w:jc w:val="center"/>
              <w:spacing w:after="0"/>
              <w:rPr>
                <w:sz w:val="20"/>
                <w:szCs w:val="20"/>
                <w:color w:val="auto"/>
              </w:rPr>
            </w:pPr>
            <w:r>
              <w:rPr>
                <w:rFonts w:ascii="Arial" w:cs="Arial" w:eastAsia="Arial" w:hAnsi="Arial"/>
                <w:sz w:val="11"/>
                <w:szCs w:val="11"/>
                <w:b w:val="1"/>
                <w:bCs w:val="1"/>
                <w:color w:val="auto"/>
                <w:w w:val="97"/>
              </w:rPr>
              <w:t xml:space="preserve">Weighted Average </w:t>
            </w:r>
            <w:r>
              <w:rPr>
                <w:rFonts w:ascii="Arial" w:cs="Arial" w:eastAsia="Arial" w:hAnsi="Arial"/>
                <w:sz w:val="14"/>
                <w:szCs w:val="14"/>
                <w:b w:val="1"/>
                <w:bCs w:val="1"/>
                <w:color w:val="auto"/>
                <w:w w:val="97"/>
                <w:vertAlign w:val="superscript"/>
              </w:rPr>
              <w:t>(3)</w:t>
            </w:r>
          </w:p>
        </w:tc>
        <w:tc>
          <w:tcPr>
            <w:tcW w:w="0" w:type="dxa"/>
            <w:vAlign w:val="bottom"/>
          </w:tcPr>
          <w:p>
            <w:pPr>
              <w:spacing w:after="0"/>
              <w:rPr>
                <w:sz w:val="1"/>
                <w:szCs w:val="1"/>
                <w:color w:val="auto"/>
              </w:rPr>
            </w:pPr>
          </w:p>
        </w:tc>
      </w:tr>
      <w:tr>
        <w:trPr>
          <w:trHeight w:val="155"/>
        </w:trPr>
        <w:tc>
          <w:tcPr>
            <w:tcW w:w="1840" w:type="dxa"/>
            <w:vAlign w:val="bottom"/>
            <w:tcBorders>
              <w:bottom w:val="single" w:sz="8" w:color="auto"/>
            </w:tcBorders>
            <w:vMerge w:val="continue"/>
          </w:tcPr>
          <w:p>
            <w:pPr>
              <w:spacing w:after="0"/>
              <w:rPr>
                <w:sz w:val="13"/>
                <w:szCs w:val="13"/>
                <w:color w:val="auto"/>
              </w:rPr>
            </w:pPr>
          </w:p>
        </w:tc>
        <w:tc>
          <w:tcPr>
            <w:tcW w:w="220" w:type="dxa"/>
            <w:vAlign w:val="bottom"/>
            <w:vMerge w:val="continue"/>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vMerge w:val="continue"/>
          </w:tcPr>
          <w:p>
            <w:pPr>
              <w:spacing w:after="0"/>
              <w:rPr>
                <w:sz w:val="13"/>
                <w:szCs w:val="13"/>
                <w:color w:val="auto"/>
              </w:rPr>
            </w:pPr>
          </w:p>
        </w:tc>
        <w:tc>
          <w:tcPr>
            <w:tcW w:w="200" w:type="dxa"/>
            <w:vAlign w:val="bottom"/>
          </w:tcPr>
          <w:p>
            <w:pPr>
              <w:spacing w:after="0"/>
              <w:rPr>
                <w:sz w:val="13"/>
                <w:szCs w:val="13"/>
                <w:color w:val="auto"/>
              </w:rPr>
            </w:pPr>
          </w:p>
        </w:tc>
        <w:tc>
          <w:tcPr>
            <w:tcW w:w="2440" w:type="dxa"/>
            <w:vAlign w:val="bottom"/>
            <w:tcBorders>
              <w:bottom w:val="single" w:sz="8" w:color="auto"/>
            </w:tcBorders>
            <w:vMerge w:val="continue"/>
          </w:tcPr>
          <w:p>
            <w:pPr>
              <w:spacing w:after="0"/>
              <w:rPr>
                <w:sz w:val="13"/>
                <w:szCs w:val="13"/>
                <w:color w:val="auto"/>
              </w:rPr>
            </w:pPr>
          </w:p>
        </w:tc>
        <w:tc>
          <w:tcPr>
            <w:tcW w:w="200" w:type="dxa"/>
            <w:vAlign w:val="bottom"/>
            <w:vMerge w:val="continue"/>
          </w:tcPr>
          <w:p>
            <w:pPr>
              <w:spacing w:after="0"/>
              <w:rPr>
                <w:sz w:val="13"/>
                <w:szCs w:val="13"/>
                <w:color w:val="auto"/>
              </w:rPr>
            </w:pPr>
          </w:p>
        </w:tc>
        <w:tc>
          <w:tcPr>
            <w:tcW w:w="2440" w:type="dxa"/>
            <w:vAlign w:val="bottom"/>
            <w:tcBorders>
              <w:bottom w:val="single" w:sz="8" w:color="auto"/>
            </w:tcBorders>
          </w:tcPr>
          <w:p>
            <w:pPr>
              <w:ind w:left="960"/>
              <w:spacing w:after="0" w:line="155" w:lineRule="exact"/>
              <w:rPr>
                <w:sz w:val="20"/>
                <w:szCs w:val="20"/>
                <w:color w:val="auto"/>
              </w:rPr>
            </w:pPr>
            <w:r>
              <w:rPr>
                <w:rFonts w:ascii="Arial" w:cs="Arial" w:eastAsia="Arial" w:hAnsi="Arial"/>
                <w:sz w:val="11"/>
                <w:szCs w:val="11"/>
                <w:b w:val="1"/>
                <w:bCs w:val="1"/>
                <w:color w:val="auto"/>
              </w:rPr>
              <w:t xml:space="preserve">Inputs </w:t>
            </w:r>
            <w:r>
              <w:rPr>
                <w:rFonts w:ascii="Arial" w:cs="Arial" w:eastAsia="Arial" w:hAnsi="Arial"/>
                <w:sz w:val="14"/>
                <w:szCs w:val="14"/>
                <w:b w:val="1"/>
                <w:bCs w:val="1"/>
                <w:color w:val="auto"/>
                <w:vertAlign w:val="superscript"/>
              </w:rPr>
              <w:t>(1)(2)</w:t>
            </w:r>
          </w:p>
        </w:tc>
        <w:tc>
          <w:tcPr>
            <w:tcW w:w="200" w:type="dxa"/>
            <w:vAlign w:val="bottom"/>
          </w:tcPr>
          <w:p>
            <w:pPr>
              <w:spacing w:after="0"/>
              <w:rPr>
                <w:sz w:val="13"/>
                <w:szCs w:val="13"/>
                <w:color w:val="auto"/>
              </w:rPr>
            </w:pPr>
          </w:p>
        </w:tc>
        <w:tc>
          <w:tcPr>
            <w:tcW w:w="1240" w:type="dxa"/>
            <w:vAlign w:val="bottom"/>
            <w:tcBorders>
              <w:bottom w:val="single" w:sz="8" w:color="auto"/>
            </w:tcBorders>
            <w:gridSpan w:val="2"/>
            <w:vMerge w:val="continue"/>
          </w:tcPr>
          <w:p>
            <w:pPr>
              <w:spacing w:after="0"/>
              <w:rPr>
                <w:sz w:val="13"/>
                <w:szCs w:val="13"/>
                <w:color w:val="auto"/>
              </w:rPr>
            </w:pPr>
          </w:p>
        </w:tc>
        <w:tc>
          <w:tcPr>
            <w:tcW w:w="200" w:type="dxa"/>
            <w:vAlign w:val="bottom"/>
            <w:vMerge w:val="continue"/>
          </w:tcPr>
          <w:p>
            <w:pPr>
              <w:spacing w:after="0"/>
              <w:rPr>
                <w:sz w:val="13"/>
                <w:szCs w:val="13"/>
                <w:color w:val="auto"/>
              </w:rPr>
            </w:pPr>
          </w:p>
        </w:tc>
        <w:tc>
          <w:tcPr>
            <w:tcW w:w="124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76"/>
        </w:trPr>
        <w:tc>
          <w:tcPr>
            <w:tcW w:w="2060" w:type="dxa"/>
            <w:vAlign w:val="bottom"/>
            <w:gridSpan w:val="2"/>
          </w:tcPr>
          <w:p>
            <w:pPr>
              <w:ind w:left="20"/>
              <w:spacing w:after="0"/>
              <w:rPr>
                <w:sz w:val="20"/>
                <w:szCs w:val="20"/>
                <w:color w:val="auto"/>
              </w:rPr>
            </w:pPr>
            <w:r>
              <w:rPr>
                <w:rFonts w:ascii="Arial" w:cs="Arial" w:eastAsia="Arial" w:hAnsi="Arial"/>
                <w:sz w:val="12"/>
                <w:szCs w:val="12"/>
                <w:color w:val="auto"/>
              </w:rPr>
              <w:t>Credit-oriented investments:</w:t>
            </w:r>
          </w:p>
        </w:tc>
        <w:tc>
          <w:tcPr>
            <w:tcW w:w="1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4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4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9"/>
        </w:trPr>
        <w:tc>
          <w:tcPr>
            <w:tcW w:w="1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jc w:val="right"/>
              <w:ind w:right="20"/>
              <w:spacing w:after="0"/>
              <w:rPr>
                <w:sz w:val="20"/>
                <w:szCs w:val="20"/>
                <w:color w:val="auto"/>
              </w:rPr>
            </w:pPr>
            <w:r>
              <w:rPr>
                <w:rFonts w:ascii="Arial" w:cs="Arial" w:eastAsia="Arial" w:hAnsi="Arial"/>
                <w:sz w:val="12"/>
                <w:szCs w:val="12"/>
                <w:color w:val="auto"/>
                <w:w w:val="89"/>
              </w:rPr>
              <w:t>$</w:t>
            </w:r>
          </w:p>
        </w:tc>
        <w:tc>
          <w:tcPr>
            <w:tcW w:w="860" w:type="dxa"/>
            <w:vAlign w:val="bottom"/>
          </w:tcPr>
          <w:p>
            <w:pPr>
              <w:jc w:val="right"/>
              <w:spacing w:after="0"/>
              <w:rPr>
                <w:sz w:val="20"/>
                <w:szCs w:val="20"/>
                <w:color w:val="auto"/>
              </w:rPr>
            </w:pPr>
            <w:r>
              <w:rPr>
                <w:rFonts w:ascii="Arial" w:cs="Arial" w:eastAsia="Arial" w:hAnsi="Arial"/>
                <w:sz w:val="12"/>
                <w:szCs w:val="12"/>
                <w:color w:val="auto"/>
              </w:rPr>
              <w:t>73,564</w:t>
            </w:r>
          </w:p>
        </w:tc>
        <w:tc>
          <w:tcPr>
            <w:tcW w:w="200" w:type="dxa"/>
            <w:vAlign w:val="bottom"/>
          </w:tcPr>
          <w:p>
            <w:pPr>
              <w:spacing w:after="0"/>
              <w:rPr>
                <w:sz w:val="14"/>
                <w:szCs w:val="14"/>
                <w:color w:val="auto"/>
              </w:rPr>
            </w:pPr>
          </w:p>
        </w:tc>
        <w:tc>
          <w:tcPr>
            <w:tcW w:w="2640" w:type="dxa"/>
            <w:vAlign w:val="bottom"/>
            <w:gridSpan w:val="2"/>
          </w:tcPr>
          <w:p>
            <w:pPr>
              <w:ind w:left="20"/>
              <w:spacing w:after="0" w:line="169" w:lineRule="exact"/>
              <w:rPr>
                <w:sz w:val="20"/>
                <w:szCs w:val="20"/>
                <w:color w:val="auto"/>
              </w:rPr>
            </w:pPr>
            <w:r>
              <w:rPr>
                <w:rFonts w:ascii="Arial" w:cs="Arial" w:eastAsia="Arial" w:hAnsi="Arial"/>
                <w:sz w:val="12"/>
                <w:szCs w:val="12"/>
                <w:color w:val="auto"/>
              </w:rPr>
              <w:t xml:space="preserve">Discounted cash flow </w:t>
            </w:r>
            <w:r>
              <w:rPr>
                <w:rFonts w:ascii="Arial" w:cs="Arial" w:eastAsia="Arial" w:hAnsi="Arial"/>
                <w:sz w:val="15"/>
                <w:szCs w:val="15"/>
                <w:color w:val="auto"/>
                <w:vertAlign w:val="superscript"/>
              </w:rPr>
              <w:t>(6)</w:t>
            </w:r>
          </w:p>
        </w:tc>
        <w:tc>
          <w:tcPr>
            <w:tcW w:w="2640" w:type="dxa"/>
            <w:vAlign w:val="bottom"/>
            <w:gridSpan w:val="2"/>
          </w:tcPr>
          <w:p>
            <w:pPr>
              <w:ind w:left="20"/>
              <w:spacing w:after="0"/>
              <w:rPr>
                <w:sz w:val="20"/>
                <w:szCs w:val="20"/>
                <w:color w:val="auto"/>
              </w:rPr>
            </w:pPr>
            <w:r>
              <w:rPr>
                <w:rFonts w:ascii="Arial" w:cs="Arial" w:eastAsia="Arial" w:hAnsi="Arial"/>
                <w:sz w:val="12"/>
                <w:szCs w:val="12"/>
                <w:color w:val="auto"/>
              </w:rPr>
              <w:t>Discount rate</w:t>
            </w:r>
          </w:p>
        </w:tc>
        <w:tc>
          <w:tcPr>
            <w:tcW w:w="1240" w:type="dxa"/>
            <w:vAlign w:val="bottom"/>
            <w:gridSpan w:val="2"/>
          </w:tcPr>
          <w:p>
            <w:pPr>
              <w:jc w:val="center"/>
              <w:spacing w:after="0"/>
              <w:rPr>
                <w:sz w:val="20"/>
                <w:szCs w:val="20"/>
                <w:color w:val="auto"/>
              </w:rPr>
            </w:pPr>
            <w:r>
              <w:rPr>
                <w:rFonts w:ascii="Arial" w:cs="Arial" w:eastAsia="Arial" w:hAnsi="Arial"/>
                <w:sz w:val="12"/>
                <w:szCs w:val="12"/>
                <w:color w:val="auto"/>
                <w:w w:val="99"/>
              </w:rPr>
              <w:t>6% - 21%</w:t>
            </w:r>
          </w:p>
        </w:tc>
        <w:tc>
          <w:tcPr>
            <w:tcW w:w="200" w:type="dxa"/>
            <w:vAlign w:val="bottom"/>
          </w:tcPr>
          <w:p>
            <w:pPr>
              <w:spacing w:after="0"/>
              <w:rPr>
                <w:sz w:val="14"/>
                <w:szCs w:val="14"/>
                <w:color w:val="auto"/>
              </w:rPr>
            </w:pPr>
          </w:p>
        </w:tc>
        <w:tc>
          <w:tcPr>
            <w:tcW w:w="1240" w:type="dxa"/>
            <w:vAlign w:val="bottom"/>
          </w:tcPr>
          <w:p>
            <w:pPr>
              <w:jc w:val="center"/>
              <w:spacing w:after="0"/>
              <w:rPr>
                <w:sz w:val="20"/>
                <w:szCs w:val="20"/>
                <w:color w:val="auto"/>
              </w:rPr>
            </w:pPr>
            <w:r>
              <w:rPr>
                <w:rFonts w:ascii="Arial" w:cs="Arial" w:eastAsia="Arial" w:hAnsi="Arial"/>
                <w:sz w:val="12"/>
                <w:szCs w:val="12"/>
                <w:color w:val="auto"/>
                <w:w w:val="91"/>
              </w:rPr>
              <w:t>11%</w:t>
            </w:r>
          </w:p>
        </w:tc>
        <w:tc>
          <w:tcPr>
            <w:tcW w:w="0" w:type="dxa"/>
            <w:vAlign w:val="bottom"/>
          </w:tcPr>
          <w:p>
            <w:pPr>
              <w:spacing w:after="0"/>
              <w:rPr>
                <w:sz w:val="1"/>
                <w:szCs w:val="1"/>
                <w:color w:val="auto"/>
              </w:rPr>
            </w:pPr>
          </w:p>
        </w:tc>
      </w:tr>
      <w:tr>
        <w:trPr>
          <w:trHeight w:val="128"/>
        </w:trPr>
        <w:tc>
          <w:tcPr>
            <w:tcW w:w="1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jc w:val="right"/>
              <w:spacing w:after="0" w:line="129" w:lineRule="exact"/>
              <w:rPr>
                <w:sz w:val="20"/>
                <w:szCs w:val="20"/>
                <w:color w:val="auto"/>
              </w:rPr>
            </w:pPr>
            <w:r>
              <w:rPr>
                <w:rFonts w:ascii="Arial" w:cs="Arial" w:eastAsia="Arial" w:hAnsi="Arial"/>
                <w:sz w:val="12"/>
                <w:szCs w:val="12"/>
                <w:color w:val="auto"/>
              </w:rPr>
              <w:t>261</w:t>
            </w:r>
          </w:p>
        </w:tc>
        <w:tc>
          <w:tcPr>
            <w:tcW w:w="200" w:type="dxa"/>
            <w:vAlign w:val="bottom"/>
          </w:tcPr>
          <w:p>
            <w:pPr>
              <w:spacing w:after="0"/>
              <w:rPr>
                <w:sz w:val="11"/>
                <w:szCs w:val="11"/>
                <w:color w:val="auto"/>
              </w:rPr>
            </w:pPr>
          </w:p>
        </w:tc>
        <w:tc>
          <w:tcPr>
            <w:tcW w:w="2640" w:type="dxa"/>
            <w:vAlign w:val="bottom"/>
            <w:gridSpan w:val="2"/>
          </w:tcPr>
          <w:p>
            <w:pPr>
              <w:ind w:left="20"/>
              <w:spacing w:after="0" w:line="129" w:lineRule="exact"/>
              <w:rPr>
                <w:sz w:val="20"/>
                <w:szCs w:val="20"/>
                <w:color w:val="auto"/>
              </w:rPr>
            </w:pPr>
            <w:r>
              <w:rPr>
                <w:rFonts w:ascii="Arial" w:cs="Arial" w:eastAsia="Arial" w:hAnsi="Arial"/>
                <w:sz w:val="12"/>
                <w:szCs w:val="12"/>
                <w:color w:val="auto"/>
              </w:rPr>
              <w:t>Market approach</w:t>
            </w:r>
          </w:p>
        </w:tc>
        <w:tc>
          <w:tcPr>
            <w:tcW w:w="2640" w:type="dxa"/>
            <w:vAlign w:val="bottom"/>
            <w:gridSpan w:val="2"/>
          </w:tcPr>
          <w:p>
            <w:pPr>
              <w:ind w:left="20"/>
              <w:spacing w:after="0" w:line="129" w:lineRule="exact"/>
              <w:rPr>
                <w:sz w:val="20"/>
                <w:szCs w:val="20"/>
                <w:color w:val="auto"/>
              </w:rPr>
            </w:pPr>
            <w:r>
              <w:rPr>
                <w:rFonts w:ascii="Arial" w:cs="Arial" w:eastAsia="Arial" w:hAnsi="Arial"/>
                <w:sz w:val="11"/>
                <w:szCs w:val="11"/>
                <w:color w:val="auto"/>
              </w:rPr>
              <w:t xml:space="preserve">Revenue multiple </w:t>
            </w:r>
            <w:r>
              <w:rPr>
                <w:rFonts w:ascii="Arial" w:cs="Arial" w:eastAsia="Arial" w:hAnsi="Arial"/>
                <w:sz w:val="14"/>
                <w:szCs w:val="14"/>
                <w:color w:val="auto"/>
                <w:vertAlign w:val="superscript"/>
              </w:rPr>
              <w:t>(8)</w:t>
            </w:r>
          </w:p>
        </w:tc>
        <w:tc>
          <w:tcPr>
            <w:tcW w:w="580" w:type="dxa"/>
            <w:vAlign w:val="bottom"/>
          </w:tcPr>
          <w:p>
            <w:pPr>
              <w:jc w:val="right"/>
              <w:spacing w:after="0" w:line="129" w:lineRule="exact"/>
              <w:rPr>
                <w:sz w:val="20"/>
                <w:szCs w:val="20"/>
                <w:color w:val="auto"/>
              </w:rPr>
            </w:pPr>
            <w:r>
              <w:rPr>
                <w:rFonts w:ascii="Arial" w:cs="Arial" w:eastAsia="Arial" w:hAnsi="Arial"/>
                <w:sz w:val="12"/>
                <w:szCs w:val="12"/>
                <w:color w:val="auto"/>
              </w:rPr>
              <w:t>2.1x</w:t>
            </w:r>
          </w:p>
        </w:tc>
        <w:tc>
          <w:tcPr>
            <w:tcW w:w="860" w:type="dxa"/>
            <w:vAlign w:val="bottom"/>
            <w:gridSpan w:val="2"/>
          </w:tcPr>
          <w:p>
            <w:pPr>
              <w:ind w:left="20"/>
              <w:spacing w:after="0" w:line="129" w:lineRule="exact"/>
              <w:rPr>
                <w:sz w:val="20"/>
                <w:szCs w:val="20"/>
                <w:color w:val="auto"/>
              </w:rPr>
            </w:pPr>
            <w:r>
              <w:rPr>
                <w:rFonts w:ascii="Arial" w:cs="Arial" w:eastAsia="Arial" w:hAnsi="Arial"/>
                <w:sz w:val="12"/>
                <w:szCs w:val="12"/>
                <w:color w:val="auto"/>
              </w:rPr>
              <w:t>- 2.1x</w:t>
            </w:r>
          </w:p>
        </w:tc>
        <w:tc>
          <w:tcPr>
            <w:tcW w:w="1240" w:type="dxa"/>
            <w:vAlign w:val="bottom"/>
          </w:tcPr>
          <w:p>
            <w:pPr>
              <w:jc w:val="center"/>
              <w:spacing w:after="0" w:line="129" w:lineRule="exact"/>
              <w:rPr>
                <w:sz w:val="20"/>
                <w:szCs w:val="20"/>
                <w:color w:val="auto"/>
              </w:rPr>
            </w:pPr>
            <w:r>
              <w:rPr>
                <w:rFonts w:ascii="Arial" w:cs="Arial" w:eastAsia="Arial" w:hAnsi="Arial"/>
                <w:sz w:val="12"/>
                <w:szCs w:val="12"/>
                <w:color w:val="auto"/>
                <w:w w:val="96"/>
              </w:rPr>
              <w:t>2.1x</w:t>
            </w:r>
          </w:p>
        </w:tc>
        <w:tc>
          <w:tcPr>
            <w:tcW w:w="0" w:type="dxa"/>
            <w:vAlign w:val="bottom"/>
          </w:tcPr>
          <w:p>
            <w:pPr>
              <w:spacing w:after="0"/>
              <w:rPr>
                <w:sz w:val="1"/>
                <w:szCs w:val="1"/>
                <w:color w:val="auto"/>
              </w:rPr>
            </w:pPr>
          </w:p>
        </w:tc>
      </w:tr>
      <w:tr>
        <w:trPr>
          <w:trHeight w:val="168"/>
        </w:trPr>
        <w:tc>
          <w:tcPr>
            <w:tcW w:w="1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40" w:type="dxa"/>
            <w:vAlign w:val="bottom"/>
            <w:gridSpan w:val="2"/>
          </w:tcPr>
          <w:p>
            <w:pPr>
              <w:ind w:left="20"/>
              <w:spacing w:after="0" w:line="169" w:lineRule="exact"/>
              <w:rPr>
                <w:sz w:val="20"/>
                <w:szCs w:val="20"/>
                <w:color w:val="auto"/>
              </w:rPr>
            </w:pPr>
            <w:r>
              <w:rPr>
                <w:rFonts w:ascii="Arial" w:cs="Arial" w:eastAsia="Arial" w:hAnsi="Arial"/>
                <w:sz w:val="12"/>
                <w:szCs w:val="12"/>
                <w:color w:val="auto"/>
              </w:rPr>
              <w:t xml:space="preserve">(comparable companies) </w:t>
            </w:r>
            <w:r>
              <w:rPr>
                <w:rFonts w:ascii="Arial" w:cs="Arial" w:eastAsia="Arial" w:hAnsi="Arial"/>
                <w:sz w:val="15"/>
                <w:szCs w:val="15"/>
                <w:color w:val="auto"/>
                <w:vertAlign w:val="superscript"/>
              </w:rPr>
              <w:t>(7)</w:t>
            </w:r>
          </w:p>
        </w:tc>
        <w:tc>
          <w:tcPr>
            <w:tcW w:w="2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22,534</w:t>
            </w:r>
          </w:p>
        </w:tc>
        <w:tc>
          <w:tcPr>
            <w:tcW w:w="200" w:type="dxa"/>
            <w:vAlign w:val="bottom"/>
          </w:tcPr>
          <w:p>
            <w:pPr>
              <w:spacing w:after="0"/>
              <w:rPr>
                <w:sz w:val="14"/>
                <w:szCs w:val="14"/>
                <w:color w:val="auto"/>
              </w:rPr>
            </w:pPr>
          </w:p>
        </w:tc>
        <w:tc>
          <w:tcPr>
            <w:tcW w:w="2640" w:type="dxa"/>
            <w:vAlign w:val="bottom"/>
            <w:gridSpan w:val="2"/>
          </w:tcPr>
          <w:p>
            <w:pPr>
              <w:ind w:left="20"/>
              <w:spacing w:after="0" w:line="168" w:lineRule="exact"/>
              <w:rPr>
                <w:sz w:val="20"/>
                <w:szCs w:val="20"/>
                <w:color w:val="auto"/>
              </w:rPr>
            </w:pPr>
            <w:r>
              <w:rPr>
                <w:rFonts w:ascii="Arial" w:cs="Arial" w:eastAsia="Arial" w:hAnsi="Arial"/>
                <w:sz w:val="12"/>
                <w:szCs w:val="12"/>
                <w:color w:val="auto"/>
              </w:rPr>
              <w:t xml:space="preserve">Recent market information </w:t>
            </w:r>
            <w:r>
              <w:rPr>
                <w:rFonts w:ascii="Arial" w:cs="Arial" w:eastAsia="Arial" w:hAnsi="Arial"/>
                <w:sz w:val="15"/>
                <w:szCs w:val="15"/>
                <w:color w:val="auto"/>
                <w:vertAlign w:val="superscript"/>
              </w:rPr>
              <w:t>(5)</w:t>
            </w:r>
          </w:p>
        </w:tc>
        <w:tc>
          <w:tcPr>
            <w:tcW w:w="2640" w:type="dxa"/>
            <w:vAlign w:val="bottom"/>
            <w:gridSpan w:val="2"/>
          </w:tcPr>
          <w:p>
            <w:pPr>
              <w:ind w:left="20"/>
              <w:spacing w:after="0"/>
              <w:rPr>
                <w:sz w:val="20"/>
                <w:szCs w:val="20"/>
                <w:color w:val="auto"/>
              </w:rPr>
            </w:pPr>
            <w:r>
              <w:rPr>
                <w:rFonts w:ascii="Arial" w:cs="Arial" w:eastAsia="Arial" w:hAnsi="Arial"/>
                <w:sz w:val="12"/>
                <w:szCs w:val="12"/>
                <w:color w:val="auto"/>
              </w:rPr>
              <w:t>Quoted prices</w:t>
            </w:r>
          </w:p>
        </w:tc>
        <w:tc>
          <w:tcPr>
            <w:tcW w:w="1440" w:type="dxa"/>
            <w:vAlign w:val="bottom"/>
            <w:gridSpan w:val="3"/>
          </w:tcPr>
          <w:p>
            <w:pPr>
              <w:jc w:val="center"/>
              <w:ind w:right="200"/>
              <w:spacing w:after="0"/>
              <w:rPr>
                <w:sz w:val="20"/>
                <w:szCs w:val="20"/>
                <w:color w:val="auto"/>
              </w:rPr>
            </w:pPr>
            <w:r>
              <w:rPr>
                <w:rFonts w:ascii="Arial" w:cs="Arial" w:eastAsia="Arial" w:hAnsi="Arial"/>
                <w:sz w:val="12"/>
                <w:szCs w:val="12"/>
                <w:color w:val="auto"/>
                <w:w w:val="99"/>
              </w:rPr>
              <w:t>Not applicable</w:t>
            </w:r>
          </w:p>
        </w:tc>
        <w:tc>
          <w:tcPr>
            <w:tcW w:w="1240" w:type="dxa"/>
            <w:vAlign w:val="bottom"/>
          </w:tcPr>
          <w:p>
            <w:pPr>
              <w:jc w:val="center"/>
              <w:spacing w:after="0"/>
              <w:rPr>
                <w:sz w:val="20"/>
                <w:szCs w:val="20"/>
                <w:color w:val="auto"/>
              </w:rPr>
            </w:pPr>
            <w:r>
              <w:rPr>
                <w:rFonts w:ascii="Arial" w:cs="Arial" w:eastAsia="Arial" w:hAnsi="Arial"/>
                <w:sz w:val="12"/>
                <w:szCs w:val="12"/>
                <w:color w:val="auto"/>
                <w:w w:val="99"/>
              </w:rPr>
              <w:t>Not applicable</w:t>
            </w:r>
          </w:p>
        </w:tc>
        <w:tc>
          <w:tcPr>
            <w:tcW w:w="0" w:type="dxa"/>
            <w:vAlign w:val="bottom"/>
          </w:tcPr>
          <w:p>
            <w:pPr>
              <w:spacing w:after="0"/>
              <w:rPr>
                <w:sz w:val="1"/>
                <w:szCs w:val="1"/>
                <w:color w:val="auto"/>
              </w:rPr>
            </w:pPr>
          </w:p>
        </w:tc>
      </w:tr>
      <w:tr>
        <w:trPr>
          <w:trHeight w:val="175"/>
        </w:trPr>
        <w:tc>
          <w:tcPr>
            <w:tcW w:w="1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5,767</w:t>
            </w:r>
          </w:p>
        </w:tc>
        <w:tc>
          <w:tcPr>
            <w:tcW w:w="200" w:type="dxa"/>
            <w:vAlign w:val="bottom"/>
          </w:tcPr>
          <w:p>
            <w:pPr>
              <w:spacing w:after="0"/>
              <w:rPr>
                <w:sz w:val="15"/>
                <w:szCs w:val="15"/>
                <w:color w:val="auto"/>
              </w:rPr>
            </w:pPr>
          </w:p>
        </w:tc>
        <w:tc>
          <w:tcPr>
            <w:tcW w:w="2640" w:type="dxa"/>
            <w:vAlign w:val="bottom"/>
            <w:gridSpan w:val="2"/>
          </w:tcPr>
          <w:p>
            <w:pPr>
              <w:ind w:left="20"/>
              <w:spacing w:after="0"/>
              <w:rPr>
                <w:sz w:val="20"/>
                <w:szCs w:val="20"/>
                <w:color w:val="auto"/>
              </w:rPr>
            </w:pPr>
            <w:r>
              <w:rPr>
                <w:rFonts w:ascii="Arial" w:cs="Arial" w:eastAsia="Arial" w:hAnsi="Arial"/>
                <w:sz w:val="12"/>
                <w:szCs w:val="12"/>
                <w:color w:val="auto"/>
              </w:rPr>
              <w:t xml:space="preserve">Recent transaction price </w:t>
            </w:r>
            <w:r>
              <w:rPr>
                <w:rFonts w:ascii="Arial" w:cs="Arial" w:eastAsia="Arial" w:hAnsi="Arial"/>
                <w:sz w:val="15"/>
                <w:szCs w:val="15"/>
                <w:color w:val="auto"/>
                <w:vertAlign w:val="superscript"/>
              </w:rPr>
              <w:t>(4)</w:t>
            </w:r>
          </w:p>
        </w:tc>
        <w:tc>
          <w:tcPr>
            <w:tcW w:w="2640" w:type="dxa"/>
            <w:vAlign w:val="bottom"/>
            <w:gridSpan w:val="2"/>
          </w:tcPr>
          <w:p>
            <w:pPr>
              <w:ind w:left="20"/>
              <w:spacing w:after="0"/>
              <w:rPr>
                <w:sz w:val="20"/>
                <w:szCs w:val="20"/>
                <w:color w:val="auto"/>
              </w:rPr>
            </w:pPr>
            <w:r>
              <w:rPr>
                <w:rFonts w:ascii="Arial" w:cs="Arial" w:eastAsia="Arial" w:hAnsi="Arial"/>
                <w:sz w:val="12"/>
                <w:szCs w:val="12"/>
                <w:color w:val="auto"/>
              </w:rPr>
              <w:t>Quoted prices</w:t>
            </w:r>
          </w:p>
        </w:tc>
        <w:tc>
          <w:tcPr>
            <w:tcW w:w="1440" w:type="dxa"/>
            <w:vAlign w:val="bottom"/>
            <w:gridSpan w:val="3"/>
          </w:tcPr>
          <w:p>
            <w:pPr>
              <w:jc w:val="center"/>
              <w:ind w:right="200"/>
              <w:spacing w:after="0"/>
              <w:rPr>
                <w:sz w:val="20"/>
                <w:szCs w:val="20"/>
                <w:color w:val="auto"/>
              </w:rPr>
            </w:pPr>
            <w:r>
              <w:rPr>
                <w:rFonts w:ascii="Arial" w:cs="Arial" w:eastAsia="Arial" w:hAnsi="Arial"/>
                <w:sz w:val="12"/>
                <w:szCs w:val="12"/>
                <w:color w:val="auto"/>
                <w:w w:val="99"/>
              </w:rPr>
              <w:t>Not applicable</w:t>
            </w:r>
          </w:p>
        </w:tc>
        <w:tc>
          <w:tcPr>
            <w:tcW w:w="1240" w:type="dxa"/>
            <w:vAlign w:val="bottom"/>
          </w:tcPr>
          <w:p>
            <w:pPr>
              <w:jc w:val="center"/>
              <w:spacing w:after="0"/>
              <w:rPr>
                <w:sz w:val="20"/>
                <w:szCs w:val="20"/>
                <w:color w:val="auto"/>
              </w:rPr>
            </w:pPr>
            <w:r>
              <w:rPr>
                <w:rFonts w:ascii="Arial" w:cs="Arial" w:eastAsia="Arial" w:hAnsi="Arial"/>
                <w:sz w:val="12"/>
                <w:szCs w:val="12"/>
                <w:color w:val="auto"/>
                <w:w w:val="99"/>
              </w:rPr>
              <w:t>Not applicable</w:t>
            </w:r>
          </w:p>
        </w:tc>
        <w:tc>
          <w:tcPr>
            <w:tcW w:w="0" w:type="dxa"/>
            <w:vAlign w:val="bottom"/>
          </w:tcPr>
          <w:p>
            <w:pPr>
              <w:spacing w:after="0"/>
              <w:rPr>
                <w:sz w:val="1"/>
                <w:szCs w:val="1"/>
                <w:color w:val="auto"/>
              </w:rPr>
            </w:pPr>
          </w:p>
        </w:tc>
      </w:tr>
      <w:tr>
        <w:trPr>
          <w:trHeight w:val="159"/>
        </w:trPr>
        <w:tc>
          <w:tcPr>
            <w:tcW w:w="2060" w:type="dxa"/>
            <w:vAlign w:val="bottom"/>
            <w:gridSpan w:val="2"/>
          </w:tcPr>
          <w:p>
            <w:pPr>
              <w:ind w:left="20"/>
              <w:spacing w:after="0"/>
              <w:rPr>
                <w:sz w:val="20"/>
                <w:szCs w:val="20"/>
                <w:color w:val="auto"/>
              </w:rPr>
            </w:pPr>
            <w:r>
              <w:rPr>
                <w:rFonts w:ascii="Arial" w:cs="Arial" w:eastAsia="Arial" w:hAnsi="Arial"/>
                <w:sz w:val="12"/>
                <w:szCs w:val="12"/>
                <w:color w:val="auto"/>
              </w:rPr>
              <w:t>Equity investments:</w:t>
            </w: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3,422</w:t>
            </w:r>
          </w:p>
        </w:tc>
        <w:tc>
          <w:tcPr>
            <w:tcW w:w="200" w:type="dxa"/>
            <w:vAlign w:val="bottom"/>
          </w:tcPr>
          <w:p>
            <w:pPr>
              <w:spacing w:after="0"/>
              <w:rPr>
                <w:sz w:val="14"/>
                <w:szCs w:val="14"/>
                <w:color w:val="auto"/>
              </w:rPr>
            </w:pPr>
          </w:p>
        </w:tc>
        <w:tc>
          <w:tcPr>
            <w:tcW w:w="2640" w:type="dxa"/>
            <w:vAlign w:val="bottom"/>
            <w:gridSpan w:val="2"/>
          </w:tcPr>
          <w:p>
            <w:pPr>
              <w:ind w:left="20"/>
              <w:spacing w:after="0" w:line="169" w:lineRule="exact"/>
              <w:rPr>
                <w:sz w:val="20"/>
                <w:szCs w:val="20"/>
                <w:color w:val="auto"/>
              </w:rPr>
            </w:pPr>
            <w:r>
              <w:rPr>
                <w:rFonts w:ascii="Arial" w:cs="Arial" w:eastAsia="Arial" w:hAnsi="Arial"/>
                <w:sz w:val="12"/>
                <w:szCs w:val="12"/>
                <w:color w:val="auto"/>
              </w:rPr>
              <w:t xml:space="preserve">Discounted cash flow </w:t>
            </w:r>
            <w:r>
              <w:rPr>
                <w:rFonts w:ascii="Arial" w:cs="Arial" w:eastAsia="Arial" w:hAnsi="Arial"/>
                <w:sz w:val="15"/>
                <w:szCs w:val="15"/>
                <w:color w:val="auto"/>
                <w:vertAlign w:val="superscript"/>
              </w:rPr>
              <w:t>(6)</w:t>
            </w:r>
          </w:p>
        </w:tc>
        <w:tc>
          <w:tcPr>
            <w:tcW w:w="2640" w:type="dxa"/>
            <w:vAlign w:val="bottom"/>
            <w:gridSpan w:val="2"/>
          </w:tcPr>
          <w:p>
            <w:pPr>
              <w:ind w:left="20"/>
              <w:spacing w:after="0"/>
              <w:rPr>
                <w:sz w:val="20"/>
                <w:szCs w:val="20"/>
                <w:color w:val="auto"/>
              </w:rPr>
            </w:pPr>
            <w:r>
              <w:rPr>
                <w:rFonts w:ascii="Arial" w:cs="Arial" w:eastAsia="Arial" w:hAnsi="Arial"/>
                <w:sz w:val="12"/>
                <w:szCs w:val="12"/>
                <w:color w:val="auto"/>
              </w:rPr>
              <w:t>Discount rate</w:t>
            </w:r>
          </w:p>
        </w:tc>
        <w:tc>
          <w:tcPr>
            <w:tcW w:w="580" w:type="dxa"/>
            <w:vAlign w:val="bottom"/>
          </w:tcPr>
          <w:p>
            <w:pPr>
              <w:jc w:val="right"/>
              <w:spacing w:after="0"/>
              <w:rPr>
                <w:sz w:val="20"/>
                <w:szCs w:val="20"/>
                <w:color w:val="auto"/>
              </w:rPr>
            </w:pPr>
            <w:r>
              <w:rPr>
                <w:rFonts w:ascii="Arial" w:cs="Arial" w:eastAsia="Arial" w:hAnsi="Arial"/>
                <w:sz w:val="12"/>
                <w:szCs w:val="12"/>
                <w:color w:val="auto"/>
              </w:rPr>
              <w:t>13%</w:t>
            </w:r>
          </w:p>
        </w:tc>
        <w:tc>
          <w:tcPr>
            <w:tcW w:w="660" w:type="dxa"/>
            <w:vAlign w:val="bottom"/>
          </w:tcPr>
          <w:p>
            <w:pPr>
              <w:ind w:left="20"/>
              <w:spacing w:after="0"/>
              <w:rPr>
                <w:sz w:val="20"/>
                <w:szCs w:val="20"/>
                <w:color w:val="auto"/>
              </w:rPr>
            </w:pPr>
            <w:r>
              <w:rPr>
                <w:rFonts w:ascii="Arial" w:cs="Arial" w:eastAsia="Arial" w:hAnsi="Arial"/>
                <w:sz w:val="12"/>
                <w:szCs w:val="12"/>
                <w:color w:val="auto"/>
              </w:rPr>
              <w:t>- 17%</w:t>
            </w:r>
          </w:p>
        </w:tc>
        <w:tc>
          <w:tcPr>
            <w:tcW w:w="200" w:type="dxa"/>
            <w:vAlign w:val="bottom"/>
          </w:tcPr>
          <w:p>
            <w:pPr>
              <w:spacing w:after="0"/>
              <w:rPr>
                <w:sz w:val="14"/>
                <w:szCs w:val="14"/>
                <w:color w:val="auto"/>
              </w:rPr>
            </w:pPr>
          </w:p>
        </w:tc>
        <w:tc>
          <w:tcPr>
            <w:tcW w:w="1240" w:type="dxa"/>
            <w:vAlign w:val="bottom"/>
          </w:tcPr>
          <w:p>
            <w:pPr>
              <w:jc w:val="center"/>
              <w:spacing w:after="0"/>
              <w:rPr>
                <w:sz w:val="20"/>
                <w:szCs w:val="20"/>
                <w:color w:val="auto"/>
              </w:rPr>
            </w:pPr>
            <w:r>
              <w:rPr>
                <w:rFonts w:ascii="Arial" w:cs="Arial" w:eastAsia="Arial" w:hAnsi="Arial"/>
                <w:sz w:val="12"/>
                <w:szCs w:val="12"/>
                <w:color w:val="auto"/>
                <w:w w:val="99"/>
              </w:rPr>
              <w:t>14%</w:t>
            </w:r>
          </w:p>
        </w:tc>
        <w:tc>
          <w:tcPr>
            <w:tcW w:w="0" w:type="dxa"/>
            <w:vAlign w:val="bottom"/>
          </w:tcPr>
          <w:p>
            <w:pPr>
              <w:spacing w:after="0"/>
              <w:rPr>
                <w:sz w:val="1"/>
                <w:szCs w:val="1"/>
                <w:color w:val="auto"/>
              </w:rPr>
            </w:pPr>
          </w:p>
        </w:tc>
      </w:tr>
      <w:tr>
        <w:trPr>
          <w:trHeight w:val="168"/>
        </w:trPr>
        <w:tc>
          <w:tcPr>
            <w:tcW w:w="1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404</w:t>
            </w:r>
          </w:p>
        </w:tc>
        <w:tc>
          <w:tcPr>
            <w:tcW w:w="200" w:type="dxa"/>
            <w:vAlign w:val="bottom"/>
          </w:tcPr>
          <w:p>
            <w:pPr>
              <w:spacing w:after="0"/>
              <w:rPr>
                <w:sz w:val="14"/>
                <w:szCs w:val="14"/>
                <w:color w:val="auto"/>
              </w:rPr>
            </w:pPr>
          </w:p>
        </w:tc>
        <w:tc>
          <w:tcPr>
            <w:tcW w:w="2640" w:type="dxa"/>
            <w:vAlign w:val="bottom"/>
            <w:gridSpan w:val="2"/>
          </w:tcPr>
          <w:p>
            <w:pPr>
              <w:ind w:left="20"/>
              <w:spacing w:after="0" w:line="168" w:lineRule="exact"/>
              <w:rPr>
                <w:sz w:val="20"/>
                <w:szCs w:val="20"/>
                <w:color w:val="auto"/>
              </w:rPr>
            </w:pPr>
            <w:r>
              <w:rPr>
                <w:rFonts w:ascii="Arial" w:cs="Arial" w:eastAsia="Arial" w:hAnsi="Arial"/>
                <w:sz w:val="12"/>
                <w:szCs w:val="12"/>
                <w:color w:val="auto"/>
              </w:rPr>
              <w:t xml:space="preserve">Market approach (comparable companies) </w:t>
            </w:r>
            <w:r>
              <w:rPr>
                <w:rFonts w:ascii="Arial" w:cs="Arial" w:eastAsia="Arial" w:hAnsi="Arial"/>
                <w:sz w:val="15"/>
                <w:szCs w:val="15"/>
                <w:color w:val="auto"/>
                <w:vertAlign w:val="superscript"/>
              </w:rPr>
              <w:t>(7)</w:t>
            </w:r>
          </w:p>
        </w:tc>
        <w:tc>
          <w:tcPr>
            <w:tcW w:w="2640" w:type="dxa"/>
            <w:vAlign w:val="bottom"/>
            <w:gridSpan w:val="2"/>
          </w:tcPr>
          <w:p>
            <w:pPr>
              <w:ind w:left="20"/>
              <w:spacing w:after="0" w:line="168" w:lineRule="exact"/>
              <w:rPr>
                <w:sz w:val="20"/>
                <w:szCs w:val="20"/>
                <w:color w:val="auto"/>
              </w:rPr>
            </w:pPr>
            <w:r>
              <w:rPr>
                <w:rFonts w:ascii="Arial" w:cs="Arial" w:eastAsia="Arial" w:hAnsi="Arial"/>
                <w:sz w:val="12"/>
                <w:szCs w:val="12"/>
                <w:color w:val="auto"/>
              </w:rPr>
              <w:t xml:space="preserve">Earnings multiple </w:t>
            </w:r>
            <w:r>
              <w:rPr>
                <w:rFonts w:ascii="Arial" w:cs="Arial" w:eastAsia="Arial" w:hAnsi="Arial"/>
                <w:sz w:val="15"/>
                <w:szCs w:val="15"/>
                <w:color w:val="auto"/>
                <w:vertAlign w:val="superscript"/>
              </w:rPr>
              <w:t>(10)</w:t>
            </w:r>
          </w:p>
        </w:tc>
        <w:tc>
          <w:tcPr>
            <w:tcW w:w="580" w:type="dxa"/>
            <w:vAlign w:val="bottom"/>
          </w:tcPr>
          <w:p>
            <w:pPr>
              <w:jc w:val="right"/>
              <w:spacing w:after="0"/>
              <w:rPr>
                <w:sz w:val="20"/>
                <w:szCs w:val="20"/>
                <w:color w:val="auto"/>
              </w:rPr>
            </w:pPr>
            <w:r>
              <w:rPr>
                <w:rFonts w:ascii="Arial" w:cs="Arial" w:eastAsia="Arial" w:hAnsi="Arial"/>
                <w:sz w:val="12"/>
                <w:szCs w:val="12"/>
                <w:color w:val="auto"/>
              </w:rPr>
              <w:t>4.0x</w:t>
            </w:r>
          </w:p>
        </w:tc>
        <w:tc>
          <w:tcPr>
            <w:tcW w:w="860" w:type="dxa"/>
            <w:vAlign w:val="bottom"/>
            <w:gridSpan w:val="2"/>
          </w:tcPr>
          <w:p>
            <w:pPr>
              <w:ind w:left="20"/>
              <w:spacing w:after="0"/>
              <w:rPr>
                <w:sz w:val="20"/>
                <w:szCs w:val="20"/>
                <w:color w:val="auto"/>
              </w:rPr>
            </w:pPr>
            <w:r>
              <w:rPr>
                <w:rFonts w:ascii="Arial" w:cs="Arial" w:eastAsia="Arial" w:hAnsi="Arial"/>
                <w:sz w:val="12"/>
                <w:szCs w:val="12"/>
                <w:color w:val="auto"/>
              </w:rPr>
              <w:t>- 7.0x</w:t>
            </w:r>
          </w:p>
        </w:tc>
        <w:tc>
          <w:tcPr>
            <w:tcW w:w="1240" w:type="dxa"/>
            <w:vAlign w:val="bottom"/>
          </w:tcPr>
          <w:p>
            <w:pPr>
              <w:jc w:val="center"/>
              <w:spacing w:after="0"/>
              <w:rPr>
                <w:sz w:val="20"/>
                <w:szCs w:val="20"/>
                <w:color w:val="auto"/>
              </w:rPr>
            </w:pPr>
            <w:r>
              <w:rPr>
                <w:rFonts w:ascii="Arial" w:cs="Arial" w:eastAsia="Arial" w:hAnsi="Arial"/>
                <w:sz w:val="12"/>
                <w:szCs w:val="12"/>
                <w:color w:val="auto"/>
                <w:w w:val="96"/>
              </w:rPr>
              <w:t>5.9x</w:t>
            </w:r>
          </w:p>
        </w:tc>
        <w:tc>
          <w:tcPr>
            <w:tcW w:w="0" w:type="dxa"/>
            <w:vAlign w:val="bottom"/>
          </w:tcPr>
          <w:p>
            <w:pPr>
              <w:spacing w:after="0"/>
              <w:rPr>
                <w:sz w:val="1"/>
                <w:szCs w:val="1"/>
                <w:color w:val="auto"/>
              </w:rPr>
            </w:pPr>
          </w:p>
        </w:tc>
      </w:tr>
      <w:tr>
        <w:trPr>
          <w:trHeight w:val="168"/>
        </w:trPr>
        <w:tc>
          <w:tcPr>
            <w:tcW w:w="1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103</w:t>
            </w:r>
          </w:p>
        </w:tc>
        <w:tc>
          <w:tcPr>
            <w:tcW w:w="200" w:type="dxa"/>
            <w:vAlign w:val="bottom"/>
          </w:tcPr>
          <w:p>
            <w:pPr>
              <w:spacing w:after="0"/>
              <w:rPr>
                <w:sz w:val="14"/>
                <w:szCs w:val="14"/>
                <w:color w:val="auto"/>
              </w:rPr>
            </w:pPr>
          </w:p>
        </w:tc>
        <w:tc>
          <w:tcPr>
            <w:tcW w:w="2640" w:type="dxa"/>
            <w:vAlign w:val="bottom"/>
            <w:gridSpan w:val="2"/>
          </w:tcPr>
          <w:p>
            <w:pPr>
              <w:ind w:left="20"/>
              <w:spacing w:after="0" w:line="168" w:lineRule="exact"/>
              <w:rPr>
                <w:sz w:val="20"/>
                <w:szCs w:val="20"/>
                <w:color w:val="auto"/>
              </w:rPr>
            </w:pPr>
            <w:r>
              <w:rPr>
                <w:rFonts w:ascii="Arial" w:cs="Arial" w:eastAsia="Arial" w:hAnsi="Arial"/>
                <w:sz w:val="12"/>
                <w:szCs w:val="12"/>
                <w:color w:val="auto"/>
              </w:rPr>
              <w:t xml:space="preserve">Market approach (comparable companies) </w:t>
            </w:r>
            <w:r>
              <w:rPr>
                <w:rFonts w:ascii="Arial" w:cs="Arial" w:eastAsia="Arial" w:hAnsi="Arial"/>
                <w:sz w:val="15"/>
                <w:szCs w:val="15"/>
                <w:color w:val="auto"/>
                <w:vertAlign w:val="superscript"/>
              </w:rPr>
              <w:t>(7)</w:t>
            </w:r>
          </w:p>
        </w:tc>
        <w:tc>
          <w:tcPr>
            <w:tcW w:w="2640" w:type="dxa"/>
            <w:vAlign w:val="bottom"/>
            <w:gridSpan w:val="2"/>
          </w:tcPr>
          <w:p>
            <w:pPr>
              <w:ind w:left="20"/>
              <w:spacing w:after="0" w:line="168" w:lineRule="exact"/>
              <w:rPr>
                <w:sz w:val="20"/>
                <w:szCs w:val="20"/>
                <w:color w:val="auto"/>
              </w:rPr>
            </w:pPr>
            <w:r>
              <w:rPr>
                <w:rFonts w:ascii="Arial" w:cs="Arial" w:eastAsia="Arial" w:hAnsi="Arial"/>
                <w:sz w:val="12"/>
                <w:szCs w:val="12"/>
                <w:color w:val="auto"/>
              </w:rPr>
              <w:t xml:space="preserve">Revenue multiple </w:t>
            </w:r>
            <w:r>
              <w:rPr>
                <w:rFonts w:ascii="Arial" w:cs="Arial" w:eastAsia="Arial" w:hAnsi="Arial"/>
                <w:sz w:val="15"/>
                <w:szCs w:val="15"/>
                <w:color w:val="auto"/>
                <w:vertAlign w:val="superscript"/>
              </w:rPr>
              <w:t>(8)</w:t>
            </w:r>
          </w:p>
        </w:tc>
        <w:tc>
          <w:tcPr>
            <w:tcW w:w="580" w:type="dxa"/>
            <w:vAlign w:val="bottom"/>
          </w:tcPr>
          <w:p>
            <w:pPr>
              <w:jc w:val="right"/>
              <w:spacing w:after="0"/>
              <w:rPr>
                <w:sz w:val="20"/>
                <w:szCs w:val="20"/>
                <w:color w:val="auto"/>
              </w:rPr>
            </w:pPr>
            <w:r>
              <w:rPr>
                <w:rFonts w:ascii="Arial" w:cs="Arial" w:eastAsia="Arial" w:hAnsi="Arial"/>
                <w:sz w:val="12"/>
                <w:szCs w:val="12"/>
                <w:color w:val="auto"/>
              </w:rPr>
              <w:t>2.1x</w:t>
            </w:r>
          </w:p>
        </w:tc>
        <w:tc>
          <w:tcPr>
            <w:tcW w:w="860" w:type="dxa"/>
            <w:vAlign w:val="bottom"/>
            <w:gridSpan w:val="2"/>
          </w:tcPr>
          <w:p>
            <w:pPr>
              <w:ind w:left="20"/>
              <w:spacing w:after="0"/>
              <w:rPr>
                <w:sz w:val="20"/>
                <w:szCs w:val="20"/>
                <w:color w:val="auto"/>
              </w:rPr>
            </w:pPr>
            <w:r>
              <w:rPr>
                <w:rFonts w:ascii="Arial" w:cs="Arial" w:eastAsia="Arial" w:hAnsi="Arial"/>
                <w:sz w:val="12"/>
                <w:szCs w:val="12"/>
                <w:color w:val="auto"/>
              </w:rPr>
              <w:t>- 2.1x</w:t>
            </w:r>
          </w:p>
        </w:tc>
        <w:tc>
          <w:tcPr>
            <w:tcW w:w="1240" w:type="dxa"/>
            <w:vAlign w:val="bottom"/>
          </w:tcPr>
          <w:p>
            <w:pPr>
              <w:jc w:val="center"/>
              <w:spacing w:after="0"/>
              <w:rPr>
                <w:sz w:val="20"/>
                <w:szCs w:val="20"/>
                <w:color w:val="auto"/>
              </w:rPr>
            </w:pPr>
            <w:r>
              <w:rPr>
                <w:rFonts w:ascii="Arial" w:cs="Arial" w:eastAsia="Arial" w:hAnsi="Arial"/>
                <w:sz w:val="12"/>
                <w:szCs w:val="12"/>
                <w:color w:val="auto"/>
                <w:w w:val="96"/>
              </w:rPr>
              <w:t>2.1x</w:t>
            </w:r>
          </w:p>
        </w:tc>
        <w:tc>
          <w:tcPr>
            <w:tcW w:w="0" w:type="dxa"/>
            <w:vAlign w:val="bottom"/>
          </w:tcPr>
          <w:p>
            <w:pPr>
              <w:spacing w:after="0"/>
              <w:rPr>
                <w:sz w:val="1"/>
                <w:szCs w:val="1"/>
                <w:color w:val="auto"/>
              </w:rPr>
            </w:pPr>
          </w:p>
        </w:tc>
      </w:tr>
      <w:tr>
        <w:trPr>
          <w:trHeight w:val="180"/>
        </w:trPr>
        <w:tc>
          <w:tcPr>
            <w:tcW w:w="1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276</w:t>
            </w:r>
          </w:p>
        </w:tc>
        <w:tc>
          <w:tcPr>
            <w:tcW w:w="200" w:type="dxa"/>
            <w:vAlign w:val="bottom"/>
          </w:tcPr>
          <w:p>
            <w:pPr>
              <w:spacing w:after="0"/>
              <w:rPr>
                <w:sz w:val="15"/>
                <w:szCs w:val="15"/>
                <w:color w:val="auto"/>
              </w:rPr>
            </w:pPr>
          </w:p>
        </w:tc>
        <w:tc>
          <w:tcPr>
            <w:tcW w:w="2640" w:type="dxa"/>
            <w:vAlign w:val="bottom"/>
            <w:gridSpan w:val="2"/>
          </w:tcPr>
          <w:p>
            <w:pPr>
              <w:ind w:left="20"/>
              <w:spacing w:after="0"/>
              <w:rPr>
                <w:sz w:val="20"/>
                <w:szCs w:val="20"/>
                <w:color w:val="auto"/>
              </w:rPr>
            </w:pPr>
            <w:r>
              <w:rPr>
                <w:rFonts w:ascii="Arial" w:cs="Arial" w:eastAsia="Arial" w:hAnsi="Arial"/>
                <w:sz w:val="12"/>
                <w:szCs w:val="12"/>
                <w:color w:val="auto"/>
              </w:rPr>
              <w:t xml:space="preserve">Black Scholes </w:t>
            </w:r>
            <w:r>
              <w:rPr>
                <w:rFonts w:ascii="Arial" w:cs="Arial" w:eastAsia="Arial" w:hAnsi="Arial"/>
                <w:sz w:val="15"/>
                <w:szCs w:val="15"/>
                <w:color w:val="auto"/>
                <w:vertAlign w:val="superscript"/>
              </w:rPr>
              <w:t>(11)</w:t>
            </w:r>
          </w:p>
        </w:tc>
        <w:tc>
          <w:tcPr>
            <w:tcW w:w="2640" w:type="dxa"/>
            <w:vAlign w:val="bottom"/>
            <w:gridSpan w:val="2"/>
          </w:tcPr>
          <w:p>
            <w:pPr>
              <w:ind w:left="20"/>
              <w:spacing w:after="0"/>
              <w:rPr>
                <w:sz w:val="20"/>
                <w:szCs w:val="20"/>
                <w:color w:val="auto"/>
              </w:rPr>
            </w:pPr>
            <w:r>
              <w:rPr>
                <w:rFonts w:ascii="Arial" w:cs="Arial" w:eastAsia="Arial" w:hAnsi="Arial"/>
                <w:sz w:val="12"/>
                <w:szCs w:val="12"/>
                <w:color w:val="auto"/>
              </w:rPr>
              <w:t>Not applicable</w:t>
            </w:r>
          </w:p>
        </w:tc>
        <w:tc>
          <w:tcPr>
            <w:tcW w:w="1440" w:type="dxa"/>
            <w:vAlign w:val="bottom"/>
            <w:gridSpan w:val="3"/>
          </w:tcPr>
          <w:p>
            <w:pPr>
              <w:jc w:val="center"/>
              <w:ind w:right="200"/>
              <w:spacing w:after="0"/>
              <w:rPr>
                <w:sz w:val="20"/>
                <w:szCs w:val="20"/>
                <w:color w:val="auto"/>
              </w:rPr>
            </w:pPr>
            <w:r>
              <w:rPr>
                <w:rFonts w:ascii="Arial" w:cs="Arial" w:eastAsia="Arial" w:hAnsi="Arial"/>
                <w:sz w:val="12"/>
                <w:szCs w:val="12"/>
                <w:color w:val="auto"/>
                <w:w w:val="99"/>
              </w:rPr>
              <w:t>Not applicable</w:t>
            </w:r>
          </w:p>
        </w:tc>
        <w:tc>
          <w:tcPr>
            <w:tcW w:w="1240" w:type="dxa"/>
            <w:vAlign w:val="bottom"/>
          </w:tcPr>
          <w:p>
            <w:pPr>
              <w:jc w:val="center"/>
              <w:spacing w:after="0"/>
              <w:rPr>
                <w:sz w:val="20"/>
                <w:szCs w:val="20"/>
                <w:color w:val="auto"/>
              </w:rPr>
            </w:pPr>
            <w:r>
              <w:rPr>
                <w:rFonts w:ascii="Arial" w:cs="Arial" w:eastAsia="Arial" w:hAnsi="Arial"/>
                <w:sz w:val="12"/>
                <w:szCs w:val="12"/>
                <w:color w:val="auto"/>
                <w:w w:val="99"/>
              </w:rPr>
              <w:t>Not applicable</w:t>
            </w:r>
          </w:p>
        </w:tc>
        <w:tc>
          <w:tcPr>
            <w:tcW w:w="0" w:type="dxa"/>
            <w:vAlign w:val="bottom"/>
          </w:tcPr>
          <w:p>
            <w:pPr>
              <w:spacing w:after="0"/>
              <w:rPr>
                <w:sz w:val="1"/>
                <w:szCs w:val="1"/>
                <w:color w:val="auto"/>
              </w:rPr>
            </w:pPr>
          </w:p>
        </w:tc>
      </w:tr>
      <w:tr>
        <w:trPr>
          <w:trHeight w:val="96"/>
        </w:trPr>
        <w:tc>
          <w:tcPr>
            <w:tcW w:w="2060" w:type="dxa"/>
            <w:vAlign w:val="bottom"/>
            <w:gridSpan w:val="2"/>
          </w:tcPr>
          <w:p>
            <w:pPr>
              <w:ind w:left="20"/>
              <w:spacing w:after="0" w:line="96" w:lineRule="exact"/>
              <w:rPr>
                <w:sz w:val="20"/>
                <w:szCs w:val="20"/>
                <w:color w:val="auto"/>
              </w:rPr>
            </w:pPr>
            <w:r>
              <w:rPr>
                <w:rFonts w:ascii="Arial" w:cs="Arial" w:eastAsia="Arial" w:hAnsi="Arial"/>
                <w:sz w:val="11"/>
                <w:szCs w:val="11"/>
                <w:color w:val="auto"/>
              </w:rPr>
              <w:t>Total Level III</w:t>
            </w:r>
          </w:p>
        </w:tc>
        <w:tc>
          <w:tcPr>
            <w:tcW w:w="160" w:type="dxa"/>
            <w:vAlign w:val="bottom"/>
            <w:vMerge w:val="restart"/>
          </w:tcPr>
          <w:p>
            <w:pPr>
              <w:jc w:val="right"/>
              <w:ind w:right="20"/>
              <w:spacing w:after="0"/>
              <w:rPr>
                <w:sz w:val="20"/>
                <w:szCs w:val="20"/>
                <w:color w:val="auto"/>
              </w:rPr>
            </w:pPr>
            <w:r>
              <w:rPr>
                <w:rFonts w:ascii="Arial" w:cs="Arial" w:eastAsia="Arial" w:hAnsi="Arial"/>
                <w:sz w:val="12"/>
                <w:szCs w:val="12"/>
                <w:color w:val="auto"/>
                <w:w w:val="89"/>
              </w:rPr>
              <w:t>$</w:t>
            </w:r>
          </w:p>
        </w:tc>
        <w:tc>
          <w:tcPr>
            <w:tcW w:w="860" w:type="dxa"/>
            <w:vAlign w:val="bottom"/>
            <w:vMerge w:val="restart"/>
          </w:tcPr>
          <w:p>
            <w:pPr>
              <w:jc w:val="right"/>
              <w:spacing w:after="0"/>
              <w:rPr>
                <w:sz w:val="20"/>
                <w:szCs w:val="20"/>
                <w:color w:val="auto"/>
              </w:rPr>
            </w:pPr>
            <w:r>
              <w:rPr>
                <w:rFonts w:ascii="Arial" w:cs="Arial" w:eastAsia="Arial" w:hAnsi="Arial"/>
                <w:sz w:val="12"/>
                <w:szCs w:val="12"/>
                <w:color w:val="auto"/>
              </w:rPr>
              <w:t>106,331</w:t>
            </w:r>
          </w:p>
        </w:tc>
        <w:tc>
          <w:tcPr>
            <w:tcW w:w="200" w:type="dxa"/>
            <w:vAlign w:val="bottom"/>
          </w:tcPr>
          <w:p>
            <w:pPr>
              <w:spacing w:after="0"/>
              <w:rPr>
                <w:sz w:val="8"/>
                <w:szCs w:val="8"/>
                <w:color w:val="auto"/>
              </w:rPr>
            </w:pPr>
          </w:p>
        </w:tc>
        <w:tc>
          <w:tcPr>
            <w:tcW w:w="2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0"/>
        </w:trPr>
        <w:tc>
          <w:tcPr>
            <w:tcW w:w="2060" w:type="dxa"/>
            <w:vAlign w:val="bottom"/>
            <w:gridSpan w:val="2"/>
          </w:tcPr>
          <w:p>
            <w:pPr>
              <w:ind w:left="120"/>
              <w:spacing w:after="0"/>
              <w:rPr>
                <w:sz w:val="20"/>
                <w:szCs w:val="20"/>
                <w:color w:val="auto"/>
              </w:rPr>
            </w:pPr>
            <w:r>
              <w:rPr>
                <w:rFonts w:ascii="Arial" w:cs="Arial" w:eastAsia="Arial" w:hAnsi="Arial"/>
                <w:sz w:val="12"/>
                <w:szCs w:val="12"/>
                <w:color w:val="auto"/>
              </w:rPr>
              <w:t>investments</w:t>
            </w:r>
          </w:p>
        </w:tc>
        <w:tc>
          <w:tcPr>
            <w:tcW w:w="160" w:type="dxa"/>
            <w:vAlign w:val="bottom"/>
            <w:tcBorders>
              <w:bottom w:val="single" w:sz="8" w:color="auto"/>
            </w:tcBorders>
            <w:vMerge w:val="continue"/>
          </w:tcPr>
          <w:p>
            <w:pPr>
              <w:spacing w:after="0"/>
              <w:rPr>
                <w:sz w:val="13"/>
                <w:szCs w:val="13"/>
                <w:color w:val="auto"/>
              </w:rPr>
            </w:pPr>
          </w:p>
        </w:tc>
        <w:tc>
          <w:tcPr>
            <w:tcW w:w="860" w:type="dxa"/>
            <w:vAlign w:val="bottom"/>
            <w:tcBorders>
              <w:bottom w:val="single" w:sz="8" w:color="auto"/>
            </w:tcBorders>
            <w:vMerge w:val="continue"/>
          </w:tcPr>
          <w:p>
            <w:pPr>
              <w:spacing w:after="0"/>
              <w:rPr>
                <w:sz w:val="13"/>
                <w:szCs w:val="13"/>
                <w:color w:val="auto"/>
              </w:rPr>
            </w:pPr>
          </w:p>
        </w:tc>
        <w:tc>
          <w:tcPr>
            <w:tcW w:w="200" w:type="dxa"/>
            <w:vAlign w:val="bottom"/>
          </w:tcPr>
          <w:p>
            <w:pPr>
              <w:spacing w:after="0"/>
              <w:rPr>
                <w:sz w:val="13"/>
                <w:szCs w:val="13"/>
                <w:color w:val="auto"/>
              </w:rPr>
            </w:pPr>
          </w:p>
        </w:tc>
        <w:tc>
          <w:tcPr>
            <w:tcW w:w="2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7" w:lineRule="exact"/>
        <w:rPr>
          <w:sz w:val="20"/>
          <w:szCs w:val="20"/>
          <w:color w:val="auto"/>
        </w:rPr>
      </w:pPr>
    </w:p>
    <w:p>
      <w:pPr>
        <w:ind w:left="420" w:right="120" w:hanging="378"/>
        <w:spacing w:after="0" w:line="254" w:lineRule="auto"/>
        <w:tabs>
          <w:tab w:leader="none" w:pos="332" w:val="left"/>
        </w:tabs>
        <w:numPr>
          <w:ilvl w:val="0"/>
          <w:numId w:val="66"/>
        </w:numPr>
        <w:rPr>
          <w:rFonts w:ascii="Arial" w:cs="Arial" w:eastAsia="Arial" w:hAnsi="Arial"/>
          <w:sz w:val="13"/>
          <w:szCs w:val="13"/>
          <w:color w:val="auto"/>
        </w:rPr>
      </w:pPr>
      <w:r>
        <w:rPr>
          <w:rFonts w:ascii="Arial" w:cs="Arial" w:eastAsia="Arial" w:hAnsi="Arial"/>
          <w:sz w:val="13"/>
          <w:szCs w:val="13"/>
          <w:color w:val="auto"/>
        </w:rPr>
        <w:t>The discount rate is the significant unobservable input used in the fair-value measurement of performing credit-oriented investments in which the consolidated funds do not have a controlling interest in the underlying issuer, as well as certain equity investments and real estate loan portfolios. An increase (decrease) in the discount rate would result in a lower (higher) fair-value measurement.</w:t>
      </w:r>
    </w:p>
    <w:p>
      <w:pPr>
        <w:spacing w:after="0" w:line="1" w:lineRule="exact"/>
        <w:rPr>
          <w:rFonts w:ascii="Arial" w:cs="Arial" w:eastAsia="Arial" w:hAnsi="Arial"/>
          <w:sz w:val="13"/>
          <w:szCs w:val="13"/>
          <w:color w:val="auto"/>
        </w:rPr>
      </w:pPr>
    </w:p>
    <w:p>
      <w:pPr>
        <w:ind w:left="420" w:right="140" w:hanging="378"/>
        <w:spacing w:after="0" w:line="254" w:lineRule="auto"/>
        <w:tabs>
          <w:tab w:leader="none" w:pos="334" w:val="left"/>
        </w:tabs>
        <w:numPr>
          <w:ilvl w:val="0"/>
          <w:numId w:val="66"/>
        </w:numPr>
        <w:rPr>
          <w:rFonts w:ascii="Arial" w:cs="Arial" w:eastAsia="Arial" w:hAnsi="Arial"/>
          <w:sz w:val="13"/>
          <w:szCs w:val="13"/>
          <w:color w:val="auto"/>
        </w:rPr>
      </w:pPr>
      <w:r>
        <w:rPr>
          <w:rFonts w:ascii="Arial" w:cs="Arial" w:eastAsia="Arial" w:hAnsi="Arial"/>
          <w:sz w:val="13"/>
          <w:szCs w:val="13"/>
          <w:color w:val="auto"/>
        </w:rPr>
        <w:t>Multiple of either earnings or underlying assets is the significant unobservable input used in the market approach for the fair-value measurement of distressed credit-oriented investments, credit-oriented investments in which the consolidated funds have a controlling interest in the underlying issuer, equity investments and certain real estate-oriented investments. An increase (decrease) in the multiple would result in a higher (lower) fair-value measurement.</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25</w:t>
      </w:r>
    </w:p>
    <w:p>
      <w:pPr>
        <w:sectPr>
          <w:pgSz w:w="11900" w:h="16838" w:orient="portrait"/>
          <w:cols w:equalWidth="0" w:num="1">
            <w:col w:w="11240"/>
          </w:cols>
          <w:pgMar w:left="320" w:top="353" w:right="339" w:bottom="1440" w:gutter="0" w:footer="0" w:header="0"/>
        </w:sectPr>
      </w:pPr>
    </w:p>
    <w:bookmarkStart w:id="165" w:name="page166"/>
    <w:bookmarkEnd w:id="165"/>
    <w:p>
      <w:pPr>
        <w:jc w:val="center"/>
        <w:spacing w:after="0"/>
        <w:rPr>
          <w:sz w:val="20"/>
          <w:szCs w:val="20"/>
          <w:color w:val="auto"/>
        </w:rPr>
      </w:pPr>
      <w:r>
        <w:rPr>
          <w:rFonts w:ascii="Arial" w:cs="Arial" w:eastAsia="Arial" w:hAnsi="Arial"/>
          <w:sz w:val="17"/>
          <w:szCs w:val="17"/>
          <w:b w:val="1"/>
          <w:bCs w:val="1"/>
          <w:color w:val="auto"/>
        </w:rPr>
        <w:t>Oaktree Capital I, L.P.</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 (Continued)</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December 31, 2025</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 in thousands, except where noted)</w:t>
      </w:r>
    </w:p>
    <w:p>
      <w:pPr>
        <w:spacing w:after="0" w:line="200" w:lineRule="exact"/>
        <w:rPr>
          <w:sz w:val="20"/>
          <w:szCs w:val="20"/>
          <w:color w:val="auto"/>
        </w:rPr>
      </w:pPr>
    </w:p>
    <w:p>
      <w:pPr>
        <w:spacing w:after="0" w:line="302" w:lineRule="exact"/>
        <w:rPr>
          <w:sz w:val="20"/>
          <w:szCs w:val="20"/>
          <w:color w:val="auto"/>
        </w:rPr>
      </w:pPr>
    </w:p>
    <w:p>
      <w:pPr>
        <w:ind w:left="340" w:hanging="298"/>
        <w:spacing w:after="0"/>
        <w:tabs>
          <w:tab w:leader="none" w:pos="340" w:val="left"/>
        </w:tabs>
        <w:numPr>
          <w:ilvl w:val="0"/>
          <w:numId w:val="67"/>
        </w:numPr>
        <w:rPr>
          <w:rFonts w:ascii="Arial" w:cs="Arial" w:eastAsia="Arial" w:hAnsi="Arial"/>
          <w:sz w:val="13"/>
          <w:szCs w:val="13"/>
          <w:color w:val="auto"/>
        </w:rPr>
      </w:pPr>
      <w:r>
        <w:rPr>
          <w:rFonts w:ascii="Arial" w:cs="Arial" w:eastAsia="Arial" w:hAnsi="Arial"/>
          <w:sz w:val="13"/>
          <w:szCs w:val="13"/>
          <w:color w:val="auto"/>
        </w:rPr>
        <w:t>The weighted average is based on the fair value of the investments included in the range.</w:t>
      </w:r>
    </w:p>
    <w:p>
      <w:pPr>
        <w:spacing w:after="0" w:line="17" w:lineRule="exact"/>
        <w:rPr>
          <w:rFonts w:ascii="Arial" w:cs="Arial" w:eastAsia="Arial" w:hAnsi="Arial"/>
          <w:sz w:val="13"/>
          <w:szCs w:val="13"/>
          <w:color w:val="auto"/>
        </w:rPr>
      </w:pPr>
    </w:p>
    <w:p>
      <w:pPr>
        <w:ind w:left="420" w:right="60" w:hanging="378"/>
        <w:spacing w:after="0" w:line="227" w:lineRule="auto"/>
        <w:tabs>
          <w:tab w:leader="none" w:pos="334" w:val="left"/>
        </w:tabs>
        <w:numPr>
          <w:ilvl w:val="0"/>
          <w:numId w:val="67"/>
        </w:numPr>
        <w:rPr>
          <w:rFonts w:ascii="Arial" w:cs="Arial" w:eastAsia="Arial" w:hAnsi="Arial"/>
          <w:sz w:val="13"/>
          <w:szCs w:val="13"/>
          <w:color w:val="auto"/>
        </w:rPr>
      </w:pPr>
      <w:r>
        <w:rPr>
          <w:rFonts w:ascii="Arial" w:cs="Arial" w:eastAsia="Arial" w:hAnsi="Arial"/>
          <w:sz w:val="13"/>
          <w:szCs w:val="13"/>
          <w:color w:val="auto"/>
        </w:rPr>
        <w:t>Certain investments are valued based on recent transactions, generally defined as investments purchased or sold within six months of the valuation date. The fair value may also be based on a pending transaction expected to close after the valuation date.</w:t>
      </w:r>
    </w:p>
    <w:p>
      <w:pPr>
        <w:jc w:val="right"/>
        <w:ind w:left="420" w:right="180" w:hanging="378"/>
        <w:spacing w:after="0" w:line="257" w:lineRule="auto"/>
        <w:tabs>
          <w:tab w:leader="none" w:pos="334" w:val="left"/>
        </w:tabs>
        <w:numPr>
          <w:ilvl w:val="0"/>
          <w:numId w:val="67"/>
        </w:numPr>
        <w:rPr>
          <w:rFonts w:ascii="Arial" w:cs="Arial" w:eastAsia="Arial" w:hAnsi="Arial"/>
          <w:sz w:val="12"/>
          <w:szCs w:val="12"/>
          <w:color w:val="auto"/>
        </w:rPr>
      </w:pPr>
      <w:r>
        <w:rPr>
          <w:rFonts w:ascii="Arial" w:cs="Arial" w:eastAsia="Arial" w:hAnsi="Arial"/>
          <w:sz w:val="12"/>
          <w:szCs w:val="12"/>
          <w:color w:val="auto"/>
        </w:rPr>
        <w:t>Certain investments are valued using vendor prices or broker quotes for the subject or similar securities. Generally, investments valued in this manner are classified as Level III because the quoted prices may be indicative in nature for securities that are in an inactive market, may be for similar securities, or may require adjustment for investment-specific factors or restrictions.</w:t>
      </w:r>
    </w:p>
    <w:p>
      <w:pPr>
        <w:ind w:left="420" w:right="100" w:hanging="378"/>
        <w:spacing w:after="0" w:line="227" w:lineRule="auto"/>
        <w:tabs>
          <w:tab w:leader="none" w:pos="327" w:val="left"/>
        </w:tabs>
        <w:numPr>
          <w:ilvl w:val="0"/>
          <w:numId w:val="67"/>
        </w:numPr>
        <w:rPr>
          <w:rFonts w:ascii="Arial" w:cs="Arial" w:eastAsia="Arial" w:hAnsi="Arial"/>
          <w:sz w:val="13"/>
          <w:szCs w:val="13"/>
          <w:color w:val="auto"/>
        </w:rPr>
      </w:pPr>
      <w:r>
        <w:rPr>
          <w:rFonts w:ascii="Arial" w:cs="Arial" w:eastAsia="Arial" w:hAnsi="Arial"/>
          <w:sz w:val="13"/>
          <w:szCs w:val="13"/>
          <w:color w:val="auto"/>
        </w:rPr>
        <w:t>A discounted cash-flow method is generally used to value performing credit-oriented investments in which the consolidated funds do not have a controlling interest in the underlying issuer, as well as certain equity investments, real estate-oriented investments and real estate loan portfolios.</w:t>
      </w:r>
    </w:p>
    <w:p>
      <w:pPr>
        <w:ind w:left="340" w:hanging="298"/>
        <w:spacing w:after="0" w:line="227" w:lineRule="auto"/>
        <w:tabs>
          <w:tab w:leader="none" w:pos="340" w:val="left"/>
        </w:tabs>
        <w:numPr>
          <w:ilvl w:val="0"/>
          <w:numId w:val="67"/>
        </w:numPr>
        <w:rPr>
          <w:rFonts w:ascii="Arial" w:cs="Arial" w:eastAsia="Arial" w:hAnsi="Arial"/>
          <w:sz w:val="13"/>
          <w:szCs w:val="13"/>
          <w:color w:val="auto"/>
        </w:rPr>
      </w:pPr>
      <w:r>
        <w:rPr>
          <w:rFonts w:ascii="Arial" w:cs="Arial" w:eastAsia="Arial" w:hAnsi="Arial"/>
          <w:sz w:val="13"/>
          <w:szCs w:val="13"/>
          <w:color w:val="auto"/>
        </w:rPr>
        <w:t>A market approach is generally used to value distressed investments and investments in which the consolidated funds have a controlling interest in the underlying.</w:t>
      </w:r>
    </w:p>
    <w:p>
      <w:pPr>
        <w:ind w:left="420" w:right="180" w:hanging="378"/>
        <w:spacing w:after="0" w:line="238" w:lineRule="auto"/>
        <w:tabs>
          <w:tab w:leader="none" w:pos="334" w:val="left"/>
        </w:tabs>
        <w:numPr>
          <w:ilvl w:val="0"/>
          <w:numId w:val="67"/>
        </w:numPr>
        <w:rPr>
          <w:rFonts w:ascii="Arial" w:cs="Arial" w:eastAsia="Arial" w:hAnsi="Arial"/>
          <w:sz w:val="13"/>
          <w:szCs w:val="13"/>
          <w:color w:val="auto"/>
        </w:rPr>
      </w:pPr>
      <w:r>
        <w:rPr>
          <w:rFonts w:ascii="Arial" w:cs="Arial" w:eastAsia="Arial" w:hAnsi="Arial"/>
          <w:sz w:val="13"/>
          <w:szCs w:val="13"/>
          <w:color w:val="auto"/>
        </w:rPr>
        <w:t>Revenue multiples are based on comparable public companies and transactions with comparable companies. The Company typically applies the multiple to trailing twelve-months’ revenue. However, in certain cases other revenue measures, such as pro forma revenue, may be utilized if deemed to be more relevant.</w:t>
      </w:r>
    </w:p>
    <w:p>
      <w:pPr>
        <w:ind w:left="420" w:hanging="378"/>
        <w:spacing w:after="0" w:line="227" w:lineRule="auto"/>
        <w:tabs>
          <w:tab w:leader="none" w:pos="327" w:val="left"/>
        </w:tabs>
        <w:numPr>
          <w:ilvl w:val="0"/>
          <w:numId w:val="67"/>
        </w:numPr>
        <w:rPr>
          <w:rFonts w:ascii="Arial" w:cs="Arial" w:eastAsia="Arial" w:hAnsi="Arial"/>
          <w:sz w:val="13"/>
          <w:szCs w:val="13"/>
          <w:color w:val="auto"/>
        </w:rPr>
      </w:pPr>
      <w:r>
        <w:rPr>
          <w:rFonts w:ascii="Arial" w:cs="Arial" w:eastAsia="Arial" w:hAnsi="Arial"/>
          <w:sz w:val="13"/>
          <w:szCs w:val="13"/>
          <w:color w:val="auto"/>
        </w:rPr>
        <w:t>A market approach using the value of underlying assets utilizes a multiple, based on comparable companies, of underlying assets or the net book value of the portfolio company. The Company typically obtains the value of underlying assets from the underlying portfolio company’s financial statements or from pricing vendors. The Company may value the underlying assets by using prices and other relevant information from market transactions involving comparable assets.</w:t>
      </w:r>
    </w:p>
    <w:p>
      <w:pPr>
        <w:spacing w:after="0" w:line="1" w:lineRule="exact"/>
        <w:rPr>
          <w:rFonts w:ascii="Arial" w:cs="Arial" w:eastAsia="Arial" w:hAnsi="Arial"/>
          <w:sz w:val="13"/>
          <w:szCs w:val="13"/>
          <w:color w:val="auto"/>
        </w:rPr>
      </w:pPr>
    </w:p>
    <w:p>
      <w:pPr>
        <w:ind w:left="420" w:right="120" w:hanging="378"/>
        <w:spacing w:after="0" w:line="248" w:lineRule="auto"/>
        <w:tabs>
          <w:tab w:leader="none" w:pos="406" w:val="left"/>
        </w:tabs>
        <w:numPr>
          <w:ilvl w:val="0"/>
          <w:numId w:val="67"/>
        </w:numPr>
        <w:rPr>
          <w:rFonts w:ascii="Arial" w:cs="Arial" w:eastAsia="Arial" w:hAnsi="Arial"/>
          <w:sz w:val="13"/>
          <w:szCs w:val="13"/>
          <w:color w:val="auto"/>
        </w:rPr>
      </w:pPr>
      <w:r>
        <w:rPr>
          <w:rFonts w:ascii="Arial" w:cs="Arial" w:eastAsia="Arial" w:hAnsi="Arial"/>
          <w:sz w:val="13"/>
          <w:szCs w:val="13"/>
          <w:color w:val="auto"/>
        </w:rPr>
        <w:t>Earnings multiples are based on comparable public companies and transactions with comparable companies. The Company typically utilizes multiples of EBITDA; however, in certain cases the Company may use other earnings multiples believed to be most relevant to the investment. The Company typically applies the multiple to trailing twelve-months’ EBITDA. However, in certain cases other earnings measures, such as pro forma EBITDA, may be utilized if deemed to be more relevant.</w:t>
      </w:r>
    </w:p>
    <w:p>
      <w:pPr>
        <w:ind w:left="420" w:right="80" w:hanging="378"/>
        <w:spacing w:after="0" w:line="252" w:lineRule="auto"/>
        <w:tabs>
          <w:tab w:leader="none" w:pos="430" w:val="left"/>
        </w:tabs>
        <w:numPr>
          <w:ilvl w:val="0"/>
          <w:numId w:val="67"/>
        </w:numPr>
        <w:rPr>
          <w:rFonts w:ascii="Arial" w:cs="Arial" w:eastAsia="Arial" w:hAnsi="Arial"/>
          <w:sz w:val="13"/>
          <w:szCs w:val="13"/>
          <w:color w:val="auto"/>
        </w:rPr>
      </w:pPr>
      <w:r>
        <w:rPr>
          <w:rFonts w:ascii="Arial" w:cs="Arial" w:eastAsia="Arial" w:hAnsi="Arial"/>
          <w:sz w:val="13"/>
          <w:szCs w:val="13"/>
          <w:color w:val="auto"/>
        </w:rPr>
        <w:t>The fair value of options/warrants is estimated using the Black-Scholes-Merton valuation model. The company uses the following methods to determine the underlying assumptions: expected volatilities are based on the historical and implied volatilities of comparable companies or the subject company if the subject company is publicly traded; expected term is based on the shorter of the expected hold period for the option or the contractual term; and the risk-free rate is based on the yields on U.S. Treasury bills or bonds issued with similar terms to the expected term of the option.</w:t>
      </w:r>
    </w:p>
    <w:p>
      <w:pPr>
        <w:spacing w:after="0" w:line="284" w:lineRule="exact"/>
        <w:rPr>
          <w:sz w:val="20"/>
          <w:szCs w:val="20"/>
          <w:color w:val="auto"/>
        </w:rPr>
      </w:pPr>
    </w:p>
    <w:p>
      <w:pPr>
        <w:ind w:right="260" w:firstLine="619"/>
        <w:spacing w:after="0" w:line="265" w:lineRule="auto"/>
        <w:rPr>
          <w:sz w:val="20"/>
          <w:szCs w:val="20"/>
          <w:color w:val="auto"/>
        </w:rPr>
      </w:pPr>
      <w:r>
        <w:rPr>
          <w:rFonts w:ascii="Arial" w:cs="Arial" w:eastAsia="Arial" w:hAnsi="Arial"/>
          <w:sz w:val="17"/>
          <w:szCs w:val="17"/>
          <w:color w:val="auto"/>
        </w:rPr>
        <w:t>A significant amount of judgment may be required when using unobservable inputs, including assessing the accuracy of source data and the results of pricing models. The Company assesses the accuracy and reliability of the sources it uses to develop unobservable inputs. These sources may include third-party vendors that the Company believes are reliable and commonly utilized by other marketplace participants. As described in note 2, other factors beyond the unobservable inputs described above may have a significant impact on investment valuations.</w:t>
      </w:r>
    </w:p>
    <w:p>
      <w:pPr>
        <w:spacing w:after="0" w:line="116" w:lineRule="exact"/>
        <w:rPr>
          <w:sz w:val="20"/>
          <w:szCs w:val="20"/>
          <w:color w:val="auto"/>
        </w:rPr>
      </w:pPr>
    </w:p>
    <w:p>
      <w:pPr>
        <w:ind w:right="40" w:firstLine="619"/>
        <w:spacing w:after="0" w:line="265" w:lineRule="auto"/>
        <w:rPr>
          <w:sz w:val="20"/>
          <w:szCs w:val="20"/>
          <w:color w:val="auto"/>
        </w:rPr>
      </w:pPr>
      <w:r>
        <w:rPr>
          <w:rFonts w:ascii="Arial" w:cs="Arial" w:eastAsia="Arial" w:hAnsi="Arial"/>
          <w:sz w:val="17"/>
          <w:szCs w:val="17"/>
          <w:color w:val="auto"/>
        </w:rPr>
        <w:t>During the twelve months ended December 31, 2025, the valuation techniques for one equity investment was changed from market approach (comparable companies) to expected recovery. During the six months ended December 31, 2024, the valuation techniques for four credit-oriented investment were changed from market approach (comparable companies) to discounted cash flow, and one equity investment was changed from market approach (comparable companies) to recent market information.</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26</w:t>
      </w:r>
    </w:p>
    <w:p>
      <w:pPr>
        <w:sectPr>
          <w:pgSz w:w="11900" w:h="16838" w:orient="portrait"/>
          <w:cols w:equalWidth="0" w:num="1">
            <w:col w:w="11240"/>
          </w:cols>
          <w:pgMar w:left="320" w:top="353" w:right="339" w:bottom="1440" w:gutter="0" w:footer="0" w:header="0"/>
        </w:sectPr>
      </w:pPr>
    </w:p>
    <w:bookmarkStart w:id="166" w:name="page167"/>
    <w:bookmarkEnd w:id="166"/>
    <w:p>
      <w:pPr>
        <w:jc w:val="center"/>
        <w:spacing w:after="0"/>
        <w:rPr>
          <w:sz w:val="20"/>
          <w:szCs w:val="20"/>
          <w:color w:val="auto"/>
        </w:rPr>
      </w:pPr>
      <w:r>
        <w:rPr>
          <w:rFonts w:ascii="Arial" w:cs="Arial" w:eastAsia="Arial" w:hAnsi="Arial"/>
          <w:sz w:val="17"/>
          <w:szCs w:val="17"/>
          <w:b w:val="1"/>
          <w:bCs w:val="1"/>
          <w:color w:val="auto"/>
        </w:rPr>
        <w:t>Oaktree Capital I, L.P.</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 (Continued)</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December 31, 2025</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 in thousands, except where noted)</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7. DERIVATIVES AND HEDGING</w:t>
      </w:r>
    </w:p>
    <w:p>
      <w:pPr>
        <w:spacing w:after="0" w:line="168"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fair value of freestanding derivatives consisted of the following:</w:t>
      </w:r>
    </w:p>
    <w:p>
      <w:pPr>
        <w:spacing w:after="0" w:line="49" w:lineRule="exact"/>
        <w:rPr>
          <w:sz w:val="20"/>
          <w:szCs w:val="20"/>
          <w:color w:val="auto"/>
        </w:rPr>
      </w:pPr>
    </w:p>
    <w:tbl>
      <w:tblPr>
        <w:tblLayout w:type="fixed"/>
        <w:tblInd w:w="20" w:type="dxa"/>
        <w:tblCellMar>
          <w:top w:w="0" w:type="dxa"/>
          <w:left w:w="0" w:type="dxa"/>
          <w:bottom w:w="0" w:type="dxa"/>
          <w:right w:w="0" w:type="dxa"/>
        </w:tblCellMar>
      </w:tblPr>
      <w:tr>
        <w:trPr>
          <w:trHeight w:val="169"/>
        </w:trPr>
        <w:tc>
          <w:tcPr>
            <w:tcW w:w="162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3"/>
          </w:tcPr>
          <w:p>
            <w:pPr>
              <w:jc w:val="right"/>
              <w:ind w:right="63"/>
              <w:spacing w:after="0"/>
              <w:rPr>
                <w:sz w:val="20"/>
                <w:szCs w:val="20"/>
                <w:color w:val="auto"/>
              </w:rPr>
            </w:pPr>
            <w:r>
              <w:rPr>
                <w:rFonts w:ascii="Arial" w:cs="Arial" w:eastAsia="Arial" w:hAnsi="Arial"/>
                <w:sz w:val="12"/>
                <w:szCs w:val="12"/>
                <w:b w:val="1"/>
                <w:bCs w:val="1"/>
                <w:color w:val="auto"/>
              </w:rPr>
              <w:t>Assets</w:t>
            </w:r>
          </w:p>
        </w:tc>
        <w:tc>
          <w:tcPr>
            <w:tcW w:w="10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3"/>
          </w:tcPr>
          <w:p>
            <w:pPr>
              <w:jc w:val="right"/>
              <w:ind w:right="23"/>
              <w:spacing w:after="0"/>
              <w:rPr>
                <w:sz w:val="20"/>
                <w:szCs w:val="20"/>
                <w:color w:val="auto"/>
              </w:rPr>
            </w:pPr>
            <w:r>
              <w:rPr>
                <w:rFonts w:ascii="Arial" w:cs="Arial" w:eastAsia="Arial" w:hAnsi="Arial"/>
                <w:sz w:val="12"/>
                <w:szCs w:val="12"/>
                <w:b w:val="1"/>
                <w:bCs w:val="1"/>
                <w:color w:val="auto"/>
              </w:rPr>
              <w:t>Liabilities</w:t>
            </w:r>
          </w:p>
        </w:tc>
        <w:tc>
          <w:tcPr>
            <w:tcW w:w="1040" w:type="dxa"/>
            <w:vAlign w:val="bottom"/>
            <w:tcBorders>
              <w:bottom w:val="single" w:sz="8" w:color="auto"/>
            </w:tcBorders>
          </w:tcPr>
          <w:p>
            <w:pPr>
              <w:spacing w:after="0"/>
              <w:rPr>
                <w:sz w:val="14"/>
                <w:szCs w:val="14"/>
                <w:color w:val="auto"/>
              </w:rPr>
            </w:pPr>
          </w:p>
        </w:tc>
      </w:tr>
      <w:tr>
        <w:trPr>
          <w:trHeight w:val="162"/>
        </w:trPr>
        <w:tc>
          <w:tcPr>
            <w:tcW w:w="162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gridSpan w:val="2"/>
          </w:tcPr>
          <w:p>
            <w:pPr>
              <w:ind w:left="160"/>
              <w:spacing w:after="0"/>
              <w:rPr>
                <w:sz w:val="20"/>
                <w:szCs w:val="20"/>
                <w:color w:val="auto"/>
              </w:rPr>
            </w:pPr>
            <w:r>
              <w:rPr>
                <w:rFonts w:ascii="Arial" w:cs="Arial" w:eastAsia="Arial" w:hAnsi="Arial"/>
                <w:sz w:val="12"/>
                <w:szCs w:val="12"/>
                <w:b w:val="1"/>
                <w:bCs w:val="1"/>
                <w:color w:val="auto"/>
              </w:rPr>
              <w:t>Notional</w:t>
            </w:r>
          </w:p>
        </w:tc>
        <w:tc>
          <w:tcPr>
            <w:tcW w:w="240" w:type="dxa"/>
            <w:vAlign w:val="bottom"/>
          </w:tcPr>
          <w:p>
            <w:pPr>
              <w:spacing w:after="0"/>
              <w:rPr>
                <w:sz w:val="14"/>
                <w:szCs w:val="14"/>
                <w:color w:val="auto"/>
              </w:rPr>
            </w:pPr>
          </w:p>
        </w:tc>
        <w:tc>
          <w:tcPr>
            <w:tcW w:w="1080" w:type="dxa"/>
            <w:vAlign w:val="bottom"/>
          </w:tcPr>
          <w:p>
            <w:pPr>
              <w:jc w:val="right"/>
              <w:ind w:right="308"/>
              <w:spacing w:after="0"/>
              <w:rPr>
                <w:sz w:val="20"/>
                <w:szCs w:val="20"/>
                <w:color w:val="auto"/>
              </w:rPr>
            </w:pPr>
            <w:r>
              <w:rPr>
                <w:rFonts w:ascii="Arial" w:cs="Arial" w:eastAsia="Arial" w:hAnsi="Arial"/>
                <w:sz w:val="12"/>
                <w:szCs w:val="12"/>
                <w:b w:val="1"/>
                <w:bCs w:val="1"/>
                <w:color w:val="auto"/>
              </w:rPr>
              <w:t>Fair Value</w:t>
            </w: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gridSpan w:val="2"/>
          </w:tcPr>
          <w:p>
            <w:pPr>
              <w:ind w:left="160"/>
              <w:spacing w:after="0"/>
              <w:rPr>
                <w:sz w:val="20"/>
                <w:szCs w:val="20"/>
                <w:color w:val="auto"/>
              </w:rPr>
            </w:pPr>
            <w:r>
              <w:rPr>
                <w:rFonts w:ascii="Arial" w:cs="Arial" w:eastAsia="Arial" w:hAnsi="Arial"/>
                <w:sz w:val="12"/>
                <w:szCs w:val="12"/>
                <w:b w:val="1"/>
                <w:bCs w:val="1"/>
                <w:color w:val="auto"/>
              </w:rPr>
              <w:t>Notional</w:t>
            </w:r>
          </w:p>
        </w:tc>
        <w:tc>
          <w:tcPr>
            <w:tcW w:w="280" w:type="dxa"/>
            <w:vAlign w:val="bottom"/>
          </w:tcPr>
          <w:p>
            <w:pPr>
              <w:spacing w:after="0"/>
              <w:rPr>
                <w:sz w:val="14"/>
                <w:szCs w:val="14"/>
                <w:color w:val="auto"/>
              </w:rPr>
            </w:pPr>
          </w:p>
        </w:tc>
        <w:tc>
          <w:tcPr>
            <w:tcW w:w="1040" w:type="dxa"/>
            <w:vAlign w:val="bottom"/>
          </w:tcPr>
          <w:p>
            <w:pPr>
              <w:jc w:val="right"/>
              <w:ind w:right="308"/>
              <w:spacing w:after="0"/>
              <w:rPr>
                <w:sz w:val="20"/>
                <w:szCs w:val="20"/>
                <w:color w:val="auto"/>
              </w:rPr>
            </w:pPr>
            <w:r>
              <w:rPr>
                <w:rFonts w:ascii="Arial" w:cs="Arial" w:eastAsia="Arial" w:hAnsi="Arial"/>
                <w:sz w:val="12"/>
                <w:szCs w:val="12"/>
                <w:b w:val="1"/>
                <w:bCs w:val="1"/>
                <w:color w:val="auto"/>
              </w:rPr>
              <w:t>Fair Value</w:t>
            </w:r>
          </w:p>
        </w:tc>
      </w:tr>
      <w:tr>
        <w:trPr>
          <w:trHeight w:val="137"/>
        </w:trPr>
        <w:tc>
          <w:tcPr>
            <w:tcW w:w="1620" w:type="dxa"/>
            <w:vAlign w:val="bottom"/>
            <w:tcBorders>
              <w:bottom w:val="single" w:sz="8" w:color="auto"/>
            </w:tcBorders>
          </w:tcPr>
          <w:p>
            <w:pPr>
              <w:spacing w:after="0" w:line="137" w:lineRule="exact"/>
              <w:rPr>
                <w:sz w:val="20"/>
                <w:szCs w:val="20"/>
                <w:color w:val="auto"/>
              </w:rPr>
            </w:pPr>
            <w:r>
              <w:rPr>
                <w:rFonts w:ascii="Arial" w:cs="Arial" w:eastAsia="Arial" w:hAnsi="Arial"/>
                <w:sz w:val="14"/>
                <w:szCs w:val="14"/>
                <w:b w:val="1"/>
                <w:bCs w:val="1"/>
                <w:color w:val="auto"/>
                <w:w w:val="96"/>
              </w:rPr>
              <w:t>As of December 31, 2025</w:t>
            </w:r>
          </w:p>
        </w:tc>
        <w:tc>
          <w:tcPr>
            <w:tcW w:w="370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spacing w:after="0"/>
              <w:rPr>
                <w:sz w:val="11"/>
                <w:szCs w:val="11"/>
                <w:color w:val="auto"/>
              </w:rPr>
            </w:pPr>
          </w:p>
        </w:tc>
      </w:tr>
      <w:tr>
        <w:trPr>
          <w:trHeight w:val="223"/>
        </w:trPr>
        <w:tc>
          <w:tcPr>
            <w:tcW w:w="5320" w:type="dxa"/>
            <w:vAlign w:val="bottom"/>
            <w:gridSpan w:val="2"/>
          </w:tcPr>
          <w:p>
            <w:pPr>
              <w:spacing w:after="0"/>
              <w:rPr>
                <w:sz w:val="20"/>
                <w:szCs w:val="20"/>
                <w:color w:val="auto"/>
              </w:rPr>
            </w:pPr>
            <w:r>
              <w:rPr>
                <w:rFonts w:ascii="Arial" w:cs="Arial" w:eastAsia="Arial" w:hAnsi="Arial"/>
                <w:sz w:val="15"/>
                <w:szCs w:val="15"/>
                <w:color w:val="auto"/>
              </w:rPr>
              <w:t>Foreign-currency forward contracts</w:t>
            </w:r>
          </w:p>
        </w:tc>
        <w:tc>
          <w:tcPr>
            <w:tcW w:w="260" w:type="dxa"/>
            <w:vAlign w:val="bottom"/>
          </w:tcPr>
          <w:p>
            <w:pPr>
              <w:jc w:val="right"/>
              <w:ind w:right="83"/>
              <w:spacing w:after="0"/>
              <w:rPr>
                <w:sz w:val="20"/>
                <w:szCs w:val="20"/>
                <w:color w:val="auto"/>
              </w:rPr>
            </w:pPr>
            <w:r>
              <w:rPr>
                <w:rFonts w:ascii="Arial" w:cs="Arial" w:eastAsia="Arial" w:hAnsi="Arial"/>
                <w:sz w:val="15"/>
                <w:szCs w:val="15"/>
                <w:color w:val="auto"/>
                <w:w w:val="95"/>
              </w:rPr>
              <w:t>$</w:t>
            </w:r>
          </w:p>
        </w:tc>
        <w:tc>
          <w:tcPr>
            <w:tcW w:w="1060" w:type="dxa"/>
            <w:vAlign w:val="bottom"/>
          </w:tcPr>
          <w:p>
            <w:pPr>
              <w:jc w:val="right"/>
              <w:ind w:right="11"/>
              <w:spacing w:after="0"/>
              <w:rPr>
                <w:sz w:val="20"/>
                <w:szCs w:val="20"/>
                <w:color w:val="auto"/>
              </w:rPr>
            </w:pPr>
            <w:r>
              <w:rPr>
                <w:rFonts w:ascii="Arial" w:cs="Arial" w:eastAsia="Arial" w:hAnsi="Arial"/>
                <w:sz w:val="15"/>
                <w:szCs w:val="15"/>
                <w:color w:val="auto"/>
              </w:rPr>
              <w:t>231,618</w:t>
            </w:r>
          </w:p>
        </w:tc>
        <w:tc>
          <w:tcPr>
            <w:tcW w:w="200" w:type="dxa"/>
            <w:vAlign w:val="bottom"/>
          </w:tcPr>
          <w:p>
            <w:pPr>
              <w:spacing w:after="0"/>
              <w:rPr>
                <w:sz w:val="19"/>
                <w:szCs w:val="19"/>
                <w:color w:val="auto"/>
              </w:rPr>
            </w:pPr>
          </w:p>
        </w:tc>
        <w:tc>
          <w:tcPr>
            <w:tcW w:w="240" w:type="dxa"/>
            <w:vAlign w:val="bottom"/>
          </w:tcPr>
          <w:p>
            <w:pPr>
              <w:jc w:val="right"/>
              <w:ind w:right="63"/>
              <w:spacing w:after="0"/>
              <w:rPr>
                <w:sz w:val="20"/>
                <w:szCs w:val="20"/>
                <w:color w:val="auto"/>
              </w:rPr>
            </w:pPr>
            <w:r>
              <w:rPr>
                <w:rFonts w:ascii="Arial" w:cs="Arial" w:eastAsia="Arial" w:hAnsi="Arial"/>
                <w:sz w:val="15"/>
                <w:szCs w:val="15"/>
                <w:color w:val="auto"/>
                <w:w w:val="95"/>
              </w:rPr>
              <w:t>$</w:t>
            </w:r>
          </w:p>
        </w:tc>
        <w:tc>
          <w:tcPr>
            <w:tcW w:w="1080" w:type="dxa"/>
            <w:vAlign w:val="bottom"/>
          </w:tcPr>
          <w:p>
            <w:pPr>
              <w:jc w:val="right"/>
              <w:ind w:right="8"/>
              <w:spacing w:after="0"/>
              <w:rPr>
                <w:sz w:val="20"/>
                <w:szCs w:val="20"/>
                <w:color w:val="auto"/>
              </w:rPr>
            </w:pPr>
            <w:r>
              <w:rPr>
                <w:rFonts w:ascii="Arial" w:cs="Arial" w:eastAsia="Arial" w:hAnsi="Arial"/>
                <w:sz w:val="15"/>
                <w:szCs w:val="15"/>
                <w:color w:val="auto"/>
              </w:rPr>
              <w:t>3,628</w:t>
            </w:r>
          </w:p>
        </w:tc>
        <w:tc>
          <w:tcPr>
            <w:tcW w:w="200" w:type="dxa"/>
            <w:vAlign w:val="bottom"/>
          </w:tcPr>
          <w:p>
            <w:pPr>
              <w:spacing w:after="0"/>
              <w:rPr>
                <w:sz w:val="19"/>
                <w:szCs w:val="19"/>
                <w:color w:val="auto"/>
              </w:rPr>
            </w:pPr>
          </w:p>
        </w:tc>
        <w:tc>
          <w:tcPr>
            <w:tcW w:w="260" w:type="dxa"/>
            <w:vAlign w:val="bottom"/>
          </w:tcPr>
          <w:p>
            <w:pPr>
              <w:jc w:val="right"/>
              <w:ind w:right="83"/>
              <w:spacing w:after="0"/>
              <w:rPr>
                <w:sz w:val="20"/>
                <w:szCs w:val="20"/>
                <w:color w:val="auto"/>
              </w:rPr>
            </w:pPr>
            <w:r>
              <w:rPr>
                <w:rFonts w:ascii="Arial" w:cs="Arial" w:eastAsia="Arial" w:hAnsi="Arial"/>
                <w:sz w:val="15"/>
                <w:szCs w:val="15"/>
                <w:color w:val="auto"/>
                <w:w w:val="95"/>
              </w:rPr>
              <w:t>$</w:t>
            </w:r>
          </w:p>
        </w:tc>
        <w:tc>
          <w:tcPr>
            <w:tcW w:w="1080" w:type="dxa"/>
            <w:vAlign w:val="bottom"/>
          </w:tcPr>
          <w:p>
            <w:pPr>
              <w:jc w:val="right"/>
              <w:spacing w:after="0"/>
              <w:rPr>
                <w:sz w:val="20"/>
                <w:szCs w:val="20"/>
                <w:color w:val="auto"/>
              </w:rPr>
            </w:pPr>
            <w:r>
              <w:rPr>
                <w:rFonts w:ascii="Arial" w:cs="Arial" w:eastAsia="Arial" w:hAnsi="Arial"/>
                <w:sz w:val="15"/>
                <w:szCs w:val="15"/>
                <w:color w:val="auto"/>
              </w:rPr>
              <w:t>(174,922)</w:t>
            </w:r>
          </w:p>
        </w:tc>
        <w:tc>
          <w:tcPr>
            <w:tcW w:w="200" w:type="dxa"/>
            <w:vAlign w:val="bottom"/>
          </w:tcPr>
          <w:p>
            <w:pPr>
              <w:spacing w:after="0"/>
              <w:rPr>
                <w:sz w:val="19"/>
                <w:szCs w:val="19"/>
                <w:color w:val="auto"/>
              </w:rPr>
            </w:pPr>
          </w:p>
        </w:tc>
        <w:tc>
          <w:tcPr>
            <w:tcW w:w="280" w:type="dxa"/>
            <w:vAlign w:val="bottom"/>
          </w:tcPr>
          <w:p>
            <w:pPr>
              <w:jc w:val="right"/>
              <w:ind w:right="103"/>
              <w:spacing w:after="0"/>
              <w:rPr>
                <w:sz w:val="20"/>
                <w:szCs w:val="20"/>
                <w:color w:val="auto"/>
              </w:rPr>
            </w:pPr>
            <w:r>
              <w:rPr>
                <w:rFonts w:ascii="Arial" w:cs="Arial" w:eastAsia="Arial" w:hAnsi="Arial"/>
                <w:sz w:val="15"/>
                <w:szCs w:val="15"/>
                <w:color w:val="auto"/>
                <w:w w:val="95"/>
              </w:rPr>
              <w:t>$</w:t>
            </w:r>
          </w:p>
        </w:tc>
        <w:tc>
          <w:tcPr>
            <w:tcW w:w="1040" w:type="dxa"/>
            <w:vAlign w:val="bottom"/>
          </w:tcPr>
          <w:p>
            <w:pPr>
              <w:jc w:val="right"/>
              <w:spacing w:after="0"/>
              <w:rPr>
                <w:sz w:val="20"/>
                <w:szCs w:val="20"/>
                <w:color w:val="auto"/>
              </w:rPr>
            </w:pPr>
            <w:r>
              <w:rPr>
                <w:rFonts w:ascii="Arial" w:cs="Arial" w:eastAsia="Arial" w:hAnsi="Arial"/>
                <w:sz w:val="15"/>
                <w:szCs w:val="15"/>
                <w:color w:val="auto"/>
              </w:rPr>
              <w:t>(2,853)</w:t>
            </w:r>
          </w:p>
        </w:tc>
      </w:tr>
      <w:tr>
        <w:trPr>
          <w:trHeight w:val="414"/>
        </w:trPr>
        <w:tc>
          <w:tcPr>
            <w:tcW w:w="16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6"/>
              </w:rPr>
              <w:t>As of December 31, 2024</w:t>
            </w:r>
          </w:p>
        </w:tc>
        <w:tc>
          <w:tcPr>
            <w:tcW w:w="3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23"/>
        </w:trPr>
        <w:tc>
          <w:tcPr>
            <w:tcW w:w="5320" w:type="dxa"/>
            <w:vAlign w:val="bottom"/>
            <w:gridSpan w:val="2"/>
          </w:tcPr>
          <w:p>
            <w:pPr>
              <w:spacing w:after="0"/>
              <w:rPr>
                <w:sz w:val="20"/>
                <w:szCs w:val="20"/>
                <w:color w:val="auto"/>
              </w:rPr>
            </w:pPr>
            <w:r>
              <w:rPr>
                <w:rFonts w:ascii="Arial" w:cs="Arial" w:eastAsia="Arial" w:hAnsi="Arial"/>
                <w:sz w:val="15"/>
                <w:szCs w:val="15"/>
                <w:color w:val="auto"/>
              </w:rPr>
              <w:t>Foreign-currency forward contracts</w:t>
            </w:r>
          </w:p>
        </w:tc>
        <w:tc>
          <w:tcPr>
            <w:tcW w:w="260" w:type="dxa"/>
            <w:vAlign w:val="bottom"/>
          </w:tcPr>
          <w:p>
            <w:pPr>
              <w:jc w:val="right"/>
              <w:ind w:right="83"/>
              <w:spacing w:after="0"/>
              <w:rPr>
                <w:sz w:val="20"/>
                <w:szCs w:val="20"/>
                <w:color w:val="auto"/>
              </w:rPr>
            </w:pPr>
            <w:r>
              <w:rPr>
                <w:rFonts w:ascii="Arial" w:cs="Arial" w:eastAsia="Arial" w:hAnsi="Arial"/>
                <w:sz w:val="15"/>
                <w:szCs w:val="15"/>
                <w:color w:val="auto"/>
                <w:w w:val="95"/>
              </w:rPr>
              <w:t>$</w:t>
            </w:r>
          </w:p>
        </w:tc>
        <w:tc>
          <w:tcPr>
            <w:tcW w:w="1060" w:type="dxa"/>
            <w:vAlign w:val="bottom"/>
          </w:tcPr>
          <w:p>
            <w:pPr>
              <w:jc w:val="right"/>
              <w:ind w:right="11"/>
              <w:spacing w:after="0"/>
              <w:rPr>
                <w:sz w:val="20"/>
                <w:szCs w:val="20"/>
                <w:color w:val="auto"/>
              </w:rPr>
            </w:pPr>
            <w:r>
              <w:rPr>
                <w:rFonts w:ascii="Arial" w:cs="Arial" w:eastAsia="Arial" w:hAnsi="Arial"/>
                <w:sz w:val="15"/>
                <w:szCs w:val="15"/>
                <w:color w:val="auto"/>
              </w:rPr>
              <w:t>200,872</w:t>
            </w:r>
          </w:p>
        </w:tc>
        <w:tc>
          <w:tcPr>
            <w:tcW w:w="200" w:type="dxa"/>
            <w:vAlign w:val="bottom"/>
          </w:tcPr>
          <w:p>
            <w:pPr>
              <w:spacing w:after="0"/>
              <w:rPr>
                <w:sz w:val="19"/>
                <w:szCs w:val="19"/>
                <w:color w:val="auto"/>
              </w:rPr>
            </w:pPr>
          </w:p>
        </w:tc>
        <w:tc>
          <w:tcPr>
            <w:tcW w:w="240" w:type="dxa"/>
            <w:vAlign w:val="bottom"/>
          </w:tcPr>
          <w:p>
            <w:pPr>
              <w:jc w:val="right"/>
              <w:ind w:right="63"/>
              <w:spacing w:after="0"/>
              <w:rPr>
                <w:sz w:val="20"/>
                <w:szCs w:val="20"/>
                <w:color w:val="auto"/>
              </w:rPr>
            </w:pPr>
            <w:r>
              <w:rPr>
                <w:rFonts w:ascii="Arial" w:cs="Arial" w:eastAsia="Arial" w:hAnsi="Arial"/>
                <w:sz w:val="15"/>
                <w:szCs w:val="15"/>
                <w:color w:val="auto"/>
                <w:w w:val="95"/>
              </w:rPr>
              <w:t>$</w:t>
            </w:r>
          </w:p>
        </w:tc>
        <w:tc>
          <w:tcPr>
            <w:tcW w:w="1080" w:type="dxa"/>
            <w:vAlign w:val="bottom"/>
          </w:tcPr>
          <w:p>
            <w:pPr>
              <w:jc w:val="right"/>
              <w:ind w:right="8"/>
              <w:spacing w:after="0"/>
              <w:rPr>
                <w:sz w:val="20"/>
                <w:szCs w:val="20"/>
                <w:color w:val="auto"/>
              </w:rPr>
            </w:pPr>
            <w:r>
              <w:rPr>
                <w:rFonts w:ascii="Arial" w:cs="Arial" w:eastAsia="Arial" w:hAnsi="Arial"/>
                <w:sz w:val="15"/>
                <w:szCs w:val="15"/>
                <w:color w:val="auto"/>
              </w:rPr>
              <w:t>8,935</w:t>
            </w:r>
          </w:p>
        </w:tc>
        <w:tc>
          <w:tcPr>
            <w:tcW w:w="200" w:type="dxa"/>
            <w:vAlign w:val="bottom"/>
          </w:tcPr>
          <w:p>
            <w:pPr>
              <w:spacing w:after="0"/>
              <w:rPr>
                <w:sz w:val="19"/>
                <w:szCs w:val="19"/>
                <w:color w:val="auto"/>
              </w:rPr>
            </w:pPr>
          </w:p>
        </w:tc>
        <w:tc>
          <w:tcPr>
            <w:tcW w:w="260" w:type="dxa"/>
            <w:vAlign w:val="bottom"/>
          </w:tcPr>
          <w:p>
            <w:pPr>
              <w:jc w:val="right"/>
              <w:ind w:right="83"/>
              <w:spacing w:after="0"/>
              <w:rPr>
                <w:sz w:val="20"/>
                <w:szCs w:val="20"/>
                <w:color w:val="auto"/>
              </w:rPr>
            </w:pPr>
            <w:r>
              <w:rPr>
                <w:rFonts w:ascii="Arial" w:cs="Arial" w:eastAsia="Arial" w:hAnsi="Arial"/>
                <w:sz w:val="15"/>
                <w:szCs w:val="15"/>
                <w:color w:val="auto"/>
                <w:w w:val="95"/>
              </w:rPr>
              <w:t>$</w:t>
            </w:r>
          </w:p>
        </w:tc>
        <w:tc>
          <w:tcPr>
            <w:tcW w:w="1080" w:type="dxa"/>
            <w:vAlign w:val="bottom"/>
          </w:tcPr>
          <w:p>
            <w:pPr>
              <w:jc w:val="right"/>
              <w:spacing w:after="0"/>
              <w:rPr>
                <w:sz w:val="20"/>
                <w:szCs w:val="20"/>
                <w:color w:val="auto"/>
              </w:rPr>
            </w:pPr>
            <w:r>
              <w:rPr>
                <w:rFonts w:ascii="Arial" w:cs="Arial" w:eastAsia="Arial" w:hAnsi="Arial"/>
                <w:sz w:val="15"/>
                <w:szCs w:val="15"/>
                <w:color w:val="auto"/>
              </w:rPr>
              <w:t>(217,048)</w:t>
            </w:r>
          </w:p>
        </w:tc>
        <w:tc>
          <w:tcPr>
            <w:tcW w:w="200" w:type="dxa"/>
            <w:vAlign w:val="bottom"/>
          </w:tcPr>
          <w:p>
            <w:pPr>
              <w:spacing w:after="0"/>
              <w:rPr>
                <w:sz w:val="19"/>
                <w:szCs w:val="19"/>
                <w:color w:val="auto"/>
              </w:rPr>
            </w:pPr>
          </w:p>
        </w:tc>
        <w:tc>
          <w:tcPr>
            <w:tcW w:w="280" w:type="dxa"/>
            <w:vAlign w:val="bottom"/>
          </w:tcPr>
          <w:p>
            <w:pPr>
              <w:jc w:val="right"/>
              <w:ind w:right="103"/>
              <w:spacing w:after="0"/>
              <w:rPr>
                <w:sz w:val="20"/>
                <w:szCs w:val="20"/>
                <w:color w:val="auto"/>
              </w:rPr>
            </w:pPr>
            <w:r>
              <w:rPr>
                <w:rFonts w:ascii="Arial" w:cs="Arial" w:eastAsia="Arial" w:hAnsi="Arial"/>
                <w:sz w:val="15"/>
                <w:szCs w:val="15"/>
                <w:color w:val="auto"/>
                <w:w w:val="95"/>
              </w:rPr>
              <w:t>$</w:t>
            </w:r>
          </w:p>
        </w:tc>
        <w:tc>
          <w:tcPr>
            <w:tcW w:w="1040" w:type="dxa"/>
            <w:vAlign w:val="bottom"/>
          </w:tcPr>
          <w:p>
            <w:pPr>
              <w:jc w:val="right"/>
              <w:spacing w:after="0"/>
              <w:rPr>
                <w:sz w:val="20"/>
                <w:szCs w:val="20"/>
                <w:color w:val="auto"/>
              </w:rPr>
            </w:pPr>
            <w:r>
              <w:rPr>
                <w:rFonts w:ascii="Arial" w:cs="Arial" w:eastAsia="Arial" w:hAnsi="Arial"/>
                <w:sz w:val="15"/>
                <w:szCs w:val="15"/>
                <w:color w:val="auto"/>
              </w:rPr>
              <w:t>(9,655)</w:t>
            </w:r>
          </w:p>
        </w:tc>
      </w:tr>
    </w:tbl>
    <w:p>
      <w:pPr>
        <w:spacing w:after="0" w:line="333" w:lineRule="exact"/>
        <w:rPr>
          <w:sz w:val="20"/>
          <w:szCs w:val="20"/>
          <w:color w:val="auto"/>
        </w:rPr>
      </w:pPr>
    </w:p>
    <w:p>
      <w:pPr>
        <w:ind w:right="80" w:firstLine="619"/>
        <w:spacing w:after="0" w:line="276" w:lineRule="auto"/>
        <w:rPr>
          <w:sz w:val="20"/>
          <w:szCs w:val="20"/>
          <w:color w:val="auto"/>
        </w:rPr>
      </w:pPr>
      <w:r>
        <w:rPr>
          <w:rFonts w:ascii="Arial" w:cs="Arial" w:eastAsia="Arial" w:hAnsi="Arial"/>
          <w:sz w:val="17"/>
          <w:szCs w:val="17"/>
          <w:color w:val="auto"/>
        </w:rPr>
        <w:t>Realized and unrealized gains and losses arising from freestanding derivatives were recorded in the consolidated statements of operations as follows:</w:t>
      </w:r>
    </w:p>
    <w:tbl>
      <w:tblPr>
        <w:tblLayout w:type="fixed"/>
        <w:tblInd w:w="20" w:type="dxa"/>
        <w:tblCellMar>
          <w:top w:w="0" w:type="dxa"/>
          <w:left w:w="0" w:type="dxa"/>
          <w:bottom w:w="0" w:type="dxa"/>
          <w:right w:w="0" w:type="dxa"/>
        </w:tblCellMar>
      </w:tblPr>
      <w:tr>
        <w:trPr>
          <w:trHeight w:val="122"/>
        </w:trPr>
        <w:tc>
          <w:tcPr>
            <w:tcW w:w="8360" w:type="dxa"/>
            <w:vAlign w:val="bottom"/>
          </w:tcPr>
          <w:p>
            <w:pPr>
              <w:spacing w:after="0"/>
              <w:rPr>
                <w:sz w:val="10"/>
                <w:szCs w:val="10"/>
                <w:color w:val="auto"/>
              </w:rPr>
            </w:pPr>
          </w:p>
        </w:tc>
        <w:tc>
          <w:tcPr>
            <w:tcW w:w="1540" w:type="dxa"/>
            <w:vAlign w:val="bottom"/>
            <w:gridSpan w:val="3"/>
          </w:tcPr>
          <w:p>
            <w:pPr>
              <w:jc w:val="center"/>
              <w:ind w:right="200"/>
              <w:spacing w:after="0" w:line="122" w:lineRule="exact"/>
              <w:rPr>
                <w:sz w:val="20"/>
                <w:szCs w:val="20"/>
                <w:color w:val="auto"/>
              </w:rPr>
            </w:pPr>
            <w:r>
              <w:rPr>
                <w:rFonts w:ascii="Arial" w:cs="Arial" w:eastAsia="Arial" w:hAnsi="Arial"/>
                <w:sz w:val="12"/>
                <w:szCs w:val="12"/>
                <w:b w:val="1"/>
                <w:bCs w:val="1"/>
                <w:color w:val="auto"/>
              </w:rPr>
              <w:t>Twelve months ended</w:t>
            </w:r>
          </w:p>
        </w:tc>
        <w:tc>
          <w:tcPr>
            <w:tcW w:w="100" w:type="dxa"/>
            <w:vAlign w:val="bottom"/>
          </w:tcPr>
          <w:p>
            <w:pPr>
              <w:spacing w:after="0"/>
              <w:rPr>
                <w:sz w:val="10"/>
                <w:szCs w:val="10"/>
                <w:color w:val="auto"/>
              </w:rPr>
            </w:pPr>
          </w:p>
        </w:tc>
        <w:tc>
          <w:tcPr>
            <w:tcW w:w="1220" w:type="dxa"/>
            <w:vAlign w:val="bottom"/>
          </w:tcPr>
          <w:p>
            <w:pPr>
              <w:jc w:val="right"/>
              <w:ind w:right="70"/>
              <w:spacing w:after="0" w:line="122" w:lineRule="exact"/>
              <w:rPr>
                <w:sz w:val="20"/>
                <w:szCs w:val="20"/>
                <w:color w:val="auto"/>
              </w:rPr>
            </w:pPr>
            <w:r>
              <w:rPr>
                <w:rFonts w:ascii="Arial" w:cs="Arial" w:eastAsia="Arial" w:hAnsi="Arial"/>
                <w:sz w:val="12"/>
                <w:szCs w:val="12"/>
                <w:b w:val="1"/>
                <w:bCs w:val="1"/>
                <w:color w:val="auto"/>
              </w:rPr>
              <w:t>Six months ended</w:t>
            </w:r>
          </w:p>
        </w:tc>
        <w:tc>
          <w:tcPr>
            <w:tcW w:w="0" w:type="dxa"/>
            <w:vAlign w:val="bottom"/>
          </w:tcPr>
          <w:p>
            <w:pPr>
              <w:spacing w:after="0"/>
              <w:rPr>
                <w:sz w:val="1"/>
                <w:szCs w:val="1"/>
                <w:color w:val="auto"/>
              </w:rPr>
            </w:pPr>
          </w:p>
        </w:tc>
      </w:tr>
      <w:tr>
        <w:trPr>
          <w:trHeight w:val="173"/>
        </w:trPr>
        <w:tc>
          <w:tcPr>
            <w:tcW w:w="8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20" w:type="dxa"/>
            <w:vAlign w:val="bottom"/>
            <w:gridSpan w:val="2"/>
          </w:tcPr>
          <w:p>
            <w:pPr>
              <w:jc w:val="center"/>
              <w:ind w:right="340"/>
              <w:spacing w:after="0"/>
              <w:rPr>
                <w:sz w:val="20"/>
                <w:szCs w:val="20"/>
                <w:color w:val="auto"/>
              </w:rPr>
            </w:pPr>
            <w:r>
              <w:rPr>
                <w:rFonts w:ascii="Arial" w:cs="Arial" w:eastAsia="Arial" w:hAnsi="Arial"/>
                <w:sz w:val="12"/>
                <w:szCs w:val="12"/>
                <w:b w:val="1"/>
                <w:bCs w:val="1"/>
                <w:color w:val="auto"/>
                <w:w w:val="99"/>
              </w:rPr>
              <w:t>December 31, 2025</w:t>
            </w:r>
          </w:p>
        </w:tc>
        <w:tc>
          <w:tcPr>
            <w:tcW w:w="100" w:type="dxa"/>
            <w:vAlign w:val="bottom"/>
          </w:tcPr>
          <w:p>
            <w:pPr>
              <w:spacing w:after="0"/>
              <w:rPr>
                <w:sz w:val="15"/>
                <w:szCs w:val="15"/>
                <w:color w:val="auto"/>
              </w:rPr>
            </w:pPr>
          </w:p>
        </w:tc>
        <w:tc>
          <w:tcPr>
            <w:tcW w:w="1220" w:type="dxa"/>
            <w:vAlign w:val="bottom"/>
          </w:tcPr>
          <w:p>
            <w:pPr>
              <w:jc w:val="right"/>
              <w:ind w:right="50"/>
              <w:spacing w:after="0"/>
              <w:rPr>
                <w:sz w:val="20"/>
                <w:szCs w:val="20"/>
                <w:color w:val="auto"/>
              </w:rPr>
            </w:pPr>
            <w:r>
              <w:rPr>
                <w:rFonts w:ascii="Arial" w:cs="Arial" w:eastAsia="Arial" w:hAnsi="Arial"/>
                <w:sz w:val="12"/>
                <w:szCs w:val="12"/>
                <w:b w:val="1"/>
                <w:bCs w:val="1"/>
                <w:color w:val="auto"/>
                <w:w w:val="99"/>
              </w:rPr>
              <w:t>December 31, 2024</w:t>
            </w:r>
          </w:p>
        </w:tc>
        <w:tc>
          <w:tcPr>
            <w:tcW w:w="0" w:type="dxa"/>
            <w:vAlign w:val="bottom"/>
          </w:tcPr>
          <w:p>
            <w:pPr>
              <w:spacing w:after="0"/>
              <w:rPr>
                <w:sz w:val="1"/>
                <w:szCs w:val="1"/>
                <w:color w:val="auto"/>
              </w:rPr>
            </w:pPr>
          </w:p>
        </w:tc>
      </w:tr>
      <w:tr>
        <w:trPr>
          <w:trHeight w:val="372"/>
        </w:trPr>
        <w:tc>
          <w:tcPr>
            <w:tcW w:w="8360" w:type="dxa"/>
            <w:vAlign w:val="bottom"/>
          </w:tcPr>
          <w:p>
            <w:pPr>
              <w:spacing w:after="0"/>
              <w:rPr>
                <w:sz w:val="20"/>
                <w:szCs w:val="20"/>
                <w:color w:val="auto"/>
              </w:rPr>
            </w:pPr>
            <w:r>
              <w:rPr>
                <w:rFonts w:ascii="Arial" w:cs="Arial" w:eastAsia="Arial" w:hAnsi="Arial"/>
                <w:sz w:val="15"/>
                <w:szCs w:val="15"/>
                <w:color w:val="auto"/>
              </w:rPr>
              <w:t>Investment income</w:t>
            </w: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5"/>
                <w:szCs w:val="15"/>
                <w:color w:val="auto"/>
                <w:w w:val="95"/>
              </w:rPr>
              <w:t>$</w:t>
            </w:r>
          </w:p>
        </w:tc>
        <w:tc>
          <w:tcPr>
            <w:tcW w:w="1220" w:type="dxa"/>
            <w:vAlign w:val="bottom"/>
            <w:tcBorders>
              <w:top w:val="single" w:sz="8" w:color="auto"/>
            </w:tcBorders>
            <w:vMerge w:val="restart"/>
          </w:tcPr>
          <w:p>
            <w:pPr>
              <w:jc w:val="right"/>
              <w:spacing w:after="0"/>
              <w:rPr>
                <w:sz w:val="20"/>
                <w:szCs w:val="20"/>
                <w:color w:val="auto"/>
              </w:rPr>
            </w:pPr>
            <w:r>
              <w:rPr>
                <w:rFonts w:ascii="Arial" w:cs="Arial" w:eastAsia="Arial" w:hAnsi="Arial"/>
                <w:sz w:val="15"/>
                <w:szCs w:val="15"/>
                <w:color w:val="auto"/>
              </w:rPr>
              <w:t>(17,959)</w:t>
            </w:r>
          </w:p>
        </w:tc>
        <w:tc>
          <w:tcPr>
            <w:tcW w:w="200" w:type="dxa"/>
            <w:vAlign w:val="bottom"/>
          </w:tcPr>
          <w:p>
            <w:pPr>
              <w:spacing w:after="0"/>
              <w:rPr>
                <w:sz w:val="24"/>
                <w:szCs w:val="24"/>
                <w:color w:val="auto"/>
              </w:rPr>
            </w:pPr>
          </w:p>
        </w:tc>
        <w:tc>
          <w:tcPr>
            <w:tcW w:w="100" w:type="dxa"/>
            <w:vAlign w:val="bottom"/>
            <w:tcBorders>
              <w:top w:val="single" w:sz="8" w:color="auto"/>
            </w:tcBorders>
            <w:vMerge w:val="restart"/>
          </w:tcPr>
          <w:p>
            <w:pPr>
              <w:jc w:val="right"/>
              <w:spacing w:after="0"/>
              <w:rPr>
                <w:sz w:val="20"/>
                <w:szCs w:val="20"/>
                <w:color w:val="auto"/>
              </w:rPr>
            </w:pPr>
            <w:r>
              <w:rPr>
                <w:rFonts w:ascii="Arial" w:cs="Arial" w:eastAsia="Arial" w:hAnsi="Arial"/>
                <w:sz w:val="15"/>
                <w:szCs w:val="15"/>
                <w:color w:val="auto"/>
                <w:w w:val="95"/>
              </w:rPr>
              <w:t>$</w:t>
            </w:r>
          </w:p>
        </w:tc>
        <w:tc>
          <w:tcPr>
            <w:tcW w:w="1220" w:type="dxa"/>
            <w:vAlign w:val="bottom"/>
            <w:tcBorders>
              <w:top w:val="single" w:sz="8" w:color="auto"/>
            </w:tcBorders>
            <w:vMerge w:val="restart"/>
          </w:tcPr>
          <w:p>
            <w:pPr>
              <w:jc w:val="right"/>
              <w:spacing w:after="0"/>
              <w:rPr>
                <w:sz w:val="20"/>
                <w:szCs w:val="20"/>
                <w:color w:val="auto"/>
              </w:rPr>
            </w:pPr>
            <w:r>
              <w:rPr>
                <w:rFonts w:ascii="Arial" w:cs="Arial" w:eastAsia="Arial" w:hAnsi="Arial"/>
                <w:sz w:val="15"/>
                <w:szCs w:val="15"/>
                <w:color w:val="auto"/>
              </w:rPr>
              <w:t>8,201</w:t>
            </w:r>
          </w:p>
        </w:tc>
        <w:tc>
          <w:tcPr>
            <w:tcW w:w="0" w:type="dxa"/>
            <w:vAlign w:val="bottom"/>
          </w:tcPr>
          <w:p>
            <w:pPr>
              <w:spacing w:after="0"/>
              <w:rPr>
                <w:sz w:val="1"/>
                <w:szCs w:val="1"/>
                <w:color w:val="auto"/>
              </w:rPr>
            </w:pPr>
          </w:p>
        </w:tc>
      </w:tr>
      <w:tr>
        <w:trPr>
          <w:trHeight w:val="90"/>
        </w:trPr>
        <w:tc>
          <w:tcPr>
            <w:tcW w:w="8360" w:type="dxa"/>
            <w:vAlign w:val="bottom"/>
          </w:tcPr>
          <w:p>
            <w:pPr>
              <w:spacing w:after="0"/>
              <w:rPr>
                <w:sz w:val="7"/>
                <w:szCs w:val="7"/>
                <w:color w:val="auto"/>
              </w:rPr>
            </w:pPr>
          </w:p>
        </w:tc>
        <w:tc>
          <w:tcPr>
            <w:tcW w:w="120" w:type="dxa"/>
            <w:vAlign w:val="bottom"/>
            <w:vMerge w:val="continue"/>
          </w:tcPr>
          <w:p>
            <w:pPr>
              <w:spacing w:after="0"/>
              <w:rPr>
                <w:sz w:val="7"/>
                <w:szCs w:val="7"/>
                <w:color w:val="auto"/>
              </w:rPr>
            </w:pPr>
          </w:p>
        </w:tc>
        <w:tc>
          <w:tcPr>
            <w:tcW w:w="122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vMerge w:val="continue"/>
          </w:tcPr>
          <w:p>
            <w:pPr>
              <w:spacing w:after="0"/>
              <w:rPr>
                <w:sz w:val="7"/>
                <w:szCs w:val="7"/>
                <w:color w:val="auto"/>
              </w:rPr>
            </w:pPr>
          </w:p>
        </w:tc>
        <w:tc>
          <w:tcPr>
            <w:tcW w:w="12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24"/>
        </w:trPr>
        <w:tc>
          <w:tcPr>
            <w:tcW w:w="8360" w:type="dxa"/>
            <w:vAlign w:val="bottom"/>
          </w:tcPr>
          <w:p>
            <w:pPr>
              <w:spacing w:after="0"/>
              <w:rPr>
                <w:sz w:val="20"/>
                <w:szCs w:val="20"/>
                <w:color w:val="auto"/>
              </w:rPr>
            </w:pPr>
            <w:r>
              <w:rPr>
                <w:rFonts w:ascii="Arial" w:cs="Arial" w:eastAsia="Arial" w:hAnsi="Arial"/>
                <w:sz w:val="15"/>
                <w:szCs w:val="15"/>
                <w:color w:val="auto"/>
              </w:rPr>
              <w:t xml:space="preserve">General and administrative expense </w:t>
            </w:r>
            <w:r>
              <w:rPr>
                <w:rFonts w:ascii="Arial" w:cs="Arial" w:eastAsia="Arial" w:hAnsi="Arial"/>
                <w:sz w:val="20"/>
                <w:szCs w:val="20"/>
                <w:color w:val="auto"/>
                <w:vertAlign w:val="superscript"/>
              </w:rPr>
              <w:t>(1)</w:t>
            </w:r>
          </w:p>
        </w:tc>
        <w:tc>
          <w:tcPr>
            <w:tcW w:w="120" w:type="dxa"/>
            <w:vAlign w:val="bottom"/>
          </w:tcPr>
          <w:p>
            <w:pPr>
              <w:spacing w:after="0"/>
              <w:rPr>
                <w:sz w:val="24"/>
                <w:szCs w:val="24"/>
                <w:color w:val="auto"/>
              </w:rPr>
            </w:pPr>
          </w:p>
        </w:tc>
        <w:tc>
          <w:tcPr>
            <w:tcW w:w="1220" w:type="dxa"/>
            <w:vAlign w:val="bottom"/>
            <w:vMerge w:val="restart"/>
          </w:tcPr>
          <w:p>
            <w:pPr>
              <w:jc w:val="right"/>
              <w:ind w:right="7"/>
              <w:spacing w:after="0"/>
              <w:rPr>
                <w:sz w:val="20"/>
                <w:szCs w:val="20"/>
                <w:color w:val="auto"/>
              </w:rPr>
            </w:pPr>
            <w:r>
              <w:rPr>
                <w:rFonts w:ascii="Arial" w:cs="Arial" w:eastAsia="Arial" w:hAnsi="Arial"/>
                <w:sz w:val="15"/>
                <w:szCs w:val="15"/>
                <w:color w:val="auto"/>
              </w:rPr>
              <w:t>23,082</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vMerge w:val="restart"/>
          </w:tcPr>
          <w:p>
            <w:pPr>
              <w:jc w:val="right"/>
              <w:spacing w:after="0"/>
              <w:rPr>
                <w:sz w:val="20"/>
                <w:szCs w:val="20"/>
                <w:color w:val="auto"/>
              </w:rPr>
            </w:pPr>
            <w:r>
              <w:rPr>
                <w:rFonts w:ascii="Arial" w:cs="Arial" w:eastAsia="Arial" w:hAnsi="Arial"/>
                <w:sz w:val="15"/>
                <w:szCs w:val="15"/>
                <w:color w:val="auto"/>
              </w:rPr>
              <w:t>(9,147)</w:t>
            </w:r>
          </w:p>
        </w:tc>
        <w:tc>
          <w:tcPr>
            <w:tcW w:w="0" w:type="dxa"/>
            <w:vAlign w:val="bottom"/>
          </w:tcPr>
          <w:p>
            <w:pPr>
              <w:spacing w:after="0"/>
              <w:rPr>
                <w:sz w:val="1"/>
                <w:szCs w:val="1"/>
                <w:color w:val="auto"/>
              </w:rPr>
            </w:pPr>
          </w:p>
        </w:tc>
      </w:tr>
      <w:tr>
        <w:trPr>
          <w:trHeight w:val="50"/>
        </w:trPr>
        <w:tc>
          <w:tcPr>
            <w:tcW w:w="836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vMerge w:val="continue"/>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8360" w:type="dxa"/>
            <w:vAlign w:val="bottom"/>
          </w:tcPr>
          <w:p>
            <w:pPr>
              <w:ind w:left="300"/>
              <w:spacing w:after="0"/>
              <w:rPr>
                <w:sz w:val="20"/>
                <w:szCs w:val="20"/>
                <w:color w:val="auto"/>
              </w:rPr>
            </w:pPr>
            <w:r>
              <w:rPr>
                <w:rFonts w:ascii="Arial" w:cs="Arial" w:eastAsia="Arial" w:hAnsi="Arial"/>
                <w:sz w:val="15"/>
                <w:szCs w:val="15"/>
                <w:color w:val="auto"/>
              </w:rPr>
              <w:t>Total gain (loss)</w:t>
            </w:r>
          </w:p>
        </w:tc>
        <w:tc>
          <w:tcPr>
            <w:tcW w:w="120" w:type="dxa"/>
            <w:vAlign w:val="bottom"/>
            <w:vMerge w:val="restart"/>
          </w:tcPr>
          <w:p>
            <w:pPr>
              <w:jc w:val="right"/>
              <w:spacing w:after="0"/>
              <w:rPr>
                <w:sz w:val="20"/>
                <w:szCs w:val="20"/>
                <w:color w:val="auto"/>
              </w:rPr>
            </w:pPr>
            <w:r>
              <w:rPr>
                <w:rFonts w:ascii="Arial" w:cs="Arial" w:eastAsia="Arial" w:hAnsi="Arial"/>
                <w:sz w:val="15"/>
                <w:szCs w:val="15"/>
                <w:color w:val="auto"/>
                <w:w w:val="95"/>
              </w:rPr>
              <w:t>$</w:t>
            </w:r>
          </w:p>
        </w:tc>
        <w:tc>
          <w:tcPr>
            <w:tcW w:w="1220" w:type="dxa"/>
            <w:vAlign w:val="bottom"/>
            <w:vMerge w:val="restart"/>
          </w:tcPr>
          <w:p>
            <w:pPr>
              <w:jc w:val="right"/>
              <w:ind w:right="7"/>
              <w:spacing w:after="0"/>
              <w:rPr>
                <w:sz w:val="20"/>
                <w:szCs w:val="20"/>
                <w:color w:val="auto"/>
              </w:rPr>
            </w:pPr>
            <w:r>
              <w:rPr>
                <w:rFonts w:ascii="Arial" w:cs="Arial" w:eastAsia="Arial" w:hAnsi="Arial"/>
                <w:sz w:val="15"/>
                <w:szCs w:val="15"/>
                <w:color w:val="auto"/>
              </w:rPr>
              <w:t>5,123</w:t>
            </w:r>
          </w:p>
        </w:tc>
        <w:tc>
          <w:tcPr>
            <w:tcW w:w="200" w:type="dxa"/>
            <w:vAlign w:val="bottom"/>
          </w:tcPr>
          <w:p>
            <w:pPr>
              <w:spacing w:after="0"/>
              <w:rPr>
                <w:sz w:val="22"/>
                <w:szCs w:val="22"/>
                <w:color w:val="auto"/>
              </w:rPr>
            </w:pPr>
          </w:p>
        </w:tc>
        <w:tc>
          <w:tcPr>
            <w:tcW w:w="100" w:type="dxa"/>
            <w:vAlign w:val="bottom"/>
            <w:vMerge w:val="restart"/>
          </w:tcPr>
          <w:p>
            <w:pPr>
              <w:jc w:val="right"/>
              <w:spacing w:after="0"/>
              <w:rPr>
                <w:sz w:val="20"/>
                <w:szCs w:val="20"/>
                <w:color w:val="auto"/>
              </w:rPr>
            </w:pPr>
            <w:r>
              <w:rPr>
                <w:rFonts w:ascii="Arial" w:cs="Arial" w:eastAsia="Arial" w:hAnsi="Arial"/>
                <w:sz w:val="15"/>
                <w:szCs w:val="15"/>
                <w:color w:val="auto"/>
                <w:w w:val="95"/>
              </w:rPr>
              <w:t>$</w:t>
            </w:r>
          </w:p>
        </w:tc>
        <w:tc>
          <w:tcPr>
            <w:tcW w:w="1220" w:type="dxa"/>
            <w:vAlign w:val="bottom"/>
            <w:vMerge w:val="restart"/>
          </w:tcPr>
          <w:p>
            <w:pPr>
              <w:jc w:val="right"/>
              <w:spacing w:after="0"/>
              <w:rPr>
                <w:sz w:val="20"/>
                <w:szCs w:val="20"/>
                <w:color w:val="auto"/>
              </w:rPr>
            </w:pPr>
            <w:r>
              <w:rPr>
                <w:rFonts w:ascii="Arial" w:cs="Arial" w:eastAsia="Arial" w:hAnsi="Arial"/>
                <w:sz w:val="15"/>
                <w:szCs w:val="15"/>
                <w:color w:val="auto"/>
              </w:rPr>
              <w:t>(946)</w:t>
            </w:r>
          </w:p>
        </w:tc>
        <w:tc>
          <w:tcPr>
            <w:tcW w:w="0" w:type="dxa"/>
            <w:vAlign w:val="bottom"/>
          </w:tcPr>
          <w:p>
            <w:pPr>
              <w:spacing w:after="0"/>
              <w:rPr>
                <w:sz w:val="1"/>
                <w:szCs w:val="1"/>
                <w:color w:val="auto"/>
              </w:rPr>
            </w:pPr>
          </w:p>
        </w:tc>
      </w:tr>
      <w:tr>
        <w:trPr>
          <w:trHeight w:val="70"/>
        </w:trPr>
        <w:tc>
          <w:tcPr>
            <w:tcW w:w="8360" w:type="dxa"/>
            <w:vAlign w:val="bottom"/>
          </w:tcPr>
          <w:p>
            <w:pPr>
              <w:spacing w:after="0"/>
              <w:rPr>
                <w:sz w:val="5"/>
                <w:szCs w:val="5"/>
                <w:color w:val="auto"/>
              </w:rPr>
            </w:pPr>
          </w:p>
        </w:tc>
        <w:tc>
          <w:tcPr>
            <w:tcW w:w="120" w:type="dxa"/>
            <w:vAlign w:val="bottom"/>
            <w:tcBorders>
              <w:bottom w:val="single" w:sz="8" w:color="auto"/>
            </w:tcBorders>
            <w:vMerge w:val="continue"/>
          </w:tcPr>
          <w:p>
            <w:pPr>
              <w:spacing w:after="0"/>
              <w:rPr>
                <w:sz w:val="5"/>
                <w:szCs w:val="5"/>
                <w:color w:val="auto"/>
              </w:rPr>
            </w:pPr>
          </w:p>
        </w:tc>
        <w:tc>
          <w:tcPr>
            <w:tcW w:w="1220" w:type="dxa"/>
            <w:vAlign w:val="bottom"/>
            <w:tcBorders>
              <w:bottom w:val="single" w:sz="8" w:color="auto"/>
            </w:tcBorders>
            <w:vMerge w:val="continue"/>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Borders>
              <w:bottom w:val="single" w:sz="8" w:color="auto"/>
            </w:tcBorders>
            <w:vMerge w:val="continue"/>
          </w:tcPr>
          <w:p>
            <w:pPr>
              <w:spacing w:after="0"/>
              <w:rPr>
                <w:sz w:val="5"/>
                <w:szCs w:val="5"/>
                <w:color w:val="auto"/>
              </w:rPr>
            </w:pPr>
          </w:p>
        </w:tc>
        <w:tc>
          <w:tcPr>
            <w:tcW w:w="122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8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7" w:lineRule="exact"/>
        <w:rPr>
          <w:sz w:val="20"/>
          <w:szCs w:val="20"/>
          <w:color w:val="auto"/>
        </w:rPr>
      </w:pPr>
    </w:p>
    <w:p>
      <w:pPr>
        <w:ind w:left="420" w:right="140" w:hanging="378"/>
        <w:spacing w:after="0" w:line="282" w:lineRule="auto"/>
        <w:tabs>
          <w:tab w:leader="none" w:pos="391" w:val="left"/>
        </w:tabs>
        <w:numPr>
          <w:ilvl w:val="0"/>
          <w:numId w:val="68"/>
        </w:numPr>
        <w:rPr>
          <w:rFonts w:ascii="Arial" w:cs="Arial" w:eastAsia="Arial" w:hAnsi="Arial"/>
          <w:sz w:val="15"/>
          <w:szCs w:val="15"/>
          <w:color w:val="auto"/>
        </w:rPr>
      </w:pPr>
      <w:r>
        <w:rPr>
          <w:rFonts w:ascii="Arial" w:cs="Arial" w:eastAsia="Arial" w:hAnsi="Arial"/>
          <w:sz w:val="15"/>
          <w:szCs w:val="15"/>
          <w:color w:val="auto"/>
        </w:rPr>
        <w:t>To the extent that the Company’s freestanding derivatives are utilized to hedge its foreign-currency exposure to investment income earned from consolidated funds, the related hedged items are eliminated in consolidation, with the derivative impact (a positive number reflects a reduction in expenses) reflected in consolidated general and administrative expense.</w:t>
      </w:r>
    </w:p>
    <w:p>
      <w:pPr>
        <w:spacing w:after="0" w:line="96"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There were no derivatives outstanding that were designated as hedging instruments for accounting purposes as of December 31, 2025 and</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color w:val="auto"/>
        </w:rPr>
        <w:t>2024.</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Derivatives Held By Consolidated Funds</w:t>
      </w:r>
    </w:p>
    <w:p>
      <w:pPr>
        <w:spacing w:after="0" w:line="167" w:lineRule="exact"/>
        <w:rPr>
          <w:sz w:val="20"/>
          <w:szCs w:val="20"/>
          <w:color w:val="auto"/>
        </w:rPr>
      </w:pPr>
    </w:p>
    <w:p>
      <w:pPr>
        <w:ind w:right="80" w:firstLine="619"/>
        <w:spacing w:after="0" w:line="262" w:lineRule="auto"/>
        <w:rPr>
          <w:sz w:val="20"/>
          <w:szCs w:val="20"/>
          <w:color w:val="auto"/>
        </w:rPr>
      </w:pPr>
      <w:r>
        <w:rPr>
          <w:rFonts w:ascii="Arial" w:cs="Arial" w:eastAsia="Arial" w:hAnsi="Arial"/>
          <w:sz w:val="17"/>
          <w:szCs w:val="17"/>
          <w:color w:val="auto"/>
        </w:rPr>
        <w:t>Certain consolidated funds utilize derivatives in their ongoing investment operations. These derivatives primarily consist of foreign-currency forward contracts and options utilized to manage currency risk, interest-rate swaps to hedge interest-rate risk, options and futures used to hedge certain exposures for specific securities, and total-return swaps utilized mainly to obtain exposure to leveraged loans or to participate in foreign markets not readily accessible. The primary risk exposure for options and futures is price, while the primary risk exposure for total-return swaps is credit. None of the derivative instruments are accounted for as a hedging instrument utilizing hedge accounting.</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27</w:t>
      </w:r>
    </w:p>
    <w:p>
      <w:pPr>
        <w:sectPr>
          <w:pgSz w:w="11900" w:h="16838" w:orient="portrait"/>
          <w:cols w:equalWidth="0" w:num="1">
            <w:col w:w="11240"/>
          </w:cols>
          <w:pgMar w:left="320" w:top="353" w:right="339" w:bottom="1440" w:gutter="0" w:footer="0" w:header="0"/>
        </w:sectPr>
      </w:pPr>
    </w:p>
    <w:bookmarkStart w:id="167" w:name="page168"/>
    <w:bookmarkEnd w:id="167"/>
    <w:p>
      <w:pPr>
        <w:jc w:val="center"/>
        <w:ind w:right="-19"/>
        <w:spacing w:after="0"/>
        <w:rPr>
          <w:sz w:val="20"/>
          <w:szCs w:val="20"/>
          <w:color w:val="auto"/>
        </w:rPr>
      </w:pPr>
      <w:r>
        <w:rPr>
          <w:rFonts w:ascii="Arial" w:cs="Arial" w:eastAsia="Arial" w:hAnsi="Arial"/>
          <w:sz w:val="17"/>
          <w:szCs w:val="17"/>
          <w:b w:val="1"/>
          <w:bCs w:val="1"/>
          <w:color w:val="auto"/>
        </w:rPr>
        <w:t>Oaktree Capital I, L.P.</w:t>
      </w:r>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Consolidated Financial Statements — (Continued)</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December 31, 2025</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 in thousands, except where noted)</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fair value of derivatives held by the consolidated funds consisted of the following:</w:t>
      </w:r>
    </w:p>
    <w:p>
      <w:pPr>
        <w:spacing w:after="0" w:line="49" w:lineRule="exact"/>
        <w:rPr>
          <w:sz w:val="20"/>
          <w:szCs w:val="20"/>
          <w:color w:val="auto"/>
        </w:rPr>
      </w:pPr>
    </w:p>
    <w:tbl>
      <w:tblPr>
        <w:tblLayout w:type="fixed"/>
        <w:tblInd w:w="20" w:type="dxa"/>
        <w:tblCellMar>
          <w:top w:w="0" w:type="dxa"/>
          <w:left w:w="0" w:type="dxa"/>
          <w:bottom w:w="0" w:type="dxa"/>
          <w:right w:w="0" w:type="dxa"/>
        </w:tblCellMar>
      </w:tblPr>
      <w:tr>
        <w:trPr>
          <w:trHeight w:val="169"/>
        </w:trPr>
        <w:tc>
          <w:tcPr>
            <w:tcW w:w="162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3"/>
          </w:tcPr>
          <w:p>
            <w:pPr>
              <w:jc w:val="right"/>
              <w:ind w:right="43"/>
              <w:spacing w:after="0"/>
              <w:rPr>
                <w:sz w:val="20"/>
                <w:szCs w:val="20"/>
                <w:color w:val="auto"/>
              </w:rPr>
            </w:pPr>
            <w:r>
              <w:rPr>
                <w:rFonts w:ascii="Arial" w:cs="Arial" w:eastAsia="Arial" w:hAnsi="Arial"/>
                <w:sz w:val="12"/>
                <w:szCs w:val="12"/>
                <w:b w:val="1"/>
                <w:bCs w:val="1"/>
                <w:color w:val="auto"/>
              </w:rPr>
              <w:t>Assets</w:t>
            </w:r>
          </w:p>
        </w:tc>
        <w:tc>
          <w:tcPr>
            <w:tcW w:w="10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3"/>
          </w:tcPr>
          <w:p>
            <w:pPr>
              <w:ind w:left="840"/>
              <w:spacing w:after="0"/>
              <w:rPr>
                <w:sz w:val="20"/>
                <w:szCs w:val="20"/>
                <w:color w:val="auto"/>
              </w:rPr>
            </w:pPr>
            <w:r>
              <w:rPr>
                <w:rFonts w:ascii="Arial" w:cs="Arial" w:eastAsia="Arial" w:hAnsi="Arial"/>
                <w:sz w:val="12"/>
                <w:szCs w:val="12"/>
                <w:b w:val="1"/>
                <w:bCs w:val="1"/>
                <w:color w:val="auto"/>
              </w:rPr>
              <w:t>Liabilities</w:t>
            </w:r>
          </w:p>
        </w:tc>
        <w:tc>
          <w:tcPr>
            <w:tcW w:w="10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62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gridSpan w:val="2"/>
          </w:tcPr>
          <w:p>
            <w:pPr>
              <w:ind w:left="160"/>
              <w:spacing w:after="0"/>
              <w:rPr>
                <w:sz w:val="20"/>
                <w:szCs w:val="20"/>
                <w:color w:val="auto"/>
              </w:rPr>
            </w:pPr>
            <w:r>
              <w:rPr>
                <w:rFonts w:ascii="Arial" w:cs="Arial" w:eastAsia="Arial" w:hAnsi="Arial"/>
                <w:sz w:val="12"/>
                <w:szCs w:val="12"/>
                <w:b w:val="1"/>
                <w:bCs w:val="1"/>
                <w:color w:val="auto"/>
              </w:rPr>
              <w:t>Notional</w:t>
            </w:r>
          </w:p>
        </w:tc>
        <w:tc>
          <w:tcPr>
            <w:tcW w:w="260" w:type="dxa"/>
            <w:vAlign w:val="bottom"/>
          </w:tcPr>
          <w:p>
            <w:pPr>
              <w:spacing w:after="0"/>
              <w:rPr>
                <w:sz w:val="14"/>
                <w:szCs w:val="14"/>
                <w:color w:val="auto"/>
              </w:rPr>
            </w:pPr>
          </w:p>
        </w:tc>
        <w:tc>
          <w:tcPr>
            <w:tcW w:w="1060" w:type="dxa"/>
            <w:vAlign w:val="bottom"/>
          </w:tcPr>
          <w:p>
            <w:pPr>
              <w:jc w:val="right"/>
              <w:ind w:right="305"/>
              <w:spacing w:after="0"/>
              <w:rPr>
                <w:sz w:val="20"/>
                <w:szCs w:val="20"/>
                <w:color w:val="auto"/>
              </w:rPr>
            </w:pPr>
            <w:r>
              <w:rPr>
                <w:rFonts w:ascii="Arial" w:cs="Arial" w:eastAsia="Arial" w:hAnsi="Arial"/>
                <w:sz w:val="12"/>
                <w:szCs w:val="12"/>
                <w:b w:val="1"/>
                <w:bCs w:val="1"/>
                <w:color w:val="auto"/>
              </w:rPr>
              <w:t>Fair Value</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gridSpan w:val="2"/>
          </w:tcPr>
          <w:p>
            <w:pPr>
              <w:ind w:left="160"/>
              <w:spacing w:after="0"/>
              <w:rPr>
                <w:sz w:val="20"/>
                <w:szCs w:val="20"/>
                <w:color w:val="auto"/>
              </w:rPr>
            </w:pPr>
            <w:r>
              <w:rPr>
                <w:rFonts w:ascii="Arial" w:cs="Arial" w:eastAsia="Arial" w:hAnsi="Arial"/>
                <w:sz w:val="12"/>
                <w:szCs w:val="12"/>
                <w:b w:val="1"/>
                <w:bCs w:val="1"/>
                <w:color w:val="auto"/>
              </w:rPr>
              <w:t>Notional</w:t>
            </w:r>
          </w:p>
        </w:tc>
        <w:tc>
          <w:tcPr>
            <w:tcW w:w="300" w:type="dxa"/>
            <w:vAlign w:val="bottom"/>
          </w:tcPr>
          <w:p>
            <w:pPr>
              <w:spacing w:after="0"/>
              <w:rPr>
                <w:sz w:val="14"/>
                <w:szCs w:val="14"/>
                <w:color w:val="auto"/>
              </w:rPr>
            </w:pPr>
          </w:p>
        </w:tc>
        <w:tc>
          <w:tcPr>
            <w:tcW w:w="1020" w:type="dxa"/>
            <w:vAlign w:val="bottom"/>
          </w:tcPr>
          <w:p>
            <w:pPr>
              <w:jc w:val="right"/>
              <w:ind w:right="305"/>
              <w:spacing w:after="0"/>
              <w:rPr>
                <w:sz w:val="20"/>
                <w:szCs w:val="20"/>
                <w:color w:val="auto"/>
              </w:rPr>
            </w:pPr>
            <w:r>
              <w:rPr>
                <w:rFonts w:ascii="Arial" w:cs="Arial" w:eastAsia="Arial" w:hAnsi="Arial"/>
                <w:sz w:val="12"/>
                <w:szCs w:val="12"/>
                <w:b w:val="1"/>
                <w:bCs w:val="1"/>
                <w:color w:val="auto"/>
              </w:rPr>
              <w:t>Fair Value</w:t>
            </w:r>
          </w:p>
        </w:tc>
        <w:tc>
          <w:tcPr>
            <w:tcW w:w="0" w:type="dxa"/>
            <w:vAlign w:val="bottom"/>
          </w:tcPr>
          <w:p>
            <w:pPr>
              <w:spacing w:after="0"/>
              <w:rPr>
                <w:sz w:val="1"/>
                <w:szCs w:val="1"/>
                <w:color w:val="auto"/>
              </w:rPr>
            </w:pPr>
          </w:p>
        </w:tc>
      </w:tr>
      <w:tr>
        <w:trPr>
          <w:trHeight w:val="137"/>
        </w:trPr>
        <w:tc>
          <w:tcPr>
            <w:tcW w:w="1620" w:type="dxa"/>
            <w:vAlign w:val="bottom"/>
            <w:tcBorders>
              <w:bottom w:val="single" w:sz="8" w:color="auto"/>
            </w:tcBorders>
          </w:tcPr>
          <w:p>
            <w:pPr>
              <w:spacing w:after="0" w:line="137" w:lineRule="exact"/>
              <w:rPr>
                <w:sz w:val="20"/>
                <w:szCs w:val="20"/>
                <w:color w:val="auto"/>
              </w:rPr>
            </w:pPr>
            <w:r>
              <w:rPr>
                <w:rFonts w:ascii="Arial" w:cs="Arial" w:eastAsia="Arial" w:hAnsi="Arial"/>
                <w:sz w:val="14"/>
                <w:szCs w:val="14"/>
                <w:b w:val="1"/>
                <w:bCs w:val="1"/>
                <w:color w:val="auto"/>
                <w:w w:val="96"/>
              </w:rPr>
              <w:t>As of December 31, 2025</w:t>
            </w:r>
          </w:p>
        </w:tc>
        <w:tc>
          <w:tcPr>
            <w:tcW w:w="386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23"/>
        </w:trPr>
        <w:tc>
          <w:tcPr>
            <w:tcW w:w="5480" w:type="dxa"/>
            <w:vAlign w:val="bottom"/>
            <w:gridSpan w:val="2"/>
          </w:tcPr>
          <w:p>
            <w:pPr>
              <w:spacing w:after="0"/>
              <w:rPr>
                <w:sz w:val="20"/>
                <w:szCs w:val="20"/>
                <w:color w:val="auto"/>
              </w:rPr>
            </w:pPr>
            <w:r>
              <w:rPr>
                <w:rFonts w:ascii="Arial" w:cs="Arial" w:eastAsia="Arial" w:hAnsi="Arial"/>
                <w:sz w:val="15"/>
                <w:szCs w:val="15"/>
                <w:color w:val="auto"/>
              </w:rPr>
              <w:t>Foreign-currency forward contracts</w:t>
            </w:r>
          </w:p>
        </w:tc>
        <w:tc>
          <w:tcPr>
            <w:tcW w:w="260" w:type="dxa"/>
            <w:vAlign w:val="bottom"/>
          </w:tcPr>
          <w:p>
            <w:pPr>
              <w:jc w:val="right"/>
              <w:ind w:right="83"/>
              <w:spacing w:after="0"/>
              <w:rPr>
                <w:sz w:val="20"/>
                <w:szCs w:val="20"/>
                <w:color w:val="auto"/>
              </w:rPr>
            </w:pPr>
            <w:r>
              <w:rPr>
                <w:rFonts w:ascii="Arial" w:cs="Arial" w:eastAsia="Arial" w:hAnsi="Arial"/>
                <w:sz w:val="15"/>
                <w:szCs w:val="15"/>
                <w:color w:val="auto"/>
                <w:w w:val="95"/>
              </w:rPr>
              <w:t>$</w:t>
            </w:r>
          </w:p>
        </w:tc>
        <w:tc>
          <w:tcPr>
            <w:tcW w:w="1060" w:type="dxa"/>
            <w:vAlign w:val="bottom"/>
          </w:tcPr>
          <w:p>
            <w:pPr>
              <w:jc w:val="right"/>
              <w:spacing w:after="0"/>
              <w:rPr>
                <w:sz w:val="20"/>
                <w:szCs w:val="20"/>
                <w:color w:val="auto"/>
              </w:rPr>
            </w:pPr>
            <w:r>
              <w:rPr>
                <w:rFonts w:ascii="Arial" w:cs="Arial" w:eastAsia="Arial" w:hAnsi="Arial"/>
                <w:sz w:val="15"/>
                <w:szCs w:val="15"/>
                <w:color w:val="auto"/>
              </w:rPr>
              <w:t>3,189</w:t>
            </w:r>
          </w:p>
        </w:tc>
        <w:tc>
          <w:tcPr>
            <w:tcW w:w="100" w:type="dxa"/>
            <w:vAlign w:val="bottom"/>
          </w:tcPr>
          <w:p>
            <w:pPr>
              <w:spacing w:after="0"/>
              <w:rPr>
                <w:sz w:val="19"/>
                <w:szCs w:val="19"/>
                <w:color w:val="auto"/>
              </w:rPr>
            </w:pPr>
          </w:p>
        </w:tc>
        <w:tc>
          <w:tcPr>
            <w:tcW w:w="260" w:type="dxa"/>
            <w:vAlign w:val="bottom"/>
          </w:tcPr>
          <w:p>
            <w:pPr>
              <w:jc w:val="right"/>
              <w:ind w:right="83"/>
              <w:spacing w:after="0"/>
              <w:rPr>
                <w:sz w:val="20"/>
                <w:szCs w:val="20"/>
                <w:color w:val="auto"/>
              </w:rPr>
            </w:pPr>
            <w:r>
              <w:rPr>
                <w:rFonts w:ascii="Arial" w:cs="Arial" w:eastAsia="Arial" w:hAnsi="Arial"/>
                <w:sz w:val="15"/>
                <w:szCs w:val="15"/>
                <w:color w:val="auto"/>
                <w:w w:val="95"/>
              </w:rPr>
              <w:t>$</w:t>
            </w:r>
          </w:p>
        </w:tc>
        <w:tc>
          <w:tcPr>
            <w:tcW w:w="1060" w:type="dxa"/>
            <w:vAlign w:val="bottom"/>
          </w:tcPr>
          <w:p>
            <w:pPr>
              <w:jc w:val="right"/>
              <w:spacing w:after="0"/>
              <w:rPr>
                <w:sz w:val="20"/>
                <w:szCs w:val="20"/>
                <w:color w:val="auto"/>
              </w:rPr>
            </w:pPr>
            <w:r>
              <w:rPr>
                <w:rFonts w:ascii="Arial" w:cs="Arial" w:eastAsia="Arial" w:hAnsi="Arial"/>
                <w:sz w:val="15"/>
                <w:szCs w:val="15"/>
                <w:color w:val="auto"/>
              </w:rPr>
              <w:t>57</w:t>
            </w:r>
          </w:p>
        </w:tc>
        <w:tc>
          <w:tcPr>
            <w:tcW w:w="100" w:type="dxa"/>
            <w:vAlign w:val="bottom"/>
          </w:tcPr>
          <w:p>
            <w:pPr>
              <w:spacing w:after="0"/>
              <w:rPr>
                <w:sz w:val="19"/>
                <w:szCs w:val="19"/>
                <w:color w:val="auto"/>
              </w:rPr>
            </w:pPr>
          </w:p>
        </w:tc>
        <w:tc>
          <w:tcPr>
            <w:tcW w:w="260" w:type="dxa"/>
            <w:vAlign w:val="bottom"/>
          </w:tcPr>
          <w:p>
            <w:pPr>
              <w:jc w:val="right"/>
              <w:ind w:right="83"/>
              <w:spacing w:after="0"/>
              <w:rPr>
                <w:sz w:val="20"/>
                <w:szCs w:val="20"/>
                <w:color w:val="auto"/>
              </w:rPr>
            </w:pPr>
            <w:r>
              <w:rPr>
                <w:rFonts w:ascii="Arial" w:cs="Arial" w:eastAsia="Arial" w:hAnsi="Arial"/>
                <w:sz w:val="15"/>
                <w:szCs w:val="15"/>
                <w:color w:val="auto"/>
                <w:w w:val="95"/>
              </w:rPr>
              <w:t>$</w:t>
            </w:r>
          </w:p>
        </w:tc>
        <w:tc>
          <w:tcPr>
            <w:tcW w:w="1080" w:type="dxa"/>
            <w:vAlign w:val="bottom"/>
          </w:tcPr>
          <w:p>
            <w:pPr>
              <w:jc w:val="right"/>
              <w:spacing w:after="0"/>
              <w:rPr>
                <w:sz w:val="20"/>
                <w:szCs w:val="20"/>
                <w:color w:val="auto"/>
              </w:rPr>
            </w:pPr>
            <w:r>
              <w:rPr>
                <w:rFonts w:ascii="Arial" w:cs="Arial" w:eastAsia="Arial" w:hAnsi="Arial"/>
                <w:sz w:val="15"/>
                <w:szCs w:val="15"/>
                <w:color w:val="auto"/>
              </w:rPr>
              <w:t>(81,401)</w:t>
            </w:r>
          </w:p>
        </w:tc>
        <w:tc>
          <w:tcPr>
            <w:tcW w:w="100" w:type="dxa"/>
            <w:vAlign w:val="bottom"/>
          </w:tcPr>
          <w:p>
            <w:pPr>
              <w:spacing w:after="0"/>
              <w:rPr>
                <w:sz w:val="19"/>
                <w:szCs w:val="19"/>
                <w:color w:val="auto"/>
              </w:rPr>
            </w:pPr>
          </w:p>
        </w:tc>
        <w:tc>
          <w:tcPr>
            <w:tcW w:w="300" w:type="dxa"/>
            <w:vAlign w:val="bottom"/>
          </w:tcPr>
          <w:p>
            <w:pPr>
              <w:jc w:val="right"/>
              <w:ind w:right="123"/>
              <w:spacing w:after="0"/>
              <w:rPr>
                <w:sz w:val="20"/>
                <w:szCs w:val="20"/>
                <w:color w:val="auto"/>
              </w:rPr>
            </w:pPr>
            <w:r>
              <w:rPr>
                <w:rFonts w:ascii="Arial" w:cs="Arial" w:eastAsia="Arial" w:hAnsi="Arial"/>
                <w:sz w:val="15"/>
                <w:szCs w:val="15"/>
                <w:color w:val="auto"/>
                <w:w w:val="95"/>
              </w:rPr>
              <w:t>$</w:t>
            </w:r>
          </w:p>
        </w:tc>
        <w:tc>
          <w:tcPr>
            <w:tcW w:w="1020" w:type="dxa"/>
            <w:vAlign w:val="bottom"/>
          </w:tcPr>
          <w:p>
            <w:pPr>
              <w:jc w:val="right"/>
              <w:spacing w:after="0"/>
              <w:rPr>
                <w:sz w:val="20"/>
                <w:szCs w:val="20"/>
                <w:color w:val="auto"/>
              </w:rPr>
            </w:pPr>
            <w:r>
              <w:rPr>
                <w:rFonts w:ascii="Arial" w:cs="Arial" w:eastAsia="Arial" w:hAnsi="Arial"/>
                <w:sz w:val="15"/>
                <w:szCs w:val="15"/>
                <w:color w:val="auto"/>
              </w:rPr>
              <w:t>(846)</w:t>
            </w:r>
          </w:p>
        </w:tc>
        <w:tc>
          <w:tcPr>
            <w:tcW w:w="0" w:type="dxa"/>
            <w:vAlign w:val="bottom"/>
          </w:tcPr>
          <w:p>
            <w:pPr>
              <w:spacing w:after="0"/>
              <w:rPr>
                <w:sz w:val="1"/>
                <w:szCs w:val="1"/>
                <w:color w:val="auto"/>
              </w:rPr>
            </w:pPr>
          </w:p>
        </w:tc>
      </w:tr>
      <w:tr>
        <w:trPr>
          <w:trHeight w:val="206"/>
        </w:trPr>
        <w:tc>
          <w:tcPr>
            <w:tcW w:w="5480" w:type="dxa"/>
            <w:vAlign w:val="bottom"/>
            <w:gridSpan w:val="2"/>
          </w:tcPr>
          <w:p>
            <w:pPr>
              <w:spacing w:after="0"/>
              <w:rPr>
                <w:sz w:val="20"/>
                <w:szCs w:val="20"/>
                <w:color w:val="auto"/>
              </w:rPr>
            </w:pPr>
            <w:r>
              <w:rPr>
                <w:rFonts w:ascii="Arial" w:cs="Arial" w:eastAsia="Arial" w:hAnsi="Arial"/>
                <w:sz w:val="15"/>
                <w:szCs w:val="15"/>
                <w:color w:val="auto"/>
              </w:rPr>
              <w:t>Total-return and interest-rate and credit default swaps</w:t>
            </w:r>
          </w:p>
        </w:tc>
        <w:tc>
          <w:tcPr>
            <w:tcW w:w="2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3,200</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1,600</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gridSpan w:val="2"/>
          </w:tcPr>
          <w:p>
            <w:pPr>
              <w:ind w:left="840"/>
              <w:spacing w:after="0"/>
              <w:rPr>
                <w:sz w:val="20"/>
                <w:szCs w:val="20"/>
                <w:color w:val="auto"/>
              </w:rPr>
            </w:pPr>
            <w:r>
              <w:rPr>
                <w:rFonts w:ascii="Arial" w:cs="Arial" w:eastAsia="Arial" w:hAnsi="Arial"/>
                <w:sz w:val="15"/>
                <w:szCs w:val="15"/>
                <w:color w:val="auto"/>
              </w:rPr>
              <w:t>—</w:t>
            </w: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6"/>
        </w:trPr>
        <w:tc>
          <w:tcPr>
            <w:tcW w:w="5480" w:type="dxa"/>
            <w:vAlign w:val="bottom"/>
            <w:gridSpan w:val="2"/>
          </w:tcPr>
          <w:p>
            <w:pPr>
              <w:spacing w:after="0"/>
              <w:rPr>
                <w:sz w:val="20"/>
                <w:szCs w:val="20"/>
                <w:color w:val="auto"/>
              </w:rPr>
            </w:pPr>
            <w:r>
              <w:rPr>
                <w:rFonts w:ascii="Arial" w:cs="Arial" w:eastAsia="Arial" w:hAnsi="Arial"/>
                <w:sz w:val="15"/>
                <w:szCs w:val="15"/>
                <w:color w:val="auto"/>
              </w:rPr>
              <w:t>Options and futures</w:t>
            </w:r>
          </w:p>
        </w:tc>
        <w:tc>
          <w:tcPr>
            <w:tcW w:w="2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195,606</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112</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gridSpan w:val="2"/>
          </w:tcPr>
          <w:p>
            <w:pPr>
              <w:ind w:left="840"/>
              <w:spacing w:after="0"/>
              <w:rPr>
                <w:sz w:val="20"/>
                <w:szCs w:val="20"/>
                <w:color w:val="auto"/>
              </w:rPr>
            </w:pPr>
            <w:r>
              <w:rPr>
                <w:rFonts w:ascii="Arial" w:cs="Arial" w:eastAsia="Arial" w:hAnsi="Arial"/>
                <w:sz w:val="15"/>
                <w:szCs w:val="15"/>
                <w:color w:val="auto"/>
              </w:rPr>
              <w:t>—</w:t>
            </w: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77"/>
        </w:trPr>
        <w:tc>
          <w:tcPr>
            <w:tcW w:w="5480" w:type="dxa"/>
            <w:vAlign w:val="bottom"/>
            <w:gridSpan w:val="2"/>
          </w:tcPr>
          <w:p>
            <w:pPr>
              <w:ind w:left="300"/>
              <w:spacing w:after="0"/>
              <w:rPr>
                <w:sz w:val="20"/>
                <w:szCs w:val="20"/>
                <w:color w:val="auto"/>
              </w:rPr>
            </w:pPr>
            <w:r>
              <w:rPr>
                <w:rFonts w:ascii="Arial" w:cs="Arial" w:eastAsia="Arial" w:hAnsi="Arial"/>
                <w:sz w:val="15"/>
                <w:szCs w:val="15"/>
                <w:color w:val="auto"/>
              </w:rPr>
              <w:t>Total</w:t>
            </w:r>
          </w:p>
        </w:tc>
        <w:tc>
          <w:tcPr>
            <w:tcW w:w="260" w:type="dxa"/>
            <w:vAlign w:val="bottom"/>
            <w:tcBorders>
              <w:top w:val="single" w:sz="8" w:color="auto"/>
            </w:tcBorders>
            <w:vMerge w:val="restart"/>
          </w:tcPr>
          <w:p>
            <w:pPr>
              <w:jc w:val="right"/>
              <w:ind w:right="83"/>
              <w:spacing w:after="0"/>
              <w:rPr>
                <w:sz w:val="20"/>
                <w:szCs w:val="20"/>
                <w:color w:val="auto"/>
              </w:rPr>
            </w:pPr>
            <w:r>
              <w:rPr>
                <w:rFonts w:ascii="Arial" w:cs="Arial" w:eastAsia="Arial" w:hAnsi="Arial"/>
                <w:sz w:val="15"/>
                <w:szCs w:val="15"/>
                <w:color w:val="auto"/>
                <w:w w:val="95"/>
              </w:rPr>
              <w:t>$</w:t>
            </w:r>
          </w:p>
        </w:tc>
        <w:tc>
          <w:tcPr>
            <w:tcW w:w="1060" w:type="dxa"/>
            <w:vAlign w:val="bottom"/>
            <w:tcBorders>
              <w:top w:val="single" w:sz="8" w:color="auto"/>
            </w:tcBorders>
            <w:vMerge w:val="restart"/>
          </w:tcPr>
          <w:p>
            <w:pPr>
              <w:jc w:val="right"/>
              <w:spacing w:after="0"/>
              <w:rPr>
                <w:sz w:val="20"/>
                <w:szCs w:val="20"/>
                <w:color w:val="auto"/>
              </w:rPr>
            </w:pPr>
            <w:r>
              <w:rPr>
                <w:rFonts w:ascii="Arial" w:cs="Arial" w:eastAsia="Arial" w:hAnsi="Arial"/>
                <w:sz w:val="15"/>
                <w:szCs w:val="15"/>
                <w:color w:val="auto"/>
              </w:rPr>
              <w:t>201,995</w:t>
            </w:r>
          </w:p>
        </w:tc>
        <w:tc>
          <w:tcPr>
            <w:tcW w:w="100" w:type="dxa"/>
            <w:vAlign w:val="bottom"/>
          </w:tcPr>
          <w:p>
            <w:pPr>
              <w:spacing w:after="0"/>
              <w:rPr>
                <w:sz w:val="24"/>
                <w:szCs w:val="24"/>
                <w:color w:val="auto"/>
              </w:rPr>
            </w:pPr>
          </w:p>
        </w:tc>
        <w:tc>
          <w:tcPr>
            <w:tcW w:w="260" w:type="dxa"/>
            <w:vAlign w:val="bottom"/>
            <w:tcBorders>
              <w:top w:val="single" w:sz="8" w:color="auto"/>
            </w:tcBorders>
            <w:vMerge w:val="restart"/>
          </w:tcPr>
          <w:p>
            <w:pPr>
              <w:jc w:val="right"/>
              <w:ind w:right="83"/>
              <w:spacing w:after="0"/>
              <w:rPr>
                <w:sz w:val="20"/>
                <w:szCs w:val="20"/>
                <w:color w:val="auto"/>
              </w:rPr>
            </w:pPr>
            <w:r>
              <w:rPr>
                <w:rFonts w:ascii="Arial" w:cs="Arial" w:eastAsia="Arial" w:hAnsi="Arial"/>
                <w:sz w:val="15"/>
                <w:szCs w:val="15"/>
                <w:color w:val="auto"/>
                <w:w w:val="95"/>
              </w:rPr>
              <w:t>$</w:t>
            </w:r>
          </w:p>
        </w:tc>
        <w:tc>
          <w:tcPr>
            <w:tcW w:w="1060" w:type="dxa"/>
            <w:vAlign w:val="bottom"/>
            <w:tcBorders>
              <w:top w:val="single" w:sz="8" w:color="auto"/>
            </w:tcBorders>
            <w:vMerge w:val="restart"/>
          </w:tcPr>
          <w:p>
            <w:pPr>
              <w:jc w:val="right"/>
              <w:spacing w:after="0"/>
              <w:rPr>
                <w:sz w:val="20"/>
                <w:szCs w:val="20"/>
                <w:color w:val="auto"/>
              </w:rPr>
            </w:pPr>
            <w:r>
              <w:rPr>
                <w:rFonts w:ascii="Arial" w:cs="Arial" w:eastAsia="Arial" w:hAnsi="Arial"/>
                <w:sz w:val="15"/>
                <w:szCs w:val="15"/>
                <w:color w:val="auto"/>
              </w:rPr>
              <w:t>1,769</w:t>
            </w:r>
          </w:p>
        </w:tc>
        <w:tc>
          <w:tcPr>
            <w:tcW w:w="100" w:type="dxa"/>
            <w:vAlign w:val="bottom"/>
          </w:tcPr>
          <w:p>
            <w:pPr>
              <w:spacing w:after="0"/>
              <w:rPr>
                <w:sz w:val="24"/>
                <w:szCs w:val="24"/>
                <w:color w:val="auto"/>
              </w:rPr>
            </w:pPr>
          </w:p>
        </w:tc>
        <w:tc>
          <w:tcPr>
            <w:tcW w:w="260" w:type="dxa"/>
            <w:vAlign w:val="bottom"/>
            <w:tcBorders>
              <w:top w:val="single" w:sz="8" w:color="auto"/>
            </w:tcBorders>
            <w:vMerge w:val="restart"/>
          </w:tcPr>
          <w:p>
            <w:pPr>
              <w:jc w:val="right"/>
              <w:ind w:right="83"/>
              <w:spacing w:after="0"/>
              <w:rPr>
                <w:sz w:val="20"/>
                <w:szCs w:val="20"/>
                <w:color w:val="auto"/>
              </w:rPr>
            </w:pPr>
            <w:r>
              <w:rPr>
                <w:rFonts w:ascii="Arial" w:cs="Arial" w:eastAsia="Arial" w:hAnsi="Arial"/>
                <w:sz w:val="15"/>
                <w:szCs w:val="15"/>
                <w:color w:val="auto"/>
                <w:w w:val="95"/>
              </w:rPr>
              <w:t>$</w:t>
            </w:r>
          </w:p>
        </w:tc>
        <w:tc>
          <w:tcPr>
            <w:tcW w:w="1080" w:type="dxa"/>
            <w:vAlign w:val="bottom"/>
            <w:tcBorders>
              <w:top w:val="single" w:sz="8" w:color="auto"/>
            </w:tcBorders>
            <w:vMerge w:val="restart"/>
          </w:tcPr>
          <w:p>
            <w:pPr>
              <w:jc w:val="right"/>
              <w:spacing w:after="0"/>
              <w:rPr>
                <w:sz w:val="20"/>
                <w:szCs w:val="20"/>
                <w:color w:val="auto"/>
              </w:rPr>
            </w:pPr>
            <w:r>
              <w:rPr>
                <w:rFonts w:ascii="Arial" w:cs="Arial" w:eastAsia="Arial" w:hAnsi="Arial"/>
                <w:sz w:val="15"/>
                <w:szCs w:val="15"/>
                <w:color w:val="auto"/>
              </w:rPr>
              <w:t>(81,401)</w:t>
            </w:r>
          </w:p>
        </w:tc>
        <w:tc>
          <w:tcPr>
            <w:tcW w:w="100" w:type="dxa"/>
            <w:vAlign w:val="bottom"/>
          </w:tcPr>
          <w:p>
            <w:pPr>
              <w:spacing w:after="0"/>
              <w:rPr>
                <w:sz w:val="24"/>
                <w:szCs w:val="24"/>
                <w:color w:val="auto"/>
              </w:rPr>
            </w:pPr>
          </w:p>
        </w:tc>
        <w:tc>
          <w:tcPr>
            <w:tcW w:w="300" w:type="dxa"/>
            <w:vAlign w:val="bottom"/>
            <w:tcBorders>
              <w:top w:val="single" w:sz="8" w:color="auto"/>
            </w:tcBorders>
            <w:vMerge w:val="restart"/>
          </w:tcPr>
          <w:p>
            <w:pPr>
              <w:jc w:val="right"/>
              <w:ind w:right="123"/>
              <w:spacing w:after="0"/>
              <w:rPr>
                <w:sz w:val="20"/>
                <w:szCs w:val="20"/>
                <w:color w:val="auto"/>
              </w:rPr>
            </w:pPr>
            <w:r>
              <w:rPr>
                <w:rFonts w:ascii="Arial" w:cs="Arial" w:eastAsia="Arial" w:hAnsi="Arial"/>
                <w:sz w:val="15"/>
                <w:szCs w:val="15"/>
                <w:color w:val="auto"/>
                <w:w w:val="95"/>
              </w:rPr>
              <w:t>$</w:t>
            </w:r>
          </w:p>
        </w:tc>
        <w:tc>
          <w:tcPr>
            <w:tcW w:w="1020" w:type="dxa"/>
            <w:vAlign w:val="bottom"/>
            <w:tcBorders>
              <w:top w:val="single" w:sz="8" w:color="auto"/>
            </w:tcBorders>
            <w:vMerge w:val="restart"/>
          </w:tcPr>
          <w:p>
            <w:pPr>
              <w:jc w:val="right"/>
              <w:spacing w:after="0"/>
              <w:rPr>
                <w:sz w:val="20"/>
                <w:szCs w:val="20"/>
                <w:color w:val="auto"/>
              </w:rPr>
            </w:pPr>
            <w:r>
              <w:rPr>
                <w:rFonts w:ascii="Arial" w:cs="Arial" w:eastAsia="Arial" w:hAnsi="Arial"/>
                <w:sz w:val="15"/>
                <w:szCs w:val="15"/>
                <w:color w:val="auto"/>
              </w:rPr>
              <w:t>(846)</w:t>
            </w:r>
          </w:p>
        </w:tc>
        <w:tc>
          <w:tcPr>
            <w:tcW w:w="0" w:type="dxa"/>
            <w:vAlign w:val="bottom"/>
          </w:tcPr>
          <w:p>
            <w:pPr>
              <w:spacing w:after="0"/>
              <w:rPr>
                <w:sz w:val="1"/>
                <w:szCs w:val="1"/>
                <w:color w:val="auto"/>
              </w:rPr>
            </w:pPr>
          </w:p>
        </w:tc>
      </w:tr>
      <w:tr>
        <w:trPr>
          <w:trHeight w:val="57"/>
        </w:trPr>
        <w:tc>
          <w:tcPr>
            <w:tcW w:w="1620" w:type="dxa"/>
            <w:vAlign w:val="bottom"/>
          </w:tcPr>
          <w:p>
            <w:pPr>
              <w:spacing w:after="0"/>
              <w:rPr>
                <w:sz w:val="4"/>
                <w:szCs w:val="4"/>
                <w:color w:val="auto"/>
              </w:rPr>
            </w:pPr>
          </w:p>
        </w:tc>
        <w:tc>
          <w:tcPr>
            <w:tcW w:w="3860" w:type="dxa"/>
            <w:vAlign w:val="bottom"/>
          </w:tcPr>
          <w:p>
            <w:pPr>
              <w:spacing w:after="0"/>
              <w:rPr>
                <w:sz w:val="4"/>
                <w:szCs w:val="4"/>
                <w:color w:val="auto"/>
              </w:rPr>
            </w:pPr>
          </w:p>
        </w:tc>
        <w:tc>
          <w:tcPr>
            <w:tcW w:w="260" w:type="dxa"/>
            <w:vAlign w:val="bottom"/>
            <w:tcBorders>
              <w:bottom w:val="single" w:sz="8" w:color="auto"/>
            </w:tcBorders>
            <w:vMerge w:val="continue"/>
          </w:tcPr>
          <w:p>
            <w:pPr>
              <w:spacing w:after="0"/>
              <w:rPr>
                <w:sz w:val="4"/>
                <w:szCs w:val="4"/>
                <w:color w:val="auto"/>
              </w:rPr>
            </w:pPr>
          </w:p>
        </w:tc>
        <w:tc>
          <w:tcPr>
            <w:tcW w:w="1060" w:type="dxa"/>
            <w:vAlign w:val="bottom"/>
            <w:tcBorders>
              <w:bottom w:val="single" w:sz="8" w:color="auto"/>
            </w:tcBorders>
            <w:vMerge w:val="continue"/>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Borders>
              <w:bottom w:val="single" w:sz="8" w:color="auto"/>
            </w:tcBorders>
            <w:vMerge w:val="continue"/>
          </w:tcPr>
          <w:p>
            <w:pPr>
              <w:spacing w:after="0"/>
              <w:rPr>
                <w:sz w:val="4"/>
                <w:szCs w:val="4"/>
                <w:color w:val="auto"/>
              </w:rPr>
            </w:pPr>
          </w:p>
        </w:tc>
        <w:tc>
          <w:tcPr>
            <w:tcW w:w="1060" w:type="dxa"/>
            <w:vAlign w:val="bottom"/>
            <w:tcBorders>
              <w:bottom w:val="single" w:sz="8" w:color="auto"/>
            </w:tcBorders>
            <w:vMerge w:val="continue"/>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Borders>
              <w:bottom w:val="single" w:sz="8" w:color="auto"/>
            </w:tcBorders>
            <w:vMerge w:val="continue"/>
          </w:tcPr>
          <w:p>
            <w:pPr>
              <w:spacing w:after="0"/>
              <w:rPr>
                <w:sz w:val="4"/>
                <w:szCs w:val="4"/>
                <w:color w:val="auto"/>
              </w:rPr>
            </w:pPr>
          </w:p>
        </w:tc>
        <w:tc>
          <w:tcPr>
            <w:tcW w:w="1080" w:type="dxa"/>
            <w:vAlign w:val="bottom"/>
            <w:tcBorders>
              <w:bottom w:val="single" w:sz="8" w:color="auto"/>
            </w:tcBorders>
            <w:vMerge w:val="continue"/>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Borders>
              <w:bottom w:val="single" w:sz="8" w:color="auto"/>
            </w:tcBorders>
            <w:vMerge w:val="continue"/>
          </w:tcPr>
          <w:p>
            <w:pPr>
              <w:spacing w:after="0"/>
              <w:rPr>
                <w:sz w:val="4"/>
                <w:szCs w:val="4"/>
                <w:color w:val="auto"/>
              </w:rPr>
            </w:pPr>
          </w:p>
        </w:tc>
        <w:tc>
          <w:tcPr>
            <w:tcW w:w="1020" w:type="dxa"/>
            <w:vAlign w:val="bottom"/>
            <w:tcBorders>
              <w:bottom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1620" w:type="dxa"/>
            <w:vAlign w:val="bottom"/>
            <w:vMerge w:val="restart"/>
          </w:tcPr>
          <w:p>
            <w:pPr>
              <w:spacing w:after="0"/>
              <w:rPr>
                <w:sz w:val="20"/>
                <w:szCs w:val="20"/>
                <w:color w:val="auto"/>
              </w:rPr>
            </w:pPr>
            <w:r>
              <w:rPr>
                <w:rFonts w:ascii="Arial" w:cs="Arial" w:eastAsia="Arial" w:hAnsi="Arial"/>
                <w:sz w:val="14"/>
                <w:szCs w:val="14"/>
                <w:b w:val="1"/>
                <w:bCs w:val="1"/>
                <w:color w:val="auto"/>
                <w:w w:val="96"/>
              </w:rPr>
              <w:t>As of December 31, 2024</w:t>
            </w:r>
          </w:p>
        </w:tc>
        <w:tc>
          <w:tcPr>
            <w:tcW w:w="3860" w:type="dxa"/>
            <w:vAlign w:val="bottom"/>
            <w:vMerge w:val="restart"/>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72"/>
        </w:trPr>
        <w:tc>
          <w:tcPr>
            <w:tcW w:w="1620" w:type="dxa"/>
            <w:vAlign w:val="bottom"/>
            <w:tcBorders>
              <w:bottom w:val="single" w:sz="8" w:color="auto"/>
            </w:tcBorders>
            <w:vMerge w:val="continue"/>
          </w:tcPr>
          <w:p>
            <w:pPr>
              <w:spacing w:after="0"/>
              <w:rPr>
                <w:sz w:val="24"/>
                <w:szCs w:val="24"/>
                <w:color w:val="auto"/>
              </w:rPr>
            </w:pPr>
          </w:p>
        </w:tc>
        <w:tc>
          <w:tcPr>
            <w:tcW w:w="386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5480" w:type="dxa"/>
            <w:vAlign w:val="bottom"/>
            <w:gridSpan w:val="2"/>
          </w:tcPr>
          <w:p>
            <w:pPr>
              <w:spacing w:after="0"/>
              <w:rPr>
                <w:sz w:val="20"/>
                <w:szCs w:val="20"/>
                <w:color w:val="auto"/>
              </w:rPr>
            </w:pPr>
            <w:r>
              <w:rPr>
                <w:rFonts w:ascii="Arial" w:cs="Arial" w:eastAsia="Arial" w:hAnsi="Arial"/>
                <w:sz w:val="15"/>
                <w:szCs w:val="15"/>
                <w:color w:val="auto"/>
              </w:rPr>
              <w:t>Foreign-currency forward contracts</w:t>
            </w:r>
          </w:p>
        </w:tc>
        <w:tc>
          <w:tcPr>
            <w:tcW w:w="260" w:type="dxa"/>
            <w:vAlign w:val="bottom"/>
          </w:tcPr>
          <w:p>
            <w:pPr>
              <w:jc w:val="right"/>
              <w:ind w:right="83"/>
              <w:spacing w:after="0"/>
              <w:rPr>
                <w:sz w:val="20"/>
                <w:szCs w:val="20"/>
                <w:color w:val="auto"/>
              </w:rPr>
            </w:pPr>
            <w:r>
              <w:rPr>
                <w:rFonts w:ascii="Arial" w:cs="Arial" w:eastAsia="Arial" w:hAnsi="Arial"/>
                <w:sz w:val="15"/>
                <w:szCs w:val="15"/>
                <w:color w:val="auto"/>
                <w:w w:val="95"/>
              </w:rPr>
              <w:t>$</w:t>
            </w:r>
          </w:p>
        </w:tc>
        <w:tc>
          <w:tcPr>
            <w:tcW w:w="1060" w:type="dxa"/>
            <w:vAlign w:val="bottom"/>
          </w:tcPr>
          <w:p>
            <w:pPr>
              <w:jc w:val="right"/>
              <w:spacing w:after="0"/>
              <w:rPr>
                <w:sz w:val="20"/>
                <w:szCs w:val="20"/>
                <w:color w:val="auto"/>
              </w:rPr>
            </w:pPr>
            <w:r>
              <w:rPr>
                <w:rFonts w:ascii="Arial" w:cs="Arial" w:eastAsia="Arial" w:hAnsi="Arial"/>
                <w:sz w:val="15"/>
                <w:szCs w:val="15"/>
                <w:color w:val="auto"/>
              </w:rPr>
              <w:t>75,870</w:t>
            </w:r>
          </w:p>
        </w:tc>
        <w:tc>
          <w:tcPr>
            <w:tcW w:w="100" w:type="dxa"/>
            <w:vAlign w:val="bottom"/>
          </w:tcPr>
          <w:p>
            <w:pPr>
              <w:spacing w:after="0"/>
              <w:rPr>
                <w:sz w:val="19"/>
                <w:szCs w:val="19"/>
                <w:color w:val="auto"/>
              </w:rPr>
            </w:pPr>
          </w:p>
        </w:tc>
        <w:tc>
          <w:tcPr>
            <w:tcW w:w="260" w:type="dxa"/>
            <w:vAlign w:val="bottom"/>
          </w:tcPr>
          <w:p>
            <w:pPr>
              <w:jc w:val="right"/>
              <w:ind w:right="83"/>
              <w:spacing w:after="0"/>
              <w:rPr>
                <w:sz w:val="20"/>
                <w:szCs w:val="20"/>
                <w:color w:val="auto"/>
              </w:rPr>
            </w:pPr>
            <w:r>
              <w:rPr>
                <w:rFonts w:ascii="Arial" w:cs="Arial" w:eastAsia="Arial" w:hAnsi="Arial"/>
                <w:sz w:val="15"/>
                <w:szCs w:val="15"/>
                <w:color w:val="auto"/>
                <w:w w:val="95"/>
              </w:rPr>
              <w:t>$</w:t>
            </w:r>
          </w:p>
        </w:tc>
        <w:tc>
          <w:tcPr>
            <w:tcW w:w="1060" w:type="dxa"/>
            <w:vAlign w:val="bottom"/>
          </w:tcPr>
          <w:p>
            <w:pPr>
              <w:jc w:val="right"/>
              <w:spacing w:after="0"/>
              <w:rPr>
                <w:sz w:val="20"/>
                <w:szCs w:val="20"/>
                <w:color w:val="auto"/>
              </w:rPr>
            </w:pPr>
            <w:r>
              <w:rPr>
                <w:rFonts w:ascii="Arial" w:cs="Arial" w:eastAsia="Arial" w:hAnsi="Arial"/>
                <w:sz w:val="15"/>
                <w:szCs w:val="15"/>
                <w:color w:val="auto"/>
              </w:rPr>
              <w:t>3,336</w:t>
            </w:r>
          </w:p>
        </w:tc>
        <w:tc>
          <w:tcPr>
            <w:tcW w:w="100" w:type="dxa"/>
            <w:vAlign w:val="bottom"/>
          </w:tcPr>
          <w:p>
            <w:pPr>
              <w:spacing w:after="0"/>
              <w:rPr>
                <w:sz w:val="19"/>
                <w:szCs w:val="19"/>
                <w:color w:val="auto"/>
              </w:rPr>
            </w:pPr>
          </w:p>
        </w:tc>
        <w:tc>
          <w:tcPr>
            <w:tcW w:w="260" w:type="dxa"/>
            <w:vAlign w:val="bottom"/>
          </w:tcPr>
          <w:p>
            <w:pPr>
              <w:jc w:val="right"/>
              <w:ind w:right="83"/>
              <w:spacing w:after="0"/>
              <w:rPr>
                <w:sz w:val="20"/>
                <w:szCs w:val="20"/>
                <w:color w:val="auto"/>
              </w:rPr>
            </w:pPr>
            <w:r>
              <w:rPr>
                <w:rFonts w:ascii="Arial" w:cs="Arial" w:eastAsia="Arial" w:hAnsi="Arial"/>
                <w:sz w:val="15"/>
                <w:szCs w:val="15"/>
                <w:color w:val="auto"/>
                <w:w w:val="95"/>
              </w:rPr>
              <w:t>$</w:t>
            </w:r>
          </w:p>
        </w:tc>
        <w:tc>
          <w:tcPr>
            <w:tcW w:w="1080" w:type="dxa"/>
            <w:vAlign w:val="bottom"/>
          </w:tcPr>
          <w:p>
            <w:pPr>
              <w:jc w:val="right"/>
              <w:spacing w:after="0"/>
              <w:rPr>
                <w:sz w:val="20"/>
                <w:szCs w:val="20"/>
                <w:color w:val="auto"/>
              </w:rPr>
            </w:pPr>
            <w:r>
              <w:rPr>
                <w:rFonts w:ascii="Arial" w:cs="Arial" w:eastAsia="Arial" w:hAnsi="Arial"/>
                <w:sz w:val="15"/>
                <w:szCs w:val="15"/>
                <w:color w:val="auto"/>
              </w:rPr>
              <w:t>(21,940)</w:t>
            </w:r>
          </w:p>
        </w:tc>
        <w:tc>
          <w:tcPr>
            <w:tcW w:w="100" w:type="dxa"/>
            <w:vAlign w:val="bottom"/>
          </w:tcPr>
          <w:p>
            <w:pPr>
              <w:spacing w:after="0"/>
              <w:rPr>
                <w:sz w:val="19"/>
                <w:szCs w:val="19"/>
                <w:color w:val="auto"/>
              </w:rPr>
            </w:pPr>
          </w:p>
        </w:tc>
        <w:tc>
          <w:tcPr>
            <w:tcW w:w="300" w:type="dxa"/>
            <w:vAlign w:val="bottom"/>
          </w:tcPr>
          <w:p>
            <w:pPr>
              <w:jc w:val="right"/>
              <w:ind w:right="123"/>
              <w:spacing w:after="0"/>
              <w:rPr>
                <w:sz w:val="20"/>
                <w:szCs w:val="20"/>
                <w:color w:val="auto"/>
              </w:rPr>
            </w:pPr>
            <w:r>
              <w:rPr>
                <w:rFonts w:ascii="Arial" w:cs="Arial" w:eastAsia="Arial" w:hAnsi="Arial"/>
                <w:sz w:val="15"/>
                <w:szCs w:val="15"/>
                <w:color w:val="auto"/>
                <w:w w:val="95"/>
              </w:rPr>
              <w:t>$</w:t>
            </w:r>
          </w:p>
        </w:tc>
        <w:tc>
          <w:tcPr>
            <w:tcW w:w="1020" w:type="dxa"/>
            <w:vAlign w:val="bottom"/>
          </w:tcPr>
          <w:p>
            <w:pPr>
              <w:jc w:val="right"/>
              <w:spacing w:after="0"/>
              <w:rPr>
                <w:sz w:val="20"/>
                <w:szCs w:val="20"/>
                <w:color w:val="auto"/>
              </w:rPr>
            </w:pPr>
            <w:r>
              <w:rPr>
                <w:rFonts w:ascii="Arial" w:cs="Arial" w:eastAsia="Arial" w:hAnsi="Arial"/>
                <w:sz w:val="15"/>
                <w:szCs w:val="15"/>
                <w:color w:val="auto"/>
              </w:rPr>
              <w:t>(336)</w:t>
            </w:r>
          </w:p>
        </w:tc>
        <w:tc>
          <w:tcPr>
            <w:tcW w:w="0" w:type="dxa"/>
            <w:vAlign w:val="bottom"/>
          </w:tcPr>
          <w:p>
            <w:pPr>
              <w:spacing w:after="0"/>
              <w:rPr>
                <w:sz w:val="1"/>
                <w:szCs w:val="1"/>
                <w:color w:val="auto"/>
              </w:rPr>
            </w:pPr>
          </w:p>
        </w:tc>
      </w:tr>
      <w:tr>
        <w:trPr>
          <w:trHeight w:val="206"/>
        </w:trPr>
        <w:tc>
          <w:tcPr>
            <w:tcW w:w="5480" w:type="dxa"/>
            <w:vAlign w:val="bottom"/>
            <w:gridSpan w:val="2"/>
          </w:tcPr>
          <w:p>
            <w:pPr>
              <w:spacing w:after="0"/>
              <w:rPr>
                <w:sz w:val="20"/>
                <w:szCs w:val="20"/>
                <w:color w:val="auto"/>
              </w:rPr>
            </w:pPr>
            <w:r>
              <w:rPr>
                <w:rFonts w:ascii="Arial" w:cs="Arial" w:eastAsia="Arial" w:hAnsi="Arial"/>
                <w:sz w:val="15"/>
                <w:szCs w:val="15"/>
                <w:color w:val="auto"/>
              </w:rPr>
              <w:t>Total-return and interest-rate and credit default swaps</w:t>
            </w:r>
          </w:p>
        </w:tc>
        <w:tc>
          <w:tcPr>
            <w:tcW w:w="260" w:type="dxa"/>
            <w:vAlign w:val="bottom"/>
          </w:tcPr>
          <w:p>
            <w:pPr>
              <w:spacing w:after="0"/>
              <w:rPr>
                <w:sz w:val="17"/>
                <w:szCs w:val="17"/>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7"/>
                <w:szCs w:val="17"/>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(3)</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6"/>
        </w:trPr>
        <w:tc>
          <w:tcPr>
            <w:tcW w:w="5480" w:type="dxa"/>
            <w:vAlign w:val="bottom"/>
            <w:gridSpan w:val="2"/>
          </w:tcPr>
          <w:p>
            <w:pPr>
              <w:spacing w:after="0"/>
              <w:rPr>
                <w:sz w:val="20"/>
                <w:szCs w:val="20"/>
                <w:color w:val="auto"/>
              </w:rPr>
            </w:pPr>
            <w:r>
              <w:rPr>
                <w:rFonts w:ascii="Arial" w:cs="Arial" w:eastAsia="Arial" w:hAnsi="Arial"/>
                <w:sz w:val="15"/>
                <w:szCs w:val="15"/>
                <w:color w:val="auto"/>
              </w:rPr>
              <w:t>Options and futures</w:t>
            </w:r>
          </w:p>
        </w:tc>
        <w:tc>
          <w:tcPr>
            <w:tcW w:w="2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119,356</w:t>
            </w: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318</w:t>
            </w: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(3,002)</w:t>
            </w: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(38)</w:t>
            </w:r>
          </w:p>
        </w:tc>
        <w:tc>
          <w:tcPr>
            <w:tcW w:w="0" w:type="dxa"/>
            <w:vAlign w:val="bottom"/>
          </w:tcPr>
          <w:p>
            <w:pPr>
              <w:spacing w:after="0"/>
              <w:rPr>
                <w:sz w:val="1"/>
                <w:szCs w:val="1"/>
                <w:color w:val="auto"/>
              </w:rPr>
            </w:pPr>
          </w:p>
        </w:tc>
      </w:tr>
      <w:tr>
        <w:trPr>
          <w:trHeight w:val="277"/>
        </w:trPr>
        <w:tc>
          <w:tcPr>
            <w:tcW w:w="5480" w:type="dxa"/>
            <w:vAlign w:val="bottom"/>
            <w:gridSpan w:val="2"/>
          </w:tcPr>
          <w:p>
            <w:pPr>
              <w:ind w:left="300"/>
              <w:spacing w:after="0"/>
              <w:rPr>
                <w:sz w:val="20"/>
                <w:szCs w:val="20"/>
                <w:color w:val="auto"/>
              </w:rPr>
            </w:pPr>
            <w:r>
              <w:rPr>
                <w:rFonts w:ascii="Arial" w:cs="Arial" w:eastAsia="Arial" w:hAnsi="Arial"/>
                <w:sz w:val="15"/>
                <w:szCs w:val="15"/>
                <w:color w:val="auto"/>
              </w:rPr>
              <w:t>Total</w:t>
            </w:r>
          </w:p>
        </w:tc>
        <w:tc>
          <w:tcPr>
            <w:tcW w:w="260" w:type="dxa"/>
            <w:vAlign w:val="bottom"/>
            <w:vMerge w:val="restart"/>
          </w:tcPr>
          <w:p>
            <w:pPr>
              <w:jc w:val="right"/>
              <w:ind w:right="83"/>
              <w:spacing w:after="0"/>
              <w:rPr>
                <w:sz w:val="20"/>
                <w:szCs w:val="20"/>
                <w:color w:val="auto"/>
              </w:rPr>
            </w:pPr>
            <w:r>
              <w:rPr>
                <w:rFonts w:ascii="Arial" w:cs="Arial" w:eastAsia="Arial" w:hAnsi="Arial"/>
                <w:sz w:val="15"/>
                <w:szCs w:val="15"/>
                <w:color w:val="auto"/>
                <w:w w:val="95"/>
              </w:rPr>
              <w:t>$</w:t>
            </w:r>
          </w:p>
        </w:tc>
        <w:tc>
          <w:tcPr>
            <w:tcW w:w="1060" w:type="dxa"/>
            <w:vAlign w:val="bottom"/>
            <w:vMerge w:val="restart"/>
          </w:tcPr>
          <w:p>
            <w:pPr>
              <w:jc w:val="right"/>
              <w:spacing w:after="0"/>
              <w:rPr>
                <w:sz w:val="20"/>
                <w:szCs w:val="20"/>
                <w:color w:val="auto"/>
              </w:rPr>
            </w:pPr>
            <w:r>
              <w:rPr>
                <w:rFonts w:ascii="Arial" w:cs="Arial" w:eastAsia="Arial" w:hAnsi="Arial"/>
                <w:sz w:val="15"/>
                <w:szCs w:val="15"/>
                <w:color w:val="auto"/>
              </w:rPr>
              <w:t>195,226</w:t>
            </w:r>
          </w:p>
        </w:tc>
        <w:tc>
          <w:tcPr>
            <w:tcW w:w="100" w:type="dxa"/>
            <w:vAlign w:val="bottom"/>
          </w:tcPr>
          <w:p>
            <w:pPr>
              <w:spacing w:after="0"/>
              <w:rPr>
                <w:sz w:val="24"/>
                <w:szCs w:val="24"/>
                <w:color w:val="auto"/>
              </w:rPr>
            </w:pPr>
          </w:p>
        </w:tc>
        <w:tc>
          <w:tcPr>
            <w:tcW w:w="260" w:type="dxa"/>
            <w:vAlign w:val="bottom"/>
            <w:vMerge w:val="restart"/>
          </w:tcPr>
          <w:p>
            <w:pPr>
              <w:jc w:val="right"/>
              <w:ind w:right="83"/>
              <w:spacing w:after="0"/>
              <w:rPr>
                <w:sz w:val="20"/>
                <w:szCs w:val="20"/>
                <w:color w:val="auto"/>
              </w:rPr>
            </w:pPr>
            <w:r>
              <w:rPr>
                <w:rFonts w:ascii="Arial" w:cs="Arial" w:eastAsia="Arial" w:hAnsi="Arial"/>
                <w:sz w:val="15"/>
                <w:szCs w:val="15"/>
                <w:color w:val="auto"/>
                <w:w w:val="95"/>
              </w:rPr>
              <w:t>$</w:t>
            </w:r>
          </w:p>
        </w:tc>
        <w:tc>
          <w:tcPr>
            <w:tcW w:w="1060" w:type="dxa"/>
            <w:vAlign w:val="bottom"/>
            <w:vMerge w:val="restart"/>
          </w:tcPr>
          <w:p>
            <w:pPr>
              <w:jc w:val="right"/>
              <w:spacing w:after="0"/>
              <w:rPr>
                <w:sz w:val="20"/>
                <w:szCs w:val="20"/>
                <w:color w:val="auto"/>
              </w:rPr>
            </w:pPr>
            <w:r>
              <w:rPr>
                <w:rFonts w:ascii="Arial" w:cs="Arial" w:eastAsia="Arial" w:hAnsi="Arial"/>
                <w:sz w:val="15"/>
                <w:szCs w:val="15"/>
                <w:color w:val="auto"/>
              </w:rPr>
              <w:t>3,654</w:t>
            </w:r>
          </w:p>
        </w:tc>
        <w:tc>
          <w:tcPr>
            <w:tcW w:w="100" w:type="dxa"/>
            <w:vAlign w:val="bottom"/>
          </w:tcPr>
          <w:p>
            <w:pPr>
              <w:spacing w:after="0"/>
              <w:rPr>
                <w:sz w:val="24"/>
                <w:szCs w:val="24"/>
                <w:color w:val="auto"/>
              </w:rPr>
            </w:pPr>
          </w:p>
        </w:tc>
        <w:tc>
          <w:tcPr>
            <w:tcW w:w="260" w:type="dxa"/>
            <w:vAlign w:val="bottom"/>
            <w:vMerge w:val="restart"/>
          </w:tcPr>
          <w:p>
            <w:pPr>
              <w:jc w:val="right"/>
              <w:ind w:right="83"/>
              <w:spacing w:after="0"/>
              <w:rPr>
                <w:sz w:val="20"/>
                <w:szCs w:val="20"/>
                <w:color w:val="auto"/>
              </w:rPr>
            </w:pPr>
            <w:r>
              <w:rPr>
                <w:rFonts w:ascii="Arial" w:cs="Arial" w:eastAsia="Arial" w:hAnsi="Arial"/>
                <w:sz w:val="15"/>
                <w:szCs w:val="15"/>
                <w:color w:val="auto"/>
                <w:w w:val="95"/>
              </w:rPr>
              <w:t>$</w:t>
            </w:r>
          </w:p>
        </w:tc>
        <w:tc>
          <w:tcPr>
            <w:tcW w:w="1080" w:type="dxa"/>
            <w:vAlign w:val="bottom"/>
            <w:vMerge w:val="restart"/>
          </w:tcPr>
          <w:p>
            <w:pPr>
              <w:jc w:val="right"/>
              <w:spacing w:after="0"/>
              <w:rPr>
                <w:sz w:val="20"/>
                <w:szCs w:val="20"/>
                <w:color w:val="auto"/>
              </w:rPr>
            </w:pPr>
            <w:r>
              <w:rPr>
                <w:rFonts w:ascii="Arial" w:cs="Arial" w:eastAsia="Arial" w:hAnsi="Arial"/>
                <w:sz w:val="15"/>
                <w:szCs w:val="15"/>
                <w:color w:val="auto"/>
              </w:rPr>
              <w:t>(24,945)</w:t>
            </w:r>
          </w:p>
        </w:tc>
        <w:tc>
          <w:tcPr>
            <w:tcW w:w="100" w:type="dxa"/>
            <w:vAlign w:val="bottom"/>
          </w:tcPr>
          <w:p>
            <w:pPr>
              <w:spacing w:after="0"/>
              <w:rPr>
                <w:sz w:val="24"/>
                <w:szCs w:val="24"/>
                <w:color w:val="auto"/>
              </w:rPr>
            </w:pPr>
          </w:p>
        </w:tc>
        <w:tc>
          <w:tcPr>
            <w:tcW w:w="300" w:type="dxa"/>
            <w:vAlign w:val="bottom"/>
            <w:vMerge w:val="restart"/>
          </w:tcPr>
          <w:p>
            <w:pPr>
              <w:jc w:val="right"/>
              <w:ind w:right="123"/>
              <w:spacing w:after="0"/>
              <w:rPr>
                <w:sz w:val="20"/>
                <w:szCs w:val="20"/>
                <w:color w:val="auto"/>
              </w:rPr>
            </w:pPr>
            <w:r>
              <w:rPr>
                <w:rFonts w:ascii="Arial" w:cs="Arial" w:eastAsia="Arial" w:hAnsi="Arial"/>
                <w:sz w:val="15"/>
                <w:szCs w:val="15"/>
                <w:color w:val="auto"/>
                <w:w w:val="95"/>
              </w:rPr>
              <w:t>$</w:t>
            </w:r>
          </w:p>
        </w:tc>
        <w:tc>
          <w:tcPr>
            <w:tcW w:w="1020" w:type="dxa"/>
            <w:vAlign w:val="bottom"/>
            <w:vMerge w:val="restart"/>
          </w:tcPr>
          <w:p>
            <w:pPr>
              <w:jc w:val="right"/>
              <w:spacing w:after="0"/>
              <w:rPr>
                <w:sz w:val="20"/>
                <w:szCs w:val="20"/>
                <w:color w:val="auto"/>
              </w:rPr>
            </w:pPr>
            <w:r>
              <w:rPr>
                <w:rFonts w:ascii="Arial" w:cs="Arial" w:eastAsia="Arial" w:hAnsi="Arial"/>
                <w:sz w:val="15"/>
                <w:szCs w:val="15"/>
                <w:color w:val="auto"/>
              </w:rPr>
              <w:t>(374)</w:t>
            </w:r>
          </w:p>
        </w:tc>
        <w:tc>
          <w:tcPr>
            <w:tcW w:w="0" w:type="dxa"/>
            <w:vAlign w:val="bottom"/>
          </w:tcPr>
          <w:p>
            <w:pPr>
              <w:spacing w:after="0"/>
              <w:rPr>
                <w:sz w:val="1"/>
                <w:szCs w:val="1"/>
                <w:color w:val="auto"/>
              </w:rPr>
            </w:pPr>
          </w:p>
        </w:tc>
      </w:tr>
      <w:tr>
        <w:trPr>
          <w:trHeight w:val="57"/>
        </w:trPr>
        <w:tc>
          <w:tcPr>
            <w:tcW w:w="1620" w:type="dxa"/>
            <w:vAlign w:val="bottom"/>
          </w:tcPr>
          <w:p>
            <w:pPr>
              <w:spacing w:after="0"/>
              <w:rPr>
                <w:sz w:val="4"/>
                <w:szCs w:val="4"/>
                <w:color w:val="auto"/>
              </w:rPr>
            </w:pPr>
          </w:p>
        </w:tc>
        <w:tc>
          <w:tcPr>
            <w:tcW w:w="3860" w:type="dxa"/>
            <w:vAlign w:val="bottom"/>
          </w:tcPr>
          <w:p>
            <w:pPr>
              <w:spacing w:after="0"/>
              <w:rPr>
                <w:sz w:val="4"/>
                <w:szCs w:val="4"/>
                <w:color w:val="auto"/>
              </w:rPr>
            </w:pPr>
          </w:p>
        </w:tc>
        <w:tc>
          <w:tcPr>
            <w:tcW w:w="260" w:type="dxa"/>
            <w:vAlign w:val="bottom"/>
            <w:tcBorders>
              <w:bottom w:val="single" w:sz="8" w:color="auto"/>
            </w:tcBorders>
            <w:vMerge w:val="continue"/>
          </w:tcPr>
          <w:p>
            <w:pPr>
              <w:spacing w:after="0"/>
              <w:rPr>
                <w:sz w:val="4"/>
                <w:szCs w:val="4"/>
                <w:color w:val="auto"/>
              </w:rPr>
            </w:pPr>
          </w:p>
        </w:tc>
        <w:tc>
          <w:tcPr>
            <w:tcW w:w="1060" w:type="dxa"/>
            <w:vAlign w:val="bottom"/>
            <w:tcBorders>
              <w:bottom w:val="single" w:sz="8" w:color="auto"/>
            </w:tcBorders>
            <w:vMerge w:val="continue"/>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Borders>
              <w:bottom w:val="single" w:sz="8" w:color="auto"/>
            </w:tcBorders>
            <w:vMerge w:val="continue"/>
          </w:tcPr>
          <w:p>
            <w:pPr>
              <w:spacing w:after="0"/>
              <w:rPr>
                <w:sz w:val="4"/>
                <w:szCs w:val="4"/>
                <w:color w:val="auto"/>
              </w:rPr>
            </w:pPr>
          </w:p>
        </w:tc>
        <w:tc>
          <w:tcPr>
            <w:tcW w:w="1060" w:type="dxa"/>
            <w:vAlign w:val="bottom"/>
            <w:tcBorders>
              <w:bottom w:val="single" w:sz="8" w:color="auto"/>
            </w:tcBorders>
            <w:vMerge w:val="continue"/>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Borders>
              <w:bottom w:val="single" w:sz="8" w:color="auto"/>
            </w:tcBorders>
            <w:vMerge w:val="continue"/>
          </w:tcPr>
          <w:p>
            <w:pPr>
              <w:spacing w:after="0"/>
              <w:rPr>
                <w:sz w:val="4"/>
                <w:szCs w:val="4"/>
                <w:color w:val="auto"/>
              </w:rPr>
            </w:pPr>
          </w:p>
        </w:tc>
        <w:tc>
          <w:tcPr>
            <w:tcW w:w="1080" w:type="dxa"/>
            <w:vAlign w:val="bottom"/>
            <w:tcBorders>
              <w:bottom w:val="single" w:sz="8" w:color="auto"/>
            </w:tcBorders>
            <w:vMerge w:val="continue"/>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Borders>
              <w:bottom w:val="single" w:sz="8" w:color="auto"/>
            </w:tcBorders>
            <w:vMerge w:val="continue"/>
          </w:tcPr>
          <w:p>
            <w:pPr>
              <w:spacing w:after="0"/>
              <w:rPr>
                <w:sz w:val="4"/>
                <w:szCs w:val="4"/>
                <w:color w:val="auto"/>
              </w:rPr>
            </w:pPr>
          </w:p>
        </w:tc>
        <w:tc>
          <w:tcPr>
            <w:tcW w:w="1020" w:type="dxa"/>
            <w:vAlign w:val="bottom"/>
            <w:tcBorders>
              <w:bottom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16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8"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impact of derivatives held by the consolidated funds in the consolidated statements of operations was as follows:</w:t>
      </w:r>
    </w:p>
    <w:p>
      <w:pPr>
        <w:sectPr>
          <w:pgSz w:w="11900" w:h="16838" w:orient="portrait"/>
          <w:cols w:equalWidth="0" w:num="1">
            <w:col w:w="11220"/>
          </w:cols>
          <w:pgMar w:left="320" w:top="353"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20"/>
        <w:spacing w:after="0"/>
        <w:rPr>
          <w:sz w:val="20"/>
          <w:szCs w:val="20"/>
          <w:color w:val="auto"/>
        </w:rPr>
      </w:pPr>
      <w:r>
        <w:rPr>
          <w:rFonts w:ascii="Arial" w:cs="Arial" w:eastAsia="Arial" w:hAnsi="Arial"/>
          <w:sz w:val="15"/>
          <w:szCs w:val="15"/>
          <w:color w:val="auto"/>
        </w:rPr>
        <w:t>Foreign-currency forward contracts</w:t>
      </w:r>
    </w:p>
    <w:p>
      <w:pPr>
        <w:spacing w:after="0" w:line="34" w:lineRule="exact"/>
        <w:rPr>
          <w:sz w:val="20"/>
          <w:szCs w:val="20"/>
          <w:color w:val="auto"/>
        </w:rPr>
      </w:pPr>
    </w:p>
    <w:p>
      <w:pPr>
        <w:ind w:left="20"/>
        <w:spacing w:after="0"/>
        <w:rPr>
          <w:sz w:val="20"/>
          <w:szCs w:val="20"/>
          <w:color w:val="auto"/>
        </w:rPr>
      </w:pPr>
      <w:r>
        <w:rPr>
          <w:rFonts w:ascii="Arial" w:cs="Arial" w:eastAsia="Arial" w:hAnsi="Arial"/>
          <w:sz w:val="15"/>
          <w:szCs w:val="15"/>
          <w:color w:val="auto"/>
        </w:rPr>
        <w:t>Total-return and interest-rate and credit default swaps</w:t>
      </w:r>
    </w:p>
    <w:p>
      <w:pPr>
        <w:spacing w:after="0" w:line="34" w:lineRule="exact"/>
        <w:rPr>
          <w:sz w:val="20"/>
          <w:szCs w:val="20"/>
          <w:color w:val="auto"/>
        </w:rPr>
      </w:pPr>
    </w:p>
    <w:p>
      <w:pPr>
        <w:ind w:left="20"/>
        <w:spacing w:after="0"/>
        <w:rPr>
          <w:sz w:val="20"/>
          <w:szCs w:val="20"/>
          <w:color w:val="auto"/>
        </w:rPr>
      </w:pPr>
      <w:r>
        <w:rPr>
          <w:rFonts w:ascii="Arial" w:cs="Arial" w:eastAsia="Arial" w:hAnsi="Arial"/>
          <w:sz w:val="15"/>
          <w:szCs w:val="15"/>
          <w:color w:val="auto"/>
        </w:rPr>
        <w:t>Options and futures</w:t>
      </w:r>
    </w:p>
    <w:p>
      <w:pPr>
        <w:spacing w:after="0" w:line="34" w:lineRule="exact"/>
        <w:rPr>
          <w:sz w:val="20"/>
          <w:szCs w:val="20"/>
          <w:color w:val="auto"/>
        </w:rPr>
      </w:pPr>
    </w:p>
    <w:p>
      <w:pPr>
        <w:ind w:left="20"/>
        <w:spacing w:after="0"/>
        <w:rPr>
          <w:sz w:val="20"/>
          <w:szCs w:val="20"/>
          <w:color w:val="auto"/>
        </w:rPr>
      </w:pPr>
      <w:r>
        <w:rPr>
          <w:rFonts w:ascii="Arial" w:cs="Arial" w:eastAsia="Arial" w:hAnsi="Arial"/>
          <w:sz w:val="15"/>
          <w:szCs w:val="15"/>
          <w:color w:val="auto"/>
        </w:rPr>
        <w:t>Commodity swaps</w:t>
      </w:r>
    </w:p>
    <w:p>
      <w:pPr>
        <w:spacing w:after="0" w:line="72" w:lineRule="exact"/>
        <w:rPr>
          <w:sz w:val="20"/>
          <w:szCs w:val="20"/>
          <w:color w:val="auto"/>
        </w:rPr>
      </w:pPr>
    </w:p>
    <w:p>
      <w:pPr>
        <w:ind w:left="320"/>
        <w:spacing w:after="0"/>
        <w:rPr>
          <w:sz w:val="20"/>
          <w:szCs w:val="20"/>
          <w:color w:val="auto"/>
        </w:rPr>
      </w:pPr>
      <w:r>
        <w:rPr>
          <w:rFonts w:ascii="Arial" w:cs="Arial" w:eastAsia="Arial" w:hAnsi="Arial"/>
          <w:sz w:val="15"/>
          <w:szCs w:val="15"/>
          <w:color w:val="auto"/>
        </w:rPr>
        <w:t>Total</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9"/>
        </w:trPr>
        <w:tc>
          <w:tcPr>
            <w:tcW w:w="120" w:type="dxa"/>
            <w:vAlign w:val="bottom"/>
          </w:tcPr>
          <w:p>
            <w:pPr>
              <w:spacing w:after="0"/>
              <w:rPr>
                <w:sz w:val="14"/>
                <w:szCs w:val="14"/>
                <w:color w:val="auto"/>
              </w:rPr>
            </w:pPr>
          </w:p>
        </w:tc>
        <w:tc>
          <w:tcPr>
            <w:tcW w:w="2920" w:type="dxa"/>
            <w:vAlign w:val="bottom"/>
            <w:gridSpan w:val="6"/>
          </w:tcPr>
          <w:p>
            <w:pPr>
              <w:ind w:left="260"/>
              <w:spacing w:after="0"/>
              <w:rPr>
                <w:sz w:val="20"/>
                <w:szCs w:val="20"/>
                <w:color w:val="auto"/>
              </w:rPr>
            </w:pPr>
            <w:r>
              <w:rPr>
                <w:rFonts w:ascii="Arial" w:cs="Arial" w:eastAsia="Arial" w:hAnsi="Arial"/>
                <w:sz w:val="12"/>
                <w:szCs w:val="12"/>
                <w:b w:val="1"/>
                <w:bCs w:val="1"/>
                <w:color w:val="auto"/>
              </w:rPr>
              <w:t>Twelve months ended December 31,</w:t>
            </w:r>
          </w:p>
        </w:tc>
        <w:tc>
          <w:tcPr>
            <w:tcW w:w="140" w:type="dxa"/>
            <w:vAlign w:val="bottom"/>
          </w:tcPr>
          <w:p>
            <w:pPr>
              <w:spacing w:after="0"/>
              <w:rPr>
                <w:sz w:val="14"/>
                <w:szCs w:val="14"/>
                <w:color w:val="auto"/>
              </w:rPr>
            </w:pPr>
          </w:p>
        </w:tc>
        <w:tc>
          <w:tcPr>
            <w:tcW w:w="2720" w:type="dxa"/>
            <w:vAlign w:val="bottom"/>
            <w:gridSpan w:val="4"/>
          </w:tcPr>
          <w:p>
            <w:pPr>
              <w:ind w:left="380"/>
              <w:spacing w:after="0"/>
              <w:rPr>
                <w:sz w:val="20"/>
                <w:szCs w:val="20"/>
                <w:color w:val="auto"/>
              </w:rPr>
            </w:pPr>
            <w:r>
              <w:rPr>
                <w:rFonts w:ascii="Arial" w:cs="Arial" w:eastAsia="Arial" w:hAnsi="Arial"/>
                <w:sz w:val="12"/>
                <w:szCs w:val="12"/>
                <w:b w:val="1"/>
                <w:bCs w:val="1"/>
                <w:color w:val="auto"/>
              </w:rPr>
              <w:t>Six months ended December 31,</w:t>
            </w:r>
          </w:p>
        </w:tc>
        <w:tc>
          <w:tcPr>
            <w:tcW w:w="0" w:type="dxa"/>
            <w:vAlign w:val="bottom"/>
          </w:tcPr>
          <w:p>
            <w:pPr>
              <w:spacing w:after="0"/>
              <w:rPr>
                <w:sz w:val="1"/>
                <w:szCs w:val="1"/>
                <w:color w:val="auto"/>
              </w:rPr>
            </w:pPr>
          </w:p>
        </w:tc>
      </w:tr>
      <w:tr>
        <w:trPr>
          <w:trHeight w:val="163"/>
        </w:trPr>
        <w:tc>
          <w:tcPr>
            <w:tcW w:w="120" w:type="dxa"/>
            <w:vAlign w:val="bottom"/>
            <w:tcBorders>
              <w:top w:val="single" w:sz="8" w:color="auto"/>
              <w:bottom w:val="single" w:sz="8" w:color="auto"/>
            </w:tcBorders>
          </w:tcPr>
          <w:p>
            <w:pPr>
              <w:spacing w:after="0"/>
              <w:rPr>
                <w:sz w:val="14"/>
                <w:szCs w:val="14"/>
                <w:color w:val="auto"/>
              </w:rPr>
            </w:pPr>
          </w:p>
        </w:tc>
        <w:tc>
          <w:tcPr>
            <w:tcW w:w="1160" w:type="dxa"/>
            <w:vAlign w:val="bottom"/>
            <w:tcBorders>
              <w:top w:val="single" w:sz="8" w:color="auto"/>
              <w:bottom w:val="single" w:sz="8" w:color="auto"/>
            </w:tcBorders>
          </w:tcPr>
          <w:p>
            <w:pPr>
              <w:spacing w:after="0"/>
              <w:rPr>
                <w:sz w:val="14"/>
                <w:szCs w:val="14"/>
                <w:color w:val="auto"/>
              </w:rPr>
            </w:pPr>
          </w:p>
        </w:tc>
        <w:tc>
          <w:tcPr>
            <w:tcW w:w="360" w:type="dxa"/>
            <w:vAlign w:val="bottom"/>
            <w:tcBorders>
              <w:top w:val="single" w:sz="8" w:color="auto"/>
              <w:bottom w:val="single" w:sz="8" w:color="auto"/>
            </w:tcBorders>
            <w:gridSpan w:val="3"/>
          </w:tcPr>
          <w:p>
            <w:pPr>
              <w:jc w:val="right"/>
              <w:ind w:right="100"/>
              <w:spacing w:after="0"/>
              <w:rPr>
                <w:sz w:val="20"/>
                <w:szCs w:val="20"/>
                <w:color w:val="auto"/>
              </w:rPr>
            </w:pPr>
            <w:r>
              <w:rPr>
                <w:rFonts w:ascii="Arial" w:cs="Arial" w:eastAsia="Arial" w:hAnsi="Arial"/>
                <w:sz w:val="12"/>
                <w:szCs w:val="12"/>
                <w:b w:val="1"/>
                <w:bCs w:val="1"/>
                <w:color w:val="auto"/>
                <w:w w:val="89"/>
              </w:rPr>
              <w:t>2025</w:t>
            </w:r>
          </w:p>
        </w:tc>
        <w:tc>
          <w:tcPr>
            <w:tcW w:w="1200" w:type="dxa"/>
            <w:vAlign w:val="bottom"/>
            <w:tcBorders>
              <w:top w:val="single" w:sz="8" w:color="auto"/>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1540" w:type="dxa"/>
            <w:vAlign w:val="bottom"/>
            <w:tcBorders>
              <w:top w:val="single" w:sz="8" w:color="auto"/>
              <w:bottom w:val="single" w:sz="8" w:color="auto"/>
            </w:tcBorders>
            <w:gridSpan w:val="3"/>
          </w:tcPr>
          <w:p>
            <w:pPr>
              <w:jc w:val="right"/>
              <w:ind w:right="23"/>
              <w:spacing w:after="0"/>
              <w:rPr>
                <w:sz w:val="20"/>
                <w:szCs w:val="20"/>
                <w:color w:val="auto"/>
              </w:rPr>
            </w:pPr>
            <w:r>
              <w:rPr>
                <w:rFonts w:ascii="Arial" w:cs="Arial" w:eastAsia="Arial" w:hAnsi="Arial"/>
                <w:sz w:val="12"/>
                <w:szCs w:val="12"/>
                <w:b w:val="1"/>
                <w:bCs w:val="1"/>
                <w:color w:val="auto"/>
              </w:rPr>
              <w:t>2024</w:t>
            </w:r>
          </w:p>
        </w:tc>
        <w:tc>
          <w:tcPr>
            <w:tcW w:w="1180" w:type="dxa"/>
            <w:vAlign w:val="bottom"/>
            <w:tcBorders>
              <w:top w:val="single" w:sz="8" w:color="auto"/>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0"/>
        </w:trPr>
        <w:tc>
          <w:tcPr>
            <w:tcW w:w="1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0" w:type="dxa"/>
            <w:vAlign w:val="bottom"/>
          </w:tcPr>
          <w:p>
            <w:pPr>
              <w:jc w:val="center"/>
              <w:ind w:right="51"/>
              <w:spacing w:after="0" w:line="110" w:lineRule="exact"/>
              <w:rPr>
                <w:sz w:val="20"/>
                <w:szCs w:val="20"/>
                <w:color w:val="auto"/>
              </w:rPr>
            </w:pPr>
            <w:r>
              <w:rPr>
                <w:rFonts w:ascii="Arial" w:cs="Arial" w:eastAsia="Arial" w:hAnsi="Arial"/>
                <w:sz w:val="12"/>
                <w:szCs w:val="12"/>
                <w:b w:val="1"/>
                <w:bCs w:val="1"/>
                <w:color w:val="auto"/>
                <w:w w:val="99"/>
              </w:rPr>
              <w:t>Net Change in</w:t>
            </w: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80" w:type="dxa"/>
            <w:vAlign w:val="bottom"/>
          </w:tcPr>
          <w:p>
            <w:pPr>
              <w:jc w:val="center"/>
              <w:ind w:right="71"/>
              <w:spacing w:after="0" w:line="110" w:lineRule="exact"/>
              <w:rPr>
                <w:sz w:val="20"/>
                <w:szCs w:val="20"/>
                <w:color w:val="auto"/>
              </w:rPr>
            </w:pPr>
            <w:r>
              <w:rPr>
                <w:rFonts w:ascii="Arial" w:cs="Arial" w:eastAsia="Arial" w:hAnsi="Arial"/>
                <w:sz w:val="12"/>
                <w:szCs w:val="12"/>
                <w:b w:val="1"/>
                <w:bCs w:val="1"/>
                <w:color w:val="auto"/>
                <w:w w:val="99"/>
              </w:rPr>
              <w:t>Net Change in</w:t>
            </w:r>
          </w:p>
        </w:tc>
        <w:tc>
          <w:tcPr>
            <w:tcW w:w="0" w:type="dxa"/>
            <w:vAlign w:val="bottom"/>
          </w:tcPr>
          <w:p>
            <w:pPr>
              <w:spacing w:after="0"/>
              <w:rPr>
                <w:sz w:val="1"/>
                <w:szCs w:val="1"/>
                <w:color w:val="auto"/>
              </w:rPr>
            </w:pPr>
          </w:p>
        </w:tc>
      </w:tr>
      <w:tr>
        <w:trPr>
          <w:trHeight w:val="116"/>
        </w:trPr>
        <w:tc>
          <w:tcPr>
            <w:tcW w:w="1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0" w:type="dxa"/>
            <w:vAlign w:val="bottom"/>
            <w:gridSpan w:val="2"/>
          </w:tcPr>
          <w:p>
            <w:pPr>
              <w:jc w:val="center"/>
              <w:ind w:right="320"/>
              <w:spacing w:after="0" w:line="116" w:lineRule="exact"/>
              <w:rPr>
                <w:sz w:val="20"/>
                <w:szCs w:val="20"/>
                <w:color w:val="auto"/>
              </w:rPr>
            </w:pPr>
            <w:r>
              <w:rPr>
                <w:rFonts w:ascii="Arial" w:cs="Arial" w:eastAsia="Arial" w:hAnsi="Arial"/>
                <w:sz w:val="12"/>
                <w:szCs w:val="12"/>
                <w:b w:val="1"/>
                <w:bCs w:val="1"/>
                <w:color w:val="auto"/>
                <w:w w:val="98"/>
              </w:rPr>
              <w:t>Unrealized</w:t>
            </w:r>
          </w:p>
        </w:tc>
        <w:tc>
          <w:tcPr>
            <w:tcW w:w="14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80" w:type="dxa"/>
            <w:vAlign w:val="bottom"/>
          </w:tcPr>
          <w:p>
            <w:pPr>
              <w:jc w:val="center"/>
              <w:ind w:right="71"/>
              <w:spacing w:after="0" w:line="116" w:lineRule="exact"/>
              <w:rPr>
                <w:sz w:val="20"/>
                <w:szCs w:val="20"/>
                <w:color w:val="auto"/>
              </w:rPr>
            </w:pPr>
            <w:r>
              <w:rPr>
                <w:rFonts w:ascii="Arial" w:cs="Arial" w:eastAsia="Arial" w:hAnsi="Arial"/>
                <w:sz w:val="12"/>
                <w:szCs w:val="12"/>
                <w:b w:val="1"/>
                <w:bCs w:val="1"/>
                <w:color w:val="auto"/>
                <w:w w:val="98"/>
              </w:rPr>
              <w:t>Unrealized</w:t>
            </w:r>
          </w:p>
        </w:tc>
        <w:tc>
          <w:tcPr>
            <w:tcW w:w="0" w:type="dxa"/>
            <w:vAlign w:val="bottom"/>
          </w:tcPr>
          <w:p>
            <w:pPr>
              <w:spacing w:after="0"/>
              <w:rPr>
                <w:sz w:val="1"/>
                <w:szCs w:val="1"/>
                <w:color w:val="auto"/>
              </w:rPr>
            </w:pPr>
          </w:p>
        </w:tc>
      </w:tr>
      <w:tr>
        <w:trPr>
          <w:trHeight w:val="124"/>
        </w:trPr>
        <w:tc>
          <w:tcPr>
            <w:tcW w:w="120" w:type="dxa"/>
            <w:vAlign w:val="bottom"/>
          </w:tcPr>
          <w:p>
            <w:pPr>
              <w:spacing w:after="0"/>
              <w:rPr>
                <w:sz w:val="10"/>
                <w:szCs w:val="10"/>
                <w:color w:val="auto"/>
              </w:rPr>
            </w:pPr>
          </w:p>
        </w:tc>
        <w:tc>
          <w:tcPr>
            <w:tcW w:w="1160" w:type="dxa"/>
            <w:vAlign w:val="bottom"/>
            <w:vMerge w:val="restart"/>
          </w:tcPr>
          <w:p>
            <w:pPr>
              <w:jc w:val="right"/>
              <w:ind w:right="48"/>
              <w:spacing w:after="0"/>
              <w:rPr>
                <w:sz w:val="20"/>
                <w:szCs w:val="20"/>
                <w:color w:val="auto"/>
              </w:rPr>
            </w:pPr>
            <w:r>
              <w:rPr>
                <w:rFonts w:ascii="Arial" w:cs="Arial" w:eastAsia="Arial" w:hAnsi="Arial"/>
                <w:sz w:val="12"/>
                <w:szCs w:val="12"/>
                <w:b w:val="1"/>
                <w:bCs w:val="1"/>
                <w:color w:val="auto"/>
              </w:rPr>
              <w:t>Net Realized Gain</w:t>
            </w: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0" w:type="dxa"/>
            <w:vAlign w:val="bottom"/>
            <w:gridSpan w:val="2"/>
          </w:tcPr>
          <w:p>
            <w:pPr>
              <w:jc w:val="center"/>
              <w:ind w:right="340"/>
              <w:spacing w:after="0" w:line="124" w:lineRule="exact"/>
              <w:rPr>
                <w:sz w:val="20"/>
                <w:szCs w:val="20"/>
                <w:color w:val="auto"/>
              </w:rPr>
            </w:pPr>
            <w:r>
              <w:rPr>
                <w:rFonts w:ascii="Arial" w:cs="Arial" w:eastAsia="Arial" w:hAnsi="Arial"/>
                <w:sz w:val="12"/>
                <w:szCs w:val="12"/>
                <w:b w:val="1"/>
                <w:bCs w:val="1"/>
                <w:color w:val="auto"/>
              </w:rPr>
              <w:t>Appreciation</w:t>
            </w:r>
          </w:p>
        </w:tc>
        <w:tc>
          <w:tcPr>
            <w:tcW w:w="140" w:type="dxa"/>
            <w:vAlign w:val="bottom"/>
          </w:tcPr>
          <w:p>
            <w:pPr>
              <w:spacing w:after="0"/>
              <w:rPr>
                <w:sz w:val="10"/>
                <w:szCs w:val="10"/>
                <w:color w:val="auto"/>
              </w:rPr>
            </w:pPr>
          </w:p>
        </w:tc>
        <w:tc>
          <w:tcPr>
            <w:tcW w:w="140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Net Realized Gain</w:t>
            </w:r>
          </w:p>
        </w:tc>
        <w:tc>
          <w:tcPr>
            <w:tcW w:w="140" w:type="dxa"/>
            <w:vAlign w:val="bottom"/>
          </w:tcPr>
          <w:p>
            <w:pPr>
              <w:spacing w:after="0"/>
              <w:rPr>
                <w:sz w:val="10"/>
                <w:szCs w:val="10"/>
                <w:color w:val="auto"/>
              </w:rPr>
            </w:pPr>
          </w:p>
        </w:tc>
        <w:tc>
          <w:tcPr>
            <w:tcW w:w="1180" w:type="dxa"/>
            <w:vAlign w:val="bottom"/>
          </w:tcPr>
          <w:p>
            <w:pPr>
              <w:jc w:val="center"/>
              <w:ind w:right="51"/>
              <w:spacing w:after="0" w:line="124" w:lineRule="exact"/>
              <w:rPr>
                <w:sz w:val="20"/>
                <w:szCs w:val="20"/>
                <w:color w:val="auto"/>
              </w:rPr>
            </w:pPr>
            <w:r>
              <w:rPr>
                <w:rFonts w:ascii="Arial" w:cs="Arial" w:eastAsia="Arial" w:hAnsi="Arial"/>
                <w:sz w:val="12"/>
                <w:szCs w:val="12"/>
                <w:b w:val="1"/>
                <w:bCs w:val="1"/>
                <w:color w:val="auto"/>
              </w:rPr>
              <w:t>Appreciation</w:t>
            </w:r>
          </w:p>
        </w:tc>
        <w:tc>
          <w:tcPr>
            <w:tcW w:w="0" w:type="dxa"/>
            <w:vAlign w:val="bottom"/>
          </w:tcPr>
          <w:p>
            <w:pPr>
              <w:spacing w:after="0"/>
              <w:rPr>
                <w:sz w:val="1"/>
                <w:szCs w:val="1"/>
                <w:color w:val="auto"/>
              </w:rPr>
            </w:pPr>
          </w:p>
        </w:tc>
      </w:tr>
      <w:tr>
        <w:trPr>
          <w:trHeight w:val="121"/>
        </w:trPr>
        <w:tc>
          <w:tcPr>
            <w:tcW w:w="120" w:type="dxa"/>
            <w:vAlign w:val="bottom"/>
          </w:tcPr>
          <w:p>
            <w:pPr>
              <w:spacing w:after="0"/>
              <w:rPr>
                <w:sz w:val="10"/>
                <w:szCs w:val="10"/>
                <w:color w:val="auto"/>
              </w:rPr>
            </w:pPr>
          </w:p>
        </w:tc>
        <w:tc>
          <w:tcPr>
            <w:tcW w:w="116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0" w:type="dxa"/>
            <w:vAlign w:val="bottom"/>
            <w:gridSpan w:val="2"/>
          </w:tcPr>
          <w:p>
            <w:pPr>
              <w:jc w:val="center"/>
              <w:ind w:right="340"/>
              <w:spacing w:after="0" w:line="121" w:lineRule="exact"/>
              <w:rPr>
                <w:sz w:val="20"/>
                <w:szCs w:val="20"/>
                <w:color w:val="auto"/>
              </w:rPr>
            </w:pPr>
            <w:r>
              <w:rPr>
                <w:rFonts w:ascii="Arial" w:cs="Arial" w:eastAsia="Arial" w:hAnsi="Arial"/>
                <w:sz w:val="12"/>
                <w:szCs w:val="12"/>
                <w:b w:val="1"/>
                <w:bCs w:val="1"/>
                <w:color w:val="auto"/>
                <w:w w:val="99"/>
              </w:rPr>
              <w:t>(Depreciation) on</w:t>
            </w:r>
          </w:p>
        </w:tc>
        <w:tc>
          <w:tcPr>
            <w:tcW w:w="140" w:type="dxa"/>
            <w:vAlign w:val="bottom"/>
          </w:tcPr>
          <w:p>
            <w:pPr>
              <w:spacing w:after="0"/>
              <w:rPr>
                <w:sz w:val="10"/>
                <w:szCs w:val="10"/>
                <w:color w:val="auto"/>
              </w:rPr>
            </w:pPr>
          </w:p>
        </w:tc>
        <w:tc>
          <w:tcPr>
            <w:tcW w:w="140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1180" w:type="dxa"/>
            <w:vAlign w:val="bottom"/>
          </w:tcPr>
          <w:p>
            <w:pPr>
              <w:jc w:val="center"/>
              <w:ind w:right="71"/>
              <w:spacing w:after="0" w:line="121" w:lineRule="exact"/>
              <w:rPr>
                <w:sz w:val="20"/>
                <w:szCs w:val="20"/>
                <w:color w:val="auto"/>
              </w:rPr>
            </w:pPr>
            <w:r>
              <w:rPr>
                <w:rFonts w:ascii="Arial" w:cs="Arial" w:eastAsia="Arial" w:hAnsi="Arial"/>
                <w:sz w:val="12"/>
                <w:szCs w:val="12"/>
                <w:b w:val="1"/>
                <w:bCs w:val="1"/>
                <w:color w:val="auto"/>
              </w:rPr>
              <w:t>(Depreciation) on</w:t>
            </w:r>
          </w:p>
        </w:tc>
        <w:tc>
          <w:tcPr>
            <w:tcW w:w="0" w:type="dxa"/>
            <w:vAlign w:val="bottom"/>
          </w:tcPr>
          <w:p>
            <w:pPr>
              <w:spacing w:after="0"/>
              <w:rPr>
                <w:sz w:val="1"/>
                <w:szCs w:val="1"/>
                <w:color w:val="auto"/>
              </w:rPr>
            </w:pPr>
          </w:p>
        </w:tc>
      </w:tr>
      <w:tr>
        <w:trPr>
          <w:trHeight w:val="173"/>
        </w:trPr>
        <w:tc>
          <w:tcPr>
            <w:tcW w:w="1300" w:type="dxa"/>
            <w:vAlign w:val="bottom"/>
            <w:tcBorders>
              <w:bottom w:val="single" w:sz="8" w:color="auto"/>
            </w:tcBorders>
            <w:gridSpan w:val="3"/>
          </w:tcPr>
          <w:p>
            <w:pPr>
              <w:spacing w:after="0"/>
              <w:rPr>
                <w:sz w:val="20"/>
                <w:szCs w:val="20"/>
                <w:color w:val="auto"/>
              </w:rPr>
            </w:pPr>
            <w:r>
              <w:rPr>
                <w:rFonts w:ascii="Arial" w:cs="Arial" w:eastAsia="Arial" w:hAnsi="Arial"/>
                <w:sz w:val="12"/>
                <w:szCs w:val="12"/>
                <w:b w:val="1"/>
                <w:bCs w:val="1"/>
                <w:color w:val="auto"/>
              </w:rPr>
              <w:t>(Loss) on Investments</w:t>
            </w:r>
          </w:p>
        </w:tc>
        <w:tc>
          <w:tcPr>
            <w:tcW w:w="2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center"/>
              <w:ind w:right="71"/>
              <w:spacing w:after="0"/>
              <w:rPr>
                <w:sz w:val="20"/>
                <w:szCs w:val="20"/>
                <w:color w:val="auto"/>
              </w:rPr>
            </w:pPr>
            <w:r>
              <w:rPr>
                <w:rFonts w:ascii="Arial" w:cs="Arial" w:eastAsia="Arial" w:hAnsi="Arial"/>
                <w:sz w:val="12"/>
                <w:szCs w:val="12"/>
                <w:b w:val="1"/>
                <w:bCs w:val="1"/>
                <w:color w:val="auto"/>
                <w:w w:val="99"/>
              </w:rPr>
              <w:t>Investments</w:t>
            </w:r>
          </w:p>
        </w:tc>
        <w:tc>
          <w:tcPr>
            <w:tcW w:w="200" w:type="dxa"/>
            <w:vAlign w:val="bottom"/>
          </w:tcPr>
          <w:p>
            <w:pPr>
              <w:spacing w:after="0"/>
              <w:rPr>
                <w:sz w:val="15"/>
                <w:szCs w:val="15"/>
                <w:color w:val="auto"/>
              </w:rPr>
            </w:pPr>
          </w:p>
        </w:tc>
        <w:tc>
          <w:tcPr>
            <w:tcW w:w="1340" w:type="dxa"/>
            <w:vAlign w:val="bottom"/>
            <w:tcBorders>
              <w:bottom w:val="single" w:sz="8" w:color="auto"/>
            </w:tcBorders>
            <w:gridSpan w:val="2"/>
          </w:tcPr>
          <w:p>
            <w:pPr>
              <w:ind w:left="40"/>
              <w:spacing w:after="0"/>
              <w:rPr>
                <w:sz w:val="20"/>
                <w:szCs w:val="20"/>
                <w:color w:val="auto"/>
              </w:rPr>
            </w:pPr>
            <w:r>
              <w:rPr>
                <w:rFonts w:ascii="Arial" w:cs="Arial" w:eastAsia="Arial" w:hAnsi="Arial"/>
                <w:sz w:val="12"/>
                <w:szCs w:val="12"/>
                <w:b w:val="1"/>
                <w:bCs w:val="1"/>
                <w:color w:val="auto"/>
              </w:rPr>
              <w:t>(Loss) on Investments</w:t>
            </w:r>
          </w:p>
        </w:tc>
        <w:tc>
          <w:tcPr>
            <w:tcW w:w="2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center"/>
              <w:ind w:right="51"/>
              <w:spacing w:after="0"/>
              <w:rPr>
                <w:sz w:val="20"/>
                <w:szCs w:val="20"/>
                <w:color w:val="auto"/>
              </w:rPr>
            </w:pPr>
            <w:r>
              <w:rPr>
                <w:rFonts w:ascii="Arial" w:cs="Arial" w:eastAsia="Arial" w:hAnsi="Arial"/>
                <w:sz w:val="12"/>
                <w:szCs w:val="12"/>
                <w:b w:val="1"/>
                <w:bCs w:val="1"/>
                <w:color w:val="auto"/>
                <w:w w:val="99"/>
              </w:rPr>
              <w:t>Investments</w:t>
            </w:r>
          </w:p>
        </w:tc>
        <w:tc>
          <w:tcPr>
            <w:tcW w:w="0" w:type="dxa"/>
            <w:vAlign w:val="bottom"/>
          </w:tcPr>
          <w:p>
            <w:pPr>
              <w:spacing w:after="0"/>
              <w:rPr>
                <w:sz w:val="1"/>
                <w:szCs w:val="1"/>
                <w:color w:val="auto"/>
              </w:rPr>
            </w:pPr>
          </w:p>
        </w:tc>
      </w:tr>
      <w:tr>
        <w:trPr>
          <w:trHeight w:val="347"/>
        </w:trPr>
        <w:tc>
          <w:tcPr>
            <w:tcW w:w="120" w:type="dxa"/>
            <w:vAlign w:val="bottom"/>
          </w:tcPr>
          <w:p>
            <w:pPr>
              <w:spacing w:after="0"/>
              <w:rPr>
                <w:sz w:val="20"/>
                <w:szCs w:val="20"/>
                <w:color w:val="auto"/>
              </w:rPr>
            </w:pPr>
            <w:r>
              <w:rPr>
                <w:rFonts w:ascii="Arial" w:cs="Arial" w:eastAsia="Arial" w:hAnsi="Arial"/>
                <w:sz w:val="15"/>
                <w:szCs w:val="15"/>
                <w:color w:val="auto"/>
              </w:rPr>
              <w:t>$</w:t>
            </w:r>
          </w:p>
        </w:tc>
        <w:tc>
          <w:tcPr>
            <w:tcW w:w="1160" w:type="dxa"/>
            <w:vAlign w:val="bottom"/>
          </w:tcPr>
          <w:p>
            <w:pPr>
              <w:jc w:val="right"/>
              <w:spacing w:after="0"/>
              <w:rPr>
                <w:sz w:val="20"/>
                <w:szCs w:val="20"/>
                <w:color w:val="auto"/>
              </w:rPr>
            </w:pPr>
            <w:r>
              <w:rPr>
                <w:rFonts w:ascii="Arial" w:cs="Arial" w:eastAsia="Arial" w:hAnsi="Arial"/>
                <w:sz w:val="15"/>
                <w:szCs w:val="15"/>
                <w:color w:val="auto"/>
              </w:rPr>
              <w:t>(1,824)</w:t>
            </w:r>
          </w:p>
        </w:tc>
        <w:tc>
          <w:tcPr>
            <w:tcW w:w="360" w:type="dxa"/>
            <w:vAlign w:val="bottom"/>
            <w:gridSpan w:val="3"/>
          </w:tcPr>
          <w:p>
            <w:pPr>
              <w:jc w:val="right"/>
              <w:ind w:right="20"/>
              <w:spacing w:after="0"/>
              <w:rPr>
                <w:sz w:val="20"/>
                <w:szCs w:val="20"/>
                <w:color w:val="auto"/>
              </w:rPr>
            </w:pPr>
            <w:r>
              <w:rPr>
                <w:rFonts w:ascii="Arial" w:cs="Arial" w:eastAsia="Arial" w:hAnsi="Arial"/>
                <w:sz w:val="15"/>
                <w:szCs w:val="15"/>
                <w:color w:val="auto"/>
              </w:rPr>
              <w:t>$</w:t>
            </w:r>
          </w:p>
        </w:tc>
        <w:tc>
          <w:tcPr>
            <w:tcW w:w="1200" w:type="dxa"/>
            <w:vAlign w:val="bottom"/>
          </w:tcPr>
          <w:p>
            <w:pPr>
              <w:jc w:val="right"/>
              <w:spacing w:after="0"/>
              <w:rPr>
                <w:sz w:val="20"/>
                <w:szCs w:val="20"/>
                <w:color w:val="auto"/>
              </w:rPr>
            </w:pPr>
            <w:r>
              <w:rPr>
                <w:rFonts w:ascii="Arial" w:cs="Arial" w:eastAsia="Arial" w:hAnsi="Arial"/>
                <w:sz w:val="15"/>
                <w:szCs w:val="15"/>
                <w:color w:val="auto"/>
              </w:rPr>
              <w:t>(3,789)</w:t>
            </w:r>
          </w:p>
        </w:tc>
        <w:tc>
          <w:tcPr>
            <w:tcW w:w="200" w:type="dxa"/>
            <w:vAlign w:val="bottom"/>
          </w:tcPr>
          <w:p>
            <w:pPr>
              <w:spacing w:after="0"/>
              <w:rPr>
                <w:sz w:val="24"/>
                <w:szCs w:val="24"/>
                <w:color w:val="auto"/>
              </w:rPr>
            </w:pPr>
          </w:p>
        </w:tc>
        <w:tc>
          <w:tcPr>
            <w:tcW w:w="140" w:type="dxa"/>
            <w:vAlign w:val="bottom"/>
          </w:tcPr>
          <w:p>
            <w:pPr>
              <w:ind w:left="20"/>
              <w:spacing w:after="0"/>
              <w:rPr>
                <w:sz w:val="20"/>
                <w:szCs w:val="20"/>
                <w:color w:val="auto"/>
              </w:rPr>
            </w:pPr>
            <w:r>
              <w:rPr>
                <w:rFonts w:ascii="Arial" w:cs="Arial" w:eastAsia="Arial" w:hAnsi="Arial"/>
                <w:sz w:val="15"/>
                <w:szCs w:val="15"/>
                <w:color w:val="auto"/>
              </w:rPr>
              <w:t>$</w:t>
            </w:r>
          </w:p>
        </w:tc>
        <w:tc>
          <w:tcPr>
            <w:tcW w:w="1200" w:type="dxa"/>
            <w:vAlign w:val="bottom"/>
          </w:tcPr>
          <w:p>
            <w:pPr>
              <w:jc w:val="right"/>
              <w:spacing w:after="0"/>
              <w:rPr>
                <w:sz w:val="20"/>
                <w:szCs w:val="20"/>
                <w:color w:val="auto"/>
              </w:rPr>
            </w:pPr>
            <w:r>
              <w:rPr>
                <w:rFonts w:ascii="Arial" w:cs="Arial" w:eastAsia="Arial" w:hAnsi="Arial"/>
                <w:sz w:val="15"/>
                <w:szCs w:val="15"/>
                <w:color w:val="auto"/>
              </w:rPr>
              <w:t>(956)</w:t>
            </w:r>
          </w:p>
        </w:tc>
        <w:tc>
          <w:tcPr>
            <w:tcW w:w="2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80" w:type="dxa"/>
            <w:vAlign w:val="bottom"/>
          </w:tcPr>
          <w:p>
            <w:pPr>
              <w:jc w:val="center"/>
              <w:ind w:left="611"/>
              <w:spacing w:after="0"/>
              <w:rPr>
                <w:sz w:val="20"/>
                <w:szCs w:val="20"/>
                <w:color w:val="auto"/>
              </w:rPr>
            </w:pPr>
            <w:r>
              <w:rPr>
                <w:rFonts w:ascii="Arial" w:cs="Arial" w:eastAsia="Arial" w:hAnsi="Arial"/>
                <w:sz w:val="15"/>
                <w:szCs w:val="15"/>
                <w:color w:val="auto"/>
              </w:rPr>
              <w:t>4,148</w:t>
            </w:r>
          </w:p>
        </w:tc>
        <w:tc>
          <w:tcPr>
            <w:tcW w:w="0" w:type="dxa"/>
            <w:vAlign w:val="bottom"/>
          </w:tcPr>
          <w:p>
            <w:pPr>
              <w:spacing w:after="0"/>
              <w:rPr>
                <w:sz w:val="1"/>
                <w:szCs w:val="1"/>
                <w:color w:val="auto"/>
              </w:rPr>
            </w:pPr>
          </w:p>
        </w:tc>
      </w:tr>
      <w:tr>
        <w:trPr>
          <w:trHeight w:val="206"/>
        </w:trPr>
        <w:tc>
          <w:tcPr>
            <w:tcW w:w="1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(99)</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(6)</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0" w:type="dxa"/>
            <w:vAlign w:val="bottom"/>
            <w:gridSpan w:val="2"/>
          </w:tcPr>
          <w:p>
            <w:pPr>
              <w:ind w:left="98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1180" w:type="dxa"/>
            <w:vAlign w:val="bottom"/>
          </w:tcPr>
          <w:p>
            <w:pPr>
              <w:jc w:val="center"/>
              <w:ind w:left="591"/>
              <w:spacing w:after="0"/>
              <w:rPr>
                <w:sz w:val="20"/>
                <w:szCs w:val="20"/>
                <w:color w:val="auto"/>
              </w:rPr>
            </w:pPr>
            <w:r>
              <w:rPr>
                <w:rFonts w:ascii="Arial" w:cs="Arial" w:eastAsia="Arial" w:hAnsi="Arial"/>
                <w:sz w:val="15"/>
                <w:szCs w:val="15"/>
                <w:color w:val="auto"/>
              </w:rPr>
              <w:t>(2,955)</w:t>
            </w:r>
          </w:p>
        </w:tc>
        <w:tc>
          <w:tcPr>
            <w:tcW w:w="0" w:type="dxa"/>
            <w:vAlign w:val="bottom"/>
          </w:tcPr>
          <w:p>
            <w:pPr>
              <w:spacing w:after="0"/>
              <w:rPr>
                <w:sz w:val="1"/>
                <w:szCs w:val="1"/>
                <w:color w:val="auto"/>
              </w:rPr>
            </w:pPr>
          </w:p>
        </w:tc>
      </w:tr>
      <w:tr>
        <w:trPr>
          <w:trHeight w:val="206"/>
        </w:trPr>
        <w:tc>
          <w:tcPr>
            <w:tcW w:w="1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(444)</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(174)</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(814)</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jc w:val="center"/>
              <w:ind w:left="591"/>
              <w:spacing w:after="0"/>
              <w:rPr>
                <w:sz w:val="20"/>
                <w:szCs w:val="20"/>
                <w:color w:val="auto"/>
              </w:rPr>
            </w:pPr>
            <w:r>
              <w:rPr>
                <w:rFonts w:ascii="Arial" w:cs="Arial" w:eastAsia="Arial" w:hAnsi="Arial"/>
                <w:sz w:val="15"/>
                <w:szCs w:val="15"/>
                <w:color w:val="auto"/>
              </w:rPr>
              <w:t>(1,136)</w:t>
            </w:r>
          </w:p>
        </w:tc>
        <w:tc>
          <w:tcPr>
            <w:tcW w:w="0" w:type="dxa"/>
            <w:vAlign w:val="bottom"/>
          </w:tcPr>
          <w:p>
            <w:pPr>
              <w:spacing w:after="0"/>
              <w:rPr>
                <w:sz w:val="1"/>
                <w:szCs w:val="1"/>
                <w:color w:val="auto"/>
              </w:rPr>
            </w:pPr>
          </w:p>
        </w:tc>
      </w:tr>
      <w:tr>
        <w:trPr>
          <w:trHeight w:val="207"/>
        </w:trPr>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2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(2,787)</w:t>
            </w:r>
          </w:p>
        </w:tc>
        <w:tc>
          <w:tcPr>
            <w:tcW w:w="2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center"/>
              <w:ind w:left="611"/>
              <w:spacing w:after="0"/>
              <w:rPr>
                <w:sz w:val="20"/>
                <w:szCs w:val="20"/>
                <w:color w:val="auto"/>
              </w:rPr>
            </w:pPr>
            <w:r>
              <w:rPr>
                <w:rFonts w:ascii="Arial" w:cs="Arial" w:eastAsia="Arial" w:hAnsi="Arial"/>
                <w:sz w:val="15"/>
                <w:szCs w:val="15"/>
                <w:color w:val="auto"/>
              </w:rPr>
              <w:t>6,860</w:t>
            </w:r>
          </w:p>
        </w:tc>
        <w:tc>
          <w:tcPr>
            <w:tcW w:w="0" w:type="dxa"/>
            <w:vAlign w:val="bottom"/>
          </w:tcPr>
          <w:p>
            <w:pPr>
              <w:spacing w:after="0"/>
              <w:rPr>
                <w:sz w:val="1"/>
                <w:szCs w:val="1"/>
                <w:color w:val="auto"/>
              </w:rPr>
            </w:pPr>
          </w:p>
        </w:tc>
      </w:tr>
      <w:tr>
        <w:trPr>
          <w:trHeight w:val="199"/>
        </w:trPr>
        <w:tc>
          <w:tcPr>
            <w:tcW w:w="120" w:type="dxa"/>
            <w:vAlign w:val="bottom"/>
          </w:tcPr>
          <w:p>
            <w:pPr>
              <w:spacing w:after="0"/>
              <w:rPr>
                <w:sz w:val="20"/>
                <w:szCs w:val="20"/>
                <w:color w:val="auto"/>
              </w:rPr>
            </w:pPr>
            <w:r>
              <w:rPr>
                <w:rFonts w:ascii="Arial" w:cs="Arial" w:eastAsia="Arial" w:hAnsi="Arial"/>
                <w:sz w:val="15"/>
                <w:szCs w:val="15"/>
                <w:color w:val="auto"/>
              </w:rPr>
              <w:t>$</w:t>
            </w:r>
          </w:p>
        </w:tc>
        <w:tc>
          <w:tcPr>
            <w:tcW w:w="1160" w:type="dxa"/>
            <w:vAlign w:val="bottom"/>
          </w:tcPr>
          <w:p>
            <w:pPr>
              <w:jc w:val="right"/>
              <w:spacing w:after="0"/>
              <w:rPr>
                <w:sz w:val="20"/>
                <w:szCs w:val="20"/>
                <w:color w:val="auto"/>
              </w:rPr>
            </w:pPr>
            <w:r>
              <w:rPr>
                <w:rFonts w:ascii="Arial" w:cs="Arial" w:eastAsia="Arial" w:hAnsi="Arial"/>
                <w:sz w:val="15"/>
                <w:szCs w:val="15"/>
                <w:color w:val="auto"/>
              </w:rPr>
              <w:t>(2,367)</w:t>
            </w:r>
          </w:p>
        </w:tc>
        <w:tc>
          <w:tcPr>
            <w:tcW w:w="360" w:type="dxa"/>
            <w:vAlign w:val="bottom"/>
            <w:gridSpan w:val="3"/>
          </w:tcPr>
          <w:p>
            <w:pPr>
              <w:jc w:val="right"/>
              <w:ind w:right="20"/>
              <w:spacing w:after="0"/>
              <w:rPr>
                <w:sz w:val="20"/>
                <w:szCs w:val="20"/>
                <w:color w:val="auto"/>
              </w:rPr>
            </w:pPr>
            <w:r>
              <w:rPr>
                <w:rFonts w:ascii="Arial" w:cs="Arial" w:eastAsia="Arial" w:hAnsi="Arial"/>
                <w:sz w:val="15"/>
                <w:szCs w:val="15"/>
                <w:color w:val="auto"/>
              </w:rPr>
              <w:t>$</w:t>
            </w:r>
          </w:p>
        </w:tc>
        <w:tc>
          <w:tcPr>
            <w:tcW w:w="1200" w:type="dxa"/>
            <w:vAlign w:val="bottom"/>
          </w:tcPr>
          <w:p>
            <w:pPr>
              <w:jc w:val="right"/>
              <w:spacing w:after="0"/>
              <w:rPr>
                <w:sz w:val="20"/>
                <w:szCs w:val="20"/>
                <w:color w:val="auto"/>
              </w:rPr>
            </w:pPr>
            <w:r>
              <w:rPr>
                <w:rFonts w:ascii="Arial" w:cs="Arial" w:eastAsia="Arial" w:hAnsi="Arial"/>
                <w:sz w:val="15"/>
                <w:szCs w:val="15"/>
                <w:color w:val="auto"/>
              </w:rPr>
              <w:t>(3,969)</w:t>
            </w:r>
          </w:p>
        </w:tc>
        <w:tc>
          <w:tcPr>
            <w:tcW w:w="200" w:type="dxa"/>
            <w:vAlign w:val="bottom"/>
          </w:tcPr>
          <w:p>
            <w:pPr>
              <w:spacing w:after="0"/>
              <w:rPr>
                <w:sz w:val="17"/>
                <w:szCs w:val="17"/>
                <w:color w:val="auto"/>
              </w:rPr>
            </w:pPr>
          </w:p>
        </w:tc>
        <w:tc>
          <w:tcPr>
            <w:tcW w:w="140" w:type="dxa"/>
            <w:vAlign w:val="bottom"/>
          </w:tcPr>
          <w:p>
            <w:pPr>
              <w:ind w:left="20"/>
              <w:spacing w:after="0"/>
              <w:rPr>
                <w:sz w:val="20"/>
                <w:szCs w:val="20"/>
                <w:color w:val="auto"/>
              </w:rPr>
            </w:pPr>
            <w:r>
              <w:rPr>
                <w:rFonts w:ascii="Arial" w:cs="Arial" w:eastAsia="Arial" w:hAnsi="Arial"/>
                <w:sz w:val="15"/>
                <w:szCs w:val="15"/>
                <w:color w:val="auto"/>
              </w:rPr>
              <w:t>$</w:t>
            </w:r>
          </w:p>
        </w:tc>
        <w:tc>
          <w:tcPr>
            <w:tcW w:w="1200" w:type="dxa"/>
            <w:vAlign w:val="bottom"/>
          </w:tcPr>
          <w:p>
            <w:pPr>
              <w:jc w:val="right"/>
              <w:spacing w:after="0"/>
              <w:rPr>
                <w:sz w:val="20"/>
                <w:szCs w:val="20"/>
                <w:color w:val="auto"/>
              </w:rPr>
            </w:pPr>
            <w:r>
              <w:rPr>
                <w:rFonts w:ascii="Arial" w:cs="Arial" w:eastAsia="Arial" w:hAnsi="Arial"/>
                <w:sz w:val="15"/>
                <w:szCs w:val="15"/>
                <w:color w:val="auto"/>
              </w:rPr>
              <w:t>(4,557)</w:t>
            </w:r>
          </w:p>
        </w:tc>
        <w:tc>
          <w:tcPr>
            <w:tcW w:w="2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80" w:type="dxa"/>
            <w:vAlign w:val="bottom"/>
          </w:tcPr>
          <w:p>
            <w:pPr>
              <w:jc w:val="center"/>
              <w:ind w:left="611"/>
              <w:spacing w:after="0"/>
              <w:rPr>
                <w:sz w:val="20"/>
                <w:szCs w:val="20"/>
                <w:color w:val="auto"/>
              </w:rPr>
            </w:pPr>
            <w:r>
              <w:rPr>
                <w:rFonts w:ascii="Arial" w:cs="Arial" w:eastAsia="Arial" w:hAnsi="Arial"/>
                <w:sz w:val="15"/>
                <w:szCs w:val="15"/>
                <w:color w:val="auto"/>
              </w:rPr>
              <w:t>6,917</w:t>
            </w:r>
          </w:p>
        </w:tc>
        <w:tc>
          <w:tcPr>
            <w:tcW w:w="0" w:type="dxa"/>
            <w:vAlign w:val="bottom"/>
          </w:tcPr>
          <w:p>
            <w:pPr>
              <w:spacing w:after="0"/>
              <w:rPr>
                <w:sz w:val="1"/>
                <w:szCs w:val="1"/>
                <w:color w:val="auto"/>
              </w:rPr>
            </w:pPr>
          </w:p>
        </w:tc>
      </w:tr>
      <w:tr>
        <w:trPr>
          <w:trHeight w:val="20"/>
        </w:trPr>
        <w:tc>
          <w:tcPr>
            <w:tcW w:w="1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7" w:lineRule="exact"/>
        <w:rPr>
          <w:sz w:val="20"/>
          <w:szCs w:val="20"/>
          <w:color w:val="auto"/>
        </w:rPr>
      </w:pPr>
    </w:p>
    <w:p>
      <w:pPr>
        <w:sectPr>
          <w:pgSz w:w="11900" w:h="16838" w:orient="portrait"/>
          <w:cols w:equalWidth="0" w:num="2">
            <w:col w:w="4540" w:space="720"/>
            <w:col w:w="5960"/>
          </w:cols>
          <w:pgMar w:left="320" w:top="353" w:right="359" w:bottom="1440" w:gutter="0" w:footer="0" w:header="0"/>
          <w:type w:val="continuous"/>
        </w:sectPr>
      </w:pPr>
    </w:p>
    <w:p>
      <w:pPr>
        <w:spacing w:after="0"/>
        <w:rPr>
          <w:sz w:val="20"/>
          <w:szCs w:val="20"/>
          <w:color w:val="auto"/>
        </w:rPr>
      </w:pPr>
      <w:r>
        <w:rPr>
          <w:rFonts w:ascii="Arial" w:cs="Arial" w:eastAsia="Arial" w:hAnsi="Arial"/>
          <w:sz w:val="17"/>
          <w:szCs w:val="17"/>
          <w:b w:val="1"/>
          <w:bCs w:val="1"/>
          <w:color w:val="auto"/>
        </w:rPr>
        <w:t>Balance Sheet Offsetting</w:t>
      </w:r>
    </w:p>
    <w:p>
      <w:pPr>
        <w:spacing w:after="0" w:line="167" w:lineRule="exact"/>
        <w:rPr>
          <w:sz w:val="20"/>
          <w:szCs w:val="20"/>
          <w:color w:val="auto"/>
        </w:rPr>
      </w:pPr>
    </w:p>
    <w:p>
      <w:pPr>
        <w:ind w:firstLine="619"/>
        <w:spacing w:after="0" w:line="258" w:lineRule="auto"/>
        <w:rPr>
          <w:sz w:val="20"/>
          <w:szCs w:val="20"/>
          <w:color w:val="auto"/>
        </w:rPr>
      </w:pPr>
      <w:r>
        <w:rPr>
          <w:rFonts w:ascii="Arial" w:cs="Arial" w:eastAsia="Arial" w:hAnsi="Arial"/>
          <w:sz w:val="17"/>
          <w:szCs w:val="17"/>
          <w:color w:val="auto"/>
        </w:rPr>
        <w:t>The Company recognizes all derivatives as assets or liabilities at fair value in its consolidated statements of financial condition. In connection with its derivative activities, the Company generally enters into agreements subject to enforceable master netting arrangements that allow the Company to offset derivative assets and liabilities in the same currency by specific derivative type or, in the event of default by the counterparty, to offset derivative assets and liabilities with the same counterparty. While these derivatives are eligible to be offset in accordance with applicable accounting guidance, the Company has elected to present derivative assets and liabilities based on gross fair value in its consolidated statements of financial condition. The table below sets forth the setoff rights and related arrangements associated with derivatives held by the Company. The “gross amounts not offset in statements of financial condition” columns represent derivatives that management has elected not to offset in the consolidated statements of financial condition even though they are eligible to be offset in accordance with applicable accounting guidance.</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28</w:t>
      </w:r>
    </w:p>
    <w:p>
      <w:pPr>
        <w:sectPr>
          <w:pgSz w:w="11900" w:h="16838" w:orient="portrait"/>
          <w:cols w:equalWidth="0" w:num="1">
            <w:col w:w="11220"/>
          </w:cols>
          <w:pgMar w:left="320" w:top="353" w:right="359" w:bottom="1440" w:gutter="0" w:footer="0" w:header="0"/>
          <w:type w:val="continuous"/>
        </w:sectPr>
      </w:pPr>
    </w:p>
    <w:bookmarkStart w:id="168" w:name="page169"/>
    <w:bookmarkEnd w:id="168"/>
    <w:p>
      <w:pPr>
        <w:jc w:val="center"/>
        <w:spacing w:after="0"/>
        <w:rPr>
          <w:sz w:val="20"/>
          <w:szCs w:val="20"/>
          <w:color w:val="auto"/>
        </w:rPr>
      </w:pPr>
      <w:r>
        <w:rPr>
          <w:rFonts w:ascii="Arial" w:cs="Arial" w:eastAsia="Arial" w:hAnsi="Arial"/>
          <w:sz w:val="17"/>
          <w:szCs w:val="17"/>
          <w:b w:val="1"/>
          <w:bCs w:val="1"/>
          <w:color w:val="auto"/>
        </w:rPr>
        <w:t>Oaktree Capital I, L.P.</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 (Continued)</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December 31, 2025</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 in thousands, except where noted)</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142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20" w:type="dxa"/>
            <w:vAlign w:val="bottom"/>
            <w:gridSpan w:val="5"/>
          </w:tcPr>
          <w:p>
            <w:pPr>
              <w:ind w:left="20"/>
              <w:spacing w:after="0"/>
              <w:rPr>
                <w:sz w:val="20"/>
                <w:szCs w:val="20"/>
                <w:color w:val="auto"/>
              </w:rPr>
            </w:pPr>
            <w:r>
              <w:rPr>
                <w:rFonts w:ascii="Arial" w:cs="Arial" w:eastAsia="Arial" w:hAnsi="Arial"/>
                <w:sz w:val="12"/>
                <w:szCs w:val="12"/>
                <w:b w:val="1"/>
                <w:bCs w:val="1"/>
                <w:color w:val="auto"/>
              </w:rPr>
              <w:t>Gross Amounts Not Offset in Statements of</w:t>
            </w:r>
          </w:p>
        </w:tc>
        <w:tc>
          <w:tcPr>
            <w:tcW w:w="1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1420" w:type="dxa"/>
            <w:vAlign w:val="bottom"/>
          </w:tcPr>
          <w:p>
            <w:pPr>
              <w:spacing w:after="0"/>
              <w:rPr>
                <w:sz w:val="15"/>
                <w:szCs w:val="15"/>
                <w:color w:val="auto"/>
              </w:rPr>
            </w:pPr>
          </w:p>
        </w:tc>
        <w:tc>
          <w:tcPr>
            <w:tcW w:w="4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600" w:type="dxa"/>
            <w:vAlign w:val="bottom"/>
            <w:tcBorders>
              <w:bottom w:val="single" w:sz="8" w:color="auto"/>
            </w:tcBorders>
            <w:gridSpan w:val="4"/>
          </w:tcPr>
          <w:p>
            <w:pPr>
              <w:ind w:left="700"/>
              <w:spacing w:after="0"/>
              <w:rPr>
                <w:sz w:val="20"/>
                <w:szCs w:val="20"/>
                <w:color w:val="auto"/>
              </w:rPr>
            </w:pPr>
            <w:r>
              <w:rPr>
                <w:rFonts w:ascii="Arial" w:cs="Arial" w:eastAsia="Arial" w:hAnsi="Arial"/>
                <w:sz w:val="12"/>
                <w:szCs w:val="12"/>
                <w:b w:val="1"/>
                <w:bCs w:val="1"/>
                <w:color w:val="auto"/>
              </w:rPr>
              <w:t>Financial Condition</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142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2"/>
                <w:szCs w:val="12"/>
                <w:b w:val="1"/>
                <w:bCs w:val="1"/>
                <w:color w:val="auto"/>
              </w:rPr>
              <w:t>Gross Amounts of</w:t>
            </w:r>
          </w:p>
        </w:tc>
        <w:tc>
          <w:tcPr>
            <w:tcW w:w="100" w:type="dxa"/>
            <w:vAlign w:val="bottom"/>
          </w:tcPr>
          <w:p>
            <w:pPr>
              <w:spacing w:after="0"/>
              <w:rPr>
                <w:sz w:val="12"/>
                <w:szCs w:val="12"/>
                <w:color w:val="auto"/>
              </w:rPr>
            </w:pPr>
          </w:p>
        </w:tc>
        <w:tc>
          <w:tcPr>
            <w:tcW w:w="136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Derivative Assets</w:t>
            </w:r>
          </w:p>
        </w:tc>
        <w:tc>
          <w:tcPr>
            <w:tcW w:w="140" w:type="dxa"/>
            <w:vAlign w:val="bottom"/>
          </w:tcPr>
          <w:p>
            <w:pPr>
              <w:spacing w:after="0"/>
              <w:rPr>
                <w:sz w:val="12"/>
                <w:szCs w:val="12"/>
                <w:color w:val="auto"/>
              </w:rPr>
            </w:pPr>
          </w:p>
        </w:tc>
        <w:tc>
          <w:tcPr>
            <w:tcW w:w="132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Cash Collateral</w:t>
            </w:r>
          </w:p>
        </w:tc>
        <w:tc>
          <w:tcPr>
            <w:tcW w:w="1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6"/>
        </w:trPr>
        <w:tc>
          <w:tcPr>
            <w:tcW w:w="1420" w:type="dxa"/>
            <w:vAlign w:val="bottom"/>
            <w:vMerge w:val="restart"/>
          </w:tcPr>
          <w:p>
            <w:pPr>
              <w:spacing w:after="0"/>
              <w:rPr>
                <w:sz w:val="20"/>
                <w:szCs w:val="20"/>
                <w:color w:val="auto"/>
              </w:rPr>
            </w:pPr>
            <w:r>
              <w:rPr>
                <w:rFonts w:ascii="Arial" w:cs="Arial" w:eastAsia="Arial" w:hAnsi="Arial"/>
                <w:sz w:val="12"/>
                <w:szCs w:val="12"/>
                <w:b w:val="1"/>
                <w:bCs w:val="1"/>
                <w:color w:val="auto"/>
                <w:w w:val="98"/>
              </w:rPr>
              <w:t>As of December 31, 2025</w:t>
            </w:r>
          </w:p>
        </w:tc>
        <w:tc>
          <w:tcPr>
            <w:tcW w:w="4180" w:type="dxa"/>
            <w:vAlign w:val="bottom"/>
            <w:vMerge w:val="restart"/>
          </w:tcPr>
          <w:p>
            <w:pPr>
              <w:spacing w:after="0"/>
              <w:rPr>
                <w:sz w:val="10"/>
                <w:szCs w:val="10"/>
                <w:color w:val="auto"/>
              </w:rPr>
            </w:pPr>
          </w:p>
        </w:tc>
        <w:tc>
          <w:tcPr>
            <w:tcW w:w="1460" w:type="dxa"/>
            <w:vAlign w:val="bottom"/>
            <w:gridSpan w:val="3"/>
          </w:tcPr>
          <w:p>
            <w:pPr>
              <w:jc w:val="center"/>
              <w:ind w:right="200"/>
              <w:spacing w:after="0" w:line="116" w:lineRule="exact"/>
              <w:rPr>
                <w:sz w:val="20"/>
                <w:szCs w:val="20"/>
                <w:color w:val="auto"/>
              </w:rPr>
            </w:pPr>
            <w:r>
              <w:rPr>
                <w:rFonts w:ascii="Arial" w:cs="Arial" w:eastAsia="Arial" w:hAnsi="Arial"/>
                <w:sz w:val="12"/>
                <w:szCs w:val="12"/>
                <w:b w:val="1"/>
                <w:bCs w:val="1"/>
                <w:color w:val="auto"/>
                <w:w w:val="99"/>
              </w:rPr>
              <w:t>Assets (Liabilities)</w:t>
            </w:r>
          </w:p>
        </w:tc>
        <w:tc>
          <w:tcPr>
            <w:tcW w:w="100" w:type="dxa"/>
            <w:vAlign w:val="bottom"/>
          </w:tcPr>
          <w:p>
            <w:pPr>
              <w:spacing w:after="0"/>
              <w:rPr>
                <w:sz w:val="10"/>
                <w:szCs w:val="10"/>
                <w:color w:val="auto"/>
              </w:rPr>
            </w:pPr>
          </w:p>
        </w:tc>
        <w:tc>
          <w:tcPr>
            <w:tcW w:w="136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132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1060" w:type="dxa"/>
            <w:vAlign w:val="bottom"/>
            <w:vMerge w:val="restart"/>
          </w:tcPr>
          <w:p>
            <w:pPr>
              <w:jc w:val="right"/>
              <w:ind w:right="208"/>
              <w:spacing w:after="0"/>
              <w:rPr>
                <w:sz w:val="20"/>
                <w:szCs w:val="20"/>
                <w:color w:val="auto"/>
              </w:rPr>
            </w:pPr>
            <w:r>
              <w:rPr>
                <w:rFonts w:ascii="Arial" w:cs="Arial" w:eastAsia="Arial" w:hAnsi="Arial"/>
                <w:sz w:val="12"/>
                <w:szCs w:val="12"/>
                <w:b w:val="1"/>
                <w:bCs w:val="1"/>
                <w:color w:val="auto"/>
              </w:rPr>
              <w:t>Net Amount</w:t>
            </w:r>
          </w:p>
        </w:tc>
        <w:tc>
          <w:tcPr>
            <w:tcW w:w="0" w:type="dxa"/>
            <w:vAlign w:val="bottom"/>
          </w:tcPr>
          <w:p>
            <w:pPr>
              <w:spacing w:after="0"/>
              <w:rPr>
                <w:sz w:val="1"/>
                <w:szCs w:val="1"/>
                <w:color w:val="auto"/>
              </w:rPr>
            </w:pPr>
          </w:p>
        </w:tc>
      </w:tr>
      <w:tr>
        <w:trPr>
          <w:trHeight w:val="147"/>
        </w:trPr>
        <w:tc>
          <w:tcPr>
            <w:tcW w:w="1420" w:type="dxa"/>
            <w:vAlign w:val="bottom"/>
            <w:tcBorders>
              <w:bottom w:val="single" w:sz="8" w:color="auto"/>
            </w:tcBorders>
            <w:vMerge w:val="continue"/>
          </w:tcPr>
          <w:p>
            <w:pPr>
              <w:spacing w:after="0"/>
              <w:rPr>
                <w:sz w:val="12"/>
                <w:szCs w:val="12"/>
                <w:color w:val="auto"/>
              </w:rPr>
            </w:pPr>
          </w:p>
        </w:tc>
        <w:tc>
          <w:tcPr>
            <w:tcW w:w="41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2"/>
                <w:szCs w:val="12"/>
                <w:b w:val="1"/>
                <w:bCs w:val="1"/>
                <w:color w:val="auto"/>
                <w:w w:val="99"/>
              </w:rPr>
              <w:t>Presented</w:t>
            </w:r>
          </w:p>
        </w:tc>
        <w:tc>
          <w:tcPr>
            <w:tcW w:w="100" w:type="dxa"/>
            <w:vAlign w:val="bottom"/>
          </w:tcPr>
          <w:p>
            <w:pPr>
              <w:spacing w:after="0"/>
              <w:rPr>
                <w:sz w:val="12"/>
                <w:szCs w:val="12"/>
                <w:color w:val="auto"/>
              </w:rPr>
            </w:pPr>
          </w:p>
        </w:tc>
        <w:tc>
          <w:tcPr>
            <w:tcW w:w="1360" w:type="dxa"/>
            <w:vAlign w:val="bottom"/>
            <w:gridSpan w:val="2"/>
          </w:tcPr>
          <w:p>
            <w:pPr>
              <w:ind w:left="200"/>
              <w:spacing w:after="0"/>
              <w:rPr>
                <w:sz w:val="20"/>
                <w:szCs w:val="20"/>
                <w:color w:val="auto"/>
              </w:rPr>
            </w:pPr>
            <w:r>
              <w:rPr>
                <w:rFonts w:ascii="Arial" w:cs="Arial" w:eastAsia="Arial" w:hAnsi="Arial"/>
                <w:sz w:val="12"/>
                <w:szCs w:val="12"/>
                <w:b w:val="1"/>
                <w:bCs w:val="1"/>
                <w:color w:val="auto"/>
              </w:rPr>
              <w:t>(Liabilities)</w:t>
            </w:r>
          </w:p>
        </w:tc>
        <w:tc>
          <w:tcPr>
            <w:tcW w:w="1460" w:type="dxa"/>
            <w:vAlign w:val="bottom"/>
            <w:gridSpan w:val="3"/>
          </w:tcPr>
          <w:p>
            <w:pPr>
              <w:jc w:val="right"/>
              <w:ind w:right="280"/>
              <w:spacing w:after="0"/>
              <w:rPr>
                <w:sz w:val="20"/>
                <w:szCs w:val="20"/>
                <w:color w:val="auto"/>
              </w:rPr>
            </w:pPr>
            <w:r>
              <w:rPr>
                <w:rFonts w:ascii="Arial" w:cs="Arial" w:eastAsia="Arial" w:hAnsi="Arial"/>
                <w:sz w:val="12"/>
                <w:szCs w:val="12"/>
                <w:b w:val="1"/>
                <w:bCs w:val="1"/>
                <w:color w:val="auto"/>
              </w:rPr>
              <w:t>Received (Pledged)</w:t>
            </w:r>
          </w:p>
        </w:tc>
        <w:tc>
          <w:tcPr>
            <w:tcW w:w="18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600" w:type="dxa"/>
            <w:vAlign w:val="bottom"/>
            <w:gridSpan w:val="2"/>
            <w:vMerge w:val="restart"/>
          </w:tcPr>
          <w:p>
            <w:pPr>
              <w:spacing w:after="0"/>
              <w:rPr>
                <w:sz w:val="20"/>
                <w:szCs w:val="20"/>
                <w:color w:val="auto"/>
              </w:rPr>
            </w:pPr>
            <w:r>
              <w:rPr>
                <w:rFonts w:ascii="Arial" w:cs="Arial" w:eastAsia="Arial" w:hAnsi="Arial"/>
                <w:sz w:val="15"/>
                <w:szCs w:val="15"/>
                <w:b w:val="1"/>
                <w:bCs w:val="1"/>
                <w:color w:val="auto"/>
              </w:rPr>
              <w:t>Derivative Assets:</w:t>
            </w: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56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5600" w:type="dxa"/>
            <w:vAlign w:val="bottom"/>
            <w:gridSpan w:val="2"/>
          </w:tcPr>
          <w:p>
            <w:pPr>
              <w:spacing w:after="0"/>
              <w:rPr>
                <w:sz w:val="20"/>
                <w:szCs w:val="20"/>
                <w:color w:val="auto"/>
              </w:rPr>
            </w:pPr>
            <w:r>
              <w:rPr>
                <w:rFonts w:ascii="Arial" w:cs="Arial" w:eastAsia="Arial" w:hAnsi="Arial"/>
                <w:sz w:val="15"/>
                <w:szCs w:val="15"/>
                <w:color w:val="auto"/>
              </w:rPr>
              <w:t>Foreign-currency forward contracts</w:t>
            </w: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60" w:type="dxa"/>
            <w:vAlign w:val="bottom"/>
          </w:tcPr>
          <w:p>
            <w:pPr>
              <w:jc w:val="right"/>
              <w:ind w:right="9"/>
              <w:spacing w:after="0"/>
              <w:rPr>
                <w:sz w:val="20"/>
                <w:szCs w:val="20"/>
                <w:color w:val="auto"/>
              </w:rPr>
            </w:pPr>
            <w:r>
              <w:rPr>
                <w:rFonts w:ascii="Arial" w:cs="Arial" w:eastAsia="Arial" w:hAnsi="Arial"/>
                <w:sz w:val="15"/>
                <w:szCs w:val="15"/>
                <w:color w:val="auto"/>
              </w:rPr>
              <w:t>3,628</w:t>
            </w:r>
          </w:p>
        </w:tc>
        <w:tc>
          <w:tcPr>
            <w:tcW w:w="2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360" w:type="dxa"/>
            <w:vAlign w:val="bottom"/>
            <w:gridSpan w:val="2"/>
          </w:tcPr>
          <w:p>
            <w:pPr>
              <w:ind w:left="940"/>
              <w:spacing w:after="0"/>
              <w:rPr>
                <w:sz w:val="20"/>
                <w:szCs w:val="20"/>
                <w:color w:val="auto"/>
              </w:rPr>
            </w:pPr>
            <w:r>
              <w:rPr>
                <w:rFonts w:ascii="Arial" w:cs="Arial" w:eastAsia="Arial" w:hAnsi="Arial"/>
                <w:sz w:val="15"/>
                <w:szCs w:val="15"/>
                <w:color w:val="auto"/>
              </w:rPr>
              <w:t>—</w:t>
            </w: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32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180" w:type="dxa"/>
            <w:vAlign w:val="bottom"/>
          </w:tcPr>
          <w:p>
            <w:pPr>
              <w:jc w:val="right"/>
              <w:ind w:right="7"/>
              <w:spacing w:after="0"/>
              <w:rPr>
                <w:sz w:val="20"/>
                <w:szCs w:val="20"/>
                <w:color w:val="auto"/>
              </w:rPr>
            </w:pPr>
            <w:r>
              <w:rPr>
                <w:rFonts w:ascii="Arial" w:cs="Arial" w:eastAsia="Arial" w:hAnsi="Arial"/>
                <w:sz w:val="15"/>
                <w:szCs w:val="15"/>
                <w:color w:val="auto"/>
                <w:w w:val="95"/>
              </w:rPr>
              <w:t>$</w:t>
            </w:r>
          </w:p>
        </w:tc>
        <w:tc>
          <w:tcPr>
            <w:tcW w:w="1060" w:type="dxa"/>
            <w:vAlign w:val="bottom"/>
          </w:tcPr>
          <w:p>
            <w:pPr>
              <w:jc w:val="right"/>
              <w:spacing w:after="0"/>
              <w:rPr>
                <w:sz w:val="20"/>
                <w:szCs w:val="20"/>
                <w:color w:val="auto"/>
              </w:rPr>
            </w:pPr>
            <w:r>
              <w:rPr>
                <w:rFonts w:ascii="Arial" w:cs="Arial" w:eastAsia="Arial" w:hAnsi="Arial"/>
                <w:sz w:val="15"/>
                <w:szCs w:val="15"/>
                <w:color w:val="auto"/>
              </w:rPr>
              <w:t>3,628</w:t>
            </w:r>
          </w:p>
        </w:tc>
        <w:tc>
          <w:tcPr>
            <w:tcW w:w="0" w:type="dxa"/>
            <w:vAlign w:val="bottom"/>
          </w:tcPr>
          <w:p>
            <w:pPr>
              <w:spacing w:after="0"/>
              <w:rPr>
                <w:sz w:val="1"/>
                <w:szCs w:val="1"/>
                <w:color w:val="auto"/>
              </w:rPr>
            </w:pPr>
          </w:p>
        </w:tc>
      </w:tr>
      <w:tr>
        <w:trPr>
          <w:trHeight w:val="173"/>
        </w:trPr>
        <w:tc>
          <w:tcPr>
            <w:tcW w:w="5600" w:type="dxa"/>
            <w:vAlign w:val="bottom"/>
            <w:gridSpan w:val="2"/>
          </w:tcPr>
          <w:p>
            <w:pPr>
              <w:ind w:left="160"/>
              <w:spacing w:after="0"/>
              <w:rPr>
                <w:sz w:val="20"/>
                <w:szCs w:val="20"/>
                <w:color w:val="auto"/>
              </w:rPr>
            </w:pPr>
            <w:r>
              <w:rPr>
                <w:rFonts w:ascii="Arial" w:cs="Arial" w:eastAsia="Arial" w:hAnsi="Arial"/>
                <w:sz w:val="15"/>
                <w:szCs w:val="15"/>
                <w:i w:val="1"/>
                <w:iCs w:val="1"/>
                <w:color w:val="auto"/>
              </w:rPr>
              <w:t>Derivative assets of consolidated funds:</w:t>
            </w:r>
          </w:p>
        </w:tc>
        <w:tc>
          <w:tcPr>
            <w:tcW w:w="10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5600" w:type="dxa"/>
            <w:vAlign w:val="bottom"/>
            <w:gridSpan w:val="2"/>
          </w:tcPr>
          <w:p>
            <w:pPr>
              <w:spacing w:after="0"/>
              <w:rPr>
                <w:sz w:val="20"/>
                <w:szCs w:val="20"/>
                <w:color w:val="auto"/>
              </w:rPr>
            </w:pPr>
            <w:r>
              <w:rPr>
                <w:rFonts w:ascii="Arial" w:cs="Arial" w:eastAsia="Arial" w:hAnsi="Arial"/>
                <w:sz w:val="15"/>
                <w:szCs w:val="15"/>
                <w:color w:val="auto"/>
              </w:rPr>
              <w:t>Foreign-currency forward contracts</w:t>
            </w:r>
          </w:p>
        </w:tc>
        <w:tc>
          <w:tcPr>
            <w:tcW w:w="100" w:type="dxa"/>
            <w:vAlign w:val="bottom"/>
          </w:tcPr>
          <w:p>
            <w:pPr>
              <w:spacing w:after="0"/>
              <w:rPr>
                <w:sz w:val="16"/>
                <w:szCs w:val="16"/>
                <w:color w:val="auto"/>
              </w:rPr>
            </w:pPr>
          </w:p>
        </w:tc>
        <w:tc>
          <w:tcPr>
            <w:tcW w:w="1160" w:type="dxa"/>
            <w:vAlign w:val="bottom"/>
          </w:tcPr>
          <w:p>
            <w:pPr>
              <w:jc w:val="right"/>
              <w:ind w:right="9"/>
              <w:spacing w:after="0"/>
              <w:rPr>
                <w:sz w:val="20"/>
                <w:szCs w:val="20"/>
                <w:color w:val="auto"/>
              </w:rPr>
            </w:pPr>
            <w:r>
              <w:rPr>
                <w:rFonts w:ascii="Arial" w:cs="Arial" w:eastAsia="Arial" w:hAnsi="Arial"/>
                <w:sz w:val="15"/>
                <w:szCs w:val="15"/>
                <w:color w:val="auto"/>
              </w:rPr>
              <w:t>57</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gridSpan w:val="2"/>
          </w:tcPr>
          <w:p>
            <w:pPr>
              <w:ind w:left="94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6"/>
                <w:szCs w:val="16"/>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57</w:t>
            </w:r>
          </w:p>
        </w:tc>
        <w:tc>
          <w:tcPr>
            <w:tcW w:w="0" w:type="dxa"/>
            <w:vAlign w:val="bottom"/>
          </w:tcPr>
          <w:p>
            <w:pPr>
              <w:spacing w:after="0"/>
              <w:rPr>
                <w:sz w:val="1"/>
                <w:szCs w:val="1"/>
                <w:color w:val="auto"/>
              </w:rPr>
            </w:pPr>
          </w:p>
        </w:tc>
      </w:tr>
      <w:tr>
        <w:trPr>
          <w:trHeight w:val="193"/>
        </w:trPr>
        <w:tc>
          <w:tcPr>
            <w:tcW w:w="5600" w:type="dxa"/>
            <w:vAlign w:val="bottom"/>
            <w:gridSpan w:val="2"/>
          </w:tcPr>
          <w:p>
            <w:pPr>
              <w:spacing w:after="0"/>
              <w:rPr>
                <w:sz w:val="20"/>
                <w:szCs w:val="20"/>
                <w:color w:val="auto"/>
              </w:rPr>
            </w:pPr>
            <w:r>
              <w:rPr>
                <w:rFonts w:ascii="Arial" w:cs="Arial" w:eastAsia="Arial" w:hAnsi="Arial"/>
                <w:sz w:val="15"/>
                <w:szCs w:val="15"/>
                <w:color w:val="auto"/>
              </w:rPr>
              <w:t>Total-return and interest-rate and credit default swaps</w:t>
            </w:r>
          </w:p>
        </w:tc>
        <w:tc>
          <w:tcPr>
            <w:tcW w:w="100" w:type="dxa"/>
            <w:vAlign w:val="bottom"/>
          </w:tcPr>
          <w:p>
            <w:pPr>
              <w:spacing w:after="0"/>
              <w:rPr>
                <w:sz w:val="16"/>
                <w:szCs w:val="16"/>
                <w:color w:val="auto"/>
              </w:rPr>
            </w:pPr>
          </w:p>
        </w:tc>
        <w:tc>
          <w:tcPr>
            <w:tcW w:w="1160" w:type="dxa"/>
            <w:vAlign w:val="bottom"/>
          </w:tcPr>
          <w:p>
            <w:pPr>
              <w:jc w:val="right"/>
              <w:ind w:right="9"/>
              <w:spacing w:after="0"/>
              <w:rPr>
                <w:sz w:val="20"/>
                <w:szCs w:val="20"/>
                <w:color w:val="auto"/>
              </w:rPr>
            </w:pPr>
            <w:r>
              <w:rPr>
                <w:rFonts w:ascii="Arial" w:cs="Arial" w:eastAsia="Arial" w:hAnsi="Arial"/>
                <w:sz w:val="15"/>
                <w:szCs w:val="15"/>
                <w:color w:val="auto"/>
              </w:rPr>
              <w:t>1,600</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gridSpan w:val="2"/>
          </w:tcPr>
          <w:p>
            <w:pPr>
              <w:ind w:left="94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6"/>
                <w:szCs w:val="16"/>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1,600</w:t>
            </w:r>
          </w:p>
        </w:tc>
        <w:tc>
          <w:tcPr>
            <w:tcW w:w="0" w:type="dxa"/>
            <w:vAlign w:val="bottom"/>
          </w:tcPr>
          <w:p>
            <w:pPr>
              <w:spacing w:after="0"/>
              <w:rPr>
                <w:sz w:val="1"/>
                <w:szCs w:val="1"/>
                <w:color w:val="auto"/>
              </w:rPr>
            </w:pPr>
          </w:p>
        </w:tc>
      </w:tr>
      <w:tr>
        <w:trPr>
          <w:trHeight w:val="193"/>
        </w:trPr>
        <w:tc>
          <w:tcPr>
            <w:tcW w:w="5600" w:type="dxa"/>
            <w:vAlign w:val="bottom"/>
            <w:gridSpan w:val="2"/>
          </w:tcPr>
          <w:p>
            <w:pPr>
              <w:spacing w:after="0"/>
              <w:rPr>
                <w:sz w:val="20"/>
                <w:szCs w:val="20"/>
                <w:color w:val="auto"/>
              </w:rPr>
            </w:pPr>
            <w:r>
              <w:rPr>
                <w:rFonts w:ascii="Arial" w:cs="Arial" w:eastAsia="Arial" w:hAnsi="Arial"/>
                <w:sz w:val="15"/>
                <w:szCs w:val="15"/>
                <w:color w:val="auto"/>
              </w:rPr>
              <w:t>Options and futures</w:t>
            </w:r>
          </w:p>
        </w:tc>
        <w:tc>
          <w:tcPr>
            <w:tcW w:w="100" w:type="dxa"/>
            <w:vAlign w:val="bottom"/>
          </w:tcPr>
          <w:p>
            <w:pPr>
              <w:spacing w:after="0"/>
              <w:rPr>
                <w:sz w:val="16"/>
                <w:szCs w:val="16"/>
                <w:color w:val="auto"/>
              </w:rPr>
            </w:pPr>
          </w:p>
        </w:tc>
        <w:tc>
          <w:tcPr>
            <w:tcW w:w="1160" w:type="dxa"/>
            <w:vAlign w:val="bottom"/>
          </w:tcPr>
          <w:p>
            <w:pPr>
              <w:jc w:val="right"/>
              <w:ind w:right="9"/>
              <w:spacing w:after="0"/>
              <w:rPr>
                <w:sz w:val="20"/>
                <w:szCs w:val="20"/>
                <w:color w:val="auto"/>
              </w:rPr>
            </w:pPr>
            <w:r>
              <w:rPr>
                <w:rFonts w:ascii="Arial" w:cs="Arial" w:eastAsia="Arial" w:hAnsi="Arial"/>
                <w:sz w:val="15"/>
                <w:szCs w:val="15"/>
                <w:color w:val="auto"/>
              </w:rPr>
              <w:t>112</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gridSpan w:val="2"/>
          </w:tcPr>
          <w:p>
            <w:pPr>
              <w:ind w:left="94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6"/>
                <w:szCs w:val="16"/>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112</w:t>
            </w:r>
          </w:p>
        </w:tc>
        <w:tc>
          <w:tcPr>
            <w:tcW w:w="0" w:type="dxa"/>
            <w:vAlign w:val="bottom"/>
          </w:tcPr>
          <w:p>
            <w:pPr>
              <w:spacing w:after="0"/>
              <w:rPr>
                <w:sz w:val="1"/>
                <w:szCs w:val="1"/>
                <w:color w:val="auto"/>
              </w:rPr>
            </w:pPr>
          </w:p>
        </w:tc>
      </w:tr>
      <w:tr>
        <w:trPr>
          <w:trHeight w:val="191"/>
        </w:trPr>
        <w:tc>
          <w:tcPr>
            <w:tcW w:w="5600" w:type="dxa"/>
            <w:vAlign w:val="bottom"/>
            <w:gridSpan w:val="2"/>
          </w:tcPr>
          <w:p>
            <w:pPr>
              <w:ind w:left="460"/>
              <w:spacing w:after="0"/>
              <w:rPr>
                <w:sz w:val="20"/>
                <w:szCs w:val="20"/>
                <w:color w:val="auto"/>
              </w:rPr>
            </w:pPr>
            <w:r>
              <w:rPr>
                <w:rFonts w:ascii="Arial" w:cs="Arial" w:eastAsia="Arial" w:hAnsi="Arial"/>
                <w:sz w:val="15"/>
                <w:szCs w:val="15"/>
                <w:color w:val="auto"/>
              </w:rPr>
              <w:t>Subtotal</w:t>
            </w:r>
          </w:p>
        </w:tc>
        <w:tc>
          <w:tcPr>
            <w:tcW w:w="100" w:type="dxa"/>
            <w:vAlign w:val="bottom"/>
            <w:tcBorders>
              <w:top w:val="single" w:sz="8" w:color="auto"/>
              <w:bottom w:val="single" w:sz="8" w:color="auto"/>
            </w:tcBorders>
          </w:tcPr>
          <w:p>
            <w:pPr>
              <w:spacing w:after="0"/>
              <w:rPr>
                <w:sz w:val="16"/>
                <w:szCs w:val="16"/>
                <w:color w:val="auto"/>
              </w:rPr>
            </w:pPr>
          </w:p>
        </w:tc>
        <w:tc>
          <w:tcPr>
            <w:tcW w:w="116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5"/>
                <w:szCs w:val="15"/>
                <w:color w:val="auto"/>
              </w:rPr>
              <w:t>1,769</w:t>
            </w:r>
          </w:p>
        </w:tc>
        <w:tc>
          <w:tcPr>
            <w:tcW w:w="200" w:type="dxa"/>
            <w:vAlign w:val="bottom"/>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1160" w:type="dxa"/>
            <w:vAlign w:val="bottom"/>
            <w:tcBorders>
              <w:top w:val="single" w:sz="8" w:color="auto"/>
              <w:bottom w:val="single" w:sz="8" w:color="auto"/>
            </w:tcBorders>
          </w:tcPr>
          <w:p>
            <w:pPr>
              <w:ind w:left="94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1,769</w:t>
            </w:r>
          </w:p>
        </w:tc>
        <w:tc>
          <w:tcPr>
            <w:tcW w:w="0" w:type="dxa"/>
            <w:vAlign w:val="bottom"/>
          </w:tcPr>
          <w:p>
            <w:pPr>
              <w:spacing w:after="0"/>
              <w:rPr>
                <w:sz w:val="1"/>
                <w:szCs w:val="1"/>
                <w:color w:val="auto"/>
              </w:rPr>
            </w:pPr>
          </w:p>
        </w:tc>
      </w:tr>
      <w:tr>
        <w:trPr>
          <w:trHeight w:val="187"/>
        </w:trPr>
        <w:tc>
          <w:tcPr>
            <w:tcW w:w="5600" w:type="dxa"/>
            <w:vAlign w:val="bottom"/>
            <w:gridSpan w:val="2"/>
          </w:tcPr>
          <w:p>
            <w:pPr>
              <w:spacing w:after="0"/>
              <w:rPr>
                <w:sz w:val="20"/>
                <w:szCs w:val="20"/>
                <w:color w:val="auto"/>
              </w:rPr>
            </w:pPr>
            <w:r>
              <w:rPr>
                <w:rFonts w:ascii="Arial" w:cs="Arial" w:eastAsia="Arial" w:hAnsi="Arial"/>
                <w:sz w:val="15"/>
                <w:szCs w:val="15"/>
                <w:color w:val="auto"/>
              </w:rPr>
              <w:t>Total</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160" w:type="dxa"/>
            <w:vAlign w:val="bottom"/>
            <w:tcBorders>
              <w:bottom w:val="single" w:sz="8" w:color="auto"/>
            </w:tcBorders>
          </w:tcPr>
          <w:p>
            <w:pPr>
              <w:jc w:val="right"/>
              <w:ind w:right="9"/>
              <w:spacing w:after="0"/>
              <w:rPr>
                <w:sz w:val="20"/>
                <w:szCs w:val="20"/>
                <w:color w:val="auto"/>
              </w:rPr>
            </w:pPr>
            <w:r>
              <w:rPr>
                <w:rFonts w:ascii="Arial" w:cs="Arial" w:eastAsia="Arial" w:hAnsi="Arial"/>
                <w:sz w:val="15"/>
                <w:szCs w:val="15"/>
                <w:color w:val="auto"/>
              </w:rPr>
              <w:t>5,397</w:t>
            </w:r>
          </w:p>
        </w:tc>
        <w:tc>
          <w:tcPr>
            <w:tcW w:w="200" w:type="dxa"/>
            <w:vAlign w:val="bottom"/>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160" w:type="dxa"/>
            <w:vAlign w:val="bottom"/>
            <w:tcBorders>
              <w:bottom w:val="single" w:sz="8" w:color="auto"/>
            </w:tcBorders>
          </w:tcPr>
          <w:p>
            <w:pPr>
              <w:ind w:left="94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6"/>
                <w:szCs w:val="16"/>
                <w:color w:val="auto"/>
              </w:rPr>
            </w:pPr>
          </w:p>
        </w:tc>
        <w:tc>
          <w:tcPr>
            <w:tcW w:w="18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95"/>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5,397</w:t>
            </w:r>
          </w:p>
        </w:tc>
        <w:tc>
          <w:tcPr>
            <w:tcW w:w="0" w:type="dxa"/>
            <w:vAlign w:val="bottom"/>
          </w:tcPr>
          <w:p>
            <w:pPr>
              <w:spacing w:after="0"/>
              <w:rPr>
                <w:sz w:val="1"/>
                <w:szCs w:val="1"/>
                <w:color w:val="auto"/>
              </w:rPr>
            </w:pPr>
          </w:p>
        </w:tc>
      </w:tr>
      <w:tr>
        <w:trPr>
          <w:trHeight w:val="20"/>
        </w:trPr>
        <w:tc>
          <w:tcPr>
            <w:tcW w:w="5600" w:type="dxa"/>
            <w:vAlign w:val="bottom"/>
            <w:gridSpan w:val="2"/>
            <w:vMerge w:val="restart"/>
          </w:tcPr>
          <w:p>
            <w:pPr>
              <w:spacing w:after="0"/>
              <w:rPr>
                <w:sz w:val="20"/>
                <w:szCs w:val="20"/>
                <w:color w:val="auto"/>
              </w:rPr>
            </w:pPr>
            <w:r>
              <w:rPr>
                <w:rFonts w:ascii="Arial" w:cs="Arial" w:eastAsia="Arial" w:hAnsi="Arial"/>
                <w:sz w:val="15"/>
                <w:szCs w:val="15"/>
                <w:b w:val="1"/>
                <w:bCs w:val="1"/>
                <w:color w:val="auto"/>
              </w:rPr>
              <w:t>Derivative Liabilities:</w:t>
            </w: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7"/>
        </w:trPr>
        <w:tc>
          <w:tcPr>
            <w:tcW w:w="560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5600" w:type="dxa"/>
            <w:vAlign w:val="bottom"/>
            <w:gridSpan w:val="2"/>
          </w:tcPr>
          <w:p>
            <w:pPr>
              <w:spacing w:after="0"/>
              <w:rPr>
                <w:sz w:val="20"/>
                <w:szCs w:val="20"/>
                <w:color w:val="auto"/>
              </w:rPr>
            </w:pPr>
            <w:r>
              <w:rPr>
                <w:rFonts w:ascii="Arial" w:cs="Arial" w:eastAsia="Arial" w:hAnsi="Arial"/>
                <w:sz w:val="15"/>
                <w:szCs w:val="15"/>
                <w:color w:val="auto"/>
              </w:rPr>
              <w:t>Foreign-currency forward contracts</w:t>
            </w: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60" w:type="dxa"/>
            <w:vAlign w:val="bottom"/>
          </w:tcPr>
          <w:p>
            <w:pPr>
              <w:jc w:val="right"/>
              <w:spacing w:after="0"/>
              <w:rPr>
                <w:sz w:val="20"/>
                <w:szCs w:val="20"/>
                <w:color w:val="auto"/>
              </w:rPr>
            </w:pPr>
            <w:r>
              <w:rPr>
                <w:rFonts w:ascii="Arial" w:cs="Arial" w:eastAsia="Arial" w:hAnsi="Arial"/>
                <w:sz w:val="15"/>
                <w:szCs w:val="15"/>
                <w:color w:val="auto"/>
              </w:rPr>
              <w:t>(2,853)</w:t>
            </w:r>
          </w:p>
        </w:tc>
        <w:tc>
          <w:tcPr>
            <w:tcW w:w="2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360" w:type="dxa"/>
            <w:vAlign w:val="bottom"/>
            <w:gridSpan w:val="2"/>
          </w:tcPr>
          <w:p>
            <w:pPr>
              <w:ind w:left="940"/>
              <w:spacing w:after="0"/>
              <w:rPr>
                <w:sz w:val="20"/>
                <w:szCs w:val="20"/>
                <w:color w:val="auto"/>
              </w:rPr>
            </w:pPr>
            <w:r>
              <w:rPr>
                <w:rFonts w:ascii="Arial" w:cs="Arial" w:eastAsia="Arial" w:hAnsi="Arial"/>
                <w:sz w:val="15"/>
                <w:szCs w:val="15"/>
                <w:color w:val="auto"/>
              </w:rPr>
              <w:t>—</w:t>
            </w: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32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180" w:type="dxa"/>
            <w:vAlign w:val="bottom"/>
          </w:tcPr>
          <w:p>
            <w:pPr>
              <w:jc w:val="right"/>
              <w:ind w:right="7"/>
              <w:spacing w:after="0"/>
              <w:rPr>
                <w:sz w:val="20"/>
                <w:szCs w:val="20"/>
                <w:color w:val="auto"/>
              </w:rPr>
            </w:pPr>
            <w:r>
              <w:rPr>
                <w:rFonts w:ascii="Arial" w:cs="Arial" w:eastAsia="Arial" w:hAnsi="Arial"/>
                <w:sz w:val="15"/>
                <w:szCs w:val="15"/>
                <w:color w:val="auto"/>
                <w:w w:val="95"/>
              </w:rPr>
              <w:t>$</w:t>
            </w:r>
          </w:p>
        </w:tc>
        <w:tc>
          <w:tcPr>
            <w:tcW w:w="1060" w:type="dxa"/>
            <w:vAlign w:val="bottom"/>
          </w:tcPr>
          <w:p>
            <w:pPr>
              <w:jc w:val="right"/>
              <w:spacing w:after="0"/>
              <w:rPr>
                <w:sz w:val="20"/>
                <w:szCs w:val="20"/>
                <w:color w:val="auto"/>
              </w:rPr>
            </w:pPr>
            <w:r>
              <w:rPr>
                <w:rFonts w:ascii="Arial" w:cs="Arial" w:eastAsia="Arial" w:hAnsi="Arial"/>
                <w:sz w:val="15"/>
                <w:szCs w:val="15"/>
                <w:color w:val="auto"/>
              </w:rPr>
              <w:t>(2,853)</w:t>
            </w:r>
          </w:p>
        </w:tc>
        <w:tc>
          <w:tcPr>
            <w:tcW w:w="0" w:type="dxa"/>
            <w:vAlign w:val="bottom"/>
          </w:tcPr>
          <w:p>
            <w:pPr>
              <w:spacing w:after="0"/>
              <w:rPr>
                <w:sz w:val="1"/>
                <w:szCs w:val="1"/>
                <w:color w:val="auto"/>
              </w:rPr>
            </w:pPr>
          </w:p>
        </w:tc>
      </w:tr>
      <w:tr>
        <w:trPr>
          <w:trHeight w:val="173"/>
        </w:trPr>
        <w:tc>
          <w:tcPr>
            <w:tcW w:w="5600" w:type="dxa"/>
            <w:vAlign w:val="bottom"/>
            <w:gridSpan w:val="2"/>
          </w:tcPr>
          <w:p>
            <w:pPr>
              <w:ind w:left="160"/>
              <w:spacing w:after="0"/>
              <w:rPr>
                <w:sz w:val="20"/>
                <w:szCs w:val="20"/>
                <w:color w:val="auto"/>
              </w:rPr>
            </w:pPr>
            <w:r>
              <w:rPr>
                <w:rFonts w:ascii="Arial" w:cs="Arial" w:eastAsia="Arial" w:hAnsi="Arial"/>
                <w:sz w:val="15"/>
                <w:szCs w:val="15"/>
                <w:i w:val="1"/>
                <w:iCs w:val="1"/>
                <w:color w:val="auto"/>
              </w:rPr>
              <w:t>Derivative liabilities of consolidated funds:</w:t>
            </w:r>
          </w:p>
        </w:tc>
        <w:tc>
          <w:tcPr>
            <w:tcW w:w="10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5600" w:type="dxa"/>
            <w:vAlign w:val="bottom"/>
            <w:gridSpan w:val="2"/>
          </w:tcPr>
          <w:p>
            <w:pPr>
              <w:spacing w:after="0"/>
              <w:rPr>
                <w:sz w:val="20"/>
                <w:szCs w:val="20"/>
                <w:color w:val="auto"/>
              </w:rPr>
            </w:pPr>
            <w:r>
              <w:rPr>
                <w:rFonts w:ascii="Arial" w:cs="Arial" w:eastAsia="Arial" w:hAnsi="Arial"/>
                <w:sz w:val="15"/>
                <w:szCs w:val="15"/>
                <w:color w:val="auto"/>
              </w:rPr>
              <w:t>Foreign-currency forward contracts</w:t>
            </w:r>
          </w:p>
        </w:tc>
        <w:tc>
          <w:tcPr>
            <w:tcW w:w="10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(846)</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gridSpan w:val="2"/>
          </w:tcPr>
          <w:p>
            <w:pPr>
              <w:ind w:left="94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(846)</w:t>
            </w:r>
          </w:p>
        </w:tc>
        <w:tc>
          <w:tcPr>
            <w:tcW w:w="0" w:type="dxa"/>
            <w:vAlign w:val="bottom"/>
          </w:tcPr>
          <w:p>
            <w:pPr>
              <w:spacing w:after="0"/>
              <w:rPr>
                <w:sz w:val="1"/>
                <w:szCs w:val="1"/>
                <w:color w:val="auto"/>
              </w:rPr>
            </w:pPr>
          </w:p>
        </w:tc>
      </w:tr>
      <w:tr>
        <w:trPr>
          <w:trHeight w:val="189"/>
        </w:trPr>
        <w:tc>
          <w:tcPr>
            <w:tcW w:w="5600" w:type="dxa"/>
            <w:vAlign w:val="bottom"/>
            <w:gridSpan w:val="2"/>
          </w:tcPr>
          <w:p>
            <w:pPr>
              <w:spacing w:after="0"/>
              <w:rPr>
                <w:sz w:val="20"/>
                <w:szCs w:val="20"/>
                <w:color w:val="auto"/>
              </w:rPr>
            </w:pPr>
            <w:r>
              <w:rPr>
                <w:rFonts w:ascii="Arial" w:cs="Arial" w:eastAsia="Arial" w:hAnsi="Arial"/>
                <w:sz w:val="15"/>
                <w:szCs w:val="15"/>
                <w:color w:val="auto"/>
              </w:rPr>
              <w:t>Total</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(3,699)</w:t>
            </w:r>
          </w:p>
        </w:tc>
        <w:tc>
          <w:tcPr>
            <w:tcW w:w="20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160" w:type="dxa"/>
            <w:vAlign w:val="bottom"/>
            <w:tcBorders>
              <w:top w:val="single" w:sz="8" w:color="auto"/>
              <w:bottom w:val="single" w:sz="8" w:color="auto"/>
            </w:tcBorders>
          </w:tcPr>
          <w:p>
            <w:pPr>
              <w:ind w:left="94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95"/>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(3,699)</w:t>
            </w:r>
          </w:p>
        </w:tc>
        <w:tc>
          <w:tcPr>
            <w:tcW w:w="0" w:type="dxa"/>
            <w:vAlign w:val="bottom"/>
          </w:tcPr>
          <w:p>
            <w:pPr>
              <w:spacing w:after="0"/>
              <w:rPr>
                <w:sz w:val="1"/>
                <w:szCs w:val="1"/>
                <w:color w:val="auto"/>
              </w:rPr>
            </w:pPr>
          </w:p>
        </w:tc>
      </w:tr>
      <w:tr>
        <w:trPr>
          <w:trHeight w:val="20"/>
        </w:trPr>
        <w:tc>
          <w:tcPr>
            <w:tcW w:w="142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0"/>
        </w:trPr>
        <w:tc>
          <w:tcPr>
            <w:tcW w:w="142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20" w:type="dxa"/>
            <w:vAlign w:val="bottom"/>
            <w:gridSpan w:val="5"/>
          </w:tcPr>
          <w:p>
            <w:pPr>
              <w:ind w:left="20"/>
              <w:spacing w:after="0"/>
              <w:rPr>
                <w:sz w:val="20"/>
                <w:szCs w:val="20"/>
                <w:color w:val="auto"/>
              </w:rPr>
            </w:pPr>
            <w:r>
              <w:rPr>
                <w:rFonts w:ascii="Arial" w:cs="Arial" w:eastAsia="Arial" w:hAnsi="Arial"/>
                <w:sz w:val="12"/>
                <w:szCs w:val="12"/>
                <w:b w:val="1"/>
                <w:bCs w:val="1"/>
                <w:color w:val="auto"/>
              </w:rPr>
              <w:t>Gross Amounts Not Offset in Statements of</w:t>
            </w: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1420" w:type="dxa"/>
            <w:vAlign w:val="bottom"/>
          </w:tcPr>
          <w:p>
            <w:pPr>
              <w:spacing w:after="0"/>
              <w:rPr>
                <w:sz w:val="15"/>
                <w:szCs w:val="15"/>
                <w:color w:val="auto"/>
              </w:rPr>
            </w:pPr>
          </w:p>
        </w:tc>
        <w:tc>
          <w:tcPr>
            <w:tcW w:w="4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600" w:type="dxa"/>
            <w:vAlign w:val="bottom"/>
            <w:tcBorders>
              <w:bottom w:val="single" w:sz="8" w:color="auto"/>
            </w:tcBorders>
            <w:gridSpan w:val="4"/>
          </w:tcPr>
          <w:p>
            <w:pPr>
              <w:ind w:left="700"/>
              <w:spacing w:after="0"/>
              <w:rPr>
                <w:sz w:val="20"/>
                <w:szCs w:val="20"/>
                <w:color w:val="auto"/>
              </w:rPr>
            </w:pPr>
            <w:r>
              <w:rPr>
                <w:rFonts w:ascii="Arial" w:cs="Arial" w:eastAsia="Arial" w:hAnsi="Arial"/>
                <w:sz w:val="12"/>
                <w:szCs w:val="12"/>
                <w:b w:val="1"/>
                <w:bCs w:val="1"/>
                <w:color w:val="auto"/>
              </w:rPr>
              <w:t>Financial Condition</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142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2"/>
                <w:szCs w:val="12"/>
                <w:b w:val="1"/>
                <w:bCs w:val="1"/>
                <w:color w:val="auto"/>
              </w:rPr>
              <w:t>Gross Amounts of</w:t>
            </w:r>
          </w:p>
        </w:tc>
        <w:tc>
          <w:tcPr>
            <w:tcW w:w="100" w:type="dxa"/>
            <w:vAlign w:val="bottom"/>
          </w:tcPr>
          <w:p>
            <w:pPr>
              <w:spacing w:after="0"/>
              <w:rPr>
                <w:sz w:val="12"/>
                <w:szCs w:val="12"/>
                <w:color w:val="auto"/>
              </w:rPr>
            </w:pPr>
          </w:p>
        </w:tc>
        <w:tc>
          <w:tcPr>
            <w:tcW w:w="136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Derivative Assets</w:t>
            </w:r>
          </w:p>
        </w:tc>
        <w:tc>
          <w:tcPr>
            <w:tcW w:w="140" w:type="dxa"/>
            <w:vAlign w:val="bottom"/>
          </w:tcPr>
          <w:p>
            <w:pPr>
              <w:spacing w:after="0"/>
              <w:rPr>
                <w:sz w:val="12"/>
                <w:szCs w:val="12"/>
                <w:color w:val="auto"/>
              </w:rPr>
            </w:pPr>
          </w:p>
        </w:tc>
        <w:tc>
          <w:tcPr>
            <w:tcW w:w="132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Cash Collateral</w:t>
            </w:r>
          </w:p>
        </w:tc>
        <w:tc>
          <w:tcPr>
            <w:tcW w:w="1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6"/>
        </w:trPr>
        <w:tc>
          <w:tcPr>
            <w:tcW w:w="1420" w:type="dxa"/>
            <w:vAlign w:val="bottom"/>
            <w:vMerge w:val="restart"/>
          </w:tcPr>
          <w:p>
            <w:pPr>
              <w:spacing w:after="0"/>
              <w:rPr>
                <w:sz w:val="20"/>
                <w:szCs w:val="20"/>
                <w:color w:val="auto"/>
              </w:rPr>
            </w:pPr>
            <w:r>
              <w:rPr>
                <w:rFonts w:ascii="Arial" w:cs="Arial" w:eastAsia="Arial" w:hAnsi="Arial"/>
                <w:sz w:val="12"/>
                <w:szCs w:val="12"/>
                <w:b w:val="1"/>
                <w:bCs w:val="1"/>
                <w:color w:val="auto"/>
                <w:w w:val="98"/>
              </w:rPr>
              <w:t>As of December 31, 2024</w:t>
            </w:r>
          </w:p>
        </w:tc>
        <w:tc>
          <w:tcPr>
            <w:tcW w:w="4180" w:type="dxa"/>
            <w:vAlign w:val="bottom"/>
            <w:vMerge w:val="restart"/>
          </w:tcPr>
          <w:p>
            <w:pPr>
              <w:spacing w:after="0"/>
              <w:rPr>
                <w:sz w:val="10"/>
                <w:szCs w:val="10"/>
                <w:color w:val="auto"/>
              </w:rPr>
            </w:pPr>
          </w:p>
        </w:tc>
        <w:tc>
          <w:tcPr>
            <w:tcW w:w="1460" w:type="dxa"/>
            <w:vAlign w:val="bottom"/>
            <w:gridSpan w:val="3"/>
          </w:tcPr>
          <w:p>
            <w:pPr>
              <w:jc w:val="center"/>
              <w:ind w:right="200"/>
              <w:spacing w:after="0" w:line="116" w:lineRule="exact"/>
              <w:rPr>
                <w:sz w:val="20"/>
                <w:szCs w:val="20"/>
                <w:color w:val="auto"/>
              </w:rPr>
            </w:pPr>
            <w:r>
              <w:rPr>
                <w:rFonts w:ascii="Arial" w:cs="Arial" w:eastAsia="Arial" w:hAnsi="Arial"/>
                <w:sz w:val="12"/>
                <w:szCs w:val="12"/>
                <w:b w:val="1"/>
                <w:bCs w:val="1"/>
                <w:color w:val="auto"/>
                <w:w w:val="99"/>
              </w:rPr>
              <w:t>Assets (Liabilities)</w:t>
            </w:r>
          </w:p>
        </w:tc>
        <w:tc>
          <w:tcPr>
            <w:tcW w:w="100" w:type="dxa"/>
            <w:vAlign w:val="bottom"/>
          </w:tcPr>
          <w:p>
            <w:pPr>
              <w:spacing w:after="0"/>
              <w:rPr>
                <w:sz w:val="10"/>
                <w:szCs w:val="10"/>
                <w:color w:val="auto"/>
              </w:rPr>
            </w:pPr>
          </w:p>
        </w:tc>
        <w:tc>
          <w:tcPr>
            <w:tcW w:w="136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132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1060" w:type="dxa"/>
            <w:vAlign w:val="bottom"/>
            <w:vMerge w:val="restart"/>
          </w:tcPr>
          <w:p>
            <w:pPr>
              <w:jc w:val="right"/>
              <w:ind w:right="208"/>
              <w:spacing w:after="0"/>
              <w:rPr>
                <w:sz w:val="20"/>
                <w:szCs w:val="20"/>
                <w:color w:val="auto"/>
              </w:rPr>
            </w:pPr>
            <w:r>
              <w:rPr>
                <w:rFonts w:ascii="Arial" w:cs="Arial" w:eastAsia="Arial" w:hAnsi="Arial"/>
                <w:sz w:val="12"/>
                <w:szCs w:val="12"/>
                <w:b w:val="1"/>
                <w:bCs w:val="1"/>
                <w:color w:val="auto"/>
              </w:rPr>
              <w:t>Net Amount</w:t>
            </w:r>
          </w:p>
        </w:tc>
        <w:tc>
          <w:tcPr>
            <w:tcW w:w="0" w:type="dxa"/>
            <w:vAlign w:val="bottom"/>
          </w:tcPr>
          <w:p>
            <w:pPr>
              <w:spacing w:after="0"/>
              <w:rPr>
                <w:sz w:val="1"/>
                <w:szCs w:val="1"/>
                <w:color w:val="auto"/>
              </w:rPr>
            </w:pPr>
          </w:p>
        </w:tc>
      </w:tr>
      <w:tr>
        <w:trPr>
          <w:trHeight w:val="147"/>
        </w:trPr>
        <w:tc>
          <w:tcPr>
            <w:tcW w:w="1420" w:type="dxa"/>
            <w:vAlign w:val="bottom"/>
            <w:tcBorders>
              <w:bottom w:val="single" w:sz="8" w:color="auto"/>
            </w:tcBorders>
            <w:vMerge w:val="continue"/>
          </w:tcPr>
          <w:p>
            <w:pPr>
              <w:spacing w:after="0"/>
              <w:rPr>
                <w:sz w:val="12"/>
                <w:szCs w:val="12"/>
                <w:color w:val="auto"/>
              </w:rPr>
            </w:pPr>
          </w:p>
        </w:tc>
        <w:tc>
          <w:tcPr>
            <w:tcW w:w="41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2"/>
                <w:szCs w:val="12"/>
                <w:b w:val="1"/>
                <w:bCs w:val="1"/>
                <w:color w:val="auto"/>
                <w:w w:val="99"/>
              </w:rPr>
              <w:t>Presented</w:t>
            </w:r>
          </w:p>
        </w:tc>
        <w:tc>
          <w:tcPr>
            <w:tcW w:w="100" w:type="dxa"/>
            <w:vAlign w:val="bottom"/>
          </w:tcPr>
          <w:p>
            <w:pPr>
              <w:spacing w:after="0"/>
              <w:rPr>
                <w:sz w:val="12"/>
                <w:szCs w:val="12"/>
                <w:color w:val="auto"/>
              </w:rPr>
            </w:pPr>
          </w:p>
        </w:tc>
        <w:tc>
          <w:tcPr>
            <w:tcW w:w="1360" w:type="dxa"/>
            <w:vAlign w:val="bottom"/>
            <w:gridSpan w:val="2"/>
          </w:tcPr>
          <w:p>
            <w:pPr>
              <w:ind w:left="200"/>
              <w:spacing w:after="0"/>
              <w:rPr>
                <w:sz w:val="20"/>
                <w:szCs w:val="20"/>
                <w:color w:val="auto"/>
              </w:rPr>
            </w:pPr>
            <w:r>
              <w:rPr>
                <w:rFonts w:ascii="Arial" w:cs="Arial" w:eastAsia="Arial" w:hAnsi="Arial"/>
                <w:sz w:val="12"/>
                <w:szCs w:val="12"/>
                <w:b w:val="1"/>
                <w:bCs w:val="1"/>
                <w:color w:val="auto"/>
              </w:rPr>
              <w:t>(Liabilities)</w:t>
            </w:r>
          </w:p>
        </w:tc>
        <w:tc>
          <w:tcPr>
            <w:tcW w:w="1460" w:type="dxa"/>
            <w:vAlign w:val="bottom"/>
            <w:gridSpan w:val="3"/>
          </w:tcPr>
          <w:p>
            <w:pPr>
              <w:jc w:val="right"/>
              <w:ind w:right="280"/>
              <w:spacing w:after="0"/>
              <w:rPr>
                <w:sz w:val="20"/>
                <w:szCs w:val="20"/>
                <w:color w:val="auto"/>
              </w:rPr>
            </w:pPr>
            <w:r>
              <w:rPr>
                <w:rFonts w:ascii="Arial" w:cs="Arial" w:eastAsia="Arial" w:hAnsi="Arial"/>
                <w:sz w:val="12"/>
                <w:szCs w:val="12"/>
                <w:b w:val="1"/>
                <w:bCs w:val="1"/>
                <w:color w:val="auto"/>
              </w:rPr>
              <w:t>Received (Pledged)</w:t>
            </w:r>
          </w:p>
        </w:tc>
        <w:tc>
          <w:tcPr>
            <w:tcW w:w="18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600" w:type="dxa"/>
            <w:vAlign w:val="bottom"/>
            <w:gridSpan w:val="2"/>
            <w:vMerge w:val="restart"/>
          </w:tcPr>
          <w:p>
            <w:pPr>
              <w:spacing w:after="0"/>
              <w:rPr>
                <w:sz w:val="20"/>
                <w:szCs w:val="20"/>
                <w:color w:val="auto"/>
              </w:rPr>
            </w:pPr>
            <w:r>
              <w:rPr>
                <w:rFonts w:ascii="Arial" w:cs="Arial" w:eastAsia="Arial" w:hAnsi="Arial"/>
                <w:sz w:val="15"/>
                <w:szCs w:val="15"/>
                <w:b w:val="1"/>
                <w:bCs w:val="1"/>
                <w:color w:val="auto"/>
              </w:rPr>
              <w:t>Derivative Assets:</w:t>
            </w: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56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5600" w:type="dxa"/>
            <w:vAlign w:val="bottom"/>
            <w:gridSpan w:val="2"/>
          </w:tcPr>
          <w:p>
            <w:pPr>
              <w:spacing w:after="0"/>
              <w:rPr>
                <w:sz w:val="20"/>
                <w:szCs w:val="20"/>
                <w:color w:val="auto"/>
              </w:rPr>
            </w:pPr>
            <w:r>
              <w:rPr>
                <w:rFonts w:ascii="Arial" w:cs="Arial" w:eastAsia="Arial" w:hAnsi="Arial"/>
                <w:sz w:val="15"/>
                <w:szCs w:val="15"/>
                <w:color w:val="auto"/>
              </w:rPr>
              <w:t>Foreign-currency forward contracts</w:t>
            </w: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60" w:type="dxa"/>
            <w:vAlign w:val="bottom"/>
          </w:tcPr>
          <w:p>
            <w:pPr>
              <w:jc w:val="right"/>
              <w:ind w:right="9"/>
              <w:spacing w:after="0"/>
              <w:rPr>
                <w:sz w:val="20"/>
                <w:szCs w:val="20"/>
                <w:color w:val="auto"/>
              </w:rPr>
            </w:pPr>
            <w:r>
              <w:rPr>
                <w:rFonts w:ascii="Arial" w:cs="Arial" w:eastAsia="Arial" w:hAnsi="Arial"/>
                <w:sz w:val="15"/>
                <w:szCs w:val="15"/>
                <w:color w:val="auto"/>
              </w:rPr>
              <w:t>8,935</w:t>
            </w:r>
          </w:p>
        </w:tc>
        <w:tc>
          <w:tcPr>
            <w:tcW w:w="2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360" w:type="dxa"/>
            <w:vAlign w:val="bottom"/>
            <w:gridSpan w:val="2"/>
          </w:tcPr>
          <w:p>
            <w:pPr>
              <w:ind w:left="940"/>
              <w:spacing w:after="0"/>
              <w:rPr>
                <w:sz w:val="20"/>
                <w:szCs w:val="20"/>
                <w:color w:val="auto"/>
              </w:rPr>
            </w:pPr>
            <w:r>
              <w:rPr>
                <w:rFonts w:ascii="Arial" w:cs="Arial" w:eastAsia="Arial" w:hAnsi="Arial"/>
                <w:sz w:val="15"/>
                <w:szCs w:val="15"/>
                <w:color w:val="auto"/>
              </w:rPr>
              <w:t>—</w:t>
            </w: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32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180" w:type="dxa"/>
            <w:vAlign w:val="bottom"/>
          </w:tcPr>
          <w:p>
            <w:pPr>
              <w:jc w:val="right"/>
              <w:ind w:right="7"/>
              <w:spacing w:after="0"/>
              <w:rPr>
                <w:sz w:val="20"/>
                <w:szCs w:val="20"/>
                <w:color w:val="auto"/>
              </w:rPr>
            </w:pPr>
            <w:r>
              <w:rPr>
                <w:rFonts w:ascii="Arial" w:cs="Arial" w:eastAsia="Arial" w:hAnsi="Arial"/>
                <w:sz w:val="15"/>
                <w:szCs w:val="15"/>
                <w:color w:val="auto"/>
                <w:w w:val="95"/>
              </w:rPr>
              <w:t>$</w:t>
            </w:r>
          </w:p>
        </w:tc>
        <w:tc>
          <w:tcPr>
            <w:tcW w:w="1060" w:type="dxa"/>
            <w:vAlign w:val="bottom"/>
          </w:tcPr>
          <w:p>
            <w:pPr>
              <w:jc w:val="right"/>
              <w:spacing w:after="0"/>
              <w:rPr>
                <w:sz w:val="20"/>
                <w:szCs w:val="20"/>
                <w:color w:val="auto"/>
              </w:rPr>
            </w:pPr>
            <w:r>
              <w:rPr>
                <w:rFonts w:ascii="Arial" w:cs="Arial" w:eastAsia="Arial" w:hAnsi="Arial"/>
                <w:sz w:val="15"/>
                <w:szCs w:val="15"/>
                <w:color w:val="auto"/>
              </w:rPr>
              <w:t>8,935</w:t>
            </w:r>
          </w:p>
        </w:tc>
        <w:tc>
          <w:tcPr>
            <w:tcW w:w="0" w:type="dxa"/>
            <w:vAlign w:val="bottom"/>
          </w:tcPr>
          <w:p>
            <w:pPr>
              <w:spacing w:after="0"/>
              <w:rPr>
                <w:sz w:val="1"/>
                <w:szCs w:val="1"/>
                <w:color w:val="auto"/>
              </w:rPr>
            </w:pPr>
          </w:p>
        </w:tc>
      </w:tr>
      <w:tr>
        <w:trPr>
          <w:trHeight w:val="173"/>
        </w:trPr>
        <w:tc>
          <w:tcPr>
            <w:tcW w:w="5600" w:type="dxa"/>
            <w:vAlign w:val="bottom"/>
            <w:gridSpan w:val="2"/>
          </w:tcPr>
          <w:p>
            <w:pPr>
              <w:ind w:left="160"/>
              <w:spacing w:after="0"/>
              <w:rPr>
                <w:sz w:val="20"/>
                <w:szCs w:val="20"/>
                <w:color w:val="auto"/>
              </w:rPr>
            </w:pPr>
            <w:r>
              <w:rPr>
                <w:rFonts w:ascii="Arial" w:cs="Arial" w:eastAsia="Arial" w:hAnsi="Arial"/>
                <w:sz w:val="15"/>
                <w:szCs w:val="15"/>
                <w:i w:val="1"/>
                <w:iCs w:val="1"/>
                <w:color w:val="auto"/>
              </w:rPr>
              <w:t>Derivative assets of consolidated funds:</w:t>
            </w:r>
          </w:p>
        </w:tc>
        <w:tc>
          <w:tcPr>
            <w:tcW w:w="10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5600" w:type="dxa"/>
            <w:vAlign w:val="bottom"/>
            <w:gridSpan w:val="2"/>
          </w:tcPr>
          <w:p>
            <w:pPr>
              <w:spacing w:after="0"/>
              <w:rPr>
                <w:sz w:val="20"/>
                <w:szCs w:val="20"/>
                <w:color w:val="auto"/>
              </w:rPr>
            </w:pPr>
            <w:r>
              <w:rPr>
                <w:rFonts w:ascii="Arial" w:cs="Arial" w:eastAsia="Arial" w:hAnsi="Arial"/>
                <w:sz w:val="15"/>
                <w:szCs w:val="15"/>
                <w:color w:val="auto"/>
              </w:rPr>
              <w:t>Foreign-currency forward contracts</w:t>
            </w:r>
          </w:p>
        </w:tc>
        <w:tc>
          <w:tcPr>
            <w:tcW w:w="100" w:type="dxa"/>
            <w:vAlign w:val="bottom"/>
          </w:tcPr>
          <w:p>
            <w:pPr>
              <w:spacing w:after="0"/>
              <w:rPr>
                <w:sz w:val="16"/>
                <w:szCs w:val="16"/>
                <w:color w:val="auto"/>
              </w:rPr>
            </w:pPr>
          </w:p>
        </w:tc>
        <w:tc>
          <w:tcPr>
            <w:tcW w:w="1160" w:type="dxa"/>
            <w:vAlign w:val="bottom"/>
          </w:tcPr>
          <w:p>
            <w:pPr>
              <w:jc w:val="right"/>
              <w:ind w:right="9"/>
              <w:spacing w:after="0"/>
              <w:rPr>
                <w:sz w:val="20"/>
                <w:szCs w:val="20"/>
                <w:color w:val="auto"/>
              </w:rPr>
            </w:pPr>
            <w:r>
              <w:rPr>
                <w:rFonts w:ascii="Arial" w:cs="Arial" w:eastAsia="Arial" w:hAnsi="Arial"/>
                <w:sz w:val="15"/>
                <w:szCs w:val="15"/>
                <w:color w:val="auto"/>
              </w:rPr>
              <w:t>3,336</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gridSpan w:val="2"/>
          </w:tcPr>
          <w:p>
            <w:pPr>
              <w:ind w:left="94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6"/>
                <w:szCs w:val="16"/>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3,336</w:t>
            </w:r>
          </w:p>
        </w:tc>
        <w:tc>
          <w:tcPr>
            <w:tcW w:w="0" w:type="dxa"/>
            <w:vAlign w:val="bottom"/>
          </w:tcPr>
          <w:p>
            <w:pPr>
              <w:spacing w:after="0"/>
              <w:rPr>
                <w:sz w:val="1"/>
                <w:szCs w:val="1"/>
                <w:color w:val="auto"/>
              </w:rPr>
            </w:pPr>
          </w:p>
        </w:tc>
      </w:tr>
      <w:tr>
        <w:trPr>
          <w:trHeight w:val="193"/>
        </w:trPr>
        <w:tc>
          <w:tcPr>
            <w:tcW w:w="5600" w:type="dxa"/>
            <w:vAlign w:val="bottom"/>
            <w:gridSpan w:val="2"/>
          </w:tcPr>
          <w:p>
            <w:pPr>
              <w:spacing w:after="0"/>
              <w:rPr>
                <w:sz w:val="20"/>
                <w:szCs w:val="20"/>
                <w:color w:val="auto"/>
              </w:rPr>
            </w:pPr>
            <w:r>
              <w:rPr>
                <w:rFonts w:ascii="Arial" w:cs="Arial" w:eastAsia="Arial" w:hAnsi="Arial"/>
                <w:sz w:val="15"/>
                <w:szCs w:val="15"/>
                <w:color w:val="auto"/>
              </w:rPr>
              <w:t>Options and futures</w:t>
            </w:r>
          </w:p>
        </w:tc>
        <w:tc>
          <w:tcPr>
            <w:tcW w:w="100" w:type="dxa"/>
            <w:vAlign w:val="bottom"/>
          </w:tcPr>
          <w:p>
            <w:pPr>
              <w:spacing w:after="0"/>
              <w:rPr>
                <w:sz w:val="16"/>
                <w:szCs w:val="16"/>
                <w:color w:val="auto"/>
              </w:rPr>
            </w:pPr>
          </w:p>
        </w:tc>
        <w:tc>
          <w:tcPr>
            <w:tcW w:w="1160" w:type="dxa"/>
            <w:vAlign w:val="bottom"/>
          </w:tcPr>
          <w:p>
            <w:pPr>
              <w:jc w:val="right"/>
              <w:ind w:right="9"/>
              <w:spacing w:after="0"/>
              <w:rPr>
                <w:sz w:val="20"/>
                <w:szCs w:val="20"/>
                <w:color w:val="auto"/>
              </w:rPr>
            </w:pPr>
            <w:r>
              <w:rPr>
                <w:rFonts w:ascii="Arial" w:cs="Arial" w:eastAsia="Arial" w:hAnsi="Arial"/>
                <w:sz w:val="15"/>
                <w:szCs w:val="15"/>
                <w:color w:val="auto"/>
              </w:rPr>
              <w:t>318</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gridSpan w:val="2"/>
          </w:tcPr>
          <w:p>
            <w:pPr>
              <w:ind w:left="94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6"/>
                <w:szCs w:val="16"/>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318</w:t>
            </w:r>
          </w:p>
        </w:tc>
        <w:tc>
          <w:tcPr>
            <w:tcW w:w="0" w:type="dxa"/>
            <w:vAlign w:val="bottom"/>
          </w:tcPr>
          <w:p>
            <w:pPr>
              <w:spacing w:after="0"/>
              <w:rPr>
                <w:sz w:val="1"/>
                <w:szCs w:val="1"/>
                <w:color w:val="auto"/>
              </w:rPr>
            </w:pPr>
          </w:p>
        </w:tc>
      </w:tr>
      <w:tr>
        <w:trPr>
          <w:trHeight w:val="191"/>
        </w:trPr>
        <w:tc>
          <w:tcPr>
            <w:tcW w:w="5600" w:type="dxa"/>
            <w:vAlign w:val="bottom"/>
            <w:gridSpan w:val="2"/>
          </w:tcPr>
          <w:p>
            <w:pPr>
              <w:ind w:left="460"/>
              <w:spacing w:after="0"/>
              <w:rPr>
                <w:sz w:val="20"/>
                <w:szCs w:val="20"/>
                <w:color w:val="auto"/>
              </w:rPr>
            </w:pPr>
            <w:r>
              <w:rPr>
                <w:rFonts w:ascii="Arial" w:cs="Arial" w:eastAsia="Arial" w:hAnsi="Arial"/>
                <w:sz w:val="15"/>
                <w:szCs w:val="15"/>
                <w:color w:val="auto"/>
              </w:rPr>
              <w:t>Subtotal</w:t>
            </w:r>
          </w:p>
        </w:tc>
        <w:tc>
          <w:tcPr>
            <w:tcW w:w="100" w:type="dxa"/>
            <w:vAlign w:val="bottom"/>
            <w:tcBorders>
              <w:top w:val="single" w:sz="8" w:color="auto"/>
              <w:bottom w:val="single" w:sz="8" w:color="auto"/>
            </w:tcBorders>
          </w:tcPr>
          <w:p>
            <w:pPr>
              <w:spacing w:after="0"/>
              <w:rPr>
                <w:sz w:val="16"/>
                <w:szCs w:val="16"/>
                <w:color w:val="auto"/>
              </w:rPr>
            </w:pPr>
          </w:p>
        </w:tc>
        <w:tc>
          <w:tcPr>
            <w:tcW w:w="116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5"/>
                <w:szCs w:val="15"/>
                <w:color w:val="auto"/>
              </w:rPr>
              <w:t>3,654</w:t>
            </w:r>
          </w:p>
        </w:tc>
        <w:tc>
          <w:tcPr>
            <w:tcW w:w="200" w:type="dxa"/>
            <w:vAlign w:val="bottom"/>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1160" w:type="dxa"/>
            <w:vAlign w:val="bottom"/>
            <w:tcBorders>
              <w:top w:val="single" w:sz="8" w:color="auto"/>
              <w:bottom w:val="single" w:sz="8" w:color="auto"/>
            </w:tcBorders>
          </w:tcPr>
          <w:p>
            <w:pPr>
              <w:ind w:left="94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3,654</w:t>
            </w:r>
          </w:p>
        </w:tc>
        <w:tc>
          <w:tcPr>
            <w:tcW w:w="0" w:type="dxa"/>
            <w:vAlign w:val="bottom"/>
          </w:tcPr>
          <w:p>
            <w:pPr>
              <w:spacing w:after="0"/>
              <w:rPr>
                <w:sz w:val="1"/>
                <w:szCs w:val="1"/>
                <w:color w:val="auto"/>
              </w:rPr>
            </w:pPr>
          </w:p>
        </w:tc>
      </w:tr>
      <w:tr>
        <w:trPr>
          <w:trHeight w:val="187"/>
        </w:trPr>
        <w:tc>
          <w:tcPr>
            <w:tcW w:w="5600" w:type="dxa"/>
            <w:vAlign w:val="bottom"/>
            <w:gridSpan w:val="2"/>
          </w:tcPr>
          <w:p>
            <w:pPr>
              <w:spacing w:after="0"/>
              <w:rPr>
                <w:sz w:val="20"/>
                <w:szCs w:val="20"/>
                <w:color w:val="auto"/>
              </w:rPr>
            </w:pPr>
            <w:r>
              <w:rPr>
                <w:rFonts w:ascii="Arial" w:cs="Arial" w:eastAsia="Arial" w:hAnsi="Arial"/>
                <w:sz w:val="15"/>
                <w:szCs w:val="15"/>
                <w:color w:val="auto"/>
              </w:rPr>
              <w:t>Total</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160" w:type="dxa"/>
            <w:vAlign w:val="bottom"/>
            <w:tcBorders>
              <w:bottom w:val="single" w:sz="8" w:color="auto"/>
            </w:tcBorders>
          </w:tcPr>
          <w:p>
            <w:pPr>
              <w:jc w:val="right"/>
              <w:ind w:right="9"/>
              <w:spacing w:after="0"/>
              <w:rPr>
                <w:sz w:val="20"/>
                <w:szCs w:val="20"/>
                <w:color w:val="auto"/>
              </w:rPr>
            </w:pPr>
            <w:r>
              <w:rPr>
                <w:rFonts w:ascii="Arial" w:cs="Arial" w:eastAsia="Arial" w:hAnsi="Arial"/>
                <w:sz w:val="15"/>
                <w:szCs w:val="15"/>
                <w:color w:val="auto"/>
              </w:rPr>
              <w:t>12,589</w:t>
            </w:r>
          </w:p>
        </w:tc>
        <w:tc>
          <w:tcPr>
            <w:tcW w:w="200" w:type="dxa"/>
            <w:vAlign w:val="bottom"/>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160" w:type="dxa"/>
            <w:vAlign w:val="bottom"/>
            <w:tcBorders>
              <w:bottom w:val="single" w:sz="8" w:color="auto"/>
            </w:tcBorders>
          </w:tcPr>
          <w:p>
            <w:pPr>
              <w:ind w:left="94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6"/>
                <w:szCs w:val="16"/>
                <w:color w:val="auto"/>
              </w:rPr>
            </w:pPr>
          </w:p>
        </w:tc>
        <w:tc>
          <w:tcPr>
            <w:tcW w:w="18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95"/>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12,589</w:t>
            </w:r>
          </w:p>
        </w:tc>
        <w:tc>
          <w:tcPr>
            <w:tcW w:w="0" w:type="dxa"/>
            <w:vAlign w:val="bottom"/>
          </w:tcPr>
          <w:p>
            <w:pPr>
              <w:spacing w:after="0"/>
              <w:rPr>
                <w:sz w:val="1"/>
                <w:szCs w:val="1"/>
                <w:color w:val="auto"/>
              </w:rPr>
            </w:pPr>
          </w:p>
        </w:tc>
      </w:tr>
      <w:tr>
        <w:trPr>
          <w:trHeight w:val="20"/>
        </w:trPr>
        <w:tc>
          <w:tcPr>
            <w:tcW w:w="5600" w:type="dxa"/>
            <w:vAlign w:val="bottom"/>
            <w:gridSpan w:val="2"/>
            <w:vMerge w:val="restart"/>
          </w:tcPr>
          <w:p>
            <w:pPr>
              <w:spacing w:after="0"/>
              <w:rPr>
                <w:sz w:val="20"/>
                <w:szCs w:val="20"/>
                <w:color w:val="auto"/>
              </w:rPr>
            </w:pPr>
            <w:r>
              <w:rPr>
                <w:rFonts w:ascii="Arial" w:cs="Arial" w:eastAsia="Arial" w:hAnsi="Arial"/>
                <w:sz w:val="15"/>
                <w:szCs w:val="15"/>
                <w:b w:val="1"/>
                <w:bCs w:val="1"/>
                <w:color w:val="auto"/>
              </w:rPr>
              <w:t>Derivative Liabilities:</w:t>
            </w: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7"/>
        </w:trPr>
        <w:tc>
          <w:tcPr>
            <w:tcW w:w="560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5600" w:type="dxa"/>
            <w:vAlign w:val="bottom"/>
            <w:gridSpan w:val="2"/>
          </w:tcPr>
          <w:p>
            <w:pPr>
              <w:spacing w:after="0"/>
              <w:rPr>
                <w:sz w:val="20"/>
                <w:szCs w:val="20"/>
                <w:color w:val="auto"/>
              </w:rPr>
            </w:pPr>
            <w:r>
              <w:rPr>
                <w:rFonts w:ascii="Arial" w:cs="Arial" w:eastAsia="Arial" w:hAnsi="Arial"/>
                <w:sz w:val="15"/>
                <w:szCs w:val="15"/>
                <w:color w:val="auto"/>
              </w:rPr>
              <w:t>Foreign-currency forward contracts</w:t>
            </w: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60" w:type="dxa"/>
            <w:vAlign w:val="bottom"/>
          </w:tcPr>
          <w:p>
            <w:pPr>
              <w:jc w:val="right"/>
              <w:spacing w:after="0"/>
              <w:rPr>
                <w:sz w:val="20"/>
                <w:szCs w:val="20"/>
                <w:color w:val="auto"/>
              </w:rPr>
            </w:pPr>
            <w:r>
              <w:rPr>
                <w:rFonts w:ascii="Arial" w:cs="Arial" w:eastAsia="Arial" w:hAnsi="Arial"/>
                <w:sz w:val="15"/>
                <w:szCs w:val="15"/>
                <w:color w:val="auto"/>
              </w:rPr>
              <w:t>(9,655)</w:t>
            </w:r>
          </w:p>
        </w:tc>
        <w:tc>
          <w:tcPr>
            <w:tcW w:w="2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360" w:type="dxa"/>
            <w:vAlign w:val="bottom"/>
            <w:gridSpan w:val="2"/>
          </w:tcPr>
          <w:p>
            <w:pPr>
              <w:ind w:left="940"/>
              <w:spacing w:after="0"/>
              <w:rPr>
                <w:sz w:val="20"/>
                <w:szCs w:val="20"/>
                <w:color w:val="auto"/>
              </w:rPr>
            </w:pPr>
            <w:r>
              <w:rPr>
                <w:rFonts w:ascii="Arial" w:cs="Arial" w:eastAsia="Arial" w:hAnsi="Arial"/>
                <w:sz w:val="15"/>
                <w:szCs w:val="15"/>
                <w:color w:val="auto"/>
              </w:rPr>
              <w:t>—</w:t>
            </w: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32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180" w:type="dxa"/>
            <w:vAlign w:val="bottom"/>
          </w:tcPr>
          <w:p>
            <w:pPr>
              <w:jc w:val="right"/>
              <w:ind w:right="7"/>
              <w:spacing w:after="0"/>
              <w:rPr>
                <w:sz w:val="20"/>
                <w:szCs w:val="20"/>
                <w:color w:val="auto"/>
              </w:rPr>
            </w:pPr>
            <w:r>
              <w:rPr>
                <w:rFonts w:ascii="Arial" w:cs="Arial" w:eastAsia="Arial" w:hAnsi="Arial"/>
                <w:sz w:val="15"/>
                <w:szCs w:val="15"/>
                <w:color w:val="auto"/>
                <w:w w:val="95"/>
              </w:rPr>
              <w:t>$</w:t>
            </w:r>
          </w:p>
        </w:tc>
        <w:tc>
          <w:tcPr>
            <w:tcW w:w="1060" w:type="dxa"/>
            <w:vAlign w:val="bottom"/>
          </w:tcPr>
          <w:p>
            <w:pPr>
              <w:jc w:val="right"/>
              <w:spacing w:after="0"/>
              <w:rPr>
                <w:sz w:val="20"/>
                <w:szCs w:val="20"/>
                <w:color w:val="auto"/>
              </w:rPr>
            </w:pPr>
            <w:r>
              <w:rPr>
                <w:rFonts w:ascii="Arial" w:cs="Arial" w:eastAsia="Arial" w:hAnsi="Arial"/>
                <w:sz w:val="15"/>
                <w:szCs w:val="15"/>
                <w:color w:val="auto"/>
              </w:rPr>
              <w:t>(9,655)</w:t>
            </w:r>
          </w:p>
        </w:tc>
        <w:tc>
          <w:tcPr>
            <w:tcW w:w="0" w:type="dxa"/>
            <w:vAlign w:val="bottom"/>
          </w:tcPr>
          <w:p>
            <w:pPr>
              <w:spacing w:after="0"/>
              <w:rPr>
                <w:sz w:val="1"/>
                <w:szCs w:val="1"/>
                <w:color w:val="auto"/>
              </w:rPr>
            </w:pPr>
          </w:p>
        </w:tc>
      </w:tr>
      <w:tr>
        <w:trPr>
          <w:trHeight w:val="173"/>
        </w:trPr>
        <w:tc>
          <w:tcPr>
            <w:tcW w:w="5600" w:type="dxa"/>
            <w:vAlign w:val="bottom"/>
            <w:gridSpan w:val="2"/>
          </w:tcPr>
          <w:p>
            <w:pPr>
              <w:ind w:left="160"/>
              <w:spacing w:after="0"/>
              <w:rPr>
                <w:sz w:val="20"/>
                <w:szCs w:val="20"/>
                <w:color w:val="auto"/>
              </w:rPr>
            </w:pPr>
            <w:r>
              <w:rPr>
                <w:rFonts w:ascii="Arial" w:cs="Arial" w:eastAsia="Arial" w:hAnsi="Arial"/>
                <w:sz w:val="15"/>
                <w:szCs w:val="15"/>
                <w:i w:val="1"/>
                <w:iCs w:val="1"/>
                <w:color w:val="auto"/>
              </w:rPr>
              <w:t>Derivative liabilities of consolidated funds:</w:t>
            </w:r>
          </w:p>
        </w:tc>
        <w:tc>
          <w:tcPr>
            <w:tcW w:w="10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5600" w:type="dxa"/>
            <w:vAlign w:val="bottom"/>
            <w:gridSpan w:val="2"/>
          </w:tcPr>
          <w:p>
            <w:pPr>
              <w:spacing w:after="0"/>
              <w:rPr>
                <w:sz w:val="20"/>
                <w:szCs w:val="20"/>
                <w:color w:val="auto"/>
              </w:rPr>
            </w:pPr>
            <w:r>
              <w:rPr>
                <w:rFonts w:ascii="Arial" w:cs="Arial" w:eastAsia="Arial" w:hAnsi="Arial"/>
                <w:sz w:val="15"/>
                <w:szCs w:val="15"/>
                <w:color w:val="auto"/>
              </w:rPr>
              <w:t>Foreign-currency forward contracts</w:t>
            </w:r>
          </w:p>
        </w:tc>
        <w:tc>
          <w:tcPr>
            <w:tcW w:w="1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(336)</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gridSpan w:val="2"/>
          </w:tcPr>
          <w:p>
            <w:pPr>
              <w:ind w:left="94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6"/>
                <w:szCs w:val="16"/>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(336)</w:t>
            </w:r>
          </w:p>
        </w:tc>
        <w:tc>
          <w:tcPr>
            <w:tcW w:w="0" w:type="dxa"/>
            <w:vAlign w:val="bottom"/>
          </w:tcPr>
          <w:p>
            <w:pPr>
              <w:spacing w:after="0"/>
              <w:rPr>
                <w:sz w:val="1"/>
                <w:szCs w:val="1"/>
                <w:color w:val="auto"/>
              </w:rPr>
            </w:pPr>
          </w:p>
        </w:tc>
      </w:tr>
      <w:tr>
        <w:trPr>
          <w:trHeight w:val="193"/>
        </w:trPr>
        <w:tc>
          <w:tcPr>
            <w:tcW w:w="5600" w:type="dxa"/>
            <w:vAlign w:val="bottom"/>
            <w:gridSpan w:val="2"/>
          </w:tcPr>
          <w:p>
            <w:pPr>
              <w:spacing w:after="0"/>
              <w:rPr>
                <w:sz w:val="20"/>
                <w:szCs w:val="20"/>
                <w:color w:val="auto"/>
              </w:rPr>
            </w:pPr>
            <w:r>
              <w:rPr>
                <w:rFonts w:ascii="Arial" w:cs="Arial" w:eastAsia="Arial" w:hAnsi="Arial"/>
                <w:sz w:val="15"/>
                <w:szCs w:val="15"/>
                <w:color w:val="auto"/>
              </w:rPr>
              <w:t>Options and futures</w:t>
            </w:r>
          </w:p>
        </w:tc>
        <w:tc>
          <w:tcPr>
            <w:tcW w:w="1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(38)</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gridSpan w:val="2"/>
          </w:tcPr>
          <w:p>
            <w:pPr>
              <w:ind w:left="94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6"/>
                <w:szCs w:val="16"/>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(38)</w:t>
            </w:r>
          </w:p>
        </w:tc>
        <w:tc>
          <w:tcPr>
            <w:tcW w:w="0" w:type="dxa"/>
            <w:vAlign w:val="bottom"/>
          </w:tcPr>
          <w:p>
            <w:pPr>
              <w:spacing w:after="0"/>
              <w:rPr>
                <w:sz w:val="1"/>
                <w:szCs w:val="1"/>
                <w:color w:val="auto"/>
              </w:rPr>
            </w:pPr>
          </w:p>
        </w:tc>
      </w:tr>
      <w:tr>
        <w:trPr>
          <w:trHeight w:val="191"/>
        </w:trPr>
        <w:tc>
          <w:tcPr>
            <w:tcW w:w="5600" w:type="dxa"/>
            <w:vAlign w:val="bottom"/>
            <w:gridSpan w:val="2"/>
          </w:tcPr>
          <w:p>
            <w:pPr>
              <w:ind w:left="460"/>
              <w:spacing w:after="0"/>
              <w:rPr>
                <w:sz w:val="20"/>
                <w:szCs w:val="20"/>
                <w:color w:val="auto"/>
              </w:rPr>
            </w:pPr>
            <w:r>
              <w:rPr>
                <w:rFonts w:ascii="Arial" w:cs="Arial" w:eastAsia="Arial" w:hAnsi="Arial"/>
                <w:sz w:val="15"/>
                <w:szCs w:val="15"/>
                <w:color w:val="auto"/>
              </w:rPr>
              <w:t>Subtotal</w:t>
            </w:r>
          </w:p>
        </w:tc>
        <w:tc>
          <w:tcPr>
            <w:tcW w:w="100" w:type="dxa"/>
            <w:vAlign w:val="bottom"/>
            <w:tcBorders>
              <w:top w:val="single" w:sz="8" w:color="auto"/>
              <w:bottom w:val="single" w:sz="8" w:color="auto"/>
            </w:tcBorders>
          </w:tcPr>
          <w:p>
            <w:pPr>
              <w:spacing w:after="0"/>
              <w:rPr>
                <w:sz w:val="16"/>
                <w:szCs w:val="16"/>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(374)</w:t>
            </w:r>
          </w:p>
        </w:tc>
        <w:tc>
          <w:tcPr>
            <w:tcW w:w="200" w:type="dxa"/>
            <w:vAlign w:val="bottom"/>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1160" w:type="dxa"/>
            <w:vAlign w:val="bottom"/>
            <w:tcBorders>
              <w:top w:val="single" w:sz="8" w:color="auto"/>
              <w:bottom w:val="single" w:sz="8" w:color="auto"/>
            </w:tcBorders>
          </w:tcPr>
          <w:p>
            <w:pPr>
              <w:ind w:left="94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(374)</w:t>
            </w:r>
          </w:p>
        </w:tc>
        <w:tc>
          <w:tcPr>
            <w:tcW w:w="0" w:type="dxa"/>
            <w:vAlign w:val="bottom"/>
          </w:tcPr>
          <w:p>
            <w:pPr>
              <w:spacing w:after="0"/>
              <w:rPr>
                <w:sz w:val="1"/>
                <w:szCs w:val="1"/>
                <w:color w:val="auto"/>
              </w:rPr>
            </w:pPr>
          </w:p>
        </w:tc>
      </w:tr>
      <w:tr>
        <w:trPr>
          <w:trHeight w:val="187"/>
        </w:trPr>
        <w:tc>
          <w:tcPr>
            <w:tcW w:w="5600" w:type="dxa"/>
            <w:vAlign w:val="bottom"/>
            <w:gridSpan w:val="2"/>
          </w:tcPr>
          <w:p>
            <w:pPr>
              <w:spacing w:after="0"/>
              <w:rPr>
                <w:sz w:val="20"/>
                <w:szCs w:val="20"/>
                <w:color w:val="auto"/>
              </w:rPr>
            </w:pPr>
            <w:r>
              <w:rPr>
                <w:rFonts w:ascii="Arial" w:cs="Arial" w:eastAsia="Arial" w:hAnsi="Arial"/>
                <w:sz w:val="15"/>
                <w:szCs w:val="15"/>
                <w:color w:val="auto"/>
              </w:rPr>
              <w:t>Total</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(10,029)</w:t>
            </w:r>
          </w:p>
        </w:tc>
        <w:tc>
          <w:tcPr>
            <w:tcW w:w="200" w:type="dxa"/>
            <w:vAlign w:val="bottom"/>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160" w:type="dxa"/>
            <w:vAlign w:val="bottom"/>
            <w:tcBorders>
              <w:bottom w:val="single" w:sz="8" w:color="auto"/>
            </w:tcBorders>
          </w:tcPr>
          <w:p>
            <w:pPr>
              <w:ind w:left="94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6"/>
                <w:szCs w:val="16"/>
                <w:color w:val="auto"/>
              </w:rPr>
            </w:pPr>
          </w:p>
        </w:tc>
        <w:tc>
          <w:tcPr>
            <w:tcW w:w="18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95"/>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(10,029)</w:t>
            </w:r>
          </w:p>
        </w:tc>
        <w:tc>
          <w:tcPr>
            <w:tcW w:w="0" w:type="dxa"/>
            <w:vAlign w:val="bottom"/>
          </w:tcPr>
          <w:p>
            <w:pPr>
              <w:spacing w:after="0"/>
              <w:rPr>
                <w:sz w:val="1"/>
                <w:szCs w:val="1"/>
                <w:color w:val="auto"/>
              </w:rPr>
            </w:pPr>
          </w:p>
        </w:tc>
      </w:tr>
      <w:tr>
        <w:trPr>
          <w:trHeight w:val="20"/>
        </w:trPr>
        <w:tc>
          <w:tcPr>
            <w:tcW w:w="142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8. GOODWILL</w:t>
      </w:r>
    </w:p>
    <w:p>
      <w:pPr>
        <w:spacing w:after="0" w:line="167" w:lineRule="exact"/>
        <w:rPr>
          <w:sz w:val="20"/>
          <w:szCs w:val="20"/>
          <w:color w:val="auto"/>
        </w:rPr>
      </w:pPr>
    </w:p>
    <w:p>
      <w:pPr>
        <w:ind w:firstLine="619"/>
        <w:spacing w:after="0" w:line="265" w:lineRule="auto"/>
        <w:rPr>
          <w:sz w:val="20"/>
          <w:szCs w:val="20"/>
          <w:color w:val="auto"/>
        </w:rPr>
      </w:pPr>
      <w:r>
        <w:rPr>
          <w:rFonts w:ascii="Arial" w:cs="Arial" w:eastAsia="Arial" w:hAnsi="Arial"/>
          <w:sz w:val="17"/>
          <w:szCs w:val="17"/>
          <w:color w:val="auto"/>
        </w:rPr>
        <w:t>Goodwill represents the excess of cost over the fair value of identifiable net assets of acquired businesses. Goodwill has an indefinite useful life and is not amortized, but instead is tested for impairment annually in the fourth quarter of each fiscal year, or more frequently if events or circumstances indicate that impairment may have occurred. Goodwill is included in other assets in the consolidated statements of financial position. As of December 31, 2025 and 2024, the Company determined there was no goodwill impairment.</w:t>
      </w:r>
    </w:p>
    <w:p>
      <w:pPr>
        <w:spacing w:after="0" w:line="116"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carrying value of goodwill was $18.4 million as of December 31, 2025 and 2024.</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29</w:t>
      </w:r>
    </w:p>
    <w:p>
      <w:pPr>
        <w:sectPr>
          <w:pgSz w:w="11900" w:h="16838" w:orient="portrait"/>
          <w:cols w:equalWidth="0" w:num="1">
            <w:col w:w="11240"/>
          </w:cols>
          <w:pgMar w:left="320" w:top="353" w:right="339" w:bottom="1440" w:gutter="0" w:footer="0" w:header="0"/>
        </w:sectPr>
      </w:pPr>
    </w:p>
    <w:bookmarkStart w:id="169" w:name="page170"/>
    <w:bookmarkEnd w:id="169"/>
    <w:p>
      <w:pPr>
        <w:jc w:val="center"/>
        <w:ind w:right="100"/>
        <w:spacing w:after="0"/>
        <w:rPr>
          <w:sz w:val="20"/>
          <w:szCs w:val="20"/>
          <w:color w:val="auto"/>
        </w:rPr>
      </w:pPr>
      <w:r>
        <w:rPr>
          <w:rFonts w:ascii="Arial" w:cs="Arial" w:eastAsia="Arial" w:hAnsi="Arial"/>
          <w:sz w:val="17"/>
          <w:szCs w:val="17"/>
          <w:b w:val="1"/>
          <w:bCs w:val="1"/>
          <w:color w:val="auto"/>
        </w:rPr>
        <w:t>Oaktree Capital I, L.P.</w:t>
      </w:r>
    </w:p>
    <w:p>
      <w:pPr>
        <w:spacing w:after="0" w:line="16"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Notes to Consolidated Financial Statements — (Continued)</w:t>
      </w:r>
    </w:p>
    <w:p>
      <w:pPr>
        <w:spacing w:after="0" w:line="11"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December 31, 2025</w:t>
      </w:r>
    </w:p>
    <w:p>
      <w:pPr>
        <w:spacing w:after="0" w:line="11"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 in thousands, except where noted)</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right="7360" w:firstLine="3"/>
        <w:spacing w:after="0" w:line="381" w:lineRule="auto"/>
        <w:tabs>
          <w:tab w:leader="none" w:pos="191" w:val="left"/>
        </w:tabs>
        <w:numPr>
          <w:ilvl w:val="0"/>
          <w:numId w:val="69"/>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DEBT OBLIGATIONS AND CREDIT FACILITIES </w:t>
      </w:r>
      <w:r>
        <w:rPr>
          <w:rFonts w:ascii="Arial" w:cs="Arial" w:eastAsia="Arial" w:hAnsi="Arial"/>
          <w:sz w:val="17"/>
          <w:szCs w:val="17"/>
          <w:i w:val="1"/>
          <w:iCs w:val="1"/>
          <w:color w:val="auto"/>
        </w:rPr>
        <w:t>Oaktree Capital I Debt Obligations</w:t>
      </w:r>
    </w:p>
    <w:p>
      <w:pPr>
        <w:ind w:right="220" w:firstLine="619"/>
        <w:spacing w:after="0" w:line="262" w:lineRule="auto"/>
        <w:rPr>
          <w:sz w:val="20"/>
          <w:szCs w:val="20"/>
          <w:color w:val="auto"/>
        </w:rPr>
      </w:pPr>
      <w:r>
        <w:rPr>
          <w:rFonts w:ascii="Arial" w:cs="Arial" w:eastAsia="Arial" w:hAnsi="Arial"/>
          <w:sz w:val="17"/>
          <w:szCs w:val="17"/>
          <w:color w:val="auto"/>
        </w:rPr>
        <w:t>On March 30, 2022, Oaktree Capital I entered into a note and guaranty agreement with certain accredited investors pursuant to which Oaktree Capital I agreed to issue and sell to such investors €50 million of its 2.20% Senior Notes, Series A, due 2032, €75 million of its 2.40% Senior Notes, Series B, due 2034, and €75 million of its 2.58% Senior Notes, Series C, due 2037. These notes are senior unsecured obligations of Oaktree Capital I, and jointly and severally guaranteed by OCM, Oaktree Capital II and Oaktree AIF. The offering closed on June 8, 2022, and Oaktree Capital I received proceeds of €200 million on the closing date.</w:t>
      </w:r>
    </w:p>
    <w:p>
      <w:pPr>
        <w:spacing w:after="0" w:line="105" w:lineRule="exact"/>
        <w:rPr>
          <w:sz w:val="20"/>
          <w:szCs w:val="20"/>
          <w:color w:val="auto"/>
        </w:rPr>
      </w:pPr>
    </w:p>
    <w:tbl>
      <w:tblPr>
        <w:tblLayout w:type="fixed"/>
        <w:tblInd w:w="640" w:type="dxa"/>
        <w:tblCellMar>
          <w:top w:w="0" w:type="dxa"/>
          <w:left w:w="0" w:type="dxa"/>
          <w:bottom w:w="0" w:type="dxa"/>
          <w:right w:w="0" w:type="dxa"/>
        </w:tblCellMar>
      </w:tblPr>
      <w:tr>
        <w:trPr>
          <w:trHeight w:val="169"/>
        </w:trPr>
        <w:tc>
          <w:tcPr>
            <w:tcW w:w="7680" w:type="dxa"/>
            <w:vAlign w:val="bottom"/>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3"/>
          </w:tcPr>
          <w:p>
            <w:pPr>
              <w:jc w:val="right"/>
              <w:ind w:right="3"/>
              <w:spacing w:after="0"/>
              <w:rPr>
                <w:sz w:val="20"/>
                <w:szCs w:val="20"/>
                <w:color w:val="auto"/>
              </w:rPr>
            </w:pPr>
            <w:r>
              <w:rPr>
                <w:rFonts w:ascii="Arial" w:cs="Arial" w:eastAsia="Arial" w:hAnsi="Arial"/>
                <w:sz w:val="12"/>
                <w:szCs w:val="12"/>
                <w:b w:val="1"/>
                <w:bCs w:val="1"/>
                <w:color w:val="auto"/>
              </w:rPr>
              <w:t>As of December 31,</w:t>
            </w:r>
          </w:p>
        </w:tc>
        <w:tc>
          <w:tcPr>
            <w:tcW w:w="720" w:type="dxa"/>
            <w:vAlign w:val="bottom"/>
            <w:tcBorders>
              <w:bottom w:val="single" w:sz="8" w:color="auto"/>
            </w:tcBorders>
          </w:tcPr>
          <w:p>
            <w:pPr>
              <w:spacing w:after="0"/>
              <w:rPr>
                <w:sz w:val="14"/>
                <w:szCs w:val="14"/>
                <w:color w:val="auto"/>
              </w:rPr>
            </w:pPr>
          </w:p>
        </w:tc>
      </w:tr>
      <w:tr>
        <w:trPr>
          <w:trHeight w:val="162"/>
        </w:trPr>
        <w:tc>
          <w:tcPr>
            <w:tcW w:w="7680" w:type="dxa"/>
            <w:vAlign w:val="bottom"/>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2025</w:t>
            </w:r>
          </w:p>
        </w:tc>
        <w:tc>
          <w:tcPr>
            <w:tcW w:w="6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85"/>
              <w:spacing w:after="0"/>
              <w:rPr>
                <w:sz w:val="20"/>
                <w:szCs w:val="20"/>
                <w:color w:val="auto"/>
              </w:rPr>
            </w:pPr>
            <w:r>
              <w:rPr>
                <w:rFonts w:ascii="Arial" w:cs="Arial" w:eastAsia="Arial" w:hAnsi="Arial"/>
                <w:sz w:val="12"/>
                <w:szCs w:val="12"/>
                <w:b w:val="1"/>
                <w:bCs w:val="1"/>
                <w:color w:val="auto"/>
              </w:rPr>
              <w:t>2024</w:t>
            </w:r>
          </w:p>
        </w:tc>
      </w:tr>
      <w:tr>
        <w:trPr>
          <w:trHeight w:val="187"/>
        </w:trPr>
        <w:tc>
          <w:tcPr>
            <w:tcW w:w="7680" w:type="dxa"/>
            <w:vAlign w:val="bottom"/>
          </w:tcPr>
          <w:p>
            <w:pPr>
              <w:spacing w:after="0"/>
              <w:rPr>
                <w:sz w:val="20"/>
                <w:szCs w:val="20"/>
                <w:color w:val="auto"/>
              </w:rPr>
            </w:pPr>
            <w:r>
              <w:rPr>
                <w:rFonts w:ascii="Arial" w:cs="Arial" w:eastAsia="Arial" w:hAnsi="Arial"/>
                <w:sz w:val="15"/>
                <w:szCs w:val="15"/>
                <w:color w:val="auto"/>
              </w:rPr>
              <w:t>Senior unsecured notes</w:t>
            </w:r>
          </w:p>
        </w:tc>
        <w:tc>
          <w:tcPr>
            <w:tcW w:w="9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387"/>
        </w:trPr>
        <w:tc>
          <w:tcPr>
            <w:tcW w:w="7680" w:type="dxa"/>
            <w:vAlign w:val="bottom"/>
          </w:tcPr>
          <w:p>
            <w:pPr>
              <w:spacing w:after="0"/>
              <w:rPr>
                <w:sz w:val="20"/>
                <w:szCs w:val="20"/>
                <w:color w:val="auto"/>
              </w:rPr>
            </w:pPr>
            <w:r>
              <w:rPr>
                <w:rFonts w:ascii="Arial" w:cs="Arial" w:eastAsia="Arial" w:hAnsi="Arial"/>
                <w:sz w:val="15"/>
                <w:szCs w:val="15"/>
                <w:color w:val="auto"/>
              </w:rPr>
              <w:t>€50,000, 2.20%, issued in June 2022, payable on June 8, 2032</w:t>
            </w:r>
          </w:p>
        </w:tc>
        <w:tc>
          <w:tcPr>
            <w:tcW w:w="940" w:type="dxa"/>
            <w:vAlign w:val="bottom"/>
          </w:tcPr>
          <w:p>
            <w:pPr>
              <w:jc w:val="right"/>
              <w:ind w:right="768"/>
              <w:spacing w:after="0"/>
              <w:rPr>
                <w:sz w:val="20"/>
                <w:szCs w:val="20"/>
                <w:color w:val="auto"/>
              </w:rPr>
            </w:pPr>
            <w:r>
              <w:rPr>
                <w:rFonts w:ascii="Arial" w:cs="Arial" w:eastAsia="Arial" w:hAnsi="Arial"/>
                <w:sz w:val="15"/>
                <w:szCs w:val="15"/>
                <w:color w:val="auto"/>
                <w:w w:val="95"/>
              </w:rPr>
              <w:t>$</w:t>
            </w:r>
          </w:p>
        </w:tc>
        <w:tc>
          <w:tcPr>
            <w:tcW w:w="640" w:type="dxa"/>
            <w:vAlign w:val="bottom"/>
          </w:tcPr>
          <w:p>
            <w:pPr>
              <w:jc w:val="right"/>
              <w:ind w:right="5"/>
              <w:spacing w:after="0"/>
              <w:rPr>
                <w:sz w:val="20"/>
                <w:szCs w:val="20"/>
                <w:color w:val="auto"/>
              </w:rPr>
            </w:pPr>
            <w:r>
              <w:rPr>
                <w:rFonts w:ascii="Arial" w:cs="Arial" w:eastAsia="Arial" w:hAnsi="Arial"/>
                <w:sz w:val="15"/>
                <w:szCs w:val="15"/>
                <w:color w:val="auto"/>
              </w:rPr>
              <w:t>58,792</w:t>
            </w:r>
          </w:p>
        </w:tc>
        <w:tc>
          <w:tcPr>
            <w:tcW w:w="160" w:type="dxa"/>
            <w:vAlign w:val="bottom"/>
          </w:tcPr>
          <w:p>
            <w:pPr>
              <w:spacing w:after="0"/>
              <w:rPr>
                <w:sz w:val="24"/>
                <w:szCs w:val="24"/>
                <w:color w:val="auto"/>
              </w:rPr>
            </w:pPr>
          </w:p>
        </w:tc>
        <w:tc>
          <w:tcPr>
            <w:tcW w:w="560" w:type="dxa"/>
            <w:vAlign w:val="bottom"/>
          </w:tcPr>
          <w:p>
            <w:pPr>
              <w:jc w:val="right"/>
              <w:ind w:right="383"/>
              <w:spacing w:after="0"/>
              <w:rPr>
                <w:sz w:val="20"/>
                <w:szCs w:val="20"/>
                <w:color w:val="auto"/>
              </w:rPr>
            </w:pPr>
            <w:r>
              <w:rPr>
                <w:rFonts w:ascii="Arial" w:cs="Arial" w:eastAsia="Arial" w:hAnsi="Arial"/>
                <w:sz w:val="15"/>
                <w:szCs w:val="15"/>
                <w:color w:val="auto"/>
                <w:w w:val="95"/>
              </w:rPr>
              <w:t>$</w:t>
            </w:r>
          </w:p>
        </w:tc>
        <w:tc>
          <w:tcPr>
            <w:tcW w:w="720" w:type="dxa"/>
            <w:vAlign w:val="bottom"/>
          </w:tcPr>
          <w:p>
            <w:pPr>
              <w:jc w:val="right"/>
              <w:spacing w:after="0"/>
              <w:rPr>
                <w:sz w:val="20"/>
                <w:szCs w:val="20"/>
                <w:color w:val="auto"/>
              </w:rPr>
            </w:pPr>
            <w:r>
              <w:rPr>
                <w:rFonts w:ascii="Arial" w:cs="Arial" w:eastAsia="Arial" w:hAnsi="Arial"/>
                <w:sz w:val="15"/>
                <w:szCs w:val="15"/>
                <w:color w:val="auto"/>
              </w:rPr>
              <w:t>51,</w:t>
            </w:r>
          </w:p>
        </w:tc>
      </w:tr>
      <w:tr>
        <w:trPr>
          <w:trHeight w:val="374"/>
        </w:trPr>
        <w:tc>
          <w:tcPr>
            <w:tcW w:w="7680" w:type="dxa"/>
            <w:vAlign w:val="bottom"/>
          </w:tcPr>
          <w:p>
            <w:pPr>
              <w:spacing w:after="0"/>
              <w:rPr>
                <w:sz w:val="20"/>
                <w:szCs w:val="20"/>
                <w:color w:val="auto"/>
              </w:rPr>
            </w:pPr>
            <w:r>
              <w:rPr>
                <w:rFonts w:ascii="Arial" w:cs="Arial" w:eastAsia="Arial" w:hAnsi="Arial"/>
                <w:sz w:val="15"/>
                <w:szCs w:val="15"/>
                <w:color w:val="auto"/>
              </w:rPr>
              <w:t>€75,000, 2.40%, issued in June 2022, payable on June 8, 2034</w:t>
            </w:r>
          </w:p>
        </w:tc>
        <w:tc>
          <w:tcPr>
            <w:tcW w:w="940" w:type="dxa"/>
            <w:vAlign w:val="bottom"/>
          </w:tcPr>
          <w:p>
            <w:pPr>
              <w:spacing w:after="0"/>
              <w:rPr>
                <w:sz w:val="24"/>
                <w:szCs w:val="24"/>
                <w:color w:val="auto"/>
              </w:rPr>
            </w:pPr>
          </w:p>
        </w:tc>
        <w:tc>
          <w:tcPr>
            <w:tcW w:w="640" w:type="dxa"/>
            <w:vAlign w:val="bottom"/>
          </w:tcPr>
          <w:p>
            <w:pPr>
              <w:jc w:val="right"/>
              <w:ind w:right="5"/>
              <w:spacing w:after="0"/>
              <w:rPr>
                <w:sz w:val="20"/>
                <w:szCs w:val="20"/>
                <w:color w:val="auto"/>
              </w:rPr>
            </w:pPr>
            <w:r>
              <w:rPr>
                <w:rFonts w:ascii="Arial" w:cs="Arial" w:eastAsia="Arial" w:hAnsi="Arial"/>
                <w:sz w:val="15"/>
                <w:szCs w:val="15"/>
                <w:color w:val="auto"/>
              </w:rPr>
              <w:t>88,189</w:t>
            </w: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77,</w:t>
            </w:r>
          </w:p>
        </w:tc>
      </w:tr>
      <w:tr>
        <w:trPr>
          <w:trHeight w:val="374"/>
        </w:trPr>
        <w:tc>
          <w:tcPr>
            <w:tcW w:w="7680" w:type="dxa"/>
            <w:vAlign w:val="bottom"/>
          </w:tcPr>
          <w:p>
            <w:pPr>
              <w:spacing w:after="0"/>
              <w:rPr>
                <w:sz w:val="20"/>
                <w:szCs w:val="20"/>
                <w:color w:val="auto"/>
              </w:rPr>
            </w:pPr>
            <w:r>
              <w:rPr>
                <w:rFonts w:ascii="Arial" w:cs="Arial" w:eastAsia="Arial" w:hAnsi="Arial"/>
                <w:sz w:val="15"/>
                <w:szCs w:val="15"/>
                <w:color w:val="auto"/>
              </w:rPr>
              <w:t>€75,000, 2.58%, issued in June 2022, payable on June 8, 2037</w:t>
            </w:r>
          </w:p>
        </w:tc>
        <w:tc>
          <w:tcPr>
            <w:tcW w:w="940" w:type="dxa"/>
            <w:vAlign w:val="bottom"/>
          </w:tcPr>
          <w:p>
            <w:pPr>
              <w:spacing w:after="0"/>
              <w:rPr>
                <w:sz w:val="24"/>
                <w:szCs w:val="24"/>
                <w:color w:val="auto"/>
              </w:rPr>
            </w:pPr>
          </w:p>
        </w:tc>
        <w:tc>
          <w:tcPr>
            <w:tcW w:w="640" w:type="dxa"/>
            <w:vAlign w:val="bottom"/>
          </w:tcPr>
          <w:p>
            <w:pPr>
              <w:jc w:val="right"/>
              <w:ind w:right="5"/>
              <w:spacing w:after="0"/>
              <w:rPr>
                <w:sz w:val="20"/>
                <w:szCs w:val="20"/>
                <w:color w:val="auto"/>
              </w:rPr>
            </w:pPr>
            <w:r>
              <w:rPr>
                <w:rFonts w:ascii="Arial" w:cs="Arial" w:eastAsia="Arial" w:hAnsi="Arial"/>
                <w:sz w:val="15"/>
                <w:szCs w:val="15"/>
                <w:color w:val="auto"/>
              </w:rPr>
              <w:t>88,189</w:t>
            </w: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77,</w:t>
            </w:r>
          </w:p>
        </w:tc>
      </w:tr>
      <w:tr>
        <w:trPr>
          <w:trHeight w:val="219"/>
        </w:trPr>
        <w:tc>
          <w:tcPr>
            <w:tcW w:w="7680" w:type="dxa"/>
            <w:vAlign w:val="bottom"/>
          </w:tcPr>
          <w:p>
            <w:pPr>
              <w:spacing w:after="0"/>
              <w:rPr>
                <w:sz w:val="20"/>
                <w:szCs w:val="20"/>
                <w:color w:val="auto"/>
              </w:rPr>
            </w:pPr>
            <w:r>
              <w:rPr>
                <w:rFonts w:ascii="Arial" w:cs="Arial" w:eastAsia="Arial" w:hAnsi="Arial"/>
                <w:sz w:val="15"/>
                <w:szCs w:val="15"/>
                <w:color w:val="auto"/>
              </w:rPr>
              <w:t>$300,000, 5.55%, issued in June 2025, payable on June 5, 2036</w:t>
            </w:r>
          </w:p>
        </w:tc>
        <w:tc>
          <w:tcPr>
            <w:tcW w:w="9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99"/>
              </w:rPr>
              <w:t>300,000</w:t>
            </w:r>
          </w:p>
        </w:tc>
        <w:tc>
          <w:tcPr>
            <w:tcW w:w="160" w:type="dxa"/>
            <w:vAlign w:val="bottom"/>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r>
      <w:tr>
        <w:trPr>
          <w:trHeight w:val="199"/>
        </w:trPr>
        <w:tc>
          <w:tcPr>
            <w:tcW w:w="7680" w:type="dxa"/>
            <w:vAlign w:val="bottom"/>
          </w:tcPr>
          <w:p>
            <w:pPr>
              <w:spacing w:after="0"/>
              <w:rPr>
                <w:sz w:val="20"/>
                <w:szCs w:val="20"/>
                <w:color w:val="auto"/>
              </w:rPr>
            </w:pPr>
            <w:r>
              <w:rPr>
                <w:rFonts w:ascii="Arial" w:cs="Arial" w:eastAsia="Arial" w:hAnsi="Arial"/>
                <w:sz w:val="15"/>
                <w:szCs w:val="15"/>
                <w:color w:val="auto"/>
              </w:rPr>
              <w:t>Total remaining principal</w:t>
            </w:r>
          </w:p>
        </w:tc>
        <w:tc>
          <w:tcPr>
            <w:tcW w:w="940" w:type="dxa"/>
            <w:vAlign w:val="bottom"/>
          </w:tcPr>
          <w:p>
            <w:pPr>
              <w:spacing w:after="0"/>
              <w:rPr>
                <w:sz w:val="17"/>
                <w:szCs w:val="17"/>
                <w:color w:val="auto"/>
              </w:rPr>
            </w:pPr>
          </w:p>
        </w:tc>
        <w:tc>
          <w:tcPr>
            <w:tcW w:w="640" w:type="dxa"/>
            <w:vAlign w:val="bottom"/>
          </w:tcPr>
          <w:p>
            <w:pPr>
              <w:jc w:val="right"/>
              <w:ind w:right="5"/>
              <w:spacing w:after="0"/>
              <w:rPr>
                <w:sz w:val="20"/>
                <w:szCs w:val="20"/>
                <w:color w:val="auto"/>
              </w:rPr>
            </w:pPr>
            <w:r>
              <w:rPr>
                <w:rFonts w:ascii="Arial" w:cs="Arial" w:eastAsia="Arial" w:hAnsi="Arial"/>
                <w:sz w:val="15"/>
                <w:szCs w:val="15"/>
                <w:color w:val="auto"/>
                <w:w w:val="99"/>
              </w:rPr>
              <w:t>535,170</w:t>
            </w: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207,</w:t>
            </w:r>
          </w:p>
        </w:tc>
      </w:tr>
      <w:tr>
        <w:trPr>
          <w:trHeight w:val="219"/>
        </w:trPr>
        <w:tc>
          <w:tcPr>
            <w:tcW w:w="7680" w:type="dxa"/>
            <w:vAlign w:val="bottom"/>
          </w:tcPr>
          <w:p>
            <w:pPr>
              <w:spacing w:after="0"/>
              <w:rPr>
                <w:sz w:val="20"/>
                <w:szCs w:val="20"/>
                <w:color w:val="auto"/>
              </w:rPr>
            </w:pPr>
            <w:r>
              <w:rPr>
                <w:rFonts w:ascii="Arial" w:cs="Arial" w:eastAsia="Arial" w:hAnsi="Arial"/>
                <w:sz w:val="15"/>
                <w:szCs w:val="15"/>
                <w:color w:val="auto"/>
              </w:rPr>
              <w:t>Less: Debt issuance costs</w:t>
            </w:r>
          </w:p>
        </w:tc>
        <w:tc>
          <w:tcPr>
            <w:tcW w:w="9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(2,837)</w:t>
            </w:r>
          </w:p>
        </w:tc>
        <w:tc>
          <w:tcPr>
            <w:tcW w:w="160" w:type="dxa"/>
            <w:vAlign w:val="bottom"/>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w:t>
            </w:r>
          </w:p>
        </w:tc>
      </w:tr>
      <w:tr>
        <w:trPr>
          <w:trHeight w:val="200"/>
        </w:trPr>
        <w:tc>
          <w:tcPr>
            <w:tcW w:w="7680" w:type="dxa"/>
            <w:vAlign w:val="bottom"/>
          </w:tcPr>
          <w:p>
            <w:pPr>
              <w:spacing w:after="0"/>
              <w:rPr>
                <w:sz w:val="20"/>
                <w:szCs w:val="20"/>
                <w:color w:val="auto"/>
              </w:rPr>
            </w:pPr>
            <w:r>
              <w:rPr>
                <w:rFonts w:ascii="Arial" w:cs="Arial" w:eastAsia="Arial" w:hAnsi="Arial"/>
                <w:sz w:val="15"/>
                <w:szCs w:val="15"/>
                <w:color w:val="auto"/>
              </w:rPr>
              <w:t>Total debt obligations, net</w:t>
            </w:r>
          </w:p>
        </w:tc>
        <w:tc>
          <w:tcPr>
            <w:tcW w:w="940" w:type="dxa"/>
            <w:vAlign w:val="bottom"/>
            <w:tcBorders>
              <w:bottom w:val="single" w:sz="8" w:color="auto"/>
            </w:tcBorders>
          </w:tcPr>
          <w:p>
            <w:pPr>
              <w:jc w:val="right"/>
              <w:ind w:right="768"/>
              <w:spacing w:after="0"/>
              <w:rPr>
                <w:sz w:val="20"/>
                <w:szCs w:val="20"/>
                <w:color w:val="auto"/>
              </w:rPr>
            </w:pPr>
            <w:r>
              <w:rPr>
                <w:rFonts w:ascii="Arial" w:cs="Arial" w:eastAsia="Arial" w:hAnsi="Arial"/>
                <w:sz w:val="15"/>
                <w:szCs w:val="15"/>
                <w:color w:val="auto"/>
                <w:w w:val="95"/>
              </w:rPr>
              <w:t>$</w:t>
            </w:r>
          </w:p>
        </w:tc>
        <w:tc>
          <w:tcPr>
            <w:tcW w:w="64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99"/>
              </w:rPr>
              <w:t>532,333</w:t>
            </w:r>
          </w:p>
        </w:tc>
        <w:tc>
          <w:tcPr>
            <w:tcW w:w="160" w:type="dxa"/>
            <w:vAlign w:val="bottom"/>
          </w:tcPr>
          <w:p>
            <w:pPr>
              <w:spacing w:after="0"/>
              <w:rPr>
                <w:sz w:val="17"/>
                <w:szCs w:val="17"/>
                <w:color w:val="auto"/>
              </w:rPr>
            </w:pPr>
          </w:p>
        </w:tc>
        <w:tc>
          <w:tcPr>
            <w:tcW w:w="560" w:type="dxa"/>
            <w:vAlign w:val="bottom"/>
            <w:tcBorders>
              <w:bottom w:val="single" w:sz="8" w:color="auto"/>
            </w:tcBorders>
          </w:tcPr>
          <w:p>
            <w:pPr>
              <w:jc w:val="right"/>
              <w:ind w:right="383"/>
              <w:spacing w:after="0"/>
              <w:rPr>
                <w:sz w:val="20"/>
                <w:szCs w:val="20"/>
                <w:color w:val="auto"/>
              </w:rPr>
            </w:pPr>
            <w:r>
              <w:rPr>
                <w:rFonts w:ascii="Arial" w:cs="Arial" w:eastAsia="Arial" w:hAnsi="Arial"/>
                <w:sz w:val="15"/>
                <w:szCs w:val="15"/>
                <w:color w:val="auto"/>
                <w:w w:val="95"/>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206,</w:t>
            </w:r>
          </w:p>
        </w:tc>
      </w:tr>
      <w:tr>
        <w:trPr>
          <w:trHeight w:val="20"/>
        </w:trPr>
        <w:tc>
          <w:tcPr>
            <w:tcW w:w="76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23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Oaktree Capital I Guaranty Agreements</w:t>
      </w:r>
    </w:p>
    <w:p>
      <w:pPr>
        <w:spacing w:after="0" w:line="151" w:lineRule="exact"/>
        <w:rPr>
          <w:sz w:val="20"/>
          <w:szCs w:val="20"/>
          <w:color w:val="auto"/>
        </w:rPr>
      </w:pPr>
    </w:p>
    <w:p>
      <w:pPr>
        <w:ind w:right="200" w:firstLine="619"/>
        <w:spacing w:after="0" w:line="247" w:lineRule="auto"/>
        <w:rPr>
          <w:sz w:val="20"/>
          <w:szCs w:val="20"/>
          <w:color w:val="auto"/>
        </w:rPr>
      </w:pPr>
      <w:r>
        <w:rPr>
          <w:rFonts w:ascii="Arial" w:cs="Arial" w:eastAsia="Arial" w:hAnsi="Arial"/>
          <w:sz w:val="17"/>
          <w:szCs w:val="17"/>
          <w:color w:val="auto"/>
        </w:rPr>
        <w:t>As of December 31, 2025 and 2024, OCM, Oaktree Capital I, Oaktree Capital II, Oaktree AIF and OCM Cayman are co-obligors and jointly and severally liable for all debt obligations listed below, while the debt obligations are reflected in the consolidated financial statements based upon</w:t>
      </w:r>
    </w:p>
    <w:p>
      <w:pPr>
        <w:ind w:right="220"/>
        <w:spacing w:after="0" w:line="229" w:lineRule="auto"/>
        <w:rPr>
          <w:sz w:val="20"/>
          <w:szCs w:val="20"/>
          <w:color w:val="auto"/>
        </w:rPr>
      </w:pPr>
      <w:r>
        <w:rPr>
          <w:rFonts w:ascii="Arial" w:cs="Arial" w:eastAsia="Arial" w:hAnsi="Arial"/>
          <w:sz w:val="17"/>
          <w:szCs w:val="17"/>
          <w:color w:val="auto"/>
        </w:rPr>
        <w:t>the entity that actually made the borrowing and received the related proceeds. Prior to 2022, OCM had historically been the only direct borrower or issuer under credit agreements and private placement notes with third parties and made all payments of principal and interest. The Company’s</w:t>
      </w:r>
    </w:p>
    <w:p>
      <w:pPr>
        <w:spacing w:after="0" w:line="1" w:lineRule="exact"/>
        <w:rPr>
          <w:sz w:val="20"/>
          <w:szCs w:val="20"/>
          <w:color w:val="auto"/>
        </w:rPr>
      </w:pPr>
    </w:p>
    <w:p>
      <w:pPr>
        <w:ind w:right="560"/>
        <w:spacing w:after="0" w:line="246" w:lineRule="auto"/>
        <w:rPr>
          <w:sz w:val="20"/>
          <w:szCs w:val="20"/>
          <w:color w:val="auto"/>
        </w:rPr>
      </w:pPr>
      <w:r>
        <w:rPr>
          <w:rFonts w:ascii="Arial" w:cs="Arial" w:eastAsia="Arial" w:hAnsi="Arial"/>
          <w:sz w:val="17"/>
          <w:szCs w:val="17"/>
          <w:color w:val="auto"/>
        </w:rPr>
        <w:t>financial statements after the 2019 Restructuring generally do not reflect debt obligations, interest expense or related liabilities associated with OCM, Oaktree Capital II and Oaktree AIF. Subsequent to the 2022 Restructuring, the Company’s financial statements no longer reflect debt obligations, interest expense or related liabilities associated with OCM, OCM Cayman, Oaktree Capital II and Oaktree AIF.</w:t>
      </w:r>
    </w:p>
    <w:p>
      <w:pPr>
        <w:spacing w:after="0" w:line="118" w:lineRule="exact"/>
        <w:rPr>
          <w:sz w:val="20"/>
          <w:szCs w:val="20"/>
          <w:color w:val="auto"/>
        </w:rPr>
      </w:pPr>
    </w:p>
    <w:p>
      <w:pPr>
        <w:ind w:right="140" w:firstLine="619"/>
        <w:spacing w:after="0"/>
        <w:rPr>
          <w:sz w:val="20"/>
          <w:szCs w:val="20"/>
          <w:color w:val="auto"/>
        </w:rPr>
      </w:pPr>
      <w:r>
        <w:rPr>
          <w:rFonts w:ascii="Arial" w:cs="Arial" w:eastAsia="Arial" w:hAnsi="Arial"/>
          <w:sz w:val="17"/>
          <w:szCs w:val="17"/>
          <w:color w:val="auto"/>
        </w:rPr>
        <w:t>On April 7, 2023, OCM, Oaktree Capital I, Oaktree Capital II, Oaktree AIF and OCM Cayman (collectively, the “Obligors”) entered into amendments to each of the note and guaranty agreements listed below for each series of outstanding senior notes issued by OCM and Oaktree Capital I. Pursuant to these amendments, OCM Cayman became a guarantor of each such series of senior notes. These amendments also amended certain provisions in these note and guaranty agreements, including financial definitions, in order to facilitate the joinder of OCM Cayman as an obligor. Additionally, the amendments for the note purchase agreements executed in 2014 and 2020 amended the assets under management covenants to clarify the treatment of entities that the Obligors account for using equity method accounting. On the same date that the note and guaranty agreement amendments took effect, OCM Cayman became a Borrower under the $650.0 million revolving credit facility with OCM,</w:t>
      </w:r>
    </w:p>
    <w:p>
      <w:pPr>
        <w:spacing w:after="0" w:line="1" w:lineRule="exact"/>
        <w:rPr>
          <w:sz w:val="20"/>
          <w:szCs w:val="20"/>
          <w:color w:val="auto"/>
        </w:rPr>
      </w:pPr>
    </w:p>
    <w:p>
      <w:pPr>
        <w:ind w:right="980"/>
        <w:spacing w:after="0" w:line="239" w:lineRule="auto"/>
        <w:rPr>
          <w:sz w:val="20"/>
          <w:szCs w:val="20"/>
          <w:color w:val="auto"/>
        </w:rPr>
      </w:pPr>
      <w:r>
        <w:rPr>
          <w:rFonts w:ascii="Arial" w:cs="Arial" w:eastAsia="Arial" w:hAnsi="Arial"/>
          <w:sz w:val="17"/>
          <w:szCs w:val="17"/>
          <w:color w:val="auto"/>
        </w:rPr>
        <w:t>Oaktree Capital I, Oaktree Capital II and Oaktree AIF pursuant to a joinder agreement executed by OCM Cayman as part of the Seventh Amendment to the credit facility.</w:t>
      </w:r>
    </w:p>
    <w:p>
      <w:pPr>
        <w:spacing w:after="0" w:line="136" w:lineRule="exact"/>
        <w:rPr>
          <w:sz w:val="20"/>
          <w:szCs w:val="20"/>
          <w:color w:val="auto"/>
        </w:rPr>
      </w:pPr>
    </w:p>
    <w:p>
      <w:pPr>
        <w:jc w:val="both"/>
        <w:ind w:right="320" w:firstLine="619"/>
        <w:spacing w:after="0" w:line="259" w:lineRule="auto"/>
        <w:rPr>
          <w:sz w:val="20"/>
          <w:szCs w:val="20"/>
          <w:color w:val="auto"/>
        </w:rPr>
      </w:pPr>
      <w:r>
        <w:rPr>
          <w:rFonts w:ascii="Arial" w:cs="Arial" w:eastAsia="Arial" w:hAnsi="Arial"/>
          <w:sz w:val="17"/>
          <w:szCs w:val="17"/>
          <w:color w:val="auto"/>
        </w:rPr>
        <w:t>On May 20, 2020, OCM entered into a note and guaranty agreement with certain accredited investors pursuant to which OCM agreed to issue and sell to such investors $250.0 million of senior unsecured notes that bear a blended 3.68% fixed rate of interest and a weighted average maturity of 2031. These notes are guaranteed by Oaktree Capital I, along with Oaktree Capital II, Oaktree AIF and OCM Cayman, as co-obligors.</w:t>
      </w:r>
    </w:p>
    <w:p>
      <w:pPr>
        <w:spacing w:after="0" w:line="2" w:lineRule="exact"/>
        <w:rPr>
          <w:sz w:val="20"/>
          <w:szCs w:val="20"/>
          <w:color w:val="auto"/>
        </w:rPr>
      </w:pPr>
    </w:p>
    <w:p>
      <w:pPr>
        <w:jc w:val="both"/>
        <w:ind w:right="200"/>
        <w:spacing w:after="0" w:line="261" w:lineRule="auto"/>
        <w:rPr>
          <w:sz w:val="20"/>
          <w:szCs w:val="20"/>
          <w:color w:val="auto"/>
        </w:rPr>
      </w:pPr>
      <w:r>
        <w:rPr>
          <w:rFonts w:ascii="Arial" w:cs="Arial" w:eastAsia="Arial" w:hAnsi="Arial"/>
          <w:sz w:val="17"/>
          <w:szCs w:val="17"/>
          <w:color w:val="auto"/>
        </w:rPr>
        <w:t>The offering closed on July 22, 2020 and OCM received proceeds of $250.0 million on the closing date. As OCM is the issuer of such senior notes, the outstanding principal and interest payments guaranteed by Oaktree Capital I will not be included in the Company’s financial statements unless an event of default occurs.</w:t>
      </w:r>
    </w:p>
    <w:p>
      <w:pPr>
        <w:spacing w:after="0" w:line="120" w:lineRule="exact"/>
        <w:rPr>
          <w:sz w:val="20"/>
          <w:szCs w:val="20"/>
          <w:color w:val="auto"/>
        </w:rPr>
      </w:pPr>
    </w:p>
    <w:p>
      <w:pPr>
        <w:ind w:right="460" w:firstLine="619"/>
        <w:spacing w:after="0" w:line="271" w:lineRule="auto"/>
        <w:rPr>
          <w:sz w:val="20"/>
          <w:szCs w:val="20"/>
          <w:color w:val="auto"/>
        </w:rPr>
      </w:pPr>
      <w:r>
        <w:rPr>
          <w:rFonts w:ascii="Arial" w:cs="Arial" w:eastAsia="Arial" w:hAnsi="Arial"/>
          <w:sz w:val="17"/>
          <w:szCs w:val="17"/>
          <w:color w:val="auto"/>
        </w:rPr>
        <w:t>Oaktree Capital I, along with certain other Oaktree Operating Group members as co-borrowers, are parties to a credit agreement with a subsidiary of Brookfield that provides for a subordinated credit facility. The subordinated credit facility has a revolving loan commitment of $250.0 million and borrowings generally bear interest at a spread</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30</w:t>
      </w:r>
    </w:p>
    <w:p>
      <w:pPr>
        <w:sectPr>
          <w:pgSz w:w="11900" w:h="16838" w:orient="portrait"/>
          <w:cols w:equalWidth="0" w:num="1">
            <w:col w:w="11340"/>
          </w:cols>
          <w:pgMar w:left="320" w:top="353" w:right="239" w:bottom="1440" w:gutter="0" w:footer="0" w:header="0"/>
        </w:sectPr>
      </w:pPr>
    </w:p>
    <w:bookmarkStart w:id="170" w:name="page171"/>
    <w:bookmarkEnd w:id="170"/>
    <w:p>
      <w:pPr>
        <w:jc w:val="center"/>
        <w:ind w:right="-19"/>
        <w:spacing w:after="0"/>
        <w:rPr>
          <w:sz w:val="20"/>
          <w:szCs w:val="20"/>
          <w:color w:val="auto"/>
        </w:rPr>
      </w:pPr>
      <w:r>
        <w:rPr>
          <w:rFonts w:ascii="Arial" w:cs="Arial" w:eastAsia="Arial" w:hAnsi="Arial"/>
          <w:sz w:val="17"/>
          <w:szCs w:val="17"/>
          <w:b w:val="1"/>
          <w:bCs w:val="1"/>
          <w:color w:val="auto"/>
        </w:rPr>
        <w:t>Oaktree Capital I, L.P.</w:t>
      </w:r>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Consolidated Financial Statements — (Continued)</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December 31, 2025</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 in thousands, except where noted)</w:t>
      </w:r>
    </w:p>
    <w:p>
      <w:pPr>
        <w:spacing w:after="0" w:line="200" w:lineRule="exact"/>
        <w:rPr>
          <w:sz w:val="20"/>
          <w:szCs w:val="20"/>
          <w:color w:val="auto"/>
        </w:rPr>
      </w:pPr>
    </w:p>
    <w:p>
      <w:pPr>
        <w:spacing w:after="0" w:line="375" w:lineRule="exact"/>
        <w:rPr>
          <w:sz w:val="20"/>
          <w:szCs w:val="20"/>
          <w:color w:val="auto"/>
        </w:rPr>
      </w:pPr>
    </w:p>
    <w:p>
      <w:pPr>
        <w:ind w:right="20"/>
        <w:spacing w:after="0" w:line="257" w:lineRule="auto"/>
        <w:rPr>
          <w:sz w:val="20"/>
          <w:szCs w:val="20"/>
          <w:color w:val="auto"/>
        </w:rPr>
      </w:pPr>
      <w:r>
        <w:rPr>
          <w:rFonts w:ascii="Arial" w:cs="Arial" w:eastAsia="Arial" w:hAnsi="Arial"/>
          <w:sz w:val="17"/>
          <w:szCs w:val="17"/>
          <w:color w:val="auto"/>
        </w:rPr>
        <w:t>to either LIBOR or an alternative base rate. Borrowings on the subordinated credit facility are subordinate to the outstanding debt obligations and borrowings on the primary credit facility of Oaktree Capital I and its co-borrowers. Oaktree Capital I is jointly and severally liable, along with its co-obligors for outstanding borrowings on the subordinated credit facility. The Company’s financial statements generally will not reflect debt obligations, interest expense or related liabilities associated with the subordinated credit facility until such time as Oaktree Capital I directly borrows from it. In March 2022, this credit facility was amended to extend the revolving credit maturity date from May 19, 2023 to September 14, 2026. On October 6, 2023, an amendment was signed to further extend the maturity date to October 6, 2028 and change the interest rate to the SOFR plus 1.6% or an alternative base rate plus 0.5%. The amendment also provided that the maturity date will automatically extend annually in one-year increments until the lenders notify the borrowers of their intention to terminate the subordinated credit facility. No amounts were outstanding on the subordinated credit facility as of December 31, 2025.</w:t>
      </w:r>
    </w:p>
    <w:p>
      <w:pPr>
        <w:spacing w:after="0" w:line="127" w:lineRule="exact"/>
        <w:rPr>
          <w:sz w:val="20"/>
          <w:szCs w:val="20"/>
          <w:color w:val="auto"/>
        </w:rPr>
      </w:pPr>
    </w:p>
    <w:p>
      <w:pPr>
        <w:ind w:right="120" w:firstLine="619"/>
        <w:spacing w:after="0" w:line="262" w:lineRule="auto"/>
        <w:rPr>
          <w:sz w:val="20"/>
          <w:szCs w:val="20"/>
          <w:color w:val="auto"/>
        </w:rPr>
      </w:pPr>
      <w:r>
        <w:rPr>
          <w:rFonts w:ascii="Arial" w:cs="Arial" w:eastAsia="Arial" w:hAnsi="Arial"/>
          <w:sz w:val="17"/>
          <w:szCs w:val="17"/>
          <w:color w:val="auto"/>
        </w:rPr>
        <w:t>On November 4, 2021, OCM entered into a note and guaranty agreement with certain accredited investors pursuant to which OCM agreed to issue and sell to such investors $200.0 million aggregate principal amount of its 3.06% Senior Notes due January 12, 2037. These notes are guaranteed by Oaktree Capital I, along with Oaktree Capital II and Oaktree AIF, as co-obligors. The offering closed on January 12, 2022 and OCM received proceeds of $200.0 million on the closing date. As OCM is the issuer of such notes, the outstanding principal and interest payments guaranteed by Oaktree Capital I will not be included in the Company’s financial statements unless an event of default occurs.</w:t>
      </w:r>
    </w:p>
    <w:p>
      <w:pPr>
        <w:spacing w:after="0" w:line="55" w:lineRule="exact"/>
        <w:rPr>
          <w:sz w:val="20"/>
          <w:szCs w:val="20"/>
          <w:color w:val="auto"/>
        </w:rPr>
      </w:pPr>
    </w:p>
    <w:p>
      <w:pPr>
        <w:ind w:right="60" w:firstLine="619"/>
        <w:spacing w:after="0"/>
        <w:rPr>
          <w:sz w:val="20"/>
          <w:szCs w:val="20"/>
          <w:color w:val="auto"/>
        </w:rPr>
      </w:pPr>
      <w:r>
        <w:rPr>
          <w:rFonts w:ascii="Arial" w:cs="Arial" w:eastAsia="Arial" w:hAnsi="Arial"/>
          <w:sz w:val="17"/>
          <w:szCs w:val="17"/>
          <w:color w:val="auto"/>
        </w:rPr>
        <w:t>Oaktree’s bank credit facility was amended on October 4, 2024 to among other things extend the maturity date of the Credit Agreement from December 15, 2027 to October 4, 2029 with the potential to extend the maturity for up to two additional years, and changed certain lenders who are party to the Credit Agreement. Based on the current credit ratings of OCM, the interest rate on borrowings is the term SOFR reference rate plus 1.10% per annum and the commitment fee on the unused portions of the revolving credit facility is 0.10% per annum. The term SOFR reference rate is determined by the tenor of the borrowings and set by the CME Group Benchmark Administration Limited (CBA)</w:t>
      </w:r>
      <w:r>
        <w:rPr>
          <w:rFonts w:ascii="Times New Roman" w:cs="Times New Roman" w:eastAsia="Times New Roman" w:hAnsi="Times New Roman"/>
          <w:sz w:val="17"/>
          <w:szCs w:val="17"/>
          <w:color w:val="auto"/>
        </w:rPr>
        <w:t>.</w:t>
      </w:r>
      <w:r>
        <w:rPr>
          <w:rFonts w:ascii="Arial" w:cs="Arial" w:eastAsia="Arial" w:hAnsi="Arial"/>
          <w:sz w:val="17"/>
          <w:szCs w:val="17"/>
          <w:color w:val="auto"/>
        </w:rPr>
        <w:t xml:space="preserve"> The credit agreement contains customary financial covenants and restrictions, including ones regarding a maximum leverage ratio and a minimum required</w:t>
      </w:r>
    </w:p>
    <w:p>
      <w:pPr>
        <w:spacing w:after="0" w:line="3" w:lineRule="exact"/>
        <w:rPr>
          <w:sz w:val="20"/>
          <w:szCs w:val="20"/>
          <w:color w:val="auto"/>
        </w:rPr>
      </w:pPr>
    </w:p>
    <w:p>
      <w:pPr>
        <w:ind w:right="840"/>
        <w:spacing w:after="0" w:line="239" w:lineRule="auto"/>
        <w:rPr>
          <w:sz w:val="20"/>
          <w:szCs w:val="20"/>
          <w:color w:val="auto"/>
        </w:rPr>
      </w:pPr>
      <w:r>
        <w:rPr>
          <w:rFonts w:ascii="Arial" w:cs="Arial" w:eastAsia="Arial" w:hAnsi="Arial"/>
          <w:sz w:val="17"/>
          <w:szCs w:val="17"/>
          <w:color w:val="auto"/>
        </w:rPr>
        <w:t>level of assets under management (as defined in the credit agreement, as amended above). As of December 31, 2025, no amounts were outstanding under the revolving credit facility.</w:t>
      </w:r>
    </w:p>
    <w:p>
      <w:pPr>
        <w:spacing w:after="0" w:line="201" w:lineRule="exact"/>
        <w:rPr>
          <w:sz w:val="20"/>
          <w:szCs w:val="20"/>
          <w:color w:val="auto"/>
        </w:rPr>
      </w:pPr>
    </w:p>
    <w:p>
      <w:pPr>
        <w:ind w:right="60" w:firstLine="619"/>
        <w:spacing w:after="0" w:line="249" w:lineRule="auto"/>
        <w:rPr>
          <w:sz w:val="20"/>
          <w:szCs w:val="20"/>
          <w:color w:val="auto"/>
        </w:rPr>
      </w:pPr>
      <w:r>
        <w:rPr>
          <w:rFonts w:ascii="Arial" w:cs="Arial" w:eastAsia="Arial" w:hAnsi="Arial"/>
          <w:sz w:val="17"/>
          <w:szCs w:val="17"/>
          <w:color w:val="auto"/>
        </w:rPr>
        <w:t>On March 5, 2025, Oaktree Capital I received commitments from certain accredited investors to purchase $300 million of its 5.55% Senior Notes, due 2036. These notes are senior unsecured obligations of Oaktree Capital I, and jointly and severally guaranteed by OCM, Oaktree Capital II, Oaktree AIF, and OCM Cayman, as co-obligors. The offering closed on March 19, 2025 and Oaktree Capital I received proceeds of $300 million on June 5, 2025.</w:t>
      </w:r>
    </w:p>
    <w:p>
      <w:pPr>
        <w:spacing w:after="0" w:line="117" w:lineRule="exact"/>
        <w:rPr>
          <w:sz w:val="20"/>
          <w:szCs w:val="20"/>
          <w:color w:val="auto"/>
        </w:rPr>
      </w:pPr>
    </w:p>
    <w:p>
      <w:pPr>
        <w:ind w:right="240" w:firstLine="619"/>
        <w:spacing w:after="0" w:line="249" w:lineRule="auto"/>
        <w:rPr>
          <w:sz w:val="20"/>
          <w:szCs w:val="20"/>
          <w:color w:val="auto"/>
        </w:rPr>
      </w:pPr>
      <w:r>
        <w:rPr>
          <w:rFonts w:ascii="Arial" w:cs="Arial" w:eastAsia="Arial" w:hAnsi="Arial"/>
          <w:sz w:val="17"/>
          <w:szCs w:val="17"/>
          <w:color w:val="auto"/>
        </w:rPr>
        <w:t>The fair value of the Company’s debt obligations, which are carried at amortized cost, is a Level III valuation that is estimated based on a discounted cash-flow calculation using estimated rates that would be offered to Oaktree for debt of similar terms and maturities. The fair value of these debt obligations, gross of debt issuance costs, was $508.1 million and $165.3 million as of December 31, 2025 and 2024, respectively, utilizing average borrowing rate of 5.0%.</w:t>
      </w:r>
    </w:p>
    <w:p>
      <w:pPr>
        <w:spacing w:after="0" w:line="117" w:lineRule="exact"/>
        <w:rPr>
          <w:sz w:val="20"/>
          <w:szCs w:val="20"/>
          <w:color w:val="auto"/>
        </w:rPr>
      </w:pPr>
    </w:p>
    <w:p>
      <w:pPr>
        <w:ind w:firstLine="619"/>
        <w:spacing w:after="0" w:line="249" w:lineRule="auto"/>
        <w:rPr>
          <w:sz w:val="20"/>
          <w:szCs w:val="20"/>
          <w:color w:val="auto"/>
        </w:rPr>
      </w:pPr>
      <w:r>
        <w:rPr>
          <w:rFonts w:ascii="Arial" w:cs="Arial" w:eastAsia="Arial" w:hAnsi="Arial"/>
          <w:sz w:val="17"/>
          <w:szCs w:val="17"/>
          <w:color w:val="auto"/>
        </w:rPr>
        <w:t>OCM and the Company were in compliance with all financial maintenance covenants associated with its senior notes and bank credit facility as of December 31, 2025 and 2024. As of December 31, 2025 and 2024, Oaktree Capital I is jointly and severally liable, along with its co-obligors, for the debt obligations listed below with an aggregate outstanding principal balance of $1.0 billion. The Company’s maximum exposure to these debt obligations is set forth below:</w:t>
      </w: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31</w:t>
      </w:r>
    </w:p>
    <w:p>
      <w:pPr>
        <w:sectPr>
          <w:pgSz w:w="11900" w:h="16838" w:orient="portrait"/>
          <w:cols w:equalWidth="0" w:num="1">
            <w:col w:w="11240"/>
          </w:cols>
          <w:pgMar w:left="320" w:top="353" w:right="339" w:bottom="1440" w:gutter="0" w:footer="0" w:header="0"/>
        </w:sectPr>
      </w:pPr>
    </w:p>
    <w:bookmarkStart w:id="171" w:name="page172"/>
    <w:bookmarkEnd w:id="171"/>
    <w:p>
      <w:pPr>
        <w:jc w:val="center"/>
        <w:spacing w:after="0"/>
        <w:rPr>
          <w:sz w:val="20"/>
          <w:szCs w:val="20"/>
          <w:color w:val="auto"/>
        </w:rPr>
      </w:pPr>
      <w:r>
        <w:rPr>
          <w:rFonts w:ascii="Arial" w:cs="Arial" w:eastAsia="Arial" w:hAnsi="Arial"/>
          <w:sz w:val="17"/>
          <w:szCs w:val="17"/>
          <w:b w:val="1"/>
          <w:bCs w:val="1"/>
          <w:color w:val="auto"/>
        </w:rPr>
        <w:t>Oaktree Capital I, L.P.</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 (Continued)</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December 31, 2025</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 in thousands, except where noted)</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20" w:type="dxa"/>
        <w:tblCellMar>
          <w:top w:w="0" w:type="dxa"/>
          <w:left w:w="0" w:type="dxa"/>
          <w:bottom w:w="0" w:type="dxa"/>
          <w:right w:w="0" w:type="dxa"/>
        </w:tblCellMar>
      </w:tblPr>
      <w:tr>
        <w:trPr>
          <w:trHeight w:val="169"/>
        </w:trPr>
        <w:tc>
          <w:tcPr>
            <w:tcW w:w="748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140" w:type="dxa"/>
            <w:vAlign w:val="bottom"/>
            <w:tcBorders>
              <w:bottom w:val="single" w:sz="8" w:color="auto"/>
            </w:tcBorders>
            <w:gridSpan w:val="3"/>
          </w:tcPr>
          <w:p>
            <w:pPr>
              <w:jc w:val="right"/>
              <w:ind w:right="63"/>
              <w:spacing w:after="0"/>
              <w:rPr>
                <w:sz w:val="20"/>
                <w:szCs w:val="20"/>
                <w:color w:val="auto"/>
              </w:rPr>
            </w:pPr>
            <w:r>
              <w:rPr>
                <w:rFonts w:ascii="Arial" w:cs="Arial" w:eastAsia="Arial" w:hAnsi="Arial"/>
                <w:sz w:val="12"/>
                <w:szCs w:val="12"/>
                <w:b w:val="1"/>
                <w:bCs w:val="1"/>
                <w:color w:val="auto"/>
              </w:rPr>
              <w:t>As of December 31,</w:t>
            </w:r>
          </w:p>
        </w:tc>
        <w:tc>
          <w:tcPr>
            <w:tcW w:w="1160" w:type="dxa"/>
            <w:vAlign w:val="bottom"/>
            <w:tcBorders>
              <w:bottom w:val="single" w:sz="8" w:color="auto"/>
            </w:tcBorders>
          </w:tcPr>
          <w:p>
            <w:pPr>
              <w:spacing w:after="0"/>
              <w:rPr>
                <w:sz w:val="14"/>
                <w:szCs w:val="14"/>
                <w:color w:val="auto"/>
              </w:rPr>
            </w:pPr>
          </w:p>
        </w:tc>
      </w:tr>
      <w:tr>
        <w:trPr>
          <w:trHeight w:val="162"/>
        </w:trPr>
        <w:tc>
          <w:tcPr>
            <w:tcW w:w="748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686"/>
              <w:spacing w:after="0"/>
              <w:rPr>
                <w:sz w:val="20"/>
                <w:szCs w:val="20"/>
                <w:color w:val="auto"/>
              </w:rPr>
            </w:pPr>
            <w:r>
              <w:rPr>
                <w:rFonts w:ascii="Arial" w:cs="Arial" w:eastAsia="Arial" w:hAnsi="Arial"/>
                <w:sz w:val="12"/>
                <w:szCs w:val="12"/>
                <w:b w:val="1"/>
                <w:bCs w:val="1"/>
                <w:color w:val="auto"/>
              </w:rPr>
              <w:t>2025</w:t>
            </w:r>
          </w:p>
        </w:tc>
        <w:tc>
          <w:tcPr>
            <w:tcW w:w="20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665"/>
              <w:spacing w:after="0"/>
              <w:rPr>
                <w:sz w:val="20"/>
                <w:szCs w:val="20"/>
                <w:color w:val="auto"/>
              </w:rPr>
            </w:pPr>
            <w:r>
              <w:rPr>
                <w:rFonts w:ascii="Arial" w:cs="Arial" w:eastAsia="Arial" w:hAnsi="Arial"/>
                <w:sz w:val="12"/>
                <w:szCs w:val="12"/>
                <w:b w:val="1"/>
                <w:bCs w:val="1"/>
                <w:color w:val="auto"/>
              </w:rPr>
              <w:t>2024</w:t>
            </w:r>
          </w:p>
        </w:tc>
      </w:tr>
      <w:tr>
        <w:trPr>
          <w:trHeight w:val="187"/>
        </w:trPr>
        <w:tc>
          <w:tcPr>
            <w:tcW w:w="7480" w:type="dxa"/>
            <w:vAlign w:val="bottom"/>
          </w:tcPr>
          <w:p>
            <w:pPr>
              <w:spacing w:after="0"/>
              <w:rPr>
                <w:sz w:val="20"/>
                <w:szCs w:val="20"/>
                <w:color w:val="auto"/>
              </w:rPr>
            </w:pPr>
            <w:r>
              <w:rPr>
                <w:rFonts w:ascii="Arial" w:cs="Arial" w:eastAsia="Arial" w:hAnsi="Arial"/>
                <w:sz w:val="15"/>
                <w:szCs w:val="15"/>
                <w:color w:val="auto"/>
              </w:rPr>
              <w:t>Senior unsecured notes</w:t>
            </w:r>
          </w:p>
        </w:tc>
        <w:tc>
          <w:tcPr>
            <w:tcW w:w="4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06"/>
        </w:trPr>
        <w:tc>
          <w:tcPr>
            <w:tcW w:w="7480" w:type="dxa"/>
            <w:vAlign w:val="bottom"/>
          </w:tcPr>
          <w:p>
            <w:pPr>
              <w:ind w:left="100"/>
              <w:spacing w:after="0"/>
              <w:rPr>
                <w:sz w:val="20"/>
                <w:szCs w:val="20"/>
                <w:color w:val="auto"/>
              </w:rPr>
            </w:pPr>
            <w:r>
              <w:rPr>
                <w:rFonts w:ascii="Arial" w:cs="Arial" w:eastAsia="Arial" w:hAnsi="Arial"/>
                <w:sz w:val="15"/>
                <w:szCs w:val="15"/>
                <w:color w:val="auto"/>
              </w:rPr>
              <w:t>$100,000, 4.01%, issued in September 2014, payable on September 3, 2026</w:t>
            </w:r>
          </w:p>
        </w:tc>
        <w:tc>
          <w:tcPr>
            <w:tcW w:w="440" w:type="dxa"/>
            <w:vAlign w:val="bottom"/>
          </w:tcPr>
          <w:p>
            <w:pPr>
              <w:jc w:val="right"/>
              <w:ind w:right="263"/>
              <w:spacing w:after="0"/>
              <w:rPr>
                <w:sz w:val="20"/>
                <w:szCs w:val="20"/>
                <w:color w:val="auto"/>
              </w:rPr>
            </w:pPr>
            <w:r>
              <w:rPr>
                <w:rFonts w:ascii="Arial" w:cs="Arial" w:eastAsia="Arial" w:hAnsi="Arial"/>
                <w:sz w:val="15"/>
                <w:szCs w:val="15"/>
                <w:color w:val="auto"/>
                <w:w w:val="95"/>
              </w:rPr>
              <w:t>$</w:t>
            </w:r>
          </w:p>
        </w:tc>
        <w:tc>
          <w:tcPr>
            <w:tcW w:w="1340" w:type="dxa"/>
            <w:vAlign w:val="bottom"/>
          </w:tcPr>
          <w:p>
            <w:pPr>
              <w:jc w:val="right"/>
              <w:ind w:right="6"/>
              <w:spacing w:after="0"/>
              <w:rPr>
                <w:sz w:val="20"/>
                <w:szCs w:val="20"/>
                <w:color w:val="auto"/>
              </w:rPr>
            </w:pPr>
            <w:r>
              <w:rPr>
                <w:rFonts w:ascii="Arial" w:cs="Arial" w:eastAsia="Arial" w:hAnsi="Arial"/>
                <w:sz w:val="15"/>
                <w:szCs w:val="15"/>
                <w:color w:val="auto"/>
              </w:rPr>
              <w:t>100,000</w:t>
            </w: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100,000</w:t>
            </w:r>
          </w:p>
        </w:tc>
      </w:tr>
      <w:tr>
        <w:trPr>
          <w:trHeight w:val="206"/>
        </w:trPr>
        <w:tc>
          <w:tcPr>
            <w:tcW w:w="7480" w:type="dxa"/>
            <w:vAlign w:val="bottom"/>
          </w:tcPr>
          <w:p>
            <w:pPr>
              <w:ind w:left="100"/>
              <w:spacing w:after="0"/>
              <w:rPr>
                <w:sz w:val="20"/>
                <w:szCs w:val="20"/>
                <w:color w:val="auto"/>
              </w:rPr>
            </w:pPr>
            <w:r>
              <w:rPr>
                <w:rFonts w:ascii="Arial" w:cs="Arial" w:eastAsia="Arial" w:hAnsi="Arial"/>
                <w:sz w:val="15"/>
                <w:szCs w:val="15"/>
                <w:color w:val="auto"/>
              </w:rPr>
              <w:t>$100,000, 4.21%, issued in September 2014, payable on September 3, 2029</w:t>
            </w:r>
          </w:p>
        </w:tc>
        <w:tc>
          <w:tcPr>
            <w:tcW w:w="440" w:type="dxa"/>
            <w:vAlign w:val="bottom"/>
          </w:tcPr>
          <w:p>
            <w:pPr>
              <w:spacing w:after="0"/>
              <w:rPr>
                <w:sz w:val="17"/>
                <w:szCs w:val="17"/>
                <w:color w:val="auto"/>
              </w:rPr>
            </w:pPr>
          </w:p>
        </w:tc>
        <w:tc>
          <w:tcPr>
            <w:tcW w:w="1340" w:type="dxa"/>
            <w:vAlign w:val="bottom"/>
          </w:tcPr>
          <w:p>
            <w:pPr>
              <w:jc w:val="right"/>
              <w:ind w:right="6"/>
              <w:spacing w:after="0"/>
              <w:rPr>
                <w:sz w:val="20"/>
                <w:szCs w:val="20"/>
                <w:color w:val="auto"/>
              </w:rPr>
            </w:pPr>
            <w:r>
              <w:rPr>
                <w:rFonts w:ascii="Arial" w:cs="Arial" w:eastAsia="Arial" w:hAnsi="Arial"/>
                <w:sz w:val="15"/>
                <w:szCs w:val="15"/>
                <w:color w:val="auto"/>
              </w:rPr>
              <w:t>100,000</w:t>
            </w: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100,000</w:t>
            </w:r>
          </w:p>
        </w:tc>
      </w:tr>
      <w:tr>
        <w:trPr>
          <w:trHeight w:val="206"/>
        </w:trPr>
        <w:tc>
          <w:tcPr>
            <w:tcW w:w="7480" w:type="dxa"/>
            <w:vAlign w:val="bottom"/>
          </w:tcPr>
          <w:p>
            <w:pPr>
              <w:ind w:left="100"/>
              <w:spacing w:after="0"/>
              <w:rPr>
                <w:sz w:val="20"/>
                <w:szCs w:val="20"/>
                <w:color w:val="auto"/>
              </w:rPr>
            </w:pPr>
            <w:r>
              <w:rPr>
                <w:rFonts w:ascii="Arial" w:cs="Arial" w:eastAsia="Arial" w:hAnsi="Arial"/>
                <w:sz w:val="15"/>
                <w:szCs w:val="15"/>
                <w:color w:val="auto"/>
              </w:rPr>
              <w:t>$100,000, 3.69%, issued in July 2016, payable on July 12, 2031</w:t>
            </w:r>
          </w:p>
        </w:tc>
        <w:tc>
          <w:tcPr>
            <w:tcW w:w="440" w:type="dxa"/>
            <w:vAlign w:val="bottom"/>
          </w:tcPr>
          <w:p>
            <w:pPr>
              <w:spacing w:after="0"/>
              <w:rPr>
                <w:sz w:val="17"/>
                <w:szCs w:val="17"/>
                <w:color w:val="auto"/>
              </w:rPr>
            </w:pPr>
          </w:p>
        </w:tc>
        <w:tc>
          <w:tcPr>
            <w:tcW w:w="1340" w:type="dxa"/>
            <w:vAlign w:val="bottom"/>
          </w:tcPr>
          <w:p>
            <w:pPr>
              <w:jc w:val="right"/>
              <w:ind w:right="6"/>
              <w:spacing w:after="0"/>
              <w:rPr>
                <w:sz w:val="20"/>
                <w:szCs w:val="20"/>
                <w:color w:val="auto"/>
              </w:rPr>
            </w:pPr>
            <w:r>
              <w:rPr>
                <w:rFonts w:ascii="Arial" w:cs="Arial" w:eastAsia="Arial" w:hAnsi="Arial"/>
                <w:sz w:val="15"/>
                <w:szCs w:val="15"/>
                <w:color w:val="auto"/>
              </w:rPr>
              <w:t>100,000</w:t>
            </w: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100,000</w:t>
            </w:r>
          </w:p>
        </w:tc>
      </w:tr>
      <w:tr>
        <w:trPr>
          <w:trHeight w:val="206"/>
        </w:trPr>
        <w:tc>
          <w:tcPr>
            <w:tcW w:w="7480" w:type="dxa"/>
            <w:vAlign w:val="bottom"/>
          </w:tcPr>
          <w:p>
            <w:pPr>
              <w:ind w:left="100"/>
              <w:spacing w:after="0"/>
              <w:rPr>
                <w:sz w:val="20"/>
                <w:szCs w:val="20"/>
                <w:color w:val="auto"/>
              </w:rPr>
            </w:pPr>
            <w:r>
              <w:rPr>
                <w:rFonts w:ascii="Arial" w:cs="Arial" w:eastAsia="Arial" w:hAnsi="Arial"/>
                <w:sz w:val="15"/>
                <w:szCs w:val="15"/>
                <w:color w:val="auto"/>
              </w:rPr>
              <w:t>$250,000, 3.78%, issued in December 2017, payable on December 18, 2032</w:t>
            </w:r>
          </w:p>
        </w:tc>
        <w:tc>
          <w:tcPr>
            <w:tcW w:w="440" w:type="dxa"/>
            <w:vAlign w:val="bottom"/>
          </w:tcPr>
          <w:p>
            <w:pPr>
              <w:spacing w:after="0"/>
              <w:rPr>
                <w:sz w:val="17"/>
                <w:szCs w:val="17"/>
                <w:color w:val="auto"/>
              </w:rPr>
            </w:pPr>
          </w:p>
        </w:tc>
        <w:tc>
          <w:tcPr>
            <w:tcW w:w="1340" w:type="dxa"/>
            <w:vAlign w:val="bottom"/>
          </w:tcPr>
          <w:p>
            <w:pPr>
              <w:jc w:val="right"/>
              <w:ind w:right="6"/>
              <w:spacing w:after="0"/>
              <w:rPr>
                <w:sz w:val="20"/>
                <w:szCs w:val="20"/>
                <w:color w:val="auto"/>
              </w:rPr>
            </w:pPr>
            <w:r>
              <w:rPr>
                <w:rFonts w:ascii="Arial" w:cs="Arial" w:eastAsia="Arial" w:hAnsi="Arial"/>
                <w:sz w:val="15"/>
                <w:szCs w:val="15"/>
                <w:color w:val="auto"/>
              </w:rPr>
              <w:t>250,000</w:t>
            </w: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250,000</w:t>
            </w:r>
          </w:p>
        </w:tc>
      </w:tr>
      <w:tr>
        <w:trPr>
          <w:trHeight w:val="206"/>
        </w:trPr>
        <w:tc>
          <w:tcPr>
            <w:tcW w:w="7480" w:type="dxa"/>
            <w:vAlign w:val="bottom"/>
          </w:tcPr>
          <w:p>
            <w:pPr>
              <w:ind w:left="100"/>
              <w:spacing w:after="0"/>
              <w:rPr>
                <w:sz w:val="20"/>
                <w:szCs w:val="20"/>
                <w:color w:val="auto"/>
              </w:rPr>
            </w:pPr>
            <w:r>
              <w:rPr>
                <w:rFonts w:ascii="Arial" w:cs="Arial" w:eastAsia="Arial" w:hAnsi="Arial"/>
                <w:sz w:val="15"/>
                <w:szCs w:val="15"/>
                <w:color w:val="auto"/>
              </w:rPr>
              <w:t>$200,000, 3.64%, issued in July 2020, payable on July 22, 2030</w:t>
            </w:r>
          </w:p>
        </w:tc>
        <w:tc>
          <w:tcPr>
            <w:tcW w:w="440" w:type="dxa"/>
            <w:vAlign w:val="bottom"/>
          </w:tcPr>
          <w:p>
            <w:pPr>
              <w:spacing w:after="0"/>
              <w:rPr>
                <w:sz w:val="17"/>
                <w:szCs w:val="17"/>
                <w:color w:val="auto"/>
              </w:rPr>
            </w:pPr>
          </w:p>
        </w:tc>
        <w:tc>
          <w:tcPr>
            <w:tcW w:w="1340" w:type="dxa"/>
            <w:vAlign w:val="bottom"/>
          </w:tcPr>
          <w:p>
            <w:pPr>
              <w:jc w:val="right"/>
              <w:ind w:right="6"/>
              <w:spacing w:after="0"/>
              <w:rPr>
                <w:sz w:val="20"/>
                <w:szCs w:val="20"/>
                <w:color w:val="auto"/>
              </w:rPr>
            </w:pPr>
            <w:r>
              <w:rPr>
                <w:rFonts w:ascii="Arial" w:cs="Arial" w:eastAsia="Arial" w:hAnsi="Arial"/>
                <w:sz w:val="15"/>
                <w:szCs w:val="15"/>
                <w:color w:val="auto"/>
              </w:rPr>
              <w:t>200,000</w:t>
            </w: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200,000</w:t>
            </w:r>
          </w:p>
        </w:tc>
      </w:tr>
      <w:tr>
        <w:trPr>
          <w:trHeight w:val="206"/>
        </w:trPr>
        <w:tc>
          <w:tcPr>
            <w:tcW w:w="7480" w:type="dxa"/>
            <w:vAlign w:val="bottom"/>
          </w:tcPr>
          <w:p>
            <w:pPr>
              <w:ind w:left="100"/>
              <w:spacing w:after="0"/>
              <w:rPr>
                <w:sz w:val="20"/>
                <w:szCs w:val="20"/>
                <w:color w:val="auto"/>
              </w:rPr>
            </w:pPr>
            <w:r>
              <w:rPr>
                <w:rFonts w:ascii="Arial" w:cs="Arial" w:eastAsia="Arial" w:hAnsi="Arial"/>
                <w:sz w:val="15"/>
                <w:szCs w:val="15"/>
                <w:color w:val="auto"/>
              </w:rPr>
              <w:t>$50,000, 3.84%, issued in July 2020, payable on July 22, 2035</w:t>
            </w:r>
          </w:p>
        </w:tc>
        <w:tc>
          <w:tcPr>
            <w:tcW w:w="440" w:type="dxa"/>
            <w:vAlign w:val="bottom"/>
          </w:tcPr>
          <w:p>
            <w:pPr>
              <w:spacing w:after="0"/>
              <w:rPr>
                <w:sz w:val="17"/>
                <w:szCs w:val="17"/>
                <w:color w:val="auto"/>
              </w:rPr>
            </w:pPr>
          </w:p>
        </w:tc>
        <w:tc>
          <w:tcPr>
            <w:tcW w:w="1340" w:type="dxa"/>
            <w:vAlign w:val="bottom"/>
          </w:tcPr>
          <w:p>
            <w:pPr>
              <w:jc w:val="right"/>
              <w:ind w:right="6"/>
              <w:spacing w:after="0"/>
              <w:rPr>
                <w:sz w:val="20"/>
                <w:szCs w:val="20"/>
                <w:color w:val="auto"/>
              </w:rPr>
            </w:pPr>
            <w:r>
              <w:rPr>
                <w:rFonts w:ascii="Arial" w:cs="Arial" w:eastAsia="Arial" w:hAnsi="Arial"/>
                <w:sz w:val="15"/>
                <w:szCs w:val="15"/>
                <w:color w:val="auto"/>
              </w:rPr>
              <w:t>50,000</w:t>
            </w: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50,000</w:t>
            </w:r>
          </w:p>
        </w:tc>
      </w:tr>
      <w:tr>
        <w:trPr>
          <w:trHeight w:val="207"/>
        </w:trPr>
        <w:tc>
          <w:tcPr>
            <w:tcW w:w="7480" w:type="dxa"/>
            <w:vAlign w:val="bottom"/>
          </w:tcPr>
          <w:p>
            <w:pPr>
              <w:ind w:left="100"/>
              <w:spacing w:after="0"/>
              <w:rPr>
                <w:sz w:val="20"/>
                <w:szCs w:val="20"/>
                <w:color w:val="auto"/>
              </w:rPr>
            </w:pPr>
            <w:r>
              <w:rPr>
                <w:rFonts w:ascii="Arial" w:cs="Arial" w:eastAsia="Arial" w:hAnsi="Arial"/>
                <w:sz w:val="15"/>
                <w:szCs w:val="15"/>
                <w:color w:val="auto"/>
              </w:rPr>
              <w:t>$200,000, 3.06%, issued in January 2022, payable on January 12, 2037</w:t>
            </w:r>
          </w:p>
        </w:tc>
        <w:tc>
          <w:tcPr>
            <w:tcW w:w="4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rPr>
              <w:t>200,000</w:t>
            </w:r>
          </w:p>
        </w:tc>
        <w:tc>
          <w:tcPr>
            <w:tcW w:w="200" w:type="dxa"/>
            <w:vAlign w:val="bottom"/>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200,000</w:t>
            </w:r>
          </w:p>
        </w:tc>
      </w:tr>
      <w:tr>
        <w:trPr>
          <w:trHeight w:val="200"/>
        </w:trPr>
        <w:tc>
          <w:tcPr>
            <w:tcW w:w="7480" w:type="dxa"/>
            <w:vAlign w:val="bottom"/>
          </w:tcPr>
          <w:p>
            <w:pPr>
              <w:spacing w:after="0"/>
              <w:rPr>
                <w:sz w:val="20"/>
                <w:szCs w:val="20"/>
                <w:color w:val="auto"/>
              </w:rPr>
            </w:pPr>
            <w:r>
              <w:rPr>
                <w:rFonts w:ascii="Arial" w:cs="Arial" w:eastAsia="Arial" w:hAnsi="Arial"/>
                <w:sz w:val="15"/>
                <w:szCs w:val="15"/>
                <w:color w:val="auto"/>
              </w:rPr>
              <w:t>Total remaining principal</w:t>
            </w:r>
          </w:p>
        </w:tc>
        <w:tc>
          <w:tcPr>
            <w:tcW w:w="440" w:type="dxa"/>
            <w:vAlign w:val="bottom"/>
            <w:tcBorders>
              <w:bottom w:val="single" w:sz="8" w:color="auto"/>
            </w:tcBorders>
          </w:tcPr>
          <w:p>
            <w:pPr>
              <w:jc w:val="right"/>
              <w:ind w:right="263"/>
              <w:spacing w:after="0"/>
              <w:rPr>
                <w:sz w:val="20"/>
                <w:szCs w:val="20"/>
                <w:color w:val="auto"/>
              </w:rPr>
            </w:pPr>
            <w:r>
              <w:rPr>
                <w:rFonts w:ascii="Arial" w:cs="Arial" w:eastAsia="Arial" w:hAnsi="Arial"/>
                <w:sz w:val="15"/>
                <w:szCs w:val="15"/>
                <w:color w:val="auto"/>
                <w:w w:val="95"/>
              </w:rPr>
              <w:t>$</w:t>
            </w:r>
          </w:p>
        </w:tc>
        <w:tc>
          <w:tcPr>
            <w:tcW w:w="134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rPr>
              <w:t>1,000,000</w:t>
            </w:r>
          </w:p>
        </w:tc>
        <w:tc>
          <w:tcPr>
            <w:tcW w:w="200" w:type="dxa"/>
            <w:vAlign w:val="bottom"/>
          </w:tcPr>
          <w:p>
            <w:pPr>
              <w:spacing w:after="0"/>
              <w:rPr>
                <w:sz w:val="17"/>
                <w:szCs w:val="17"/>
                <w:color w:val="auto"/>
              </w:rPr>
            </w:pPr>
          </w:p>
        </w:tc>
        <w:tc>
          <w:tcPr>
            <w:tcW w:w="600" w:type="dxa"/>
            <w:vAlign w:val="bottom"/>
            <w:tcBorders>
              <w:bottom w:val="single" w:sz="8" w:color="auto"/>
            </w:tcBorders>
          </w:tcPr>
          <w:p>
            <w:pPr>
              <w:jc w:val="right"/>
              <w:ind w:right="423"/>
              <w:spacing w:after="0"/>
              <w:rPr>
                <w:sz w:val="20"/>
                <w:szCs w:val="20"/>
                <w:color w:val="auto"/>
              </w:rPr>
            </w:pPr>
            <w:r>
              <w:rPr>
                <w:rFonts w:ascii="Arial" w:cs="Arial" w:eastAsia="Arial" w:hAnsi="Arial"/>
                <w:sz w:val="15"/>
                <w:szCs w:val="15"/>
                <w:color w:val="auto"/>
                <w:w w:val="95"/>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1,000,000</w:t>
            </w:r>
          </w:p>
        </w:tc>
      </w:tr>
      <w:tr>
        <w:trPr>
          <w:trHeight w:val="20"/>
        </w:trPr>
        <w:tc>
          <w:tcPr>
            <w:tcW w:w="74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Debt Obligations of the Consolidated Funds</w:t>
      </w:r>
    </w:p>
    <w:p>
      <w:pPr>
        <w:spacing w:after="0" w:line="168" w:lineRule="exact"/>
        <w:rPr>
          <w:sz w:val="20"/>
          <w:szCs w:val="20"/>
          <w:color w:val="auto"/>
        </w:rPr>
      </w:pPr>
    </w:p>
    <w:p>
      <w:pPr>
        <w:jc w:val="both"/>
        <w:ind w:right="220" w:firstLine="619"/>
        <w:spacing w:after="0" w:line="271" w:lineRule="auto"/>
        <w:rPr>
          <w:sz w:val="20"/>
          <w:szCs w:val="20"/>
          <w:color w:val="auto"/>
        </w:rPr>
      </w:pPr>
      <w:r>
        <w:rPr>
          <w:rFonts w:ascii="Arial" w:cs="Arial" w:eastAsia="Arial" w:hAnsi="Arial"/>
          <w:sz w:val="17"/>
          <w:szCs w:val="17"/>
          <w:color w:val="auto"/>
        </w:rPr>
        <w:t>Certain consolidated funds may maintain revolving credit facilities that are secured by the assets of the fund or may issue senior variable rate notes to fund investments on a longer term basis, generally up to ten years. The obligations of the consolidated funds are nonrecourse to the Company.</w:t>
      </w:r>
    </w:p>
    <w:p>
      <w:pPr>
        <w:spacing w:after="0" w:line="111"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consolidated funds had the following debt obligations outstanding:</w:t>
      </w:r>
    </w:p>
    <w:p>
      <w:pPr>
        <w:spacing w:after="0" w:line="200" w:lineRule="exact"/>
        <w:rPr>
          <w:sz w:val="20"/>
          <w:szCs w:val="20"/>
          <w:color w:val="auto"/>
        </w:rPr>
      </w:pPr>
    </w:p>
    <w:tbl>
      <w:tblPr>
        <w:tblLayout w:type="fixed"/>
        <w:tblInd w:w="20" w:type="dxa"/>
        <w:tblCellMar>
          <w:top w:w="0" w:type="dxa"/>
          <w:left w:w="0" w:type="dxa"/>
          <w:bottom w:w="0" w:type="dxa"/>
          <w:right w:w="0" w:type="dxa"/>
        </w:tblCellMar>
      </w:tblPr>
      <w:tr>
        <w:trPr>
          <w:trHeight w:val="157"/>
        </w:trPr>
        <w:tc>
          <w:tcPr>
            <w:tcW w:w="94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2320" w:type="dxa"/>
            <w:vAlign w:val="bottom"/>
            <w:tcBorders>
              <w:bottom w:val="single" w:sz="8" w:color="auto"/>
            </w:tcBorders>
            <w:gridSpan w:val="5"/>
          </w:tcPr>
          <w:p>
            <w:pPr>
              <w:jc w:val="right"/>
              <w:ind w:right="16"/>
              <w:spacing w:after="0"/>
              <w:rPr>
                <w:sz w:val="20"/>
                <w:szCs w:val="20"/>
                <w:color w:val="auto"/>
              </w:rPr>
            </w:pPr>
            <w:r>
              <w:rPr>
                <w:rFonts w:ascii="Arial" w:cs="Arial" w:eastAsia="Arial" w:hAnsi="Arial"/>
                <w:sz w:val="11"/>
                <w:szCs w:val="11"/>
                <w:b w:val="1"/>
                <w:bCs w:val="1"/>
                <w:color w:val="auto"/>
              </w:rPr>
              <w:t>Outstanding Amount as of December 31,</w:t>
            </w:r>
          </w:p>
        </w:tc>
        <w:tc>
          <w:tcPr>
            <w:tcW w:w="16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3580" w:type="dxa"/>
            <w:vAlign w:val="bottom"/>
            <w:tcBorders>
              <w:bottom w:val="single" w:sz="8" w:color="auto"/>
            </w:tcBorders>
            <w:gridSpan w:val="6"/>
          </w:tcPr>
          <w:p>
            <w:pPr>
              <w:jc w:val="center"/>
              <w:ind w:right="140"/>
              <w:spacing w:after="0"/>
              <w:rPr>
                <w:sz w:val="20"/>
                <w:szCs w:val="20"/>
                <w:color w:val="auto"/>
              </w:rPr>
            </w:pPr>
            <w:r>
              <w:rPr>
                <w:rFonts w:ascii="Arial" w:cs="Arial" w:eastAsia="Arial" w:hAnsi="Arial"/>
                <w:sz w:val="11"/>
                <w:szCs w:val="11"/>
                <w:b w:val="1"/>
                <w:bCs w:val="1"/>
                <w:color w:val="auto"/>
              </w:rPr>
              <w:t>Key terms as of December 31, 2025</w:t>
            </w:r>
          </w:p>
        </w:tc>
        <w:tc>
          <w:tcPr>
            <w:tcW w:w="10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373"/>
        </w:trPr>
        <w:tc>
          <w:tcPr>
            <w:tcW w:w="94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gridSpan w:val="2"/>
            <w:vMerge w:val="restart"/>
          </w:tcPr>
          <w:p>
            <w:pPr>
              <w:jc w:val="center"/>
              <w:ind w:right="160"/>
              <w:spacing w:after="0"/>
              <w:rPr>
                <w:sz w:val="20"/>
                <w:szCs w:val="20"/>
                <w:color w:val="auto"/>
              </w:rPr>
            </w:pPr>
            <w:r>
              <w:rPr>
                <w:rFonts w:ascii="Arial" w:cs="Arial" w:eastAsia="Arial" w:hAnsi="Arial"/>
                <w:sz w:val="11"/>
                <w:szCs w:val="11"/>
                <w:b w:val="1"/>
                <w:bCs w:val="1"/>
                <w:color w:val="auto"/>
              </w:rPr>
              <w:t>Effective Interest</w:t>
            </w:r>
          </w:p>
        </w:tc>
        <w:tc>
          <w:tcPr>
            <w:tcW w:w="120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rPr>
              <w:t>Weighted Average</w:t>
            </w:r>
          </w:p>
        </w:tc>
        <w:tc>
          <w:tcPr>
            <w:tcW w:w="1200" w:type="dxa"/>
            <w:vAlign w:val="bottom"/>
            <w:gridSpan w:val="2"/>
            <w:vMerge w:val="restart"/>
          </w:tcPr>
          <w:p>
            <w:pPr>
              <w:jc w:val="center"/>
              <w:ind w:right="140"/>
              <w:spacing w:after="0"/>
              <w:rPr>
                <w:sz w:val="20"/>
                <w:szCs w:val="20"/>
                <w:color w:val="auto"/>
              </w:rPr>
            </w:pPr>
            <w:r>
              <w:rPr>
                <w:rFonts w:ascii="Arial" w:cs="Arial" w:eastAsia="Arial" w:hAnsi="Arial"/>
                <w:sz w:val="11"/>
                <w:szCs w:val="11"/>
                <w:b w:val="1"/>
                <w:bCs w:val="1"/>
                <w:color w:val="auto"/>
              </w:rPr>
              <w:t>Commitment Fee</w:t>
            </w: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6"/>
        </w:trPr>
        <w:tc>
          <w:tcPr>
            <w:tcW w:w="940" w:type="dxa"/>
            <w:vAlign w:val="bottom"/>
            <w:vMerge w:val="restart"/>
          </w:tcPr>
          <w:p>
            <w:pPr>
              <w:spacing w:after="0"/>
              <w:rPr>
                <w:sz w:val="20"/>
                <w:szCs w:val="20"/>
                <w:color w:val="auto"/>
              </w:rPr>
            </w:pPr>
            <w:r>
              <w:rPr>
                <w:rFonts w:ascii="Arial" w:cs="Arial" w:eastAsia="Arial" w:hAnsi="Arial"/>
                <w:sz w:val="11"/>
                <w:szCs w:val="11"/>
                <w:b w:val="1"/>
                <w:bCs w:val="1"/>
                <w:color w:val="auto"/>
                <w:w w:val="99"/>
              </w:rPr>
              <w:t>Credit Agreement</w:t>
            </w:r>
          </w:p>
        </w:tc>
        <w:tc>
          <w:tcPr>
            <w:tcW w:w="1960" w:type="dxa"/>
            <w:vAlign w:val="bottom"/>
            <w:vMerge w:val="restart"/>
          </w:tcPr>
          <w:p>
            <w:pPr>
              <w:spacing w:after="0"/>
              <w:rPr>
                <w:sz w:val="10"/>
                <w:szCs w:val="10"/>
                <w:color w:val="auto"/>
              </w:rPr>
            </w:pPr>
          </w:p>
        </w:tc>
        <w:tc>
          <w:tcPr>
            <w:tcW w:w="280" w:type="dxa"/>
            <w:vAlign w:val="bottom"/>
          </w:tcPr>
          <w:p>
            <w:pPr>
              <w:spacing w:after="0"/>
              <w:rPr>
                <w:sz w:val="10"/>
                <w:szCs w:val="10"/>
                <w:color w:val="auto"/>
              </w:rPr>
            </w:pPr>
          </w:p>
        </w:tc>
        <w:tc>
          <w:tcPr>
            <w:tcW w:w="860" w:type="dxa"/>
            <w:vAlign w:val="bottom"/>
            <w:vMerge w:val="restart"/>
          </w:tcPr>
          <w:p>
            <w:pPr>
              <w:jc w:val="right"/>
              <w:ind w:right="376"/>
              <w:spacing w:after="0"/>
              <w:rPr>
                <w:sz w:val="20"/>
                <w:szCs w:val="20"/>
                <w:color w:val="auto"/>
              </w:rPr>
            </w:pPr>
            <w:r>
              <w:rPr>
                <w:rFonts w:ascii="Arial" w:cs="Arial" w:eastAsia="Arial" w:hAnsi="Arial"/>
                <w:sz w:val="11"/>
                <w:szCs w:val="11"/>
                <w:b w:val="1"/>
                <w:bCs w:val="1"/>
                <w:color w:val="auto"/>
              </w:rPr>
              <w:t>2025</w:t>
            </w:r>
          </w:p>
        </w:tc>
        <w:tc>
          <w:tcPr>
            <w:tcW w:w="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0" w:type="dxa"/>
            <w:vAlign w:val="bottom"/>
            <w:vMerge w:val="restart"/>
          </w:tcPr>
          <w:p>
            <w:pPr>
              <w:jc w:val="right"/>
              <w:ind w:right="336"/>
              <w:spacing w:after="0"/>
              <w:rPr>
                <w:sz w:val="20"/>
                <w:szCs w:val="20"/>
                <w:color w:val="auto"/>
              </w:rPr>
            </w:pPr>
            <w:r>
              <w:rPr>
                <w:rFonts w:ascii="Arial" w:cs="Arial" w:eastAsia="Arial" w:hAnsi="Arial"/>
                <w:sz w:val="11"/>
                <w:szCs w:val="11"/>
                <w:b w:val="1"/>
                <w:bCs w:val="1"/>
                <w:color w:val="auto"/>
              </w:rPr>
              <w:t>2024</w:t>
            </w:r>
          </w:p>
        </w:tc>
        <w:tc>
          <w:tcPr>
            <w:tcW w:w="160" w:type="dxa"/>
            <w:vAlign w:val="bottom"/>
          </w:tcPr>
          <w:p>
            <w:pPr>
              <w:spacing w:after="0"/>
              <w:rPr>
                <w:sz w:val="10"/>
                <w:szCs w:val="10"/>
                <w:color w:val="auto"/>
              </w:rPr>
            </w:pPr>
          </w:p>
        </w:tc>
        <w:tc>
          <w:tcPr>
            <w:tcW w:w="1200" w:type="dxa"/>
            <w:vAlign w:val="bottom"/>
            <w:gridSpan w:val="3"/>
            <w:vMerge w:val="restart"/>
          </w:tcPr>
          <w:p>
            <w:pPr>
              <w:ind w:left="80"/>
              <w:spacing w:after="0"/>
              <w:rPr>
                <w:sz w:val="20"/>
                <w:szCs w:val="20"/>
                <w:color w:val="auto"/>
              </w:rPr>
            </w:pPr>
            <w:r>
              <w:rPr>
                <w:rFonts w:ascii="Arial" w:cs="Arial" w:eastAsia="Arial" w:hAnsi="Arial"/>
                <w:sz w:val="11"/>
                <w:szCs w:val="11"/>
                <w:b w:val="1"/>
                <w:bCs w:val="1"/>
                <w:color w:val="auto"/>
              </w:rPr>
              <w:t>Facility Capacity</w:t>
            </w:r>
          </w:p>
        </w:tc>
        <w:tc>
          <w:tcPr>
            <w:tcW w:w="1180" w:type="dxa"/>
            <w:vAlign w:val="bottom"/>
            <w:gridSpan w:val="2"/>
            <w:vMerge w:val="continue"/>
          </w:tcPr>
          <w:p>
            <w:pPr>
              <w:spacing w:after="0"/>
              <w:rPr>
                <w:sz w:val="10"/>
                <w:szCs w:val="10"/>
                <w:color w:val="auto"/>
              </w:rPr>
            </w:pPr>
          </w:p>
        </w:tc>
        <w:tc>
          <w:tcPr>
            <w:tcW w:w="1200" w:type="dxa"/>
            <w:vAlign w:val="bottom"/>
            <w:gridSpan w:val="2"/>
          </w:tcPr>
          <w:p>
            <w:pPr>
              <w:jc w:val="center"/>
              <w:ind w:right="140"/>
              <w:spacing w:after="0" w:line="116" w:lineRule="exact"/>
              <w:rPr>
                <w:sz w:val="20"/>
                <w:szCs w:val="20"/>
                <w:color w:val="auto"/>
              </w:rPr>
            </w:pPr>
            <w:r>
              <w:rPr>
                <w:rFonts w:ascii="Arial" w:cs="Arial" w:eastAsia="Arial" w:hAnsi="Arial"/>
                <w:sz w:val="11"/>
                <w:szCs w:val="11"/>
                <w:b w:val="1"/>
                <w:bCs w:val="1"/>
                <w:color w:val="auto"/>
              </w:rPr>
              <w:t>Remaining</w:t>
            </w:r>
          </w:p>
        </w:tc>
        <w:tc>
          <w:tcPr>
            <w:tcW w:w="1200" w:type="dxa"/>
            <w:vAlign w:val="bottom"/>
            <w:gridSpan w:val="2"/>
            <w:vMerge w:val="continue"/>
          </w:tcPr>
          <w:p>
            <w:pPr>
              <w:spacing w:after="0"/>
              <w:rPr>
                <w:sz w:val="10"/>
                <w:szCs w:val="10"/>
                <w:color w:val="auto"/>
              </w:rPr>
            </w:pPr>
          </w:p>
        </w:tc>
        <w:tc>
          <w:tcPr>
            <w:tcW w:w="1060" w:type="dxa"/>
            <w:vAlign w:val="bottom"/>
            <w:vMerge w:val="restart"/>
          </w:tcPr>
          <w:p>
            <w:pPr>
              <w:jc w:val="center"/>
              <w:spacing w:after="0"/>
              <w:rPr>
                <w:sz w:val="20"/>
                <w:szCs w:val="20"/>
                <w:color w:val="auto"/>
              </w:rPr>
            </w:pPr>
            <w:r>
              <w:rPr>
                <w:rFonts w:ascii="Arial" w:cs="Arial" w:eastAsia="Arial" w:hAnsi="Arial"/>
                <w:sz w:val="11"/>
                <w:szCs w:val="11"/>
                <w:b w:val="1"/>
                <w:bCs w:val="1"/>
                <w:color w:val="auto"/>
              </w:rPr>
              <w:t>L/C Fee</w:t>
            </w:r>
          </w:p>
        </w:tc>
        <w:tc>
          <w:tcPr>
            <w:tcW w:w="0" w:type="dxa"/>
            <w:vAlign w:val="bottom"/>
          </w:tcPr>
          <w:p>
            <w:pPr>
              <w:spacing w:after="0"/>
              <w:rPr>
                <w:sz w:val="1"/>
                <w:szCs w:val="1"/>
                <w:color w:val="auto"/>
              </w:rPr>
            </w:pPr>
          </w:p>
        </w:tc>
      </w:tr>
      <w:tr>
        <w:trPr>
          <w:trHeight w:val="121"/>
        </w:trPr>
        <w:tc>
          <w:tcPr>
            <w:tcW w:w="940" w:type="dxa"/>
            <w:vAlign w:val="bottom"/>
            <w:tcBorders>
              <w:bottom w:val="single" w:sz="8" w:color="auto"/>
            </w:tcBorders>
            <w:vMerge w:val="continue"/>
          </w:tcPr>
          <w:p>
            <w:pPr>
              <w:spacing w:after="0"/>
              <w:rPr>
                <w:sz w:val="10"/>
                <w:szCs w:val="10"/>
                <w:color w:val="auto"/>
              </w:rPr>
            </w:pPr>
          </w:p>
        </w:tc>
        <w:tc>
          <w:tcPr>
            <w:tcW w:w="1960" w:type="dxa"/>
            <w:vAlign w:val="bottom"/>
            <w:vMerge w:val="continue"/>
          </w:tcPr>
          <w:p>
            <w:pPr>
              <w:spacing w:after="0"/>
              <w:rPr>
                <w:sz w:val="10"/>
                <w:szCs w:val="10"/>
                <w:color w:val="auto"/>
              </w:rPr>
            </w:pPr>
          </w:p>
        </w:tc>
        <w:tc>
          <w:tcPr>
            <w:tcW w:w="280" w:type="dxa"/>
            <w:vAlign w:val="bottom"/>
          </w:tcPr>
          <w:p>
            <w:pPr>
              <w:spacing w:after="0"/>
              <w:rPr>
                <w:sz w:val="10"/>
                <w:szCs w:val="10"/>
                <w:color w:val="auto"/>
              </w:rPr>
            </w:pPr>
          </w:p>
        </w:tc>
        <w:tc>
          <w:tcPr>
            <w:tcW w:w="86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1200" w:type="dxa"/>
            <w:vAlign w:val="bottom"/>
            <w:gridSpan w:val="3"/>
            <w:vMerge w:val="continue"/>
          </w:tcPr>
          <w:p>
            <w:pPr>
              <w:spacing w:after="0"/>
              <w:rPr>
                <w:sz w:val="10"/>
                <w:szCs w:val="10"/>
                <w:color w:val="auto"/>
              </w:rPr>
            </w:pPr>
          </w:p>
        </w:tc>
        <w:tc>
          <w:tcPr>
            <w:tcW w:w="1180" w:type="dxa"/>
            <w:vAlign w:val="bottom"/>
            <w:gridSpan w:val="2"/>
          </w:tcPr>
          <w:p>
            <w:pPr>
              <w:jc w:val="center"/>
              <w:ind w:right="140"/>
              <w:spacing w:after="0" w:line="116" w:lineRule="exact"/>
              <w:rPr>
                <w:sz w:val="20"/>
                <w:szCs w:val="20"/>
                <w:color w:val="auto"/>
              </w:rPr>
            </w:pPr>
            <w:r>
              <w:rPr>
                <w:rFonts w:ascii="Arial" w:cs="Arial" w:eastAsia="Arial" w:hAnsi="Arial"/>
                <w:sz w:val="11"/>
                <w:szCs w:val="11"/>
                <w:b w:val="1"/>
                <w:bCs w:val="1"/>
                <w:color w:val="auto"/>
              </w:rPr>
              <w:t>Rate</w:t>
            </w:r>
          </w:p>
        </w:tc>
        <w:tc>
          <w:tcPr>
            <w:tcW w:w="1200" w:type="dxa"/>
            <w:vAlign w:val="bottom"/>
            <w:gridSpan w:val="2"/>
          </w:tcPr>
          <w:p>
            <w:pPr>
              <w:jc w:val="center"/>
              <w:ind w:right="140"/>
              <w:spacing w:after="0" w:line="116" w:lineRule="exact"/>
              <w:rPr>
                <w:sz w:val="20"/>
                <w:szCs w:val="20"/>
                <w:color w:val="auto"/>
              </w:rPr>
            </w:pPr>
            <w:r>
              <w:rPr>
                <w:rFonts w:ascii="Arial" w:cs="Arial" w:eastAsia="Arial" w:hAnsi="Arial"/>
                <w:sz w:val="11"/>
                <w:szCs w:val="11"/>
                <w:b w:val="1"/>
                <w:bCs w:val="1"/>
                <w:color w:val="auto"/>
              </w:rPr>
              <w:t>Maturity (years)</w:t>
            </w:r>
          </w:p>
        </w:tc>
        <w:tc>
          <w:tcPr>
            <w:tcW w:w="1200" w:type="dxa"/>
            <w:vAlign w:val="bottom"/>
            <w:gridSpan w:val="2"/>
          </w:tcPr>
          <w:p>
            <w:pPr>
              <w:jc w:val="center"/>
              <w:ind w:right="120"/>
              <w:spacing w:after="0" w:line="116" w:lineRule="exact"/>
              <w:rPr>
                <w:sz w:val="20"/>
                <w:szCs w:val="20"/>
                <w:color w:val="auto"/>
              </w:rPr>
            </w:pPr>
            <w:r>
              <w:rPr>
                <w:rFonts w:ascii="Arial" w:cs="Arial" w:eastAsia="Arial" w:hAnsi="Arial"/>
                <w:sz w:val="11"/>
                <w:szCs w:val="11"/>
                <w:b w:val="1"/>
                <w:bCs w:val="1"/>
                <w:color w:val="auto"/>
              </w:rPr>
              <w:t>Rate</w:t>
            </w:r>
          </w:p>
        </w:tc>
        <w:tc>
          <w:tcPr>
            <w:tcW w:w="1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900" w:type="dxa"/>
            <w:vAlign w:val="bottom"/>
            <w:gridSpan w:val="2"/>
            <w:vMerge w:val="restart"/>
          </w:tcPr>
          <w:p>
            <w:pPr>
              <w:spacing w:after="0"/>
              <w:rPr>
                <w:sz w:val="20"/>
                <w:szCs w:val="20"/>
                <w:color w:val="auto"/>
              </w:rPr>
            </w:pPr>
            <w:r>
              <w:rPr>
                <w:rFonts w:ascii="Arial" w:cs="Arial" w:eastAsia="Arial" w:hAnsi="Arial"/>
                <w:sz w:val="14"/>
                <w:szCs w:val="14"/>
                <w:color w:val="auto"/>
              </w:rPr>
              <w:t xml:space="preserve">Revolving credit facilities </w:t>
            </w:r>
            <w:r>
              <w:rPr>
                <w:rFonts w:ascii="Arial" w:cs="Arial" w:eastAsia="Arial" w:hAnsi="Arial"/>
                <w:sz w:val="17"/>
                <w:szCs w:val="17"/>
                <w:color w:val="auto"/>
                <w:vertAlign w:val="superscript"/>
              </w:rPr>
              <w:t>(1)</w:t>
            </w: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2900" w:type="dxa"/>
            <w:vAlign w:val="bottom"/>
            <w:gridSpan w:val="2"/>
            <w:vMerge w:val="continue"/>
          </w:tcPr>
          <w:p>
            <w:pPr>
              <w:spacing w:after="0"/>
              <w:rPr>
                <w:sz w:val="16"/>
                <w:szCs w:val="16"/>
                <w:color w:val="auto"/>
              </w:rPr>
            </w:pPr>
          </w:p>
        </w:tc>
        <w:tc>
          <w:tcPr>
            <w:tcW w:w="28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color w:val="auto"/>
              </w:rPr>
              <w:t>99,500</w:t>
            </w:r>
          </w:p>
        </w:tc>
        <w:tc>
          <w:tcPr>
            <w:tcW w:w="140" w:type="dxa"/>
            <w:vAlign w:val="bottom"/>
          </w:tcPr>
          <w:p>
            <w:pPr>
              <w:spacing w:after="0"/>
              <w:rPr>
                <w:sz w:val="16"/>
                <w:szCs w:val="16"/>
                <w:color w:val="auto"/>
              </w:rPr>
            </w:pPr>
          </w:p>
        </w:tc>
        <w:tc>
          <w:tcPr>
            <w:tcW w:w="24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74,500</w:t>
            </w:r>
          </w:p>
        </w:tc>
        <w:tc>
          <w:tcPr>
            <w:tcW w:w="440" w:type="dxa"/>
            <w:vAlign w:val="bottom"/>
            <w:gridSpan w:val="2"/>
          </w:tcPr>
          <w:p>
            <w:pPr>
              <w:jc w:val="right"/>
              <w:ind w:right="144"/>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125,000</w:t>
            </w:r>
          </w:p>
        </w:tc>
        <w:tc>
          <w:tcPr>
            <w:tcW w:w="160" w:type="dxa"/>
            <w:vAlign w:val="bottom"/>
          </w:tcPr>
          <w:p>
            <w:pPr>
              <w:spacing w:after="0"/>
              <w:rPr>
                <w:sz w:val="16"/>
                <w:szCs w:val="16"/>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w w:val="95"/>
              </w:rPr>
              <w:t>5.82%</w:t>
            </w:r>
          </w:p>
        </w:tc>
        <w:tc>
          <w:tcPr>
            <w:tcW w:w="140" w:type="dxa"/>
            <w:vAlign w:val="bottom"/>
          </w:tcPr>
          <w:p>
            <w:pPr>
              <w:spacing w:after="0"/>
              <w:rPr>
                <w:sz w:val="16"/>
                <w:szCs w:val="16"/>
                <w:color w:val="auto"/>
              </w:rPr>
            </w:pPr>
          </w:p>
        </w:tc>
        <w:tc>
          <w:tcPr>
            <w:tcW w:w="1060" w:type="dxa"/>
            <w:vAlign w:val="bottom"/>
          </w:tcPr>
          <w:p>
            <w:pPr>
              <w:jc w:val="center"/>
              <w:spacing w:after="0"/>
              <w:rPr>
                <w:sz w:val="20"/>
                <w:szCs w:val="20"/>
                <w:color w:val="auto"/>
              </w:rPr>
            </w:pPr>
            <w:r>
              <w:rPr>
                <w:rFonts w:ascii="Arial" w:cs="Arial" w:eastAsia="Arial" w:hAnsi="Arial"/>
                <w:sz w:val="14"/>
                <w:szCs w:val="14"/>
                <w:color w:val="auto"/>
                <w:w w:val="95"/>
              </w:rPr>
              <w:t>1.92</w:t>
            </w:r>
          </w:p>
        </w:tc>
        <w:tc>
          <w:tcPr>
            <w:tcW w:w="140" w:type="dxa"/>
            <w:vAlign w:val="bottom"/>
          </w:tcPr>
          <w:p>
            <w:pPr>
              <w:spacing w:after="0"/>
              <w:rPr>
                <w:sz w:val="16"/>
                <w:szCs w:val="16"/>
                <w:color w:val="auto"/>
              </w:rPr>
            </w:pPr>
          </w:p>
        </w:tc>
        <w:tc>
          <w:tcPr>
            <w:tcW w:w="1060" w:type="dxa"/>
            <w:vAlign w:val="bottom"/>
          </w:tcPr>
          <w:p>
            <w:pPr>
              <w:jc w:val="center"/>
              <w:spacing w:after="0"/>
              <w:rPr>
                <w:sz w:val="20"/>
                <w:szCs w:val="20"/>
                <w:color w:val="auto"/>
              </w:rPr>
            </w:pPr>
            <w:r>
              <w:rPr>
                <w:rFonts w:ascii="Arial" w:cs="Arial" w:eastAsia="Arial" w:hAnsi="Arial"/>
                <w:sz w:val="14"/>
                <w:szCs w:val="14"/>
                <w:color w:val="auto"/>
                <w:w w:val="95"/>
              </w:rPr>
              <w:t>0.35%</w:t>
            </w:r>
          </w:p>
        </w:tc>
        <w:tc>
          <w:tcPr>
            <w:tcW w:w="140" w:type="dxa"/>
            <w:vAlign w:val="bottom"/>
          </w:tcPr>
          <w:p>
            <w:pPr>
              <w:spacing w:after="0"/>
              <w:rPr>
                <w:sz w:val="16"/>
                <w:szCs w:val="16"/>
                <w:color w:val="auto"/>
              </w:rPr>
            </w:pPr>
          </w:p>
        </w:tc>
        <w:tc>
          <w:tcPr>
            <w:tcW w:w="1060" w:type="dxa"/>
            <w:vAlign w:val="bottom"/>
          </w:tcPr>
          <w:p>
            <w:pPr>
              <w:jc w:val="center"/>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86"/>
        </w:trPr>
        <w:tc>
          <w:tcPr>
            <w:tcW w:w="2900" w:type="dxa"/>
            <w:vAlign w:val="bottom"/>
            <w:gridSpan w:val="2"/>
          </w:tcPr>
          <w:p>
            <w:pPr>
              <w:spacing w:after="0"/>
              <w:rPr>
                <w:sz w:val="20"/>
                <w:szCs w:val="20"/>
                <w:color w:val="auto"/>
              </w:rPr>
            </w:pPr>
            <w:r>
              <w:rPr>
                <w:rFonts w:ascii="Arial" w:cs="Arial" w:eastAsia="Arial" w:hAnsi="Arial"/>
                <w:sz w:val="14"/>
                <w:szCs w:val="14"/>
                <w:color w:val="auto"/>
              </w:rPr>
              <w:t>Total debt obligations, net</w:t>
            </w:r>
          </w:p>
        </w:tc>
        <w:tc>
          <w:tcPr>
            <w:tcW w:w="28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color w:val="auto"/>
              </w:rPr>
              <w:t>99,500</w:t>
            </w:r>
          </w:p>
        </w:tc>
        <w:tc>
          <w:tcPr>
            <w:tcW w:w="140" w:type="dxa"/>
            <w:vAlign w:val="bottom"/>
          </w:tcPr>
          <w:p>
            <w:pPr>
              <w:spacing w:after="0"/>
              <w:rPr>
                <w:sz w:val="16"/>
                <w:szCs w:val="16"/>
                <w:color w:val="auto"/>
              </w:rPr>
            </w:pPr>
          </w:p>
        </w:tc>
        <w:tc>
          <w:tcPr>
            <w:tcW w:w="24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74,500</w:t>
            </w: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4" w:lineRule="exact"/>
        <w:rPr>
          <w:sz w:val="20"/>
          <w:szCs w:val="20"/>
          <w:color w:val="auto"/>
        </w:rPr>
      </w:pPr>
    </w:p>
    <w:p>
      <w:pPr>
        <w:ind w:left="320" w:hanging="317"/>
        <w:spacing w:after="0"/>
        <w:tabs>
          <w:tab w:leader="none" w:pos="320" w:val="left"/>
        </w:tabs>
        <w:numPr>
          <w:ilvl w:val="0"/>
          <w:numId w:val="70"/>
        </w:numPr>
        <w:rPr>
          <w:rFonts w:ascii="Arial" w:cs="Arial" w:eastAsia="Arial" w:hAnsi="Arial"/>
          <w:sz w:val="14"/>
          <w:szCs w:val="14"/>
          <w:color w:val="auto"/>
        </w:rPr>
      </w:pPr>
      <w:r>
        <w:rPr>
          <w:rFonts w:ascii="Arial" w:cs="Arial" w:eastAsia="Arial" w:hAnsi="Arial"/>
          <w:sz w:val="14"/>
          <w:szCs w:val="14"/>
          <w:color w:val="auto"/>
        </w:rPr>
        <w:t>The credit facility capacity is calculated on a pro rata basis using fund commitments as of December 31, 2025.</w:t>
      </w:r>
    </w:p>
    <w:p>
      <w:pPr>
        <w:spacing w:after="0" w:line="255" w:lineRule="exact"/>
        <w:rPr>
          <w:sz w:val="20"/>
          <w:szCs w:val="20"/>
          <w:color w:val="auto"/>
        </w:rPr>
      </w:pPr>
    </w:p>
    <w:p>
      <w:pPr>
        <w:ind w:right="220" w:firstLine="619"/>
        <w:spacing w:after="0" w:line="271" w:lineRule="auto"/>
        <w:rPr>
          <w:sz w:val="20"/>
          <w:szCs w:val="20"/>
          <w:color w:val="auto"/>
        </w:rPr>
      </w:pPr>
      <w:r>
        <w:rPr>
          <w:rFonts w:ascii="Arial" w:cs="Arial" w:eastAsia="Arial" w:hAnsi="Arial"/>
          <w:sz w:val="17"/>
          <w:szCs w:val="17"/>
          <w:color w:val="auto"/>
        </w:rPr>
        <w:t>The carrying value of the revolving credit facilities approximated fair value due to recent issuance. Financial instruments that are valued using quoted prices for the security or similar securities are generally classified as Level III because the quoted prices may be indicative in nature for securities that are in an inactive market, may be for similar securities, or may require adjustment for investment-specific factors or restrictions.</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Debt Obligations of CLOs</w:t>
      </w:r>
    </w:p>
    <w:p>
      <w:pPr>
        <w:spacing w:after="0" w:line="167" w:lineRule="exact"/>
        <w:rPr>
          <w:sz w:val="20"/>
          <w:szCs w:val="20"/>
          <w:color w:val="auto"/>
        </w:rPr>
      </w:pPr>
    </w:p>
    <w:p>
      <w:pPr>
        <w:ind w:right="160" w:firstLine="619"/>
        <w:spacing w:after="0" w:line="282" w:lineRule="auto"/>
        <w:rPr>
          <w:sz w:val="20"/>
          <w:szCs w:val="20"/>
          <w:color w:val="auto"/>
        </w:rPr>
      </w:pPr>
      <w:r>
        <w:rPr>
          <w:rFonts w:ascii="Arial" w:cs="Arial" w:eastAsia="Arial" w:hAnsi="Arial"/>
          <w:sz w:val="17"/>
          <w:szCs w:val="17"/>
          <w:color w:val="auto"/>
        </w:rPr>
        <w:t>Debt obligations of CLOs represent amounts due to holders of debt securities issued by the CLOs, as well as term loans of CLOs that had not priced as of period end. Outstanding debt obligations of CLOs were as follows:</w:t>
      </w:r>
    </w:p>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157"/>
        </w:trPr>
        <w:tc>
          <w:tcPr>
            <w:tcW w:w="254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gridSpan w:val="3"/>
          </w:tcPr>
          <w:p>
            <w:pPr>
              <w:jc w:val="center"/>
              <w:spacing w:after="0"/>
              <w:rPr>
                <w:sz w:val="20"/>
                <w:szCs w:val="20"/>
                <w:color w:val="auto"/>
              </w:rPr>
            </w:pPr>
            <w:r>
              <w:rPr>
                <w:rFonts w:ascii="Arial" w:cs="Arial" w:eastAsia="Arial" w:hAnsi="Arial"/>
                <w:sz w:val="11"/>
                <w:szCs w:val="11"/>
                <w:b w:val="1"/>
                <w:bCs w:val="1"/>
                <w:color w:val="auto"/>
              </w:rPr>
              <w:t>As of December 31, 2025</w:t>
            </w:r>
          </w:p>
        </w:tc>
        <w:tc>
          <w:tcPr>
            <w:tcW w:w="126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1"/>
                <w:szCs w:val="11"/>
                <w:b w:val="1"/>
                <w:bCs w:val="1"/>
                <w:color w:val="auto"/>
              </w:rPr>
              <w:t>As of December 31, 2024</w:t>
            </w:r>
          </w:p>
        </w:tc>
        <w:tc>
          <w:tcPr>
            <w:tcW w:w="12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15"/>
        </w:trPr>
        <w:tc>
          <w:tcPr>
            <w:tcW w:w="2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0" w:type="dxa"/>
            <w:vAlign w:val="bottom"/>
            <w:gridSpan w:val="2"/>
            <w:vMerge w:val="restart"/>
          </w:tcPr>
          <w:p>
            <w:pPr>
              <w:jc w:val="center"/>
              <w:ind w:right="140"/>
              <w:spacing w:after="0"/>
              <w:rPr>
                <w:sz w:val="20"/>
                <w:szCs w:val="20"/>
                <w:color w:val="auto"/>
              </w:rPr>
            </w:pPr>
            <w:r>
              <w:rPr>
                <w:rFonts w:ascii="Arial" w:cs="Arial" w:eastAsia="Arial" w:hAnsi="Arial"/>
                <w:sz w:val="11"/>
                <w:szCs w:val="11"/>
                <w:b w:val="1"/>
                <w:bCs w:val="1"/>
                <w:color w:val="auto"/>
              </w:rPr>
              <w:t>Weighted Average</w:t>
            </w:r>
          </w:p>
        </w:tc>
        <w:tc>
          <w:tcPr>
            <w:tcW w:w="1400" w:type="dxa"/>
            <w:vAlign w:val="bottom"/>
            <w:gridSpan w:val="2"/>
          </w:tcPr>
          <w:p>
            <w:pPr>
              <w:jc w:val="center"/>
              <w:ind w:right="160"/>
              <w:spacing w:after="0" w:line="115" w:lineRule="exact"/>
              <w:rPr>
                <w:sz w:val="20"/>
                <w:szCs w:val="20"/>
                <w:color w:val="auto"/>
              </w:rPr>
            </w:pPr>
            <w:r>
              <w:rPr>
                <w:rFonts w:ascii="Arial" w:cs="Arial" w:eastAsia="Arial" w:hAnsi="Arial"/>
                <w:sz w:val="11"/>
                <w:szCs w:val="11"/>
                <w:b w:val="1"/>
                <w:bCs w:val="1"/>
                <w:color w:val="auto"/>
                <w:w w:val="99"/>
              </w:rPr>
              <w:t>Weighted Average</w:t>
            </w:r>
          </w:p>
        </w:tc>
        <w:tc>
          <w:tcPr>
            <w:tcW w:w="2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0" w:type="dxa"/>
            <w:vAlign w:val="bottom"/>
            <w:gridSpan w:val="2"/>
            <w:vMerge w:val="restart"/>
          </w:tcPr>
          <w:p>
            <w:pPr>
              <w:jc w:val="center"/>
              <w:ind w:right="160"/>
              <w:spacing w:after="0"/>
              <w:rPr>
                <w:sz w:val="20"/>
                <w:szCs w:val="20"/>
                <w:color w:val="auto"/>
              </w:rPr>
            </w:pPr>
            <w:r>
              <w:rPr>
                <w:rFonts w:ascii="Arial" w:cs="Arial" w:eastAsia="Arial" w:hAnsi="Arial"/>
                <w:sz w:val="11"/>
                <w:szCs w:val="11"/>
                <w:b w:val="1"/>
                <w:bCs w:val="1"/>
                <w:color w:val="auto"/>
                <w:w w:val="99"/>
              </w:rPr>
              <w:t>Weighted Average</w:t>
            </w:r>
          </w:p>
        </w:tc>
        <w:tc>
          <w:tcPr>
            <w:tcW w:w="1240" w:type="dxa"/>
            <w:vAlign w:val="bottom"/>
          </w:tcPr>
          <w:p>
            <w:pPr>
              <w:jc w:val="center"/>
              <w:spacing w:after="0" w:line="115" w:lineRule="exact"/>
              <w:rPr>
                <w:sz w:val="20"/>
                <w:szCs w:val="20"/>
                <w:color w:val="auto"/>
              </w:rPr>
            </w:pPr>
            <w:r>
              <w:rPr>
                <w:rFonts w:ascii="Arial" w:cs="Arial" w:eastAsia="Arial" w:hAnsi="Arial"/>
                <w:sz w:val="11"/>
                <w:szCs w:val="11"/>
                <w:b w:val="1"/>
                <w:bCs w:val="1"/>
                <w:color w:val="auto"/>
                <w:w w:val="99"/>
              </w:rPr>
              <w:t>Weighted Average</w:t>
            </w:r>
          </w:p>
        </w:tc>
        <w:tc>
          <w:tcPr>
            <w:tcW w:w="0" w:type="dxa"/>
            <w:vAlign w:val="bottom"/>
          </w:tcPr>
          <w:p>
            <w:pPr>
              <w:spacing w:after="0"/>
              <w:rPr>
                <w:sz w:val="1"/>
                <w:szCs w:val="1"/>
                <w:color w:val="auto"/>
              </w:rPr>
            </w:pPr>
          </w:p>
        </w:tc>
      </w:tr>
      <w:tr>
        <w:trPr>
          <w:trHeight w:val="116"/>
        </w:trPr>
        <w:tc>
          <w:tcPr>
            <w:tcW w:w="2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40" w:type="dxa"/>
            <w:vAlign w:val="bottom"/>
            <w:vMerge w:val="restart"/>
          </w:tcPr>
          <w:p>
            <w:pPr>
              <w:jc w:val="right"/>
              <w:ind w:right="235"/>
              <w:spacing w:after="0"/>
              <w:rPr>
                <w:sz w:val="20"/>
                <w:szCs w:val="20"/>
                <w:color w:val="auto"/>
              </w:rPr>
            </w:pPr>
            <w:r>
              <w:rPr>
                <w:rFonts w:ascii="Arial" w:cs="Arial" w:eastAsia="Arial" w:hAnsi="Arial"/>
                <w:sz w:val="11"/>
                <w:szCs w:val="11"/>
                <w:b w:val="1"/>
                <w:bCs w:val="1"/>
                <w:color w:val="auto"/>
              </w:rPr>
              <w:t xml:space="preserve">Fair Value </w:t>
            </w:r>
            <w:r>
              <w:rPr>
                <w:rFonts w:ascii="Arial" w:cs="Arial" w:eastAsia="Arial" w:hAnsi="Arial"/>
                <w:sz w:val="14"/>
                <w:szCs w:val="14"/>
                <w:b w:val="1"/>
                <w:bCs w:val="1"/>
                <w:color w:val="auto"/>
                <w:vertAlign w:val="superscript"/>
              </w:rPr>
              <w:t>(1)</w:t>
            </w:r>
          </w:p>
        </w:tc>
        <w:tc>
          <w:tcPr>
            <w:tcW w:w="140" w:type="dxa"/>
            <w:vAlign w:val="bottom"/>
          </w:tcPr>
          <w:p>
            <w:pPr>
              <w:spacing w:after="0"/>
              <w:rPr>
                <w:sz w:val="10"/>
                <w:szCs w:val="10"/>
                <w:color w:val="auto"/>
              </w:rPr>
            </w:pPr>
          </w:p>
        </w:tc>
        <w:tc>
          <w:tcPr>
            <w:tcW w:w="1400" w:type="dxa"/>
            <w:vAlign w:val="bottom"/>
            <w:gridSpan w:val="2"/>
            <w:vMerge w:val="continue"/>
          </w:tcPr>
          <w:p>
            <w:pPr>
              <w:spacing w:after="0"/>
              <w:rPr>
                <w:sz w:val="10"/>
                <w:szCs w:val="10"/>
                <w:color w:val="auto"/>
              </w:rPr>
            </w:pPr>
          </w:p>
        </w:tc>
        <w:tc>
          <w:tcPr>
            <w:tcW w:w="1400" w:type="dxa"/>
            <w:vAlign w:val="bottom"/>
            <w:gridSpan w:val="2"/>
          </w:tcPr>
          <w:p>
            <w:pPr>
              <w:jc w:val="center"/>
              <w:ind w:right="160"/>
              <w:spacing w:after="0" w:line="116" w:lineRule="exact"/>
              <w:rPr>
                <w:sz w:val="20"/>
                <w:szCs w:val="20"/>
                <w:color w:val="auto"/>
              </w:rPr>
            </w:pPr>
            <w:r>
              <w:rPr>
                <w:rFonts w:ascii="Arial" w:cs="Arial" w:eastAsia="Arial" w:hAnsi="Arial"/>
                <w:sz w:val="11"/>
                <w:szCs w:val="11"/>
                <w:b w:val="1"/>
                <w:bCs w:val="1"/>
                <w:color w:val="auto"/>
              </w:rPr>
              <w:t>Remaining Maturity</w:t>
            </w:r>
          </w:p>
        </w:tc>
        <w:tc>
          <w:tcPr>
            <w:tcW w:w="200" w:type="dxa"/>
            <w:vAlign w:val="bottom"/>
          </w:tcPr>
          <w:p>
            <w:pPr>
              <w:spacing w:after="0"/>
              <w:rPr>
                <w:sz w:val="10"/>
                <w:szCs w:val="10"/>
                <w:color w:val="auto"/>
              </w:rPr>
            </w:pPr>
          </w:p>
        </w:tc>
        <w:tc>
          <w:tcPr>
            <w:tcW w:w="1060" w:type="dxa"/>
            <w:vAlign w:val="bottom"/>
            <w:vMerge w:val="restart"/>
          </w:tcPr>
          <w:p>
            <w:pPr>
              <w:jc w:val="right"/>
              <w:ind w:right="255"/>
              <w:spacing w:after="0"/>
              <w:rPr>
                <w:sz w:val="20"/>
                <w:szCs w:val="20"/>
                <w:color w:val="auto"/>
              </w:rPr>
            </w:pPr>
            <w:r>
              <w:rPr>
                <w:rFonts w:ascii="Arial" w:cs="Arial" w:eastAsia="Arial" w:hAnsi="Arial"/>
                <w:sz w:val="11"/>
                <w:szCs w:val="11"/>
                <w:b w:val="1"/>
                <w:bCs w:val="1"/>
                <w:color w:val="auto"/>
              </w:rPr>
              <w:t xml:space="preserve">Fair Value </w:t>
            </w:r>
            <w:r>
              <w:rPr>
                <w:rFonts w:ascii="Arial" w:cs="Arial" w:eastAsia="Arial" w:hAnsi="Arial"/>
                <w:sz w:val="14"/>
                <w:szCs w:val="14"/>
                <w:b w:val="1"/>
                <w:bCs w:val="1"/>
                <w:color w:val="auto"/>
                <w:vertAlign w:val="superscript"/>
              </w:rPr>
              <w:t>(1)</w:t>
            </w:r>
          </w:p>
        </w:tc>
        <w:tc>
          <w:tcPr>
            <w:tcW w:w="140" w:type="dxa"/>
            <w:vAlign w:val="bottom"/>
          </w:tcPr>
          <w:p>
            <w:pPr>
              <w:spacing w:after="0"/>
              <w:rPr>
                <w:sz w:val="10"/>
                <w:szCs w:val="10"/>
                <w:color w:val="auto"/>
              </w:rPr>
            </w:pPr>
          </w:p>
        </w:tc>
        <w:tc>
          <w:tcPr>
            <w:tcW w:w="1400" w:type="dxa"/>
            <w:vAlign w:val="bottom"/>
            <w:gridSpan w:val="2"/>
            <w:vMerge w:val="continue"/>
          </w:tcPr>
          <w:p>
            <w:pPr>
              <w:spacing w:after="0"/>
              <w:rPr>
                <w:sz w:val="10"/>
                <w:szCs w:val="10"/>
                <w:color w:val="auto"/>
              </w:rPr>
            </w:pPr>
          </w:p>
        </w:tc>
        <w:tc>
          <w:tcPr>
            <w:tcW w:w="1240" w:type="dxa"/>
            <w:vAlign w:val="bottom"/>
          </w:tcPr>
          <w:p>
            <w:pPr>
              <w:jc w:val="center"/>
              <w:spacing w:after="0" w:line="116" w:lineRule="exact"/>
              <w:rPr>
                <w:sz w:val="20"/>
                <w:szCs w:val="20"/>
                <w:color w:val="auto"/>
              </w:rPr>
            </w:pPr>
            <w:r>
              <w:rPr>
                <w:rFonts w:ascii="Arial" w:cs="Arial" w:eastAsia="Arial" w:hAnsi="Arial"/>
                <w:sz w:val="11"/>
                <w:szCs w:val="11"/>
                <w:b w:val="1"/>
                <w:bCs w:val="1"/>
                <w:color w:val="auto"/>
              </w:rPr>
              <w:t>Remaining Maturity</w:t>
            </w:r>
          </w:p>
        </w:tc>
        <w:tc>
          <w:tcPr>
            <w:tcW w:w="0" w:type="dxa"/>
            <w:vAlign w:val="bottom"/>
          </w:tcPr>
          <w:p>
            <w:pPr>
              <w:spacing w:after="0"/>
              <w:rPr>
                <w:sz w:val="1"/>
                <w:szCs w:val="1"/>
                <w:color w:val="auto"/>
              </w:rPr>
            </w:pPr>
          </w:p>
        </w:tc>
      </w:tr>
      <w:tr>
        <w:trPr>
          <w:trHeight w:val="155"/>
        </w:trPr>
        <w:tc>
          <w:tcPr>
            <w:tcW w:w="254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vMerge w:val="continue"/>
          </w:tcPr>
          <w:p>
            <w:pPr>
              <w:spacing w:after="0"/>
              <w:rPr>
                <w:sz w:val="13"/>
                <w:szCs w:val="13"/>
                <w:color w:val="auto"/>
              </w:rPr>
            </w:pPr>
          </w:p>
        </w:tc>
        <w:tc>
          <w:tcPr>
            <w:tcW w:w="140" w:type="dxa"/>
            <w:vAlign w:val="bottom"/>
          </w:tcPr>
          <w:p>
            <w:pPr>
              <w:spacing w:after="0"/>
              <w:rPr>
                <w:sz w:val="13"/>
                <w:szCs w:val="13"/>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Interest Rate</w:t>
            </w:r>
          </w:p>
        </w:tc>
        <w:tc>
          <w:tcPr>
            <w:tcW w:w="140" w:type="dxa"/>
            <w:vAlign w:val="bottom"/>
          </w:tcPr>
          <w:p>
            <w:pPr>
              <w:spacing w:after="0"/>
              <w:rPr>
                <w:sz w:val="13"/>
                <w:szCs w:val="13"/>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9"/>
              </w:rPr>
              <w:t>(years)</w:t>
            </w:r>
          </w:p>
        </w:tc>
        <w:tc>
          <w:tcPr>
            <w:tcW w:w="14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vMerge w:val="continue"/>
          </w:tcPr>
          <w:p>
            <w:pPr>
              <w:spacing w:after="0"/>
              <w:rPr>
                <w:sz w:val="13"/>
                <w:szCs w:val="13"/>
                <w:color w:val="auto"/>
              </w:rPr>
            </w:pPr>
          </w:p>
        </w:tc>
        <w:tc>
          <w:tcPr>
            <w:tcW w:w="140" w:type="dxa"/>
            <w:vAlign w:val="bottom"/>
          </w:tcPr>
          <w:p>
            <w:pPr>
              <w:spacing w:after="0"/>
              <w:rPr>
                <w:sz w:val="13"/>
                <w:szCs w:val="13"/>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Interest Rate</w:t>
            </w:r>
          </w:p>
        </w:tc>
        <w:tc>
          <w:tcPr>
            <w:tcW w:w="160" w:type="dxa"/>
            <w:vAlign w:val="bottom"/>
          </w:tcPr>
          <w:p>
            <w:pPr>
              <w:spacing w:after="0"/>
              <w:rPr>
                <w:sz w:val="13"/>
                <w:szCs w:val="13"/>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9"/>
              </w:rPr>
              <w:t>(years)</w:t>
            </w:r>
          </w:p>
        </w:tc>
        <w:tc>
          <w:tcPr>
            <w:tcW w:w="0" w:type="dxa"/>
            <w:vAlign w:val="bottom"/>
          </w:tcPr>
          <w:p>
            <w:pPr>
              <w:spacing w:after="0"/>
              <w:rPr>
                <w:sz w:val="1"/>
                <w:szCs w:val="1"/>
                <w:color w:val="auto"/>
              </w:rPr>
            </w:pPr>
          </w:p>
        </w:tc>
      </w:tr>
      <w:tr>
        <w:trPr>
          <w:trHeight w:val="179"/>
        </w:trPr>
        <w:tc>
          <w:tcPr>
            <w:tcW w:w="2540" w:type="dxa"/>
            <w:vAlign w:val="bottom"/>
          </w:tcPr>
          <w:p>
            <w:pPr>
              <w:spacing w:after="0"/>
              <w:rPr>
                <w:sz w:val="20"/>
                <w:szCs w:val="20"/>
                <w:color w:val="auto"/>
              </w:rPr>
            </w:pPr>
            <w:r>
              <w:rPr>
                <w:rFonts w:ascii="Arial" w:cs="Arial" w:eastAsia="Arial" w:hAnsi="Arial"/>
                <w:sz w:val="14"/>
                <w:szCs w:val="14"/>
                <w:color w:val="auto"/>
              </w:rPr>
              <w:t>Senior secured notes</w:t>
            </w:r>
          </w:p>
        </w:tc>
        <w:tc>
          <w:tcPr>
            <w:tcW w:w="200" w:type="dxa"/>
            <w:vAlign w:val="bottom"/>
          </w:tcPr>
          <w:p>
            <w:pPr>
              <w:jc w:val="right"/>
              <w:ind w:right="51"/>
              <w:spacing w:after="0"/>
              <w:rPr>
                <w:sz w:val="20"/>
                <w:szCs w:val="20"/>
                <w:color w:val="auto"/>
              </w:rPr>
            </w:pPr>
            <w:r>
              <w:rPr>
                <w:rFonts w:ascii="Arial" w:cs="Arial" w:eastAsia="Arial" w:hAnsi="Arial"/>
                <w:sz w:val="14"/>
                <w:szCs w:val="14"/>
                <w:color w:val="auto"/>
                <w:w w:val="76"/>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3,209,588</w:t>
            </w:r>
          </w:p>
        </w:tc>
        <w:tc>
          <w:tcPr>
            <w:tcW w:w="1400" w:type="dxa"/>
            <w:vAlign w:val="bottom"/>
            <w:gridSpan w:val="2"/>
          </w:tcPr>
          <w:p>
            <w:pPr>
              <w:jc w:val="center"/>
              <w:ind w:left="78"/>
              <w:spacing w:after="0"/>
              <w:rPr>
                <w:sz w:val="20"/>
                <w:szCs w:val="20"/>
                <w:color w:val="auto"/>
              </w:rPr>
            </w:pPr>
            <w:r>
              <w:rPr>
                <w:rFonts w:ascii="Arial" w:cs="Arial" w:eastAsia="Arial" w:hAnsi="Arial"/>
                <w:sz w:val="14"/>
                <w:szCs w:val="14"/>
                <w:color w:val="auto"/>
                <w:w w:val="95"/>
              </w:rPr>
              <w:t>5.62%</w:t>
            </w:r>
          </w:p>
        </w:tc>
        <w:tc>
          <w:tcPr>
            <w:tcW w:w="140" w:type="dxa"/>
            <w:vAlign w:val="bottom"/>
          </w:tcPr>
          <w:p>
            <w:pPr>
              <w:spacing w:after="0"/>
              <w:rPr>
                <w:sz w:val="15"/>
                <w:szCs w:val="15"/>
                <w:color w:val="auto"/>
              </w:rPr>
            </w:pPr>
          </w:p>
        </w:tc>
        <w:tc>
          <w:tcPr>
            <w:tcW w:w="1260" w:type="dxa"/>
            <w:vAlign w:val="bottom"/>
          </w:tcPr>
          <w:p>
            <w:pPr>
              <w:jc w:val="center"/>
              <w:spacing w:after="0"/>
              <w:rPr>
                <w:sz w:val="20"/>
                <w:szCs w:val="20"/>
                <w:color w:val="auto"/>
              </w:rPr>
            </w:pPr>
            <w:r>
              <w:rPr>
                <w:rFonts w:ascii="Arial" w:cs="Arial" w:eastAsia="Arial" w:hAnsi="Arial"/>
                <w:sz w:val="14"/>
                <w:szCs w:val="14"/>
                <w:color w:val="auto"/>
                <w:w w:val="95"/>
              </w:rPr>
              <w:t>12.1</w:t>
            </w:r>
          </w:p>
        </w:tc>
        <w:tc>
          <w:tcPr>
            <w:tcW w:w="140" w:type="dxa"/>
            <w:vAlign w:val="bottom"/>
          </w:tcPr>
          <w:p>
            <w:pPr>
              <w:spacing w:after="0"/>
              <w:rPr>
                <w:sz w:val="15"/>
                <w:szCs w:val="15"/>
                <w:color w:val="auto"/>
              </w:rPr>
            </w:pPr>
          </w:p>
        </w:tc>
        <w:tc>
          <w:tcPr>
            <w:tcW w:w="200" w:type="dxa"/>
            <w:vAlign w:val="bottom"/>
          </w:tcPr>
          <w:p>
            <w:pPr>
              <w:jc w:val="right"/>
              <w:ind w:right="51"/>
              <w:spacing w:after="0"/>
              <w:rPr>
                <w:sz w:val="20"/>
                <w:szCs w:val="20"/>
                <w:color w:val="auto"/>
              </w:rPr>
            </w:pPr>
            <w:r>
              <w:rPr>
                <w:rFonts w:ascii="Arial" w:cs="Arial" w:eastAsia="Arial" w:hAnsi="Arial"/>
                <w:sz w:val="14"/>
                <w:szCs w:val="14"/>
                <w:color w:val="auto"/>
                <w:w w:val="76"/>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1,576,289</w:t>
            </w:r>
          </w:p>
        </w:tc>
        <w:tc>
          <w:tcPr>
            <w:tcW w:w="1380" w:type="dxa"/>
            <w:vAlign w:val="bottom"/>
            <w:gridSpan w:val="2"/>
          </w:tcPr>
          <w:p>
            <w:pPr>
              <w:jc w:val="center"/>
              <w:ind w:left="78"/>
              <w:spacing w:after="0"/>
              <w:rPr>
                <w:sz w:val="20"/>
                <w:szCs w:val="20"/>
                <w:color w:val="auto"/>
              </w:rPr>
            </w:pPr>
            <w:r>
              <w:rPr>
                <w:rFonts w:ascii="Arial" w:cs="Arial" w:eastAsia="Arial" w:hAnsi="Arial"/>
                <w:sz w:val="14"/>
                <w:szCs w:val="14"/>
                <w:color w:val="auto"/>
              </w:rPr>
              <w:t>6.41%</w:t>
            </w:r>
          </w:p>
        </w:tc>
        <w:tc>
          <w:tcPr>
            <w:tcW w:w="160" w:type="dxa"/>
            <w:vAlign w:val="bottom"/>
          </w:tcPr>
          <w:p>
            <w:pPr>
              <w:spacing w:after="0"/>
              <w:rPr>
                <w:sz w:val="15"/>
                <w:szCs w:val="15"/>
                <w:color w:val="auto"/>
              </w:rPr>
            </w:pPr>
          </w:p>
        </w:tc>
        <w:tc>
          <w:tcPr>
            <w:tcW w:w="1240" w:type="dxa"/>
            <w:vAlign w:val="bottom"/>
          </w:tcPr>
          <w:p>
            <w:pPr>
              <w:jc w:val="center"/>
              <w:spacing w:after="0"/>
              <w:rPr>
                <w:sz w:val="20"/>
                <w:szCs w:val="20"/>
                <w:color w:val="auto"/>
              </w:rPr>
            </w:pPr>
            <w:r>
              <w:rPr>
                <w:rFonts w:ascii="Arial" w:cs="Arial" w:eastAsia="Arial" w:hAnsi="Arial"/>
                <w:sz w:val="14"/>
                <w:szCs w:val="14"/>
                <w:color w:val="auto"/>
                <w:w w:val="95"/>
              </w:rPr>
              <w:t>12.8</w:t>
            </w:r>
          </w:p>
        </w:tc>
        <w:tc>
          <w:tcPr>
            <w:tcW w:w="0" w:type="dxa"/>
            <w:vAlign w:val="bottom"/>
          </w:tcPr>
          <w:p>
            <w:pPr>
              <w:spacing w:after="0"/>
              <w:rPr>
                <w:sz w:val="1"/>
                <w:szCs w:val="1"/>
                <w:color w:val="auto"/>
              </w:rPr>
            </w:pPr>
          </w:p>
        </w:tc>
      </w:tr>
      <w:tr>
        <w:trPr>
          <w:trHeight w:val="201"/>
        </w:trPr>
        <w:tc>
          <w:tcPr>
            <w:tcW w:w="2540" w:type="dxa"/>
            <w:vAlign w:val="bottom"/>
          </w:tcPr>
          <w:p>
            <w:pPr>
              <w:spacing w:after="0"/>
              <w:rPr>
                <w:sz w:val="20"/>
                <w:szCs w:val="20"/>
                <w:color w:val="auto"/>
              </w:rPr>
            </w:pPr>
            <w:r>
              <w:rPr>
                <w:rFonts w:ascii="Arial" w:cs="Arial" w:eastAsia="Arial" w:hAnsi="Arial"/>
                <w:sz w:val="14"/>
                <w:szCs w:val="14"/>
                <w:color w:val="auto"/>
              </w:rPr>
              <w:t xml:space="preserve">Subordinated notes </w:t>
            </w:r>
            <w:r>
              <w:rPr>
                <w:rFonts w:ascii="Arial" w:cs="Arial" w:eastAsia="Arial" w:hAnsi="Arial"/>
                <w:sz w:val="17"/>
                <w:szCs w:val="17"/>
                <w:color w:val="auto"/>
                <w:vertAlign w:val="superscript"/>
              </w:rPr>
              <w:t>(2)</w:t>
            </w:r>
          </w:p>
        </w:tc>
        <w:tc>
          <w:tcPr>
            <w:tcW w:w="2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198,774</w:t>
            </w:r>
          </w:p>
        </w:tc>
        <w:tc>
          <w:tcPr>
            <w:tcW w:w="140" w:type="dxa"/>
            <w:vAlign w:val="bottom"/>
          </w:tcPr>
          <w:p>
            <w:pPr>
              <w:spacing w:after="0"/>
              <w:rPr>
                <w:sz w:val="17"/>
                <w:szCs w:val="17"/>
                <w:color w:val="auto"/>
              </w:rPr>
            </w:pPr>
          </w:p>
        </w:tc>
        <w:tc>
          <w:tcPr>
            <w:tcW w:w="1400" w:type="dxa"/>
            <w:vAlign w:val="bottom"/>
            <w:gridSpan w:val="2"/>
          </w:tcPr>
          <w:p>
            <w:pPr>
              <w:jc w:val="center"/>
              <w:ind w:right="140"/>
              <w:spacing w:after="0"/>
              <w:rPr>
                <w:sz w:val="20"/>
                <w:szCs w:val="20"/>
                <w:color w:val="auto"/>
              </w:rPr>
            </w:pPr>
            <w:r>
              <w:rPr>
                <w:rFonts w:ascii="Arial" w:cs="Arial" w:eastAsia="Arial" w:hAnsi="Arial"/>
                <w:sz w:val="14"/>
                <w:szCs w:val="14"/>
                <w:color w:val="auto"/>
                <w:w w:val="94"/>
              </w:rPr>
              <w:t>N/A</w:t>
            </w:r>
          </w:p>
        </w:tc>
        <w:tc>
          <w:tcPr>
            <w:tcW w:w="1260" w:type="dxa"/>
            <w:vAlign w:val="bottom"/>
          </w:tcPr>
          <w:p>
            <w:pPr>
              <w:jc w:val="center"/>
              <w:spacing w:after="0"/>
              <w:rPr>
                <w:sz w:val="20"/>
                <w:szCs w:val="20"/>
                <w:color w:val="auto"/>
              </w:rPr>
            </w:pPr>
            <w:r>
              <w:rPr>
                <w:rFonts w:ascii="Arial" w:cs="Arial" w:eastAsia="Arial" w:hAnsi="Arial"/>
                <w:sz w:val="14"/>
                <w:szCs w:val="14"/>
                <w:color w:val="auto"/>
                <w:w w:val="95"/>
              </w:rPr>
              <w:t>12.5</w:t>
            </w:r>
          </w:p>
        </w:tc>
        <w:tc>
          <w:tcPr>
            <w:tcW w:w="1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94,063</w:t>
            </w:r>
          </w:p>
        </w:tc>
        <w:tc>
          <w:tcPr>
            <w:tcW w:w="140" w:type="dxa"/>
            <w:vAlign w:val="bottom"/>
          </w:tcPr>
          <w:p>
            <w:pPr>
              <w:spacing w:after="0"/>
              <w:rPr>
                <w:sz w:val="17"/>
                <w:szCs w:val="17"/>
                <w:color w:val="auto"/>
              </w:rPr>
            </w:pPr>
          </w:p>
        </w:tc>
        <w:tc>
          <w:tcPr>
            <w:tcW w:w="1400" w:type="dxa"/>
            <w:vAlign w:val="bottom"/>
            <w:gridSpan w:val="2"/>
          </w:tcPr>
          <w:p>
            <w:pPr>
              <w:jc w:val="center"/>
              <w:ind w:right="160"/>
              <w:spacing w:after="0"/>
              <w:rPr>
                <w:sz w:val="20"/>
                <w:szCs w:val="20"/>
                <w:color w:val="auto"/>
              </w:rPr>
            </w:pPr>
            <w:r>
              <w:rPr>
                <w:rFonts w:ascii="Arial" w:cs="Arial" w:eastAsia="Arial" w:hAnsi="Arial"/>
                <w:sz w:val="14"/>
                <w:szCs w:val="14"/>
                <w:color w:val="auto"/>
              </w:rPr>
              <w:t>N/A</w:t>
            </w:r>
          </w:p>
        </w:tc>
        <w:tc>
          <w:tcPr>
            <w:tcW w:w="1240" w:type="dxa"/>
            <w:vAlign w:val="bottom"/>
          </w:tcPr>
          <w:p>
            <w:pPr>
              <w:jc w:val="center"/>
              <w:spacing w:after="0"/>
              <w:rPr>
                <w:sz w:val="20"/>
                <w:szCs w:val="20"/>
                <w:color w:val="auto"/>
              </w:rPr>
            </w:pPr>
            <w:r>
              <w:rPr>
                <w:rFonts w:ascii="Arial" w:cs="Arial" w:eastAsia="Arial" w:hAnsi="Arial"/>
                <w:sz w:val="14"/>
                <w:szCs w:val="14"/>
                <w:color w:val="auto"/>
                <w:w w:val="95"/>
              </w:rPr>
              <w:t>13.1</w:t>
            </w:r>
          </w:p>
        </w:tc>
        <w:tc>
          <w:tcPr>
            <w:tcW w:w="0" w:type="dxa"/>
            <w:vAlign w:val="bottom"/>
          </w:tcPr>
          <w:p>
            <w:pPr>
              <w:spacing w:after="0"/>
              <w:rPr>
                <w:sz w:val="1"/>
                <w:szCs w:val="1"/>
                <w:color w:val="auto"/>
              </w:rPr>
            </w:pPr>
          </w:p>
        </w:tc>
      </w:tr>
      <w:tr>
        <w:trPr>
          <w:trHeight w:val="186"/>
        </w:trPr>
        <w:tc>
          <w:tcPr>
            <w:tcW w:w="2540" w:type="dxa"/>
            <w:vAlign w:val="bottom"/>
          </w:tcPr>
          <w:p>
            <w:pPr>
              <w:spacing w:after="0"/>
              <w:rPr>
                <w:sz w:val="20"/>
                <w:szCs w:val="20"/>
                <w:color w:val="auto"/>
              </w:rPr>
            </w:pPr>
            <w:r>
              <w:rPr>
                <w:rFonts w:ascii="Arial" w:cs="Arial" w:eastAsia="Arial" w:hAnsi="Arial"/>
                <w:sz w:val="14"/>
                <w:szCs w:val="14"/>
                <w:color w:val="auto"/>
              </w:rPr>
              <w:t>Total CLO debt obligations</w:t>
            </w:r>
          </w:p>
        </w:tc>
        <w:tc>
          <w:tcPr>
            <w:tcW w:w="20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3,408,362</w:t>
            </w:r>
          </w:p>
        </w:tc>
        <w:tc>
          <w:tcPr>
            <w:tcW w:w="1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color w:val="auto"/>
                <w:w w:val="76"/>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1,670,352</w:t>
            </w:r>
          </w:p>
        </w:tc>
        <w:tc>
          <w:tcPr>
            <w:tcW w:w="1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5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163830</wp:posOffset>
            </wp:positionV>
            <wp:extent cx="38481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05">
                      <a:extLst>
                        <a:ext uri="{28A0092B-C50C-407E-A947-70E740481C1C}"/>
                      </a:extLst>
                    </a:blip>
                    <a:srcRect/>
                    <a:stretch>
                      <a:fillRect/>
                    </a:stretch>
                  </pic:blipFill>
                  <pic:spPr bwMode="auto">
                    <a:xfrm>
                      <a:off x="0" y="0"/>
                      <a:ext cx="384810" cy="8255"/>
                    </a:xfrm>
                    <a:prstGeom prst="rect">
                      <a:avLst/>
                    </a:prstGeom>
                    <a:noFill/>
                  </pic:spPr>
                </pic:pic>
              </a:graphicData>
            </a:graphic>
          </wp:anchor>
        </w:drawing>
      </w:r>
    </w:p>
    <w:p>
      <w:pPr>
        <w:spacing w:after="0" w:line="385" w:lineRule="exact"/>
        <w:rPr>
          <w:sz w:val="20"/>
          <w:szCs w:val="20"/>
          <w:color w:val="auto"/>
        </w:rPr>
      </w:pPr>
    </w:p>
    <w:p>
      <w:pPr>
        <w:ind w:left="380" w:right="60" w:hanging="377"/>
        <w:spacing w:after="0" w:line="264" w:lineRule="auto"/>
        <w:tabs>
          <w:tab w:leader="none" w:pos="311" w:val="left"/>
        </w:tabs>
        <w:numPr>
          <w:ilvl w:val="0"/>
          <w:numId w:val="71"/>
        </w:numPr>
        <w:rPr>
          <w:rFonts w:ascii="Arial" w:cs="Arial" w:eastAsia="Arial" w:hAnsi="Arial"/>
          <w:sz w:val="14"/>
          <w:szCs w:val="14"/>
          <w:color w:val="auto"/>
        </w:rPr>
      </w:pPr>
      <w:r>
        <w:rPr>
          <w:rFonts w:ascii="Arial" w:cs="Arial" w:eastAsia="Arial" w:hAnsi="Arial"/>
          <w:sz w:val="14"/>
          <w:szCs w:val="14"/>
          <w:color w:val="auto"/>
        </w:rPr>
        <w:t>The fair value of CLO liabilities was measured as the fair value of CLO assets less the sum of (a) the fair value of any beneficial interests held by the Company and (b) the carrying value of any beneficial interests that represent compensation for services. The fair value of the beneficial interests was calculated using a discounted cash flow model specific to each investment structure. Please see note 2 for more information.</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32</w:t>
      </w:r>
    </w:p>
    <w:p>
      <w:pPr>
        <w:sectPr>
          <w:pgSz w:w="11900" w:h="16838" w:orient="portrait"/>
          <w:cols w:equalWidth="0" w:num="1">
            <w:col w:w="11240"/>
          </w:cols>
          <w:pgMar w:left="320" w:top="353" w:right="339" w:bottom="1440" w:gutter="0" w:footer="0" w:header="0"/>
        </w:sectPr>
      </w:pPr>
    </w:p>
    <w:bookmarkStart w:id="172" w:name="page173"/>
    <w:bookmarkEnd w:id="172"/>
    <w:p>
      <w:pPr>
        <w:jc w:val="center"/>
        <w:spacing w:after="0"/>
        <w:rPr>
          <w:sz w:val="20"/>
          <w:szCs w:val="20"/>
          <w:color w:val="auto"/>
        </w:rPr>
      </w:pPr>
      <w:r>
        <w:rPr>
          <w:rFonts w:ascii="Arial" w:cs="Arial" w:eastAsia="Arial" w:hAnsi="Arial"/>
          <w:sz w:val="17"/>
          <w:szCs w:val="17"/>
          <w:b w:val="1"/>
          <w:bCs w:val="1"/>
          <w:color w:val="auto"/>
        </w:rPr>
        <w:t>Oaktree Capital I, L.P.</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 (Continued)</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December 31, 2025</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 in thousands, except where noted)</w:t>
      </w:r>
    </w:p>
    <w:p>
      <w:pPr>
        <w:spacing w:after="0" w:line="200" w:lineRule="exact"/>
        <w:rPr>
          <w:sz w:val="20"/>
          <w:szCs w:val="20"/>
          <w:color w:val="auto"/>
        </w:rPr>
      </w:pPr>
    </w:p>
    <w:p>
      <w:pPr>
        <w:spacing w:after="0" w:line="281" w:lineRule="exact"/>
        <w:rPr>
          <w:sz w:val="20"/>
          <w:szCs w:val="20"/>
          <w:color w:val="auto"/>
        </w:rPr>
      </w:pPr>
    </w:p>
    <w:p>
      <w:pPr>
        <w:ind w:left="320" w:hanging="317"/>
        <w:spacing w:after="0"/>
        <w:tabs>
          <w:tab w:leader="none" w:pos="320" w:val="left"/>
        </w:tabs>
        <w:numPr>
          <w:ilvl w:val="0"/>
          <w:numId w:val="72"/>
        </w:numPr>
        <w:rPr>
          <w:rFonts w:ascii="Arial" w:cs="Arial" w:eastAsia="Arial" w:hAnsi="Arial"/>
          <w:sz w:val="14"/>
          <w:szCs w:val="14"/>
          <w:color w:val="auto"/>
        </w:rPr>
      </w:pPr>
      <w:r>
        <w:rPr>
          <w:rFonts w:ascii="Arial" w:cs="Arial" w:eastAsia="Arial" w:hAnsi="Arial"/>
          <w:sz w:val="14"/>
          <w:szCs w:val="14"/>
          <w:color w:val="auto"/>
        </w:rPr>
        <w:t>The subordinated notes do not have a contractual interest rate; instead, they receive distributions from the excess cash flows generated by the CLO.</w:t>
      </w:r>
    </w:p>
    <w:p>
      <w:pPr>
        <w:spacing w:after="0" w:line="281" w:lineRule="exact"/>
        <w:rPr>
          <w:sz w:val="20"/>
          <w:szCs w:val="20"/>
          <w:color w:val="auto"/>
        </w:rPr>
      </w:pPr>
    </w:p>
    <w:p>
      <w:pPr>
        <w:jc w:val="both"/>
        <w:ind w:right="140" w:firstLine="619"/>
        <w:spacing w:after="0" w:line="281" w:lineRule="auto"/>
        <w:rPr>
          <w:sz w:val="20"/>
          <w:szCs w:val="20"/>
          <w:color w:val="auto"/>
        </w:rPr>
      </w:pPr>
      <w:r>
        <w:rPr>
          <w:rFonts w:ascii="Arial" w:cs="Arial" w:eastAsia="Arial" w:hAnsi="Arial"/>
          <w:sz w:val="17"/>
          <w:szCs w:val="17"/>
          <w:color w:val="auto"/>
        </w:rPr>
        <w:t>The following table set forth the significant valuation inputs, including the input range and weighted average rate utilized in determining the fair value of the Company’s CLO beneficial interests held at December 31, 2025:</w:t>
      </w:r>
    </w:p>
    <w:tbl>
      <w:tblPr>
        <w:tblLayout w:type="fixed"/>
        <w:tblInd w:w="0" w:type="dxa"/>
        <w:tblCellMar>
          <w:top w:w="0" w:type="dxa"/>
          <w:left w:w="0" w:type="dxa"/>
          <w:bottom w:w="0" w:type="dxa"/>
          <w:right w:w="0" w:type="dxa"/>
        </w:tblCellMar>
      </w:tblPr>
      <w:tr>
        <w:trPr>
          <w:trHeight w:val="139"/>
        </w:trPr>
        <w:tc>
          <w:tcPr>
            <w:tcW w:w="3340" w:type="dxa"/>
            <w:vAlign w:val="bottom"/>
            <w:vMerge w:val="restart"/>
          </w:tcPr>
          <w:p>
            <w:pPr>
              <w:ind w:left="1180"/>
              <w:spacing w:after="0"/>
              <w:rPr>
                <w:sz w:val="20"/>
                <w:szCs w:val="20"/>
                <w:color w:val="auto"/>
              </w:rPr>
            </w:pPr>
            <w:r>
              <w:rPr>
                <w:rFonts w:ascii="Arial" w:cs="Arial" w:eastAsia="Arial" w:hAnsi="Arial"/>
                <w:sz w:val="14"/>
                <w:szCs w:val="14"/>
                <w:b w:val="1"/>
                <w:bCs w:val="1"/>
                <w:color w:val="auto"/>
              </w:rPr>
              <w:t>Valuation Input</w:t>
            </w:r>
          </w:p>
        </w:tc>
        <w:tc>
          <w:tcPr>
            <w:tcW w:w="200" w:type="dxa"/>
            <w:vAlign w:val="bottom"/>
            <w:vMerge w:val="restart"/>
          </w:tcPr>
          <w:p>
            <w:pPr>
              <w:spacing w:after="0"/>
              <w:rPr>
                <w:sz w:val="12"/>
                <w:szCs w:val="12"/>
                <w:color w:val="auto"/>
              </w:rPr>
            </w:pPr>
          </w:p>
        </w:tc>
        <w:tc>
          <w:tcPr>
            <w:tcW w:w="3320" w:type="dxa"/>
            <w:vAlign w:val="bottom"/>
            <w:vMerge w:val="restart"/>
          </w:tcPr>
          <w:p>
            <w:pPr>
              <w:ind w:left="660"/>
              <w:spacing w:after="0"/>
              <w:rPr>
                <w:sz w:val="20"/>
                <w:szCs w:val="20"/>
                <w:color w:val="auto"/>
              </w:rPr>
            </w:pPr>
            <w:r>
              <w:rPr>
                <w:rFonts w:ascii="Arial" w:cs="Arial" w:eastAsia="Arial" w:hAnsi="Arial"/>
                <w:sz w:val="14"/>
                <w:szCs w:val="14"/>
                <w:b w:val="1"/>
                <w:bCs w:val="1"/>
                <w:color w:val="auto"/>
              </w:rPr>
              <w:t>Significant Unobservable Input</w:t>
            </w:r>
          </w:p>
        </w:tc>
        <w:tc>
          <w:tcPr>
            <w:tcW w:w="240" w:type="dxa"/>
            <w:vAlign w:val="bottom"/>
            <w:vMerge w:val="restart"/>
          </w:tcPr>
          <w:p>
            <w:pPr>
              <w:spacing w:after="0"/>
              <w:rPr>
                <w:sz w:val="12"/>
                <w:szCs w:val="12"/>
                <w:color w:val="auto"/>
              </w:rPr>
            </w:pPr>
          </w:p>
        </w:tc>
        <w:tc>
          <w:tcPr>
            <w:tcW w:w="11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9"/>
              </w:rPr>
              <w:t>Low</w:t>
            </w:r>
          </w:p>
        </w:tc>
        <w:tc>
          <w:tcPr>
            <w:tcW w:w="240" w:type="dxa"/>
            <w:vAlign w:val="bottom"/>
            <w:vMerge w:val="restart"/>
          </w:tcPr>
          <w:p>
            <w:pPr>
              <w:spacing w:after="0"/>
              <w:rPr>
                <w:sz w:val="12"/>
                <w:szCs w:val="12"/>
                <w:color w:val="auto"/>
              </w:rPr>
            </w:pPr>
          </w:p>
        </w:tc>
        <w:tc>
          <w:tcPr>
            <w:tcW w:w="11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High</w:t>
            </w:r>
          </w:p>
        </w:tc>
        <w:tc>
          <w:tcPr>
            <w:tcW w:w="220" w:type="dxa"/>
            <w:vAlign w:val="bottom"/>
            <w:vMerge w:val="restart"/>
          </w:tcPr>
          <w:p>
            <w:pPr>
              <w:spacing w:after="0"/>
              <w:rPr>
                <w:sz w:val="12"/>
                <w:szCs w:val="12"/>
                <w:color w:val="auto"/>
              </w:rPr>
            </w:pPr>
          </w:p>
        </w:tc>
        <w:tc>
          <w:tcPr>
            <w:tcW w:w="1180" w:type="dxa"/>
            <w:vAlign w:val="bottom"/>
          </w:tcPr>
          <w:p>
            <w:pPr>
              <w:jc w:val="center"/>
              <w:spacing w:after="0" w:line="139" w:lineRule="exact"/>
              <w:rPr>
                <w:sz w:val="20"/>
                <w:szCs w:val="20"/>
                <w:color w:val="auto"/>
              </w:rPr>
            </w:pPr>
            <w:r>
              <w:rPr>
                <w:rFonts w:ascii="Arial" w:cs="Arial" w:eastAsia="Arial" w:hAnsi="Arial"/>
                <w:sz w:val="14"/>
                <w:szCs w:val="14"/>
                <w:b w:val="1"/>
                <w:bCs w:val="1"/>
                <w:color w:val="auto"/>
                <w:w w:val="98"/>
              </w:rPr>
              <w:t>Weighted</w:t>
            </w:r>
          </w:p>
        </w:tc>
        <w:tc>
          <w:tcPr>
            <w:tcW w:w="0" w:type="dxa"/>
            <w:vAlign w:val="bottom"/>
          </w:tcPr>
          <w:p>
            <w:pPr>
              <w:spacing w:after="0"/>
              <w:rPr>
                <w:sz w:val="1"/>
                <w:szCs w:val="1"/>
                <w:color w:val="auto"/>
              </w:rPr>
            </w:pPr>
          </w:p>
        </w:tc>
      </w:tr>
      <w:tr>
        <w:trPr>
          <w:trHeight w:val="180"/>
        </w:trPr>
        <w:tc>
          <w:tcPr>
            <w:tcW w:w="3340" w:type="dxa"/>
            <w:vAlign w:val="bottom"/>
            <w:tcBorders>
              <w:bottom w:val="single" w:sz="8" w:color="auto"/>
            </w:tcBorders>
            <w:vMerge w:val="continue"/>
          </w:tcPr>
          <w:p>
            <w:pPr>
              <w:spacing w:after="0"/>
              <w:rPr>
                <w:sz w:val="15"/>
                <w:szCs w:val="15"/>
                <w:color w:val="auto"/>
              </w:rPr>
            </w:pPr>
          </w:p>
        </w:tc>
        <w:tc>
          <w:tcPr>
            <w:tcW w:w="200" w:type="dxa"/>
            <w:vAlign w:val="bottom"/>
            <w:vMerge w:val="continue"/>
          </w:tcPr>
          <w:p>
            <w:pPr>
              <w:spacing w:after="0"/>
              <w:rPr>
                <w:sz w:val="15"/>
                <w:szCs w:val="15"/>
                <w:color w:val="auto"/>
              </w:rPr>
            </w:pPr>
          </w:p>
        </w:tc>
        <w:tc>
          <w:tcPr>
            <w:tcW w:w="3320" w:type="dxa"/>
            <w:vAlign w:val="bottom"/>
            <w:tcBorders>
              <w:bottom w:val="single" w:sz="8" w:color="auto"/>
            </w:tcBorders>
            <w:vMerge w:val="continue"/>
          </w:tcPr>
          <w:p>
            <w:pPr>
              <w:spacing w:after="0"/>
              <w:rPr>
                <w:sz w:val="15"/>
                <w:szCs w:val="15"/>
                <w:color w:val="auto"/>
              </w:rPr>
            </w:pPr>
          </w:p>
        </w:tc>
        <w:tc>
          <w:tcPr>
            <w:tcW w:w="240" w:type="dxa"/>
            <w:vAlign w:val="bottom"/>
            <w:vMerge w:val="continue"/>
          </w:tcPr>
          <w:p>
            <w:pPr>
              <w:spacing w:after="0"/>
              <w:rPr>
                <w:sz w:val="15"/>
                <w:szCs w:val="15"/>
                <w:color w:val="auto"/>
              </w:rPr>
            </w:pPr>
          </w:p>
        </w:tc>
        <w:tc>
          <w:tcPr>
            <w:tcW w:w="1160" w:type="dxa"/>
            <w:vAlign w:val="bottom"/>
            <w:tcBorders>
              <w:bottom w:val="single" w:sz="8" w:color="auto"/>
            </w:tcBorders>
            <w:vMerge w:val="continue"/>
          </w:tcPr>
          <w:p>
            <w:pPr>
              <w:spacing w:after="0"/>
              <w:rPr>
                <w:sz w:val="15"/>
                <w:szCs w:val="15"/>
                <w:color w:val="auto"/>
              </w:rPr>
            </w:pPr>
          </w:p>
        </w:tc>
        <w:tc>
          <w:tcPr>
            <w:tcW w:w="240" w:type="dxa"/>
            <w:vAlign w:val="bottom"/>
            <w:vMerge w:val="continue"/>
          </w:tcPr>
          <w:p>
            <w:pPr>
              <w:spacing w:after="0"/>
              <w:rPr>
                <w:sz w:val="15"/>
                <w:szCs w:val="15"/>
                <w:color w:val="auto"/>
              </w:rPr>
            </w:pPr>
          </w:p>
        </w:tc>
        <w:tc>
          <w:tcPr>
            <w:tcW w:w="1180" w:type="dxa"/>
            <w:vAlign w:val="bottom"/>
            <w:tcBorders>
              <w:bottom w:val="single" w:sz="8" w:color="auto"/>
            </w:tcBorders>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Average Rate</w:t>
            </w:r>
          </w:p>
        </w:tc>
        <w:tc>
          <w:tcPr>
            <w:tcW w:w="0" w:type="dxa"/>
            <w:vAlign w:val="bottom"/>
          </w:tcPr>
          <w:p>
            <w:pPr>
              <w:spacing w:after="0"/>
              <w:rPr>
                <w:sz w:val="1"/>
                <w:szCs w:val="1"/>
                <w:color w:val="auto"/>
              </w:rPr>
            </w:pPr>
          </w:p>
        </w:tc>
      </w:tr>
      <w:tr>
        <w:trPr>
          <w:trHeight w:val="372"/>
        </w:trPr>
        <w:tc>
          <w:tcPr>
            <w:tcW w:w="3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560" w:type="dxa"/>
            <w:vAlign w:val="bottom"/>
            <w:gridSpan w:val="2"/>
          </w:tcPr>
          <w:p>
            <w:pPr>
              <w:ind w:left="20"/>
              <w:spacing w:after="0"/>
              <w:rPr>
                <w:sz w:val="20"/>
                <w:szCs w:val="20"/>
                <w:color w:val="auto"/>
              </w:rPr>
            </w:pPr>
            <w:r>
              <w:rPr>
                <w:rFonts w:ascii="Arial" w:cs="Arial" w:eastAsia="Arial" w:hAnsi="Arial"/>
                <w:sz w:val="14"/>
                <w:szCs w:val="14"/>
                <w:color w:val="auto"/>
              </w:rPr>
              <w:t>Discount Rates</w:t>
            </w:r>
          </w:p>
        </w:tc>
        <w:tc>
          <w:tcPr>
            <w:tcW w:w="1160" w:type="dxa"/>
            <w:vAlign w:val="bottom"/>
          </w:tcPr>
          <w:p>
            <w:pPr>
              <w:jc w:val="center"/>
              <w:spacing w:after="0"/>
              <w:rPr>
                <w:sz w:val="20"/>
                <w:szCs w:val="20"/>
                <w:color w:val="auto"/>
              </w:rPr>
            </w:pPr>
            <w:r>
              <w:rPr>
                <w:rFonts w:ascii="Arial" w:cs="Arial" w:eastAsia="Arial" w:hAnsi="Arial"/>
                <w:sz w:val="14"/>
                <w:szCs w:val="14"/>
                <w:color w:val="auto"/>
              </w:rPr>
              <w:t>10.0%</w:t>
            </w:r>
          </w:p>
        </w:tc>
        <w:tc>
          <w:tcPr>
            <w:tcW w:w="240" w:type="dxa"/>
            <w:vAlign w:val="bottom"/>
          </w:tcPr>
          <w:p>
            <w:pPr>
              <w:spacing w:after="0"/>
              <w:rPr>
                <w:sz w:val="24"/>
                <w:szCs w:val="24"/>
                <w:color w:val="auto"/>
              </w:rPr>
            </w:pPr>
          </w:p>
        </w:tc>
        <w:tc>
          <w:tcPr>
            <w:tcW w:w="1180" w:type="dxa"/>
            <w:vAlign w:val="bottom"/>
          </w:tcPr>
          <w:p>
            <w:pPr>
              <w:jc w:val="center"/>
              <w:spacing w:after="0"/>
              <w:rPr>
                <w:sz w:val="20"/>
                <w:szCs w:val="20"/>
                <w:color w:val="auto"/>
              </w:rPr>
            </w:pPr>
            <w:r>
              <w:rPr>
                <w:rFonts w:ascii="Arial" w:cs="Arial" w:eastAsia="Arial" w:hAnsi="Arial"/>
                <w:sz w:val="14"/>
                <w:szCs w:val="14"/>
                <w:color w:val="auto"/>
                <w:w w:val="95"/>
              </w:rPr>
              <w:t>20.0%</w:t>
            </w:r>
          </w:p>
        </w:tc>
        <w:tc>
          <w:tcPr>
            <w:tcW w:w="220" w:type="dxa"/>
            <w:vAlign w:val="bottom"/>
          </w:tcPr>
          <w:p>
            <w:pPr>
              <w:spacing w:after="0"/>
              <w:rPr>
                <w:sz w:val="24"/>
                <w:szCs w:val="24"/>
                <w:color w:val="auto"/>
              </w:rPr>
            </w:pPr>
          </w:p>
        </w:tc>
        <w:tc>
          <w:tcPr>
            <w:tcW w:w="1180" w:type="dxa"/>
            <w:vAlign w:val="bottom"/>
          </w:tcPr>
          <w:p>
            <w:pPr>
              <w:jc w:val="center"/>
              <w:spacing w:after="0"/>
              <w:rPr>
                <w:sz w:val="20"/>
                <w:szCs w:val="20"/>
                <w:color w:val="auto"/>
              </w:rPr>
            </w:pPr>
            <w:r>
              <w:rPr>
                <w:rFonts w:ascii="Arial" w:cs="Arial" w:eastAsia="Arial" w:hAnsi="Arial"/>
                <w:sz w:val="14"/>
                <w:szCs w:val="14"/>
                <w:color w:val="auto"/>
                <w:w w:val="95"/>
              </w:rPr>
              <w:t>13.5%</w:t>
            </w:r>
          </w:p>
        </w:tc>
        <w:tc>
          <w:tcPr>
            <w:tcW w:w="0" w:type="dxa"/>
            <w:vAlign w:val="bottom"/>
          </w:tcPr>
          <w:p>
            <w:pPr>
              <w:spacing w:after="0"/>
              <w:rPr>
                <w:sz w:val="1"/>
                <w:szCs w:val="1"/>
                <w:color w:val="auto"/>
              </w:rPr>
            </w:pPr>
          </w:p>
        </w:tc>
      </w:tr>
      <w:tr>
        <w:trPr>
          <w:trHeight w:val="273"/>
        </w:trPr>
        <w:tc>
          <w:tcPr>
            <w:tcW w:w="3540" w:type="dxa"/>
            <w:vAlign w:val="bottom"/>
            <w:gridSpan w:val="2"/>
          </w:tcPr>
          <w:p>
            <w:pPr>
              <w:ind w:left="20"/>
              <w:spacing w:after="0"/>
              <w:rPr>
                <w:sz w:val="20"/>
                <w:szCs w:val="20"/>
                <w:color w:val="auto"/>
              </w:rPr>
            </w:pPr>
            <w:r>
              <w:rPr>
                <w:rFonts w:ascii="Arial" w:cs="Arial" w:eastAsia="Arial" w:hAnsi="Arial"/>
                <w:sz w:val="14"/>
                <w:szCs w:val="14"/>
                <w:color w:val="auto"/>
              </w:rPr>
              <w:t xml:space="preserve">Discounted cash flow </w:t>
            </w:r>
            <w:r>
              <w:rPr>
                <w:rFonts w:ascii="Arial" w:cs="Arial" w:eastAsia="Arial" w:hAnsi="Arial"/>
                <w:sz w:val="17"/>
                <w:szCs w:val="17"/>
                <w:color w:val="auto"/>
                <w:vertAlign w:val="superscript"/>
              </w:rPr>
              <w:t>(1)</w:t>
            </w:r>
          </w:p>
        </w:tc>
        <w:tc>
          <w:tcPr>
            <w:tcW w:w="3560" w:type="dxa"/>
            <w:vAlign w:val="bottom"/>
            <w:gridSpan w:val="2"/>
          </w:tcPr>
          <w:p>
            <w:pPr>
              <w:ind w:left="20"/>
              <w:spacing w:after="0"/>
              <w:rPr>
                <w:sz w:val="20"/>
                <w:szCs w:val="20"/>
                <w:color w:val="auto"/>
              </w:rPr>
            </w:pPr>
            <w:r>
              <w:rPr>
                <w:rFonts w:ascii="Arial" w:cs="Arial" w:eastAsia="Arial" w:hAnsi="Arial"/>
                <w:sz w:val="14"/>
                <w:szCs w:val="14"/>
                <w:color w:val="auto"/>
              </w:rPr>
              <w:t>Constant default rates</w:t>
            </w:r>
          </w:p>
        </w:tc>
        <w:tc>
          <w:tcPr>
            <w:tcW w:w="1160" w:type="dxa"/>
            <w:vAlign w:val="bottom"/>
          </w:tcPr>
          <w:p>
            <w:pPr>
              <w:jc w:val="center"/>
              <w:spacing w:after="0"/>
              <w:rPr>
                <w:sz w:val="20"/>
                <w:szCs w:val="20"/>
                <w:color w:val="auto"/>
              </w:rPr>
            </w:pPr>
            <w:r>
              <w:rPr>
                <w:rFonts w:ascii="Arial" w:cs="Arial" w:eastAsia="Arial" w:hAnsi="Arial"/>
                <w:sz w:val="14"/>
                <w:szCs w:val="14"/>
                <w:color w:val="auto"/>
              </w:rPr>
              <w:t>2.0%</w:t>
            </w:r>
          </w:p>
        </w:tc>
        <w:tc>
          <w:tcPr>
            <w:tcW w:w="240" w:type="dxa"/>
            <w:vAlign w:val="bottom"/>
          </w:tcPr>
          <w:p>
            <w:pPr>
              <w:spacing w:after="0"/>
              <w:rPr>
                <w:sz w:val="23"/>
                <w:szCs w:val="23"/>
                <w:color w:val="auto"/>
              </w:rPr>
            </w:pPr>
          </w:p>
        </w:tc>
        <w:tc>
          <w:tcPr>
            <w:tcW w:w="1180" w:type="dxa"/>
            <w:vAlign w:val="bottom"/>
          </w:tcPr>
          <w:p>
            <w:pPr>
              <w:jc w:val="center"/>
              <w:spacing w:after="0"/>
              <w:rPr>
                <w:sz w:val="20"/>
                <w:szCs w:val="20"/>
                <w:color w:val="auto"/>
              </w:rPr>
            </w:pPr>
            <w:r>
              <w:rPr>
                <w:rFonts w:ascii="Arial" w:cs="Arial" w:eastAsia="Arial" w:hAnsi="Arial"/>
                <w:sz w:val="14"/>
                <w:szCs w:val="14"/>
                <w:color w:val="auto"/>
              </w:rPr>
              <w:t>2.0%</w:t>
            </w:r>
          </w:p>
        </w:tc>
        <w:tc>
          <w:tcPr>
            <w:tcW w:w="220" w:type="dxa"/>
            <w:vAlign w:val="bottom"/>
          </w:tcPr>
          <w:p>
            <w:pPr>
              <w:spacing w:after="0"/>
              <w:rPr>
                <w:sz w:val="23"/>
                <w:szCs w:val="23"/>
                <w:color w:val="auto"/>
              </w:rPr>
            </w:pPr>
          </w:p>
        </w:tc>
        <w:tc>
          <w:tcPr>
            <w:tcW w:w="1180" w:type="dxa"/>
            <w:vAlign w:val="bottom"/>
          </w:tcPr>
          <w:p>
            <w:pPr>
              <w:jc w:val="center"/>
              <w:spacing w:after="0"/>
              <w:rPr>
                <w:sz w:val="20"/>
                <w:szCs w:val="20"/>
                <w:color w:val="auto"/>
              </w:rPr>
            </w:pPr>
            <w:r>
              <w:rPr>
                <w:rFonts w:ascii="Arial" w:cs="Arial" w:eastAsia="Arial" w:hAnsi="Arial"/>
                <w:sz w:val="14"/>
                <w:szCs w:val="14"/>
                <w:color w:val="auto"/>
                <w:w w:val="93"/>
              </w:rPr>
              <w:t>2.0%</w:t>
            </w:r>
          </w:p>
        </w:tc>
        <w:tc>
          <w:tcPr>
            <w:tcW w:w="0" w:type="dxa"/>
            <w:vAlign w:val="bottom"/>
          </w:tcPr>
          <w:p>
            <w:pPr>
              <w:spacing w:after="0"/>
              <w:rPr>
                <w:sz w:val="1"/>
                <w:szCs w:val="1"/>
                <w:color w:val="auto"/>
              </w:rPr>
            </w:pPr>
          </w:p>
        </w:tc>
      </w:tr>
      <w:tr>
        <w:trPr>
          <w:trHeight w:val="243"/>
        </w:trPr>
        <w:tc>
          <w:tcPr>
            <w:tcW w:w="3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560" w:type="dxa"/>
            <w:vAlign w:val="bottom"/>
            <w:gridSpan w:val="2"/>
          </w:tcPr>
          <w:p>
            <w:pPr>
              <w:ind w:left="20"/>
              <w:spacing w:after="0"/>
              <w:rPr>
                <w:sz w:val="20"/>
                <w:szCs w:val="20"/>
                <w:color w:val="auto"/>
              </w:rPr>
            </w:pPr>
            <w:r>
              <w:rPr>
                <w:rFonts w:ascii="Arial" w:cs="Arial" w:eastAsia="Arial" w:hAnsi="Arial"/>
                <w:sz w:val="14"/>
                <w:szCs w:val="14"/>
                <w:color w:val="auto"/>
              </w:rPr>
              <w:t>Recovery rates</w:t>
            </w:r>
          </w:p>
        </w:tc>
        <w:tc>
          <w:tcPr>
            <w:tcW w:w="1160" w:type="dxa"/>
            <w:vAlign w:val="bottom"/>
          </w:tcPr>
          <w:p>
            <w:pPr>
              <w:jc w:val="center"/>
              <w:spacing w:after="0"/>
              <w:rPr>
                <w:sz w:val="20"/>
                <w:szCs w:val="20"/>
                <w:color w:val="auto"/>
              </w:rPr>
            </w:pPr>
            <w:r>
              <w:rPr>
                <w:rFonts w:ascii="Arial" w:cs="Arial" w:eastAsia="Arial" w:hAnsi="Arial"/>
                <w:sz w:val="14"/>
                <w:szCs w:val="14"/>
                <w:color w:val="auto"/>
              </w:rPr>
              <w:t>65.0%</w:t>
            </w:r>
          </w:p>
        </w:tc>
        <w:tc>
          <w:tcPr>
            <w:tcW w:w="240" w:type="dxa"/>
            <w:vAlign w:val="bottom"/>
          </w:tcPr>
          <w:p>
            <w:pPr>
              <w:spacing w:after="0"/>
              <w:rPr>
                <w:sz w:val="21"/>
                <w:szCs w:val="21"/>
                <w:color w:val="auto"/>
              </w:rPr>
            </w:pPr>
          </w:p>
        </w:tc>
        <w:tc>
          <w:tcPr>
            <w:tcW w:w="1180" w:type="dxa"/>
            <w:vAlign w:val="bottom"/>
          </w:tcPr>
          <w:p>
            <w:pPr>
              <w:jc w:val="center"/>
              <w:spacing w:after="0"/>
              <w:rPr>
                <w:sz w:val="20"/>
                <w:szCs w:val="20"/>
                <w:color w:val="auto"/>
              </w:rPr>
            </w:pPr>
            <w:r>
              <w:rPr>
                <w:rFonts w:ascii="Arial" w:cs="Arial" w:eastAsia="Arial" w:hAnsi="Arial"/>
                <w:sz w:val="14"/>
                <w:szCs w:val="14"/>
                <w:color w:val="auto"/>
                <w:w w:val="95"/>
              </w:rPr>
              <w:t>65.0%</w:t>
            </w:r>
          </w:p>
        </w:tc>
        <w:tc>
          <w:tcPr>
            <w:tcW w:w="220" w:type="dxa"/>
            <w:vAlign w:val="bottom"/>
          </w:tcPr>
          <w:p>
            <w:pPr>
              <w:spacing w:after="0"/>
              <w:rPr>
                <w:sz w:val="21"/>
                <w:szCs w:val="21"/>
                <w:color w:val="auto"/>
              </w:rPr>
            </w:pPr>
          </w:p>
        </w:tc>
        <w:tc>
          <w:tcPr>
            <w:tcW w:w="1180" w:type="dxa"/>
            <w:vAlign w:val="bottom"/>
          </w:tcPr>
          <w:p>
            <w:pPr>
              <w:jc w:val="center"/>
              <w:spacing w:after="0"/>
              <w:rPr>
                <w:sz w:val="20"/>
                <w:szCs w:val="20"/>
                <w:color w:val="auto"/>
              </w:rPr>
            </w:pPr>
            <w:r>
              <w:rPr>
                <w:rFonts w:ascii="Arial" w:cs="Arial" w:eastAsia="Arial" w:hAnsi="Arial"/>
                <w:sz w:val="14"/>
                <w:szCs w:val="14"/>
                <w:color w:val="auto"/>
                <w:w w:val="95"/>
              </w:rPr>
              <w:t>65.0%</w:t>
            </w:r>
          </w:p>
        </w:tc>
        <w:tc>
          <w:tcPr>
            <w:tcW w:w="0" w:type="dxa"/>
            <w:vAlign w:val="bottom"/>
          </w:tcPr>
          <w:p>
            <w:pPr>
              <w:spacing w:after="0"/>
              <w:rPr>
                <w:sz w:val="1"/>
                <w:szCs w:val="1"/>
                <w:color w:val="auto"/>
              </w:rPr>
            </w:pPr>
          </w:p>
        </w:tc>
      </w:tr>
      <w:tr>
        <w:trPr>
          <w:trHeight w:val="193"/>
        </w:trPr>
        <w:tc>
          <w:tcPr>
            <w:tcW w:w="3540" w:type="dxa"/>
            <w:vAlign w:val="bottom"/>
            <w:gridSpan w:val="2"/>
          </w:tcPr>
          <w:p>
            <w:pPr>
              <w:ind w:left="20"/>
              <w:spacing w:after="0"/>
              <w:rPr>
                <w:sz w:val="20"/>
                <w:szCs w:val="20"/>
                <w:color w:val="auto"/>
              </w:rPr>
            </w:pPr>
            <w:r>
              <w:rPr>
                <w:rFonts w:ascii="Arial" w:cs="Arial" w:eastAsia="Arial" w:hAnsi="Arial"/>
                <w:sz w:val="14"/>
                <w:szCs w:val="14"/>
                <w:color w:val="auto"/>
              </w:rPr>
              <w:t>Recent transaction price</w:t>
            </w:r>
          </w:p>
        </w:tc>
        <w:tc>
          <w:tcPr>
            <w:tcW w:w="3560" w:type="dxa"/>
            <w:vAlign w:val="bottom"/>
            <w:gridSpan w:val="2"/>
          </w:tcPr>
          <w:p>
            <w:pPr>
              <w:ind w:left="20"/>
              <w:spacing w:after="0"/>
              <w:rPr>
                <w:sz w:val="20"/>
                <w:szCs w:val="20"/>
                <w:color w:val="auto"/>
              </w:rPr>
            </w:pPr>
            <w:r>
              <w:rPr>
                <w:rFonts w:ascii="Arial" w:cs="Arial" w:eastAsia="Arial" w:hAnsi="Arial"/>
                <w:sz w:val="14"/>
                <w:szCs w:val="14"/>
                <w:color w:val="auto"/>
              </w:rPr>
              <w:t>N/A</w:t>
            </w:r>
          </w:p>
        </w:tc>
        <w:tc>
          <w:tcPr>
            <w:tcW w:w="1400" w:type="dxa"/>
            <w:vAlign w:val="bottom"/>
            <w:gridSpan w:val="2"/>
          </w:tcPr>
          <w:p>
            <w:pPr>
              <w:jc w:val="center"/>
              <w:ind w:right="240"/>
              <w:spacing w:after="0"/>
              <w:rPr>
                <w:sz w:val="20"/>
                <w:szCs w:val="20"/>
                <w:color w:val="auto"/>
              </w:rPr>
            </w:pPr>
            <w:r>
              <w:rPr>
                <w:rFonts w:ascii="Arial" w:cs="Arial" w:eastAsia="Arial" w:hAnsi="Arial"/>
                <w:sz w:val="14"/>
                <w:szCs w:val="14"/>
                <w:color w:val="auto"/>
              </w:rPr>
              <w:t>N/A</w:t>
            </w:r>
          </w:p>
        </w:tc>
        <w:tc>
          <w:tcPr>
            <w:tcW w:w="1400" w:type="dxa"/>
            <w:vAlign w:val="bottom"/>
            <w:gridSpan w:val="2"/>
          </w:tcPr>
          <w:p>
            <w:pPr>
              <w:jc w:val="center"/>
              <w:ind w:right="220"/>
              <w:spacing w:after="0"/>
              <w:rPr>
                <w:sz w:val="20"/>
                <w:szCs w:val="20"/>
                <w:color w:val="auto"/>
              </w:rPr>
            </w:pPr>
            <w:r>
              <w:rPr>
                <w:rFonts w:ascii="Arial" w:cs="Arial" w:eastAsia="Arial" w:hAnsi="Arial"/>
                <w:sz w:val="14"/>
                <w:szCs w:val="14"/>
                <w:color w:val="auto"/>
                <w:w w:val="94"/>
              </w:rPr>
              <w:t>N/A</w:t>
            </w:r>
          </w:p>
        </w:tc>
        <w:tc>
          <w:tcPr>
            <w:tcW w:w="1180" w:type="dxa"/>
            <w:vAlign w:val="bottom"/>
          </w:tcPr>
          <w:p>
            <w:pPr>
              <w:jc w:val="center"/>
              <w:spacing w:after="0"/>
              <w:rPr>
                <w:sz w:val="20"/>
                <w:szCs w:val="20"/>
                <w:color w:val="auto"/>
              </w:rPr>
            </w:pPr>
            <w:r>
              <w:rPr>
                <w:rFonts w:ascii="Arial" w:cs="Arial" w:eastAsia="Arial" w:hAnsi="Arial"/>
                <w:sz w:val="14"/>
                <w:szCs w:val="14"/>
                <w:color w:val="auto"/>
                <w:w w:val="94"/>
              </w:rPr>
              <w:t>N/A</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3"/>
          <w:szCs w:val="13"/>
          <w:color w:val="auto"/>
        </w:rPr>
        <w:t>(1) The fair value of the Company’s CLO beneficial interests held at December 31, 2025 was calculated using a discounted cash flow model specific to each investment structure.</w:t>
      </w:r>
    </w:p>
    <w:p>
      <w:pPr>
        <w:spacing w:after="0" w:line="156" w:lineRule="exact"/>
        <w:rPr>
          <w:sz w:val="20"/>
          <w:szCs w:val="20"/>
          <w:color w:val="auto"/>
        </w:rPr>
      </w:pPr>
    </w:p>
    <w:p>
      <w:pPr>
        <w:jc w:val="both"/>
        <w:ind w:right="120" w:firstLine="619"/>
        <w:spacing w:after="0" w:line="271" w:lineRule="auto"/>
        <w:rPr>
          <w:sz w:val="20"/>
          <w:szCs w:val="20"/>
          <w:color w:val="auto"/>
        </w:rPr>
      </w:pPr>
      <w:r>
        <w:rPr>
          <w:rFonts w:ascii="Arial" w:cs="Arial" w:eastAsia="Arial" w:hAnsi="Arial"/>
          <w:sz w:val="17"/>
          <w:szCs w:val="17"/>
          <w:color w:val="auto"/>
        </w:rPr>
        <w:t>The debt obligations of CLOs are nonrecourse to the Company and are backed by the investments held by the respective CLO. Assets of one CLO may not be used to satisfy the liabilities of another. As of December 31, 2025 and 2024, the fair value of CLO assets was $3.7 billion and $2.0 billion, respectively, and consisted of cash, corporate loans, corporate bonds and other securities.</w:t>
      </w:r>
    </w:p>
    <w:p>
      <w:pPr>
        <w:spacing w:after="0" w:line="214" w:lineRule="exact"/>
        <w:rPr>
          <w:sz w:val="20"/>
          <w:szCs w:val="20"/>
          <w:color w:val="auto"/>
        </w:rPr>
      </w:pPr>
    </w:p>
    <w:p>
      <w:pPr>
        <w:ind w:left="620"/>
        <w:spacing w:after="0"/>
        <w:rPr>
          <w:sz w:val="20"/>
          <w:szCs w:val="20"/>
          <w:color w:val="auto"/>
        </w:rPr>
      </w:pPr>
      <w:r>
        <w:rPr>
          <w:rFonts w:ascii="Arial" w:cs="Arial" w:eastAsia="Arial" w:hAnsi="Arial"/>
          <w:sz w:val="17"/>
          <w:szCs w:val="17"/>
          <w:color w:val="auto"/>
        </w:rPr>
        <w:t>As of December 31, 2025, future scheduled principal or par value payments with respect to the debt obligations of CLOs were as follows:</w:t>
      </w:r>
    </w:p>
    <w:p>
      <w:pPr>
        <w:spacing w:after="0" w:line="54" w:lineRule="exact"/>
        <w:rPr>
          <w:sz w:val="20"/>
          <w:szCs w:val="20"/>
          <w:color w:val="auto"/>
        </w:rPr>
      </w:pPr>
    </w:p>
    <w:tbl>
      <w:tblPr>
        <w:tblLayout w:type="fixed"/>
        <w:tblInd w:w="20" w:type="dxa"/>
        <w:tblCellMar>
          <w:top w:w="0" w:type="dxa"/>
          <w:left w:w="0" w:type="dxa"/>
          <w:bottom w:w="0" w:type="dxa"/>
          <w:right w:w="0" w:type="dxa"/>
        </w:tblCellMar>
      </w:tblPr>
      <w:tr>
        <w:trPr>
          <w:trHeight w:val="204"/>
        </w:trPr>
        <w:tc>
          <w:tcPr>
            <w:tcW w:w="9900" w:type="dxa"/>
            <w:vAlign w:val="bottom"/>
          </w:tcPr>
          <w:p>
            <w:pPr>
              <w:spacing w:after="0"/>
              <w:rPr>
                <w:sz w:val="20"/>
                <w:szCs w:val="20"/>
                <w:color w:val="auto"/>
              </w:rPr>
            </w:pPr>
            <w:r>
              <w:rPr>
                <w:rFonts w:ascii="Arial" w:cs="Arial" w:eastAsia="Arial" w:hAnsi="Arial"/>
                <w:sz w:val="15"/>
                <w:szCs w:val="15"/>
                <w:color w:val="auto"/>
              </w:rPr>
              <w:t>2026</w:t>
            </w:r>
          </w:p>
        </w:tc>
        <w:tc>
          <w:tcPr>
            <w:tcW w:w="340" w:type="dxa"/>
            <w:vAlign w:val="bottom"/>
          </w:tcPr>
          <w:p>
            <w:pPr>
              <w:jc w:val="right"/>
              <w:ind w:right="163"/>
              <w:spacing w:after="0"/>
              <w:rPr>
                <w:sz w:val="20"/>
                <w:szCs w:val="20"/>
                <w:color w:val="auto"/>
              </w:rPr>
            </w:pPr>
            <w:r>
              <w:rPr>
                <w:rFonts w:ascii="Arial" w:cs="Arial" w:eastAsia="Arial" w:hAnsi="Arial"/>
                <w:sz w:val="15"/>
                <w:szCs w:val="15"/>
                <w:color w:val="auto"/>
                <w:w w:val="95"/>
              </w:rPr>
              <w:t>$</w:t>
            </w:r>
          </w:p>
        </w:tc>
        <w:tc>
          <w:tcPr>
            <w:tcW w:w="980" w:type="dxa"/>
            <w:vAlign w:val="bottom"/>
          </w:tcPr>
          <w:p>
            <w:pPr>
              <w:jc w:val="right"/>
              <w:spacing w:after="0"/>
              <w:rPr>
                <w:sz w:val="20"/>
                <w:szCs w:val="20"/>
                <w:color w:val="auto"/>
              </w:rPr>
            </w:pPr>
            <w:r>
              <w:rPr>
                <w:rFonts w:ascii="Arial" w:cs="Arial" w:eastAsia="Arial" w:hAnsi="Arial"/>
                <w:sz w:val="15"/>
                <w:szCs w:val="15"/>
                <w:color w:val="auto"/>
              </w:rPr>
              <w:t>56,154</w:t>
            </w:r>
          </w:p>
        </w:tc>
      </w:tr>
      <w:tr>
        <w:trPr>
          <w:trHeight w:val="206"/>
        </w:trPr>
        <w:tc>
          <w:tcPr>
            <w:tcW w:w="9900" w:type="dxa"/>
            <w:vAlign w:val="bottom"/>
          </w:tcPr>
          <w:p>
            <w:pPr>
              <w:spacing w:after="0"/>
              <w:rPr>
                <w:sz w:val="20"/>
                <w:szCs w:val="20"/>
                <w:color w:val="auto"/>
              </w:rPr>
            </w:pPr>
            <w:r>
              <w:rPr>
                <w:rFonts w:ascii="Arial" w:cs="Arial" w:eastAsia="Arial" w:hAnsi="Arial"/>
                <w:sz w:val="15"/>
                <w:szCs w:val="15"/>
                <w:color w:val="auto"/>
              </w:rPr>
              <w:t>2027</w:t>
            </w:r>
          </w:p>
        </w:tc>
        <w:tc>
          <w:tcPr>
            <w:tcW w:w="3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06"/>
        </w:trPr>
        <w:tc>
          <w:tcPr>
            <w:tcW w:w="9900" w:type="dxa"/>
            <w:vAlign w:val="bottom"/>
          </w:tcPr>
          <w:p>
            <w:pPr>
              <w:spacing w:after="0"/>
              <w:rPr>
                <w:sz w:val="20"/>
                <w:szCs w:val="20"/>
                <w:color w:val="auto"/>
              </w:rPr>
            </w:pPr>
            <w:r>
              <w:rPr>
                <w:rFonts w:ascii="Arial" w:cs="Arial" w:eastAsia="Arial" w:hAnsi="Arial"/>
                <w:sz w:val="15"/>
                <w:szCs w:val="15"/>
                <w:color w:val="auto"/>
              </w:rPr>
              <w:t>2028</w:t>
            </w:r>
          </w:p>
        </w:tc>
        <w:tc>
          <w:tcPr>
            <w:tcW w:w="3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06"/>
        </w:trPr>
        <w:tc>
          <w:tcPr>
            <w:tcW w:w="9900" w:type="dxa"/>
            <w:vAlign w:val="bottom"/>
          </w:tcPr>
          <w:p>
            <w:pPr>
              <w:spacing w:after="0"/>
              <w:rPr>
                <w:sz w:val="20"/>
                <w:szCs w:val="20"/>
                <w:color w:val="auto"/>
              </w:rPr>
            </w:pPr>
            <w:r>
              <w:rPr>
                <w:rFonts w:ascii="Arial" w:cs="Arial" w:eastAsia="Arial" w:hAnsi="Arial"/>
                <w:sz w:val="15"/>
                <w:szCs w:val="15"/>
                <w:color w:val="auto"/>
              </w:rPr>
              <w:t>2029</w:t>
            </w:r>
          </w:p>
        </w:tc>
        <w:tc>
          <w:tcPr>
            <w:tcW w:w="3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06"/>
        </w:trPr>
        <w:tc>
          <w:tcPr>
            <w:tcW w:w="9900" w:type="dxa"/>
            <w:vAlign w:val="bottom"/>
          </w:tcPr>
          <w:p>
            <w:pPr>
              <w:spacing w:after="0"/>
              <w:rPr>
                <w:sz w:val="20"/>
                <w:szCs w:val="20"/>
                <w:color w:val="auto"/>
              </w:rPr>
            </w:pPr>
            <w:r>
              <w:rPr>
                <w:rFonts w:ascii="Arial" w:cs="Arial" w:eastAsia="Arial" w:hAnsi="Arial"/>
                <w:sz w:val="15"/>
                <w:szCs w:val="15"/>
                <w:color w:val="auto"/>
              </w:rPr>
              <w:t>2030</w:t>
            </w:r>
          </w:p>
        </w:tc>
        <w:tc>
          <w:tcPr>
            <w:tcW w:w="3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07"/>
        </w:trPr>
        <w:tc>
          <w:tcPr>
            <w:tcW w:w="9900" w:type="dxa"/>
            <w:vAlign w:val="bottom"/>
          </w:tcPr>
          <w:p>
            <w:pPr>
              <w:spacing w:after="0"/>
              <w:rPr>
                <w:sz w:val="20"/>
                <w:szCs w:val="20"/>
                <w:color w:val="auto"/>
              </w:rPr>
            </w:pPr>
            <w:r>
              <w:rPr>
                <w:rFonts w:ascii="Arial" w:cs="Arial" w:eastAsia="Arial" w:hAnsi="Arial"/>
                <w:sz w:val="15"/>
                <w:szCs w:val="15"/>
                <w:color w:val="auto"/>
              </w:rPr>
              <w:t>Thereafter</w:t>
            </w:r>
          </w:p>
        </w:tc>
        <w:tc>
          <w:tcPr>
            <w:tcW w:w="3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3,335,993</w:t>
            </w:r>
          </w:p>
        </w:tc>
      </w:tr>
      <w:tr>
        <w:trPr>
          <w:trHeight w:val="200"/>
        </w:trPr>
        <w:tc>
          <w:tcPr>
            <w:tcW w:w="9900" w:type="dxa"/>
            <w:vAlign w:val="bottom"/>
          </w:tcPr>
          <w:p>
            <w:pPr>
              <w:spacing w:after="0"/>
              <w:rPr>
                <w:sz w:val="20"/>
                <w:szCs w:val="20"/>
                <w:color w:val="auto"/>
              </w:rPr>
            </w:pPr>
            <w:r>
              <w:rPr>
                <w:rFonts w:ascii="Arial" w:cs="Arial" w:eastAsia="Arial" w:hAnsi="Arial"/>
                <w:sz w:val="15"/>
                <w:szCs w:val="15"/>
                <w:color w:val="auto"/>
              </w:rPr>
              <w:t>Total</w:t>
            </w:r>
          </w:p>
        </w:tc>
        <w:tc>
          <w:tcPr>
            <w:tcW w:w="340" w:type="dxa"/>
            <w:vAlign w:val="bottom"/>
            <w:tcBorders>
              <w:bottom w:val="single" w:sz="8" w:color="auto"/>
            </w:tcBorders>
          </w:tcPr>
          <w:p>
            <w:pPr>
              <w:jc w:val="right"/>
              <w:ind w:right="163"/>
              <w:spacing w:after="0"/>
              <w:rPr>
                <w:sz w:val="20"/>
                <w:szCs w:val="20"/>
                <w:color w:val="auto"/>
              </w:rPr>
            </w:pPr>
            <w:r>
              <w:rPr>
                <w:rFonts w:ascii="Arial" w:cs="Arial" w:eastAsia="Arial" w:hAnsi="Arial"/>
                <w:sz w:val="15"/>
                <w:szCs w:val="15"/>
                <w:color w:val="auto"/>
                <w:w w:val="95"/>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3,392,147</w:t>
            </w:r>
          </w:p>
        </w:tc>
      </w:tr>
      <w:tr>
        <w:trPr>
          <w:trHeight w:val="20"/>
        </w:trPr>
        <w:tc>
          <w:tcPr>
            <w:tcW w:w="99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33</w:t>
      </w:r>
    </w:p>
    <w:p>
      <w:pPr>
        <w:sectPr>
          <w:pgSz w:w="11900" w:h="16838" w:orient="portrait"/>
          <w:cols w:equalWidth="0" w:num="1">
            <w:col w:w="11240"/>
          </w:cols>
          <w:pgMar w:left="320" w:top="353" w:right="339" w:bottom="1440" w:gutter="0" w:footer="0" w:header="0"/>
        </w:sectPr>
      </w:pPr>
    </w:p>
    <w:bookmarkStart w:id="173" w:name="page174"/>
    <w:bookmarkEnd w:id="173"/>
    <w:p>
      <w:pPr>
        <w:jc w:val="center"/>
        <w:spacing w:after="0"/>
        <w:rPr>
          <w:sz w:val="20"/>
          <w:szCs w:val="20"/>
          <w:color w:val="auto"/>
        </w:rPr>
      </w:pPr>
      <w:r>
        <w:rPr>
          <w:rFonts w:ascii="Arial" w:cs="Arial" w:eastAsia="Arial" w:hAnsi="Arial"/>
          <w:sz w:val="17"/>
          <w:szCs w:val="17"/>
          <w:b w:val="1"/>
          <w:bCs w:val="1"/>
          <w:color w:val="auto"/>
        </w:rPr>
        <w:t>Oaktree Capital I, L.P.</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 (Continued)</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December 31, 2025</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 in thousands, except where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10. NON-CONTROLLING REDEEMABLE INTERESTS IN CONSOLIDATED FUNDS</w:t>
      </w:r>
    </w:p>
    <w:p>
      <w:pPr>
        <w:spacing w:after="0" w:line="168" w:lineRule="exact"/>
        <w:rPr>
          <w:sz w:val="20"/>
          <w:szCs w:val="20"/>
          <w:color w:val="auto"/>
        </w:rPr>
      </w:pPr>
    </w:p>
    <w:p>
      <w:pPr>
        <w:ind w:right="560" w:firstLine="619"/>
        <w:spacing w:after="0" w:line="276" w:lineRule="auto"/>
        <w:rPr>
          <w:sz w:val="20"/>
          <w:szCs w:val="20"/>
          <w:color w:val="auto"/>
        </w:rPr>
      </w:pPr>
      <w:r>
        <w:rPr>
          <w:rFonts w:ascii="Arial" w:cs="Arial" w:eastAsia="Arial" w:hAnsi="Arial"/>
          <w:sz w:val="17"/>
          <w:szCs w:val="17"/>
          <w:color w:val="auto"/>
        </w:rPr>
        <w:t>The following table sets forth a summary of changes in the non-controlling redeemable interests in the consolidated funds. Dividends reinvested and in-kind contributions or distributions are non-cash in nature and have been presented on a gross basis in the table below.</w:t>
      </w:r>
    </w:p>
    <w:tbl>
      <w:tblPr>
        <w:tblLayout w:type="fixed"/>
        <w:tblInd w:w="20" w:type="dxa"/>
        <w:tblCellMar>
          <w:top w:w="0" w:type="dxa"/>
          <w:left w:w="0" w:type="dxa"/>
          <w:bottom w:w="0" w:type="dxa"/>
          <w:right w:w="0" w:type="dxa"/>
        </w:tblCellMar>
      </w:tblPr>
      <w:tr>
        <w:trPr>
          <w:trHeight w:val="122"/>
        </w:trPr>
        <w:tc>
          <w:tcPr>
            <w:tcW w:w="79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0" w:type="dxa"/>
            <w:vAlign w:val="bottom"/>
            <w:gridSpan w:val="2"/>
          </w:tcPr>
          <w:p>
            <w:pPr>
              <w:jc w:val="center"/>
              <w:ind w:right="320"/>
              <w:spacing w:after="0" w:line="122" w:lineRule="exact"/>
              <w:rPr>
                <w:sz w:val="20"/>
                <w:szCs w:val="20"/>
                <w:color w:val="auto"/>
              </w:rPr>
            </w:pPr>
            <w:r>
              <w:rPr>
                <w:rFonts w:ascii="Arial" w:cs="Arial" w:eastAsia="Arial" w:hAnsi="Arial"/>
                <w:sz w:val="12"/>
                <w:szCs w:val="12"/>
                <w:b w:val="1"/>
                <w:bCs w:val="1"/>
                <w:color w:val="auto"/>
                <w:w w:val="98"/>
              </w:rPr>
              <w:t>Twelve months ended</w:t>
            </w:r>
          </w:p>
        </w:tc>
        <w:tc>
          <w:tcPr>
            <w:tcW w:w="160" w:type="dxa"/>
            <w:vAlign w:val="bottom"/>
          </w:tcPr>
          <w:p>
            <w:pPr>
              <w:spacing w:after="0"/>
              <w:rPr>
                <w:sz w:val="10"/>
                <w:szCs w:val="10"/>
                <w:color w:val="auto"/>
              </w:rPr>
            </w:pPr>
          </w:p>
        </w:tc>
        <w:tc>
          <w:tcPr>
            <w:tcW w:w="1360" w:type="dxa"/>
            <w:vAlign w:val="bottom"/>
          </w:tcPr>
          <w:p>
            <w:pPr>
              <w:jc w:val="right"/>
              <w:ind w:right="166"/>
              <w:spacing w:after="0" w:line="122" w:lineRule="exact"/>
              <w:rPr>
                <w:sz w:val="20"/>
                <w:szCs w:val="20"/>
                <w:color w:val="auto"/>
              </w:rPr>
            </w:pPr>
            <w:r>
              <w:rPr>
                <w:rFonts w:ascii="Arial" w:cs="Arial" w:eastAsia="Arial" w:hAnsi="Arial"/>
                <w:sz w:val="12"/>
                <w:szCs w:val="12"/>
                <w:b w:val="1"/>
                <w:bCs w:val="1"/>
                <w:color w:val="auto"/>
              </w:rPr>
              <w:t>Six months ended</w:t>
            </w:r>
          </w:p>
        </w:tc>
      </w:tr>
      <w:tr>
        <w:trPr>
          <w:trHeight w:val="173"/>
        </w:trPr>
        <w:tc>
          <w:tcPr>
            <w:tcW w:w="7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0" w:type="dxa"/>
            <w:vAlign w:val="bottom"/>
            <w:gridSpan w:val="2"/>
          </w:tcPr>
          <w:p>
            <w:pPr>
              <w:jc w:val="center"/>
              <w:ind w:right="320"/>
              <w:spacing w:after="0"/>
              <w:rPr>
                <w:sz w:val="20"/>
                <w:szCs w:val="20"/>
                <w:color w:val="auto"/>
              </w:rPr>
            </w:pPr>
            <w:r>
              <w:rPr>
                <w:rFonts w:ascii="Arial" w:cs="Arial" w:eastAsia="Arial" w:hAnsi="Arial"/>
                <w:sz w:val="12"/>
                <w:szCs w:val="12"/>
                <w:b w:val="1"/>
                <w:bCs w:val="1"/>
                <w:color w:val="auto"/>
                <w:w w:val="99"/>
              </w:rPr>
              <w:t>December 31, 2025</w:t>
            </w:r>
          </w:p>
        </w:tc>
        <w:tc>
          <w:tcPr>
            <w:tcW w:w="160" w:type="dxa"/>
            <w:vAlign w:val="bottom"/>
          </w:tcPr>
          <w:p>
            <w:pPr>
              <w:spacing w:after="0"/>
              <w:rPr>
                <w:sz w:val="15"/>
                <w:szCs w:val="15"/>
                <w:color w:val="auto"/>
              </w:rPr>
            </w:pPr>
          </w:p>
        </w:tc>
        <w:tc>
          <w:tcPr>
            <w:tcW w:w="1360" w:type="dxa"/>
            <w:vAlign w:val="bottom"/>
          </w:tcPr>
          <w:p>
            <w:pPr>
              <w:jc w:val="right"/>
              <w:ind w:right="146"/>
              <w:spacing w:after="0"/>
              <w:rPr>
                <w:sz w:val="20"/>
                <w:szCs w:val="20"/>
                <w:color w:val="auto"/>
              </w:rPr>
            </w:pPr>
            <w:r>
              <w:rPr>
                <w:rFonts w:ascii="Arial" w:cs="Arial" w:eastAsia="Arial" w:hAnsi="Arial"/>
                <w:sz w:val="12"/>
                <w:szCs w:val="12"/>
                <w:b w:val="1"/>
                <w:bCs w:val="1"/>
                <w:color w:val="auto"/>
              </w:rPr>
              <w:t>December 31, 2024</w:t>
            </w:r>
          </w:p>
        </w:tc>
      </w:tr>
      <w:tr>
        <w:trPr>
          <w:trHeight w:val="295"/>
        </w:trPr>
        <w:tc>
          <w:tcPr>
            <w:tcW w:w="7980" w:type="dxa"/>
            <w:vAlign w:val="bottom"/>
          </w:tcPr>
          <w:p>
            <w:pPr>
              <w:spacing w:after="0"/>
              <w:rPr>
                <w:sz w:val="20"/>
                <w:szCs w:val="20"/>
                <w:color w:val="auto"/>
              </w:rPr>
            </w:pPr>
            <w:r>
              <w:rPr>
                <w:rFonts w:ascii="Arial" w:cs="Arial" w:eastAsia="Arial" w:hAnsi="Arial"/>
                <w:sz w:val="15"/>
                <w:szCs w:val="15"/>
                <w:color w:val="auto"/>
              </w:rPr>
              <w:t>Beginning balance</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400" w:type="dxa"/>
            <w:vAlign w:val="bottom"/>
            <w:tcBorders>
              <w:top w:val="single" w:sz="8" w:color="auto"/>
            </w:tcBorders>
          </w:tcPr>
          <w:p>
            <w:pPr>
              <w:jc w:val="right"/>
              <w:ind w:right="6"/>
              <w:spacing w:after="0"/>
              <w:rPr>
                <w:sz w:val="20"/>
                <w:szCs w:val="20"/>
                <w:color w:val="auto"/>
              </w:rPr>
            </w:pPr>
            <w:r>
              <w:rPr>
                <w:rFonts w:ascii="Arial" w:cs="Arial" w:eastAsia="Arial" w:hAnsi="Arial"/>
                <w:sz w:val="15"/>
                <w:szCs w:val="15"/>
                <w:color w:val="auto"/>
              </w:rPr>
              <w:t>545,198</w:t>
            </w:r>
          </w:p>
        </w:tc>
        <w:tc>
          <w:tcPr>
            <w:tcW w:w="200" w:type="dxa"/>
            <w:vAlign w:val="bottom"/>
          </w:tcPr>
          <w:p>
            <w:pPr>
              <w:spacing w:after="0"/>
              <w:rPr>
                <w:sz w:val="24"/>
                <w:szCs w:val="24"/>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339,111</w:t>
            </w:r>
          </w:p>
        </w:tc>
      </w:tr>
      <w:tr>
        <w:trPr>
          <w:trHeight w:val="206"/>
        </w:trPr>
        <w:tc>
          <w:tcPr>
            <w:tcW w:w="7980" w:type="dxa"/>
            <w:vAlign w:val="bottom"/>
          </w:tcPr>
          <w:p>
            <w:pPr>
              <w:ind w:left="300"/>
              <w:spacing w:after="0"/>
              <w:rPr>
                <w:sz w:val="20"/>
                <w:szCs w:val="20"/>
                <w:color w:val="auto"/>
              </w:rPr>
            </w:pPr>
            <w:r>
              <w:rPr>
                <w:rFonts w:ascii="Arial" w:cs="Arial" w:eastAsia="Arial" w:hAnsi="Arial"/>
                <w:sz w:val="15"/>
                <w:szCs w:val="15"/>
                <w:color w:val="auto"/>
              </w:rPr>
              <w:t>Consolidation of funds</w:t>
            </w:r>
          </w:p>
        </w:tc>
        <w:tc>
          <w:tcPr>
            <w:tcW w:w="120" w:type="dxa"/>
            <w:vAlign w:val="bottom"/>
          </w:tcPr>
          <w:p>
            <w:pPr>
              <w:spacing w:after="0"/>
              <w:rPr>
                <w:sz w:val="17"/>
                <w:szCs w:val="17"/>
                <w:color w:val="auto"/>
              </w:rPr>
            </w:pPr>
          </w:p>
        </w:tc>
        <w:tc>
          <w:tcPr>
            <w:tcW w:w="1400" w:type="dxa"/>
            <w:vAlign w:val="bottom"/>
          </w:tcPr>
          <w:p>
            <w:pPr>
              <w:jc w:val="right"/>
              <w:ind w:right="6"/>
              <w:spacing w:after="0"/>
              <w:rPr>
                <w:sz w:val="20"/>
                <w:szCs w:val="20"/>
                <w:color w:val="auto"/>
              </w:rPr>
            </w:pPr>
            <w:r>
              <w:rPr>
                <w:rFonts w:ascii="Arial" w:cs="Arial" w:eastAsia="Arial" w:hAnsi="Arial"/>
                <w:sz w:val="15"/>
                <w:szCs w:val="15"/>
                <w:color w:val="auto"/>
              </w:rPr>
              <w:t>8,384</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5"/>
                <w:szCs w:val="15"/>
                <w:color w:val="auto"/>
              </w:rPr>
              <w:t>9,115</w:t>
            </w:r>
          </w:p>
        </w:tc>
      </w:tr>
      <w:tr>
        <w:trPr>
          <w:trHeight w:val="206"/>
        </w:trPr>
        <w:tc>
          <w:tcPr>
            <w:tcW w:w="7980" w:type="dxa"/>
            <w:vAlign w:val="bottom"/>
          </w:tcPr>
          <w:p>
            <w:pPr>
              <w:ind w:left="300"/>
              <w:spacing w:after="0"/>
              <w:rPr>
                <w:sz w:val="20"/>
                <w:szCs w:val="20"/>
                <w:color w:val="auto"/>
              </w:rPr>
            </w:pPr>
            <w:r>
              <w:rPr>
                <w:rFonts w:ascii="Arial" w:cs="Arial" w:eastAsia="Arial" w:hAnsi="Arial"/>
                <w:sz w:val="15"/>
                <w:szCs w:val="15"/>
                <w:color w:val="auto"/>
              </w:rPr>
              <w:t>Deconsolidation of funds</w:t>
            </w:r>
          </w:p>
        </w:tc>
        <w:tc>
          <w:tcPr>
            <w:tcW w:w="120" w:type="dxa"/>
            <w:vAlign w:val="bottom"/>
          </w:tcPr>
          <w:p>
            <w:pPr>
              <w:spacing w:after="0"/>
              <w:rPr>
                <w:sz w:val="17"/>
                <w:szCs w:val="17"/>
                <w:color w:val="auto"/>
              </w:rPr>
            </w:pPr>
          </w:p>
        </w:tc>
        <w:tc>
          <w:tcPr>
            <w:tcW w:w="160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5"/>
                <w:szCs w:val="15"/>
                <w:color w:val="auto"/>
              </w:rPr>
              <w:t>(931)</w:t>
            </w:r>
          </w:p>
        </w:tc>
      </w:tr>
      <w:tr>
        <w:trPr>
          <w:trHeight w:val="206"/>
        </w:trPr>
        <w:tc>
          <w:tcPr>
            <w:tcW w:w="7980" w:type="dxa"/>
            <w:vAlign w:val="bottom"/>
          </w:tcPr>
          <w:p>
            <w:pPr>
              <w:ind w:left="300"/>
              <w:spacing w:after="0"/>
              <w:rPr>
                <w:sz w:val="20"/>
                <w:szCs w:val="20"/>
                <w:color w:val="auto"/>
              </w:rPr>
            </w:pPr>
            <w:r>
              <w:rPr>
                <w:rFonts w:ascii="Arial" w:cs="Arial" w:eastAsia="Arial" w:hAnsi="Arial"/>
                <w:sz w:val="15"/>
                <w:szCs w:val="15"/>
                <w:color w:val="auto"/>
              </w:rPr>
              <w:t>Contributions</w:t>
            </w:r>
          </w:p>
        </w:tc>
        <w:tc>
          <w:tcPr>
            <w:tcW w:w="120" w:type="dxa"/>
            <w:vAlign w:val="bottom"/>
          </w:tcPr>
          <w:p>
            <w:pPr>
              <w:spacing w:after="0"/>
              <w:rPr>
                <w:sz w:val="17"/>
                <w:szCs w:val="17"/>
                <w:color w:val="auto"/>
              </w:rPr>
            </w:pPr>
          </w:p>
        </w:tc>
        <w:tc>
          <w:tcPr>
            <w:tcW w:w="1400" w:type="dxa"/>
            <w:vAlign w:val="bottom"/>
          </w:tcPr>
          <w:p>
            <w:pPr>
              <w:jc w:val="right"/>
              <w:ind w:right="6"/>
              <w:spacing w:after="0"/>
              <w:rPr>
                <w:sz w:val="20"/>
                <w:szCs w:val="20"/>
                <w:color w:val="auto"/>
              </w:rPr>
            </w:pPr>
            <w:r>
              <w:rPr>
                <w:rFonts w:ascii="Arial" w:cs="Arial" w:eastAsia="Arial" w:hAnsi="Arial"/>
                <w:sz w:val="15"/>
                <w:szCs w:val="15"/>
                <w:color w:val="auto"/>
              </w:rPr>
              <w:t>783,639</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5"/>
                <w:szCs w:val="15"/>
                <w:color w:val="auto"/>
              </w:rPr>
              <w:t>294,401</w:t>
            </w:r>
          </w:p>
        </w:tc>
      </w:tr>
      <w:tr>
        <w:trPr>
          <w:trHeight w:val="206"/>
        </w:trPr>
        <w:tc>
          <w:tcPr>
            <w:tcW w:w="7980" w:type="dxa"/>
            <w:vAlign w:val="bottom"/>
          </w:tcPr>
          <w:p>
            <w:pPr>
              <w:ind w:left="300"/>
              <w:spacing w:after="0"/>
              <w:rPr>
                <w:sz w:val="20"/>
                <w:szCs w:val="20"/>
                <w:color w:val="auto"/>
              </w:rPr>
            </w:pPr>
            <w:r>
              <w:rPr>
                <w:rFonts w:ascii="Arial" w:cs="Arial" w:eastAsia="Arial" w:hAnsi="Arial"/>
                <w:sz w:val="15"/>
                <w:szCs w:val="15"/>
                <w:color w:val="auto"/>
              </w:rPr>
              <w:t>Distributions</w:t>
            </w:r>
          </w:p>
        </w:tc>
        <w:tc>
          <w:tcPr>
            <w:tcW w:w="12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5"/>
                <w:szCs w:val="15"/>
                <w:color w:val="auto"/>
              </w:rPr>
              <w:t>(277,369)</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5"/>
                <w:szCs w:val="15"/>
                <w:color w:val="auto"/>
              </w:rPr>
              <w:t>(50,386)</w:t>
            </w:r>
          </w:p>
        </w:tc>
      </w:tr>
      <w:tr>
        <w:trPr>
          <w:trHeight w:val="206"/>
        </w:trPr>
        <w:tc>
          <w:tcPr>
            <w:tcW w:w="7980" w:type="dxa"/>
            <w:vAlign w:val="bottom"/>
          </w:tcPr>
          <w:p>
            <w:pPr>
              <w:ind w:left="300"/>
              <w:spacing w:after="0"/>
              <w:rPr>
                <w:sz w:val="20"/>
                <w:szCs w:val="20"/>
                <w:color w:val="auto"/>
              </w:rPr>
            </w:pPr>
            <w:r>
              <w:rPr>
                <w:rFonts w:ascii="Arial" w:cs="Arial" w:eastAsia="Arial" w:hAnsi="Arial"/>
                <w:sz w:val="15"/>
                <w:szCs w:val="15"/>
                <w:color w:val="auto"/>
              </w:rPr>
              <w:t>Net income</w:t>
            </w:r>
          </w:p>
        </w:tc>
        <w:tc>
          <w:tcPr>
            <w:tcW w:w="120" w:type="dxa"/>
            <w:vAlign w:val="bottom"/>
          </w:tcPr>
          <w:p>
            <w:pPr>
              <w:spacing w:after="0"/>
              <w:rPr>
                <w:sz w:val="17"/>
                <w:szCs w:val="17"/>
                <w:color w:val="auto"/>
              </w:rPr>
            </w:pPr>
          </w:p>
        </w:tc>
        <w:tc>
          <w:tcPr>
            <w:tcW w:w="1400" w:type="dxa"/>
            <w:vAlign w:val="bottom"/>
          </w:tcPr>
          <w:p>
            <w:pPr>
              <w:jc w:val="right"/>
              <w:ind w:right="6"/>
              <w:spacing w:after="0"/>
              <w:rPr>
                <w:sz w:val="20"/>
                <w:szCs w:val="20"/>
                <w:color w:val="auto"/>
              </w:rPr>
            </w:pPr>
            <w:r>
              <w:rPr>
                <w:rFonts w:ascii="Arial" w:cs="Arial" w:eastAsia="Arial" w:hAnsi="Arial"/>
                <w:sz w:val="15"/>
                <w:szCs w:val="15"/>
                <w:color w:val="auto"/>
              </w:rPr>
              <w:t>40,396</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5"/>
                <w:szCs w:val="15"/>
                <w:color w:val="auto"/>
              </w:rPr>
              <w:t>18,077</w:t>
            </w:r>
          </w:p>
        </w:tc>
      </w:tr>
      <w:tr>
        <w:trPr>
          <w:trHeight w:val="206"/>
        </w:trPr>
        <w:tc>
          <w:tcPr>
            <w:tcW w:w="7980" w:type="dxa"/>
            <w:vAlign w:val="bottom"/>
          </w:tcPr>
          <w:p>
            <w:pPr>
              <w:ind w:left="300"/>
              <w:spacing w:after="0"/>
              <w:rPr>
                <w:sz w:val="20"/>
                <w:szCs w:val="20"/>
                <w:color w:val="auto"/>
              </w:rPr>
            </w:pPr>
            <w:r>
              <w:rPr>
                <w:rFonts w:ascii="Arial" w:cs="Arial" w:eastAsia="Arial" w:hAnsi="Arial"/>
                <w:sz w:val="15"/>
                <w:szCs w:val="15"/>
                <w:color w:val="auto"/>
              </w:rPr>
              <w:t>Change in distributions payable and other</w:t>
            </w:r>
          </w:p>
        </w:tc>
        <w:tc>
          <w:tcPr>
            <w:tcW w:w="120" w:type="dxa"/>
            <w:vAlign w:val="bottom"/>
          </w:tcPr>
          <w:p>
            <w:pPr>
              <w:spacing w:after="0"/>
              <w:rPr>
                <w:sz w:val="17"/>
                <w:szCs w:val="17"/>
                <w:color w:val="auto"/>
              </w:rPr>
            </w:pPr>
          </w:p>
        </w:tc>
        <w:tc>
          <w:tcPr>
            <w:tcW w:w="160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5"/>
                <w:szCs w:val="15"/>
                <w:color w:val="auto"/>
              </w:rPr>
              <w:t>(64,189)</w:t>
            </w:r>
          </w:p>
        </w:tc>
      </w:tr>
      <w:tr>
        <w:trPr>
          <w:trHeight w:val="206"/>
        </w:trPr>
        <w:tc>
          <w:tcPr>
            <w:tcW w:w="7980" w:type="dxa"/>
            <w:vAlign w:val="bottom"/>
          </w:tcPr>
          <w:p>
            <w:pPr>
              <w:ind w:left="300"/>
              <w:spacing w:after="0"/>
              <w:rPr>
                <w:sz w:val="20"/>
                <w:szCs w:val="20"/>
                <w:color w:val="auto"/>
              </w:rPr>
            </w:pPr>
            <w:r>
              <w:rPr>
                <w:rFonts w:ascii="Arial" w:cs="Arial" w:eastAsia="Arial" w:hAnsi="Arial"/>
                <w:sz w:val="15"/>
                <w:szCs w:val="15"/>
                <w:color w:val="auto"/>
              </w:rPr>
              <w:t>Foreign currency translation and other, net</w:t>
            </w:r>
          </w:p>
        </w:tc>
        <w:tc>
          <w:tcPr>
            <w:tcW w:w="1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rPr>
              <w:t>7,355</w:t>
            </w:r>
          </w:p>
        </w:tc>
        <w:tc>
          <w:tcPr>
            <w:tcW w:w="2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r>
      <w:tr>
        <w:trPr>
          <w:trHeight w:val="200"/>
        </w:trPr>
        <w:tc>
          <w:tcPr>
            <w:tcW w:w="7980" w:type="dxa"/>
            <w:vAlign w:val="bottom"/>
          </w:tcPr>
          <w:p>
            <w:pPr>
              <w:spacing w:after="0"/>
              <w:rPr>
                <w:sz w:val="20"/>
                <w:szCs w:val="20"/>
                <w:color w:val="auto"/>
              </w:rPr>
            </w:pPr>
            <w:r>
              <w:rPr>
                <w:rFonts w:ascii="Arial" w:cs="Arial" w:eastAsia="Arial" w:hAnsi="Arial"/>
                <w:sz w:val="15"/>
                <w:szCs w:val="15"/>
                <w:color w:val="auto"/>
              </w:rPr>
              <w:t>Ending balance</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40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rPr>
              <w:t>1,107,603</w:t>
            </w:r>
          </w:p>
        </w:tc>
        <w:tc>
          <w:tcPr>
            <w:tcW w:w="20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545,198</w:t>
            </w:r>
          </w:p>
        </w:tc>
      </w:tr>
      <w:tr>
        <w:trPr>
          <w:trHeight w:val="20"/>
        </w:trPr>
        <w:tc>
          <w:tcPr>
            <w:tcW w:w="79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32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11. COMMITMENTS AND CONTINGENCIES</w:t>
      </w:r>
    </w:p>
    <w:p>
      <w:pPr>
        <w:spacing w:after="0" w:line="168" w:lineRule="exact"/>
        <w:rPr>
          <w:sz w:val="20"/>
          <w:szCs w:val="20"/>
          <w:color w:val="auto"/>
        </w:rPr>
      </w:pPr>
    </w:p>
    <w:p>
      <w:pPr>
        <w:ind w:right="40" w:firstLine="619"/>
        <w:spacing w:after="0" w:line="271" w:lineRule="auto"/>
        <w:rPr>
          <w:sz w:val="20"/>
          <w:szCs w:val="20"/>
          <w:color w:val="auto"/>
        </w:rPr>
      </w:pPr>
      <w:r>
        <w:rPr>
          <w:rFonts w:ascii="Arial" w:cs="Arial" w:eastAsia="Arial" w:hAnsi="Arial"/>
          <w:sz w:val="17"/>
          <w:szCs w:val="17"/>
          <w:color w:val="auto"/>
        </w:rPr>
        <w:t>In the normal course of business, Oaktree enters into contracts that contain certain representations, warranties and indemnifications. The Company’s exposure under these arrangements would involve future claims that have not yet been asserted. Inasmuch as no such claims currently exist or are expected to arise, the Company has not accrued any liability in connection with these indemnifications.</w:t>
      </w:r>
    </w:p>
    <w:p>
      <w:pPr>
        <w:spacing w:after="0" w:line="10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Legal Actions</w:t>
      </w:r>
    </w:p>
    <w:p>
      <w:pPr>
        <w:spacing w:after="0" w:line="180" w:lineRule="exact"/>
        <w:rPr>
          <w:sz w:val="20"/>
          <w:szCs w:val="20"/>
          <w:color w:val="auto"/>
        </w:rPr>
      </w:pPr>
    </w:p>
    <w:p>
      <w:pPr>
        <w:ind w:right="200" w:firstLine="619"/>
        <w:spacing w:after="0" w:line="260" w:lineRule="auto"/>
        <w:rPr>
          <w:sz w:val="20"/>
          <w:szCs w:val="20"/>
          <w:color w:val="auto"/>
        </w:rPr>
      </w:pPr>
      <w:r>
        <w:rPr>
          <w:rFonts w:ascii="Arial" w:cs="Arial" w:eastAsia="Arial" w:hAnsi="Arial"/>
          <w:sz w:val="17"/>
          <w:szCs w:val="17"/>
          <w:color w:val="auto"/>
        </w:rPr>
        <w:t>Oaktree, its affiliates, investment professionals, and portfolio companies are routinely involved in litigation and other legal actions in the ordinary course of their business and investing activities. In addition, Oaktree is subject to the authority of a number of U.S. and non-U.S. regulators, including the SEC and the Financial Industry Regulatory Authority, and those authorities periodically conduct examinations of Oaktree and make other inquiries that may result in the commencement of regulatory proceedings against Oaktree and its personnel. Oaktree is currently not subject to any pending actions or regulatory proceedings that either individually or in the aggregate are expected to have a material impact on its consolidated financial statements.</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Incentive Income</w:t>
      </w:r>
    </w:p>
    <w:p>
      <w:pPr>
        <w:spacing w:after="0" w:line="90" w:lineRule="exact"/>
        <w:rPr>
          <w:sz w:val="20"/>
          <w:szCs w:val="20"/>
          <w:color w:val="auto"/>
        </w:rPr>
      </w:pPr>
    </w:p>
    <w:p>
      <w:pPr>
        <w:ind w:right="20" w:firstLine="619"/>
        <w:spacing w:after="0" w:line="260" w:lineRule="auto"/>
        <w:rPr>
          <w:sz w:val="20"/>
          <w:szCs w:val="20"/>
          <w:color w:val="auto"/>
        </w:rPr>
      </w:pPr>
      <w:r>
        <w:rPr>
          <w:rFonts w:ascii="Arial" w:cs="Arial" w:eastAsia="Arial" w:hAnsi="Arial"/>
          <w:sz w:val="17"/>
          <w:szCs w:val="17"/>
          <w:color w:val="auto"/>
        </w:rPr>
        <w:t>In addition to the incentive income recognized by the Company, certain of its funds have amounts recorded as potentially allocable to the Company as its share of potential future incentive income, based on each fund’s net asset value. Inasmuch as this incentive income is contingent upon future investment activity and other factors, it is not recognized by the Company as revenue until it is probable that a significant reversal will not occur. As of December 31, 2025 and 2024, the aggregate of such amounts recorded at the fund level in excess of incentive income recognized by the Company was $1.6 billion and $1.7 billion, respectively, for which related direct incentive income compensation expense was estimated to be $0.6 billion and $0.7 billion, respectively.</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34</w:t>
      </w:r>
    </w:p>
    <w:p>
      <w:pPr>
        <w:sectPr>
          <w:pgSz w:w="11900" w:h="16838" w:orient="portrait"/>
          <w:cols w:equalWidth="0" w:num="1">
            <w:col w:w="11240"/>
          </w:cols>
          <w:pgMar w:left="320" w:top="353" w:right="339" w:bottom="1440" w:gutter="0" w:footer="0" w:header="0"/>
        </w:sectPr>
      </w:pPr>
    </w:p>
    <w:bookmarkStart w:id="174" w:name="page175"/>
    <w:bookmarkEnd w:id="174"/>
    <w:p>
      <w:pPr>
        <w:jc w:val="center"/>
        <w:ind w:right="-39"/>
        <w:spacing w:after="0"/>
        <w:rPr>
          <w:sz w:val="20"/>
          <w:szCs w:val="20"/>
          <w:color w:val="auto"/>
        </w:rPr>
      </w:pPr>
      <w:r>
        <w:rPr>
          <w:rFonts w:ascii="Arial" w:cs="Arial" w:eastAsia="Arial" w:hAnsi="Arial"/>
          <w:sz w:val="17"/>
          <w:szCs w:val="17"/>
          <w:b w:val="1"/>
          <w:bCs w:val="1"/>
          <w:color w:val="auto"/>
        </w:rPr>
        <w:t>Oaktree Capital I, L.P.</w:t>
      </w:r>
    </w:p>
    <w:p>
      <w:pPr>
        <w:spacing w:after="0" w:line="16"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Notes to Consolidated Financial Statements — (Continued)</w:t>
      </w:r>
    </w:p>
    <w:p>
      <w:pPr>
        <w:spacing w:after="0" w:line="11"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December 31, 2025</w:t>
      </w:r>
    </w:p>
    <w:p>
      <w:pPr>
        <w:spacing w:after="0" w:line="11"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 in thousands, except where noted)</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Commitments to Funds</w:t>
      </w:r>
    </w:p>
    <w:p>
      <w:pPr>
        <w:spacing w:after="0" w:line="168" w:lineRule="exact"/>
        <w:rPr>
          <w:sz w:val="20"/>
          <w:szCs w:val="20"/>
          <w:color w:val="auto"/>
        </w:rPr>
      </w:pPr>
    </w:p>
    <w:p>
      <w:pPr>
        <w:ind w:firstLine="619"/>
        <w:spacing w:after="0" w:line="290" w:lineRule="auto"/>
        <w:rPr>
          <w:sz w:val="20"/>
          <w:szCs w:val="20"/>
          <w:color w:val="auto"/>
        </w:rPr>
      </w:pPr>
      <w:r>
        <w:rPr>
          <w:rFonts w:ascii="Arial" w:cs="Arial" w:eastAsia="Arial" w:hAnsi="Arial"/>
          <w:sz w:val="17"/>
          <w:szCs w:val="17"/>
          <w:color w:val="auto"/>
        </w:rPr>
        <w:t>As of December 31, 2025 and 2024, the Company, generally in its capacity as general partner, had undrawn capital commitments of $445.3 million and $366.4 million, respectively, including commitments to both unconsolidated and consolidated funds.</w:t>
      </w:r>
    </w:p>
    <w:p>
      <w:pPr>
        <w:spacing w:after="0" w:line="9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Investment Commitments of the Consolidated Funds</w:t>
      </w:r>
    </w:p>
    <w:p>
      <w:pPr>
        <w:spacing w:after="0" w:line="168" w:lineRule="exact"/>
        <w:rPr>
          <w:sz w:val="20"/>
          <w:szCs w:val="20"/>
          <w:color w:val="auto"/>
        </w:rPr>
      </w:pPr>
    </w:p>
    <w:p>
      <w:pPr>
        <w:ind w:right="120" w:firstLine="619"/>
        <w:spacing w:after="0" w:line="259" w:lineRule="auto"/>
        <w:rPr>
          <w:sz w:val="20"/>
          <w:szCs w:val="20"/>
          <w:color w:val="auto"/>
        </w:rPr>
      </w:pPr>
      <w:r>
        <w:rPr>
          <w:rFonts w:ascii="Arial" w:cs="Arial" w:eastAsia="Arial" w:hAnsi="Arial"/>
          <w:sz w:val="17"/>
          <w:szCs w:val="17"/>
          <w:color w:val="auto"/>
        </w:rPr>
        <w:t>Certain of the consolidated funds are parties to credit arrangements that provide for the issuance of letters of credit and/or revolving loans, which may require the particular fund to extend loans to investee companies. The consolidated funds use the same investment criteria in making these commitments as they do for investments that are included in the consolidated statement of financial condition. The unfunded liability associated with these credit arrangements is equal to the amount by which the contractual loan commitment exceeds the sum of funded debt and cash held in escrow, if any. As of December 31, 2025 and 2024, the consolidated funds had total outstanding debt commitments of $31.4 million and $13.4 million, respectively. As of December 31, 2025 and 2024, the consolidated funds had potential unfunded investment commitments of $68.4 million and $2.8 million, respectively.</w:t>
      </w:r>
    </w:p>
    <w:p>
      <w:pPr>
        <w:spacing w:after="0" w:line="122" w:lineRule="exact"/>
        <w:rPr>
          <w:sz w:val="20"/>
          <w:szCs w:val="20"/>
          <w:color w:val="auto"/>
        </w:rPr>
      </w:pPr>
    </w:p>
    <w:p>
      <w:pPr>
        <w:ind w:right="20" w:firstLine="619"/>
        <w:spacing w:after="0" w:line="290" w:lineRule="auto"/>
        <w:rPr>
          <w:sz w:val="20"/>
          <w:szCs w:val="20"/>
          <w:color w:val="auto"/>
        </w:rPr>
      </w:pPr>
      <w:r>
        <w:rPr>
          <w:rFonts w:ascii="Arial" w:cs="Arial" w:eastAsia="Arial" w:hAnsi="Arial"/>
          <w:sz w:val="17"/>
          <w:szCs w:val="17"/>
          <w:color w:val="auto"/>
        </w:rPr>
        <w:t>A consolidated fund may agree to guarantee the repayment obligations of certain investee companies. As of December 31, 2025 and 2024, there were no guaranteed amounts under such arrangements.</w:t>
      </w:r>
    </w:p>
    <w:p>
      <w:pPr>
        <w:spacing w:after="0" w:line="95" w:lineRule="exact"/>
        <w:rPr>
          <w:sz w:val="20"/>
          <w:szCs w:val="20"/>
          <w:color w:val="auto"/>
        </w:rPr>
      </w:pPr>
    </w:p>
    <w:p>
      <w:pPr>
        <w:ind w:right="20" w:firstLine="619"/>
        <w:spacing w:after="0" w:line="271" w:lineRule="auto"/>
        <w:rPr>
          <w:sz w:val="20"/>
          <w:szCs w:val="20"/>
          <w:color w:val="auto"/>
        </w:rPr>
      </w:pPr>
      <w:r>
        <w:rPr>
          <w:rFonts w:ascii="Arial" w:cs="Arial" w:eastAsia="Arial" w:hAnsi="Arial"/>
          <w:sz w:val="17"/>
          <w:szCs w:val="17"/>
          <w:color w:val="auto"/>
        </w:rPr>
        <w:t>Certain consolidated funds are investment companies that are required to disclose financial support provided or contractually required to be provided to any of their portfolio companies. During the twelve months ended December 31, 2025 and the six months ended December 31, 2024, the consolidated funds did not provide any financial support to portfolio companies.</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12. RELATED-PARTY TRANSACTIONS</w:t>
      </w:r>
    </w:p>
    <w:p>
      <w:pPr>
        <w:spacing w:after="0" w:line="168" w:lineRule="exact"/>
        <w:rPr>
          <w:sz w:val="20"/>
          <w:szCs w:val="20"/>
          <w:color w:val="auto"/>
        </w:rPr>
      </w:pPr>
    </w:p>
    <w:p>
      <w:pPr>
        <w:ind w:right="60" w:firstLine="619"/>
        <w:spacing w:after="0" w:line="264" w:lineRule="auto"/>
        <w:rPr>
          <w:sz w:val="20"/>
          <w:szCs w:val="20"/>
          <w:color w:val="auto"/>
        </w:rPr>
      </w:pPr>
      <w:r>
        <w:rPr>
          <w:rFonts w:ascii="Arial" w:cs="Arial" w:eastAsia="Arial" w:hAnsi="Arial"/>
          <w:sz w:val="17"/>
          <w:szCs w:val="17"/>
          <w:color w:val="auto"/>
        </w:rPr>
        <w:t>The Company considers its executive officers, employees, if any, and unconsolidated Oaktree funds to be affiliates (as defined in the FASB ASC Master Glossary). Amounts due from and to affiliates are set forth below. The fair value of amounts due from and to affiliates is a Level III valuation and was valued based on a discounted cash-flow analysis. The carrying value of amounts due from and to affiliates approximated fair value due to their short-term nature or because their weighted average interest rate approximated the Company’s cost of debt.</w:t>
      </w:r>
    </w:p>
    <w:p>
      <w:pPr>
        <w:spacing w:after="0" w:line="3" w:lineRule="exact"/>
        <w:rPr>
          <w:sz w:val="20"/>
          <w:szCs w:val="20"/>
          <w:color w:val="auto"/>
        </w:rPr>
      </w:pPr>
    </w:p>
    <w:tbl>
      <w:tblPr>
        <w:tblLayout w:type="fixed"/>
        <w:tblInd w:w="20" w:type="dxa"/>
        <w:tblCellMar>
          <w:top w:w="0" w:type="dxa"/>
          <w:left w:w="0" w:type="dxa"/>
          <w:bottom w:w="0" w:type="dxa"/>
          <w:right w:w="0" w:type="dxa"/>
        </w:tblCellMar>
      </w:tblPr>
      <w:tr>
        <w:trPr>
          <w:trHeight w:val="169"/>
        </w:trPr>
        <w:tc>
          <w:tcPr>
            <w:tcW w:w="774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3"/>
          </w:tcPr>
          <w:p>
            <w:pPr>
              <w:jc w:val="right"/>
              <w:ind w:right="3"/>
              <w:spacing w:after="0"/>
              <w:rPr>
                <w:sz w:val="20"/>
                <w:szCs w:val="20"/>
                <w:color w:val="auto"/>
              </w:rPr>
            </w:pPr>
            <w:r>
              <w:rPr>
                <w:rFonts w:ascii="Arial" w:cs="Arial" w:eastAsia="Arial" w:hAnsi="Arial"/>
                <w:sz w:val="12"/>
                <w:szCs w:val="12"/>
                <w:b w:val="1"/>
                <w:bCs w:val="1"/>
                <w:color w:val="auto"/>
              </w:rPr>
              <w:t>As of December 31,</w:t>
            </w:r>
          </w:p>
        </w:tc>
        <w:tc>
          <w:tcPr>
            <w:tcW w:w="9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4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506"/>
              <w:spacing w:after="0"/>
              <w:rPr>
                <w:sz w:val="20"/>
                <w:szCs w:val="20"/>
                <w:color w:val="auto"/>
              </w:rPr>
            </w:pPr>
            <w:r>
              <w:rPr>
                <w:rFonts w:ascii="Arial" w:cs="Arial" w:eastAsia="Arial" w:hAnsi="Arial"/>
                <w:sz w:val="12"/>
                <w:szCs w:val="12"/>
                <w:b w:val="1"/>
                <w:bCs w:val="1"/>
                <w:color w:val="auto"/>
              </w:rPr>
              <w:t>2025</w:t>
            </w:r>
          </w:p>
        </w:tc>
        <w:tc>
          <w:tcPr>
            <w:tcW w:w="220" w:type="dxa"/>
            <w:vAlign w:val="bottom"/>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505"/>
              <w:spacing w:after="0"/>
              <w:rPr>
                <w:sz w:val="20"/>
                <w:szCs w:val="20"/>
                <w:color w:val="auto"/>
              </w:rPr>
            </w:pPr>
            <w:r>
              <w:rPr>
                <w:rFonts w:ascii="Arial" w:cs="Arial" w:eastAsia="Arial" w:hAnsi="Arial"/>
                <w:sz w:val="12"/>
                <w:szCs w:val="12"/>
                <w:b w:val="1"/>
                <w:bCs w:val="1"/>
                <w:color w:val="auto"/>
              </w:rPr>
              <w:t>2024</w:t>
            </w:r>
          </w:p>
        </w:tc>
        <w:tc>
          <w:tcPr>
            <w:tcW w:w="0" w:type="dxa"/>
            <w:vAlign w:val="bottom"/>
          </w:tcPr>
          <w:p>
            <w:pPr>
              <w:spacing w:after="0"/>
              <w:rPr>
                <w:sz w:val="1"/>
                <w:szCs w:val="1"/>
                <w:color w:val="auto"/>
              </w:rPr>
            </w:pPr>
          </w:p>
        </w:tc>
      </w:tr>
      <w:tr>
        <w:trPr>
          <w:trHeight w:val="200"/>
        </w:trPr>
        <w:tc>
          <w:tcPr>
            <w:tcW w:w="7740" w:type="dxa"/>
            <w:vAlign w:val="bottom"/>
          </w:tcPr>
          <w:p>
            <w:pPr>
              <w:spacing w:after="0"/>
              <w:rPr>
                <w:sz w:val="20"/>
                <w:szCs w:val="20"/>
                <w:color w:val="auto"/>
              </w:rPr>
            </w:pPr>
            <w:r>
              <w:rPr>
                <w:rFonts w:ascii="Arial" w:cs="Arial" w:eastAsia="Arial" w:hAnsi="Arial"/>
                <w:sz w:val="15"/>
                <w:szCs w:val="15"/>
                <w:color w:val="auto"/>
              </w:rPr>
              <w:t>Due from affiliates:</w:t>
            </w: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7740" w:type="dxa"/>
            <w:vAlign w:val="bottom"/>
          </w:tcPr>
          <w:p>
            <w:pPr>
              <w:ind w:left="300"/>
              <w:spacing w:after="0"/>
              <w:rPr>
                <w:sz w:val="20"/>
                <w:szCs w:val="20"/>
                <w:color w:val="auto"/>
              </w:rPr>
            </w:pPr>
            <w:r>
              <w:rPr>
                <w:rFonts w:ascii="Arial" w:cs="Arial" w:eastAsia="Arial" w:hAnsi="Arial"/>
                <w:sz w:val="15"/>
                <w:szCs w:val="15"/>
                <w:color w:val="auto"/>
              </w:rPr>
              <w:t>Loans to affiliates</w:t>
            </w:r>
          </w:p>
        </w:tc>
        <w:tc>
          <w:tcPr>
            <w:tcW w:w="340" w:type="dxa"/>
            <w:vAlign w:val="bottom"/>
          </w:tcPr>
          <w:p>
            <w:pPr>
              <w:jc w:val="right"/>
              <w:ind w:right="163"/>
              <w:spacing w:after="0"/>
              <w:rPr>
                <w:sz w:val="20"/>
                <w:szCs w:val="20"/>
                <w:color w:val="auto"/>
              </w:rPr>
            </w:pPr>
            <w:r>
              <w:rPr>
                <w:rFonts w:ascii="Arial" w:cs="Arial" w:eastAsia="Arial" w:hAnsi="Arial"/>
                <w:sz w:val="15"/>
                <w:szCs w:val="15"/>
                <w:color w:val="auto"/>
                <w:w w:val="95"/>
              </w:rPr>
              <w:t>$</w:t>
            </w:r>
          </w:p>
        </w:tc>
        <w:tc>
          <w:tcPr>
            <w:tcW w:w="1100" w:type="dxa"/>
            <w:vAlign w:val="bottom"/>
          </w:tcPr>
          <w:p>
            <w:pPr>
              <w:jc w:val="right"/>
              <w:spacing w:after="0"/>
              <w:rPr>
                <w:sz w:val="20"/>
                <w:szCs w:val="20"/>
                <w:color w:val="auto"/>
              </w:rPr>
            </w:pPr>
            <w:r>
              <w:rPr>
                <w:rFonts w:ascii="Arial" w:cs="Arial" w:eastAsia="Arial" w:hAnsi="Arial"/>
                <w:sz w:val="15"/>
                <w:szCs w:val="15"/>
                <w:color w:val="auto"/>
              </w:rPr>
              <w:t>267,000</w:t>
            </w:r>
          </w:p>
        </w:tc>
        <w:tc>
          <w:tcPr>
            <w:tcW w:w="220" w:type="dxa"/>
            <w:vAlign w:val="bottom"/>
          </w:tcPr>
          <w:p>
            <w:pPr>
              <w:spacing w:after="0"/>
              <w:rPr>
                <w:sz w:val="17"/>
                <w:szCs w:val="17"/>
                <w:color w:val="auto"/>
              </w:rPr>
            </w:pPr>
          </w:p>
        </w:tc>
        <w:tc>
          <w:tcPr>
            <w:tcW w:w="520" w:type="dxa"/>
            <w:vAlign w:val="bottom"/>
          </w:tcPr>
          <w:p>
            <w:pPr>
              <w:jc w:val="right"/>
              <w:ind w:right="343"/>
              <w:spacing w:after="0"/>
              <w:rPr>
                <w:sz w:val="20"/>
                <w:szCs w:val="20"/>
                <w:color w:val="auto"/>
              </w:rPr>
            </w:pPr>
            <w:r>
              <w:rPr>
                <w:rFonts w:ascii="Arial" w:cs="Arial" w:eastAsia="Arial" w:hAnsi="Arial"/>
                <w:sz w:val="15"/>
                <w:szCs w:val="15"/>
                <w:color w:val="auto"/>
                <w:w w:val="95"/>
              </w:rPr>
              <w:t>$</w:t>
            </w:r>
          </w:p>
        </w:tc>
        <w:tc>
          <w:tcPr>
            <w:tcW w:w="920" w:type="dxa"/>
            <w:vAlign w:val="bottom"/>
          </w:tcPr>
          <w:p>
            <w:pPr>
              <w:jc w:val="right"/>
              <w:ind w:right="5"/>
              <w:spacing w:after="0"/>
              <w:rPr>
                <w:sz w:val="20"/>
                <w:szCs w:val="20"/>
                <w:color w:val="auto"/>
              </w:rPr>
            </w:pPr>
            <w:r>
              <w:rPr>
                <w:rFonts w:ascii="Arial" w:cs="Arial" w:eastAsia="Arial" w:hAnsi="Arial"/>
                <w:sz w:val="15"/>
                <w:szCs w:val="15"/>
                <w:color w:val="auto"/>
              </w:rPr>
              <w:t>222,000</w:t>
            </w:r>
          </w:p>
        </w:tc>
        <w:tc>
          <w:tcPr>
            <w:tcW w:w="0" w:type="dxa"/>
            <w:vAlign w:val="bottom"/>
          </w:tcPr>
          <w:p>
            <w:pPr>
              <w:spacing w:after="0"/>
              <w:rPr>
                <w:sz w:val="1"/>
                <w:szCs w:val="1"/>
                <w:color w:val="auto"/>
              </w:rPr>
            </w:pPr>
          </w:p>
        </w:tc>
      </w:tr>
      <w:tr>
        <w:trPr>
          <w:trHeight w:val="206"/>
        </w:trPr>
        <w:tc>
          <w:tcPr>
            <w:tcW w:w="7740" w:type="dxa"/>
            <w:vAlign w:val="bottom"/>
          </w:tcPr>
          <w:p>
            <w:pPr>
              <w:ind w:left="300"/>
              <w:spacing w:after="0"/>
              <w:rPr>
                <w:sz w:val="20"/>
                <w:szCs w:val="20"/>
                <w:color w:val="auto"/>
              </w:rPr>
            </w:pPr>
            <w:r>
              <w:rPr>
                <w:rFonts w:ascii="Arial" w:cs="Arial" w:eastAsia="Arial" w:hAnsi="Arial"/>
                <w:sz w:val="15"/>
                <w:szCs w:val="15"/>
                <w:color w:val="auto"/>
              </w:rPr>
              <w:t>Incentive tax distribution</w:t>
            </w: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84,789</w:t>
            </w: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20" w:type="dxa"/>
            <w:vAlign w:val="bottom"/>
          </w:tcPr>
          <w:p>
            <w:pPr>
              <w:jc w:val="right"/>
              <w:ind w:right="5"/>
              <w:spacing w:after="0"/>
              <w:rPr>
                <w:sz w:val="20"/>
                <w:szCs w:val="20"/>
                <w:color w:val="auto"/>
              </w:rPr>
            </w:pPr>
            <w:r>
              <w:rPr>
                <w:rFonts w:ascii="Arial" w:cs="Arial" w:eastAsia="Arial" w:hAnsi="Arial"/>
                <w:sz w:val="15"/>
                <w:szCs w:val="15"/>
                <w:color w:val="auto"/>
              </w:rPr>
              <w:t>153,058</w:t>
            </w:r>
          </w:p>
        </w:tc>
        <w:tc>
          <w:tcPr>
            <w:tcW w:w="0" w:type="dxa"/>
            <w:vAlign w:val="bottom"/>
          </w:tcPr>
          <w:p>
            <w:pPr>
              <w:spacing w:after="0"/>
              <w:rPr>
                <w:sz w:val="1"/>
                <w:szCs w:val="1"/>
                <w:color w:val="auto"/>
              </w:rPr>
            </w:pPr>
          </w:p>
        </w:tc>
      </w:tr>
      <w:tr>
        <w:trPr>
          <w:trHeight w:val="206"/>
        </w:trPr>
        <w:tc>
          <w:tcPr>
            <w:tcW w:w="7740" w:type="dxa"/>
            <w:vAlign w:val="bottom"/>
          </w:tcPr>
          <w:p>
            <w:pPr>
              <w:ind w:left="300"/>
              <w:spacing w:after="0"/>
              <w:rPr>
                <w:sz w:val="20"/>
                <w:szCs w:val="20"/>
                <w:color w:val="auto"/>
              </w:rPr>
            </w:pPr>
            <w:r>
              <w:rPr>
                <w:rFonts w:ascii="Arial" w:cs="Arial" w:eastAsia="Arial" w:hAnsi="Arial"/>
                <w:sz w:val="15"/>
                <w:szCs w:val="15"/>
                <w:color w:val="auto"/>
              </w:rPr>
              <w:t>Incentive income due from unconsolidated funds and affiliates</w:t>
            </w: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55,735</w:t>
            </w: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20" w:type="dxa"/>
            <w:vAlign w:val="bottom"/>
          </w:tcPr>
          <w:p>
            <w:pPr>
              <w:jc w:val="right"/>
              <w:ind w:right="5"/>
              <w:spacing w:after="0"/>
              <w:rPr>
                <w:sz w:val="20"/>
                <w:szCs w:val="20"/>
                <w:color w:val="auto"/>
              </w:rPr>
            </w:pPr>
            <w:r>
              <w:rPr>
                <w:rFonts w:ascii="Arial" w:cs="Arial" w:eastAsia="Arial" w:hAnsi="Arial"/>
                <w:sz w:val="15"/>
                <w:szCs w:val="15"/>
                <w:color w:val="auto"/>
              </w:rPr>
              <w:t>65,700</w:t>
            </w:r>
          </w:p>
        </w:tc>
        <w:tc>
          <w:tcPr>
            <w:tcW w:w="0" w:type="dxa"/>
            <w:vAlign w:val="bottom"/>
          </w:tcPr>
          <w:p>
            <w:pPr>
              <w:spacing w:after="0"/>
              <w:rPr>
                <w:sz w:val="1"/>
                <w:szCs w:val="1"/>
                <w:color w:val="auto"/>
              </w:rPr>
            </w:pPr>
          </w:p>
        </w:tc>
      </w:tr>
      <w:tr>
        <w:trPr>
          <w:trHeight w:val="207"/>
        </w:trPr>
        <w:tc>
          <w:tcPr>
            <w:tcW w:w="7740" w:type="dxa"/>
            <w:vAlign w:val="bottom"/>
          </w:tcPr>
          <w:p>
            <w:pPr>
              <w:ind w:left="300"/>
              <w:spacing w:after="0"/>
              <w:rPr>
                <w:sz w:val="20"/>
                <w:szCs w:val="20"/>
                <w:color w:val="auto"/>
              </w:rPr>
            </w:pPr>
            <w:r>
              <w:rPr>
                <w:rFonts w:ascii="Arial" w:cs="Arial" w:eastAsia="Arial" w:hAnsi="Arial"/>
                <w:sz w:val="15"/>
                <w:szCs w:val="15"/>
                <w:color w:val="auto"/>
              </w:rPr>
              <w:t>Payments made on behalf of unconsolidated entities</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14,242</w:t>
            </w:r>
          </w:p>
        </w:tc>
        <w:tc>
          <w:tcPr>
            <w:tcW w:w="22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rPr>
              <w:t>6,608</w:t>
            </w:r>
          </w:p>
        </w:tc>
        <w:tc>
          <w:tcPr>
            <w:tcW w:w="0" w:type="dxa"/>
            <w:vAlign w:val="bottom"/>
          </w:tcPr>
          <w:p>
            <w:pPr>
              <w:spacing w:after="0"/>
              <w:rPr>
                <w:sz w:val="1"/>
                <w:szCs w:val="1"/>
                <w:color w:val="auto"/>
              </w:rPr>
            </w:pPr>
          </w:p>
        </w:tc>
      </w:tr>
      <w:tr>
        <w:trPr>
          <w:trHeight w:val="200"/>
        </w:trPr>
        <w:tc>
          <w:tcPr>
            <w:tcW w:w="7740" w:type="dxa"/>
            <w:vAlign w:val="bottom"/>
          </w:tcPr>
          <w:p>
            <w:pPr>
              <w:ind w:left="620"/>
              <w:spacing w:after="0"/>
              <w:rPr>
                <w:sz w:val="20"/>
                <w:szCs w:val="20"/>
                <w:color w:val="auto"/>
              </w:rPr>
            </w:pPr>
            <w:r>
              <w:rPr>
                <w:rFonts w:ascii="Arial" w:cs="Arial" w:eastAsia="Arial" w:hAnsi="Arial"/>
                <w:sz w:val="15"/>
                <w:szCs w:val="15"/>
                <w:color w:val="auto"/>
              </w:rPr>
              <w:t>Total due from affiliates</w:t>
            </w:r>
          </w:p>
        </w:tc>
        <w:tc>
          <w:tcPr>
            <w:tcW w:w="340" w:type="dxa"/>
            <w:vAlign w:val="bottom"/>
            <w:tcBorders>
              <w:bottom w:val="single" w:sz="8" w:color="auto"/>
            </w:tcBorders>
          </w:tcPr>
          <w:p>
            <w:pPr>
              <w:jc w:val="right"/>
              <w:ind w:right="163"/>
              <w:spacing w:after="0"/>
              <w:rPr>
                <w:sz w:val="20"/>
                <w:szCs w:val="20"/>
                <w:color w:val="auto"/>
              </w:rPr>
            </w:pPr>
            <w:r>
              <w:rPr>
                <w:rFonts w:ascii="Arial" w:cs="Arial" w:eastAsia="Arial" w:hAnsi="Arial"/>
                <w:sz w:val="15"/>
                <w:szCs w:val="15"/>
                <w:color w:val="auto"/>
                <w:w w:val="95"/>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421,766</w:t>
            </w:r>
          </w:p>
        </w:tc>
        <w:tc>
          <w:tcPr>
            <w:tcW w:w="220" w:type="dxa"/>
            <w:vAlign w:val="bottom"/>
          </w:tcPr>
          <w:p>
            <w:pPr>
              <w:spacing w:after="0"/>
              <w:rPr>
                <w:sz w:val="17"/>
                <w:szCs w:val="17"/>
                <w:color w:val="auto"/>
              </w:rPr>
            </w:pPr>
          </w:p>
        </w:tc>
        <w:tc>
          <w:tcPr>
            <w:tcW w:w="520" w:type="dxa"/>
            <w:vAlign w:val="bottom"/>
            <w:tcBorders>
              <w:bottom w:val="single" w:sz="8" w:color="auto"/>
            </w:tcBorders>
          </w:tcPr>
          <w:p>
            <w:pPr>
              <w:jc w:val="right"/>
              <w:ind w:right="343"/>
              <w:spacing w:after="0"/>
              <w:rPr>
                <w:sz w:val="20"/>
                <w:szCs w:val="20"/>
                <w:color w:val="auto"/>
              </w:rPr>
            </w:pPr>
            <w:r>
              <w:rPr>
                <w:rFonts w:ascii="Arial" w:cs="Arial" w:eastAsia="Arial" w:hAnsi="Arial"/>
                <w:sz w:val="15"/>
                <w:szCs w:val="15"/>
                <w:color w:val="auto"/>
                <w:w w:val="95"/>
              </w:rPr>
              <w:t>$</w:t>
            </w:r>
          </w:p>
        </w:tc>
        <w:tc>
          <w:tcPr>
            <w:tcW w:w="92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rPr>
              <w:t>447,366</w:t>
            </w:r>
          </w:p>
        </w:tc>
        <w:tc>
          <w:tcPr>
            <w:tcW w:w="0" w:type="dxa"/>
            <w:vAlign w:val="bottom"/>
          </w:tcPr>
          <w:p>
            <w:pPr>
              <w:spacing w:after="0"/>
              <w:rPr>
                <w:sz w:val="1"/>
                <w:szCs w:val="1"/>
                <w:color w:val="auto"/>
              </w:rPr>
            </w:pPr>
          </w:p>
        </w:tc>
      </w:tr>
      <w:tr>
        <w:trPr>
          <w:trHeight w:val="20"/>
        </w:trPr>
        <w:tc>
          <w:tcPr>
            <w:tcW w:w="7740" w:type="dxa"/>
            <w:vAlign w:val="bottom"/>
            <w:vMerge w:val="restart"/>
          </w:tcPr>
          <w:p>
            <w:pPr>
              <w:spacing w:after="0"/>
              <w:rPr>
                <w:sz w:val="20"/>
                <w:szCs w:val="20"/>
                <w:color w:val="auto"/>
              </w:rPr>
            </w:pPr>
            <w:r>
              <w:rPr>
                <w:rFonts w:ascii="Arial" w:cs="Arial" w:eastAsia="Arial" w:hAnsi="Arial"/>
                <w:sz w:val="15"/>
                <w:szCs w:val="15"/>
                <w:color w:val="auto"/>
              </w:rPr>
              <w:t>Due to affiliates:</w:t>
            </w: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74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7740" w:type="dxa"/>
            <w:vAlign w:val="bottom"/>
          </w:tcPr>
          <w:p>
            <w:pPr>
              <w:ind w:left="300"/>
              <w:spacing w:after="0"/>
              <w:rPr>
                <w:sz w:val="20"/>
                <w:szCs w:val="20"/>
                <w:color w:val="auto"/>
              </w:rPr>
            </w:pPr>
            <w:r>
              <w:rPr>
                <w:rFonts w:ascii="Arial" w:cs="Arial" w:eastAsia="Arial" w:hAnsi="Arial"/>
                <w:sz w:val="15"/>
                <w:szCs w:val="15"/>
                <w:color w:val="auto"/>
              </w:rPr>
              <w:t>Amounts due to unconsolidated entities</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7,954</w:t>
            </w:r>
          </w:p>
        </w:tc>
        <w:tc>
          <w:tcPr>
            <w:tcW w:w="22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rPr>
              <w:t>24,315</w:t>
            </w:r>
          </w:p>
        </w:tc>
        <w:tc>
          <w:tcPr>
            <w:tcW w:w="0" w:type="dxa"/>
            <w:vAlign w:val="bottom"/>
          </w:tcPr>
          <w:p>
            <w:pPr>
              <w:spacing w:after="0"/>
              <w:rPr>
                <w:sz w:val="1"/>
                <w:szCs w:val="1"/>
                <w:color w:val="auto"/>
              </w:rPr>
            </w:pPr>
          </w:p>
        </w:tc>
      </w:tr>
      <w:tr>
        <w:trPr>
          <w:trHeight w:val="200"/>
        </w:trPr>
        <w:tc>
          <w:tcPr>
            <w:tcW w:w="7740" w:type="dxa"/>
            <w:vAlign w:val="bottom"/>
          </w:tcPr>
          <w:p>
            <w:pPr>
              <w:ind w:left="620"/>
              <w:spacing w:after="0"/>
              <w:rPr>
                <w:sz w:val="20"/>
                <w:szCs w:val="20"/>
                <w:color w:val="auto"/>
              </w:rPr>
            </w:pPr>
            <w:r>
              <w:rPr>
                <w:rFonts w:ascii="Arial" w:cs="Arial" w:eastAsia="Arial" w:hAnsi="Arial"/>
                <w:sz w:val="15"/>
                <w:szCs w:val="15"/>
                <w:color w:val="auto"/>
              </w:rPr>
              <w:t>Total due to affiliates</w:t>
            </w:r>
          </w:p>
        </w:tc>
        <w:tc>
          <w:tcPr>
            <w:tcW w:w="340" w:type="dxa"/>
            <w:vAlign w:val="bottom"/>
            <w:tcBorders>
              <w:bottom w:val="single" w:sz="8" w:color="auto"/>
            </w:tcBorders>
          </w:tcPr>
          <w:p>
            <w:pPr>
              <w:jc w:val="right"/>
              <w:ind w:right="163"/>
              <w:spacing w:after="0"/>
              <w:rPr>
                <w:sz w:val="20"/>
                <w:szCs w:val="20"/>
                <w:color w:val="auto"/>
              </w:rPr>
            </w:pPr>
            <w:r>
              <w:rPr>
                <w:rFonts w:ascii="Arial" w:cs="Arial" w:eastAsia="Arial" w:hAnsi="Arial"/>
                <w:sz w:val="15"/>
                <w:szCs w:val="15"/>
                <w:color w:val="auto"/>
                <w:w w:val="95"/>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7,954</w:t>
            </w:r>
          </w:p>
        </w:tc>
        <w:tc>
          <w:tcPr>
            <w:tcW w:w="220" w:type="dxa"/>
            <w:vAlign w:val="bottom"/>
          </w:tcPr>
          <w:p>
            <w:pPr>
              <w:spacing w:after="0"/>
              <w:rPr>
                <w:sz w:val="17"/>
                <w:szCs w:val="17"/>
                <w:color w:val="auto"/>
              </w:rPr>
            </w:pPr>
          </w:p>
        </w:tc>
        <w:tc>
          <w:tcPr>
            <w:tcW w:w="520" w:type="dxa"/>
            <w:vAlign w:val="bottom"/>
            <w:tcBorders>
              <w:bottom w:val="single" w:sz="8" w:color="auto"/>
            </w:tcBorders>
          </w:tcPr>
          <w:p>
            <w:pPr>
              <w:jc w:val="right"/>
              <w:ind w:right="343"/>
              <w:spacing w:after="0"/>
              <w:rPr>
                <w:sz w:val="20"/>
                <w:szCs w:val="20"/>
                <w:color w:val="auto"/>
              </w:rPr>
            </w:pPr>
            <w:r>
              <w:rPr>
                <w:rFonts w:ascii="Arial" w:cs="Arial" w:eastAsia="Arial" w:hAnsi="Arial"/>
                <w:sz w:val="15"/>
                <w:szCs w:val="15"/>
                <w:color w:val="auto"/>
                <w:w w:val="95"/>
              </w:rPr>
              <w:t>$</w:t>
            </w:r>
          </w:p>
        </w:tc>
        <w:tc>
          <w:tcPr>
            <w:tcW w:w="92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rPr>
              <w:t>24,315</w:t>
            </w:r>
          </w:p>
        </w:tc>
        <w:tc>
          <w:tcPr>
            <w:tcW w:w="0" w:type="dxa"/>
            <w:vAlign w:val="bottom"/>
          </w:tcPr>
          <w:p>
            <w:pPr>
              <w:spacing w:after="0"/>
              <w:rPr>
                <w:sz w:val="1"/>
                <w:szCs w:val="1"/>
                <w:color w:val="auto"/>
              </w:rPr>
            </w:pPr>
          </w:p>
        </w:tc>
      </w:tr>
      <w:tr>
        <w:trPr>
          <w:trHeight w:val="20"/>
        </w:trPr>
        <w:tc>
          <w:tcPr>
            <w:tcW w:w="77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35</w:t>
      </w:r>
    </w:p>
    <w:p>
      <w:pPr>
        <w:sectPr>
          <w:pgSz w:w="11900" w:h="16838" w:orient="portrait"/>
          <w:cols w:equalWidth="0" w:num="1">
            <w:col w:w="11220"/>
          </w:cols>
          <w:pgMar w:left="320" w:top="353" w:right="359" w:bottom="1440" w:gutter="0" w:footer="0" w:header="0"/>
        </w:sectPr>
      </w:pPr>
    </w:p>
    <w:bookmarkStart w:id="175" w:name="page176"/>
    <w:bookmarkEnd w:id="175"/>
    <w:p>
      <w:pPr>
        <w:jc w:val="center"/>
        <w:spacing w:after="0"/>
        <w:rPr>
          <w:sz w:val="20"/>
          <w:szCs w:val="20"/>
          <w:color w:val="auto"/>
        </w:rPr>
      </w:pPr>
      <w:r>
        <w:rPr>
          <w:rFonts w:ascii="Arial" w:cs="Arial" w:eastAsia="Arial" w:hAnsi="Arial"/>
          <w:sz w:val="17"/>
          <w:szCs w:val="17"/>
          <w:b w:val="1"/>
          <w:bCs w:val="1"/>
          <w:color w:val="auto"/>
        </w:rPr>
        <w:t>Oaktree Capital I, L.P.</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 (Continued)</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December 31, 2025</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 in thousands, except where noted)</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Loans To Affiliates</w:t>
      </w:r>
    </w:p>
    <w:p>
      <w:pPr>
        <w:spacing w:after="0" w:line="168" w:lineRule="exact"/>
        <w:rPr>
          <w:sz w:val="20"/>
          <w:szCs w:val="20"/>
          <w:color w:val="auto"/>
        </w:rPr>
      </w:pPr>
    </w:p>
    <w:p>
      <w:pPr>
        <w:ind w:left="500"/>
        <w:spacing w:after="0"/>
        <w:rPr>
          <w:sz w:val="20"/>
          <w:szCs w:val="20"/>
          <w:color w:val="auto"/>
        </w:rPr>
      </w:pPr>
      <w:r>
        <w:rPr>
          <w:rFonts w:ascii="Arial" w:cs="Arial" w:eastAsia="Arial" w:hAnsi="Arial"/>
          <w:sz w:val="17"/>
          <w:szCs w:val="17"/>
          <w:color w:val="auto"/>
        </w:rPr>
        <w:t>Loans primarily consist of interest-bearing loans made to affiliates.</w:t>
      </w:r>
    </w:p>
    <w:p>
      <w:pPr>
        <w:spacing w:after="0" w:line="153" w:lineRule="exact"/>
        <w:rPr>
          <w:sz w:val="20"/>
          <w:szCs w:val="20"/>
          <w:color w:val="auto"/>
        </w:rPr>
      </w:pPr>
    </w:p>
    <w:p>
      <w:pPr>
        <w:ind w:right="240" w:firstLine="503"/>
        <w:spacing w:after="0" w:line="255" w:lineRule="auto"/>
        <w:rPr>
          <w:sz w:val="20"/>
          <w:szCs w:val="20"/>
          <w:color w:val="auto"/>
        </w:rPr>
      </w:pPr>
      <w:r>
        <w:rPr>
          <w:rFonts w:ascii="Arial" w:cs="Arial" w:eastAsia="Arial" w:hAnsi="Arial"/>
          <w:sz w:val="17"/>
          <w:szCs w:val="17"/>
          <w:color w:val="auto"/>
        </w:rPr>
        <w:t>On May 7, 2021, the Company, entered into two revolving line of credit notes with OCM, one as a borrower and the other as a lender. Both revolving line of credit notes allow for outstanding principal amounts not to exceed $250.0 million and mature on May 7, 2024. On February 17, 2023, the revolving line of credit notes were replaced with an intercompany loan agreement with a maturity of February 17, 2026.</w:t>
      </w:r>
    </w:p>
    <w:p>
      <w:pPr>
        <w:spacing w:after="0" w:line="112" w:lineRule="exact"/>
        <w:rPr>
          <w:sz w:val="20"/>
          <w:szCs w:val="20"/>
          <w:color w:val="auto"/>
        </w:rPr>
      </w:pPr>
    </w:p>
    <w:p>
      <w:pPr>
        <w:ind w:right="160" w:firstLine="503"/>
        <w:spacing w:after="0" w:line="243" w:lineRule="auto"/>
        <w:rPr>
          <w:sz w:val="20"/>
          <w:szCs w:val="20"/>
          <w:color w:val="auto"/>
        </w:rPr>
      </w:pPr>
      <w:r>
        <w:rPr>
          <w:rFonts w:ascii="Arial" w:cs="Arial" w:eastAsia="Arial" w:hAnsi="Arial"/>
          <w:sz w:val="17"/>
          <w:szCs w:val="17"/>
          <w:color w:val="auto"/>
        </w:rPr>
        <w:t>As of December 31, 2025 and 2024, OCM had borrowed $267.0 million and $222.0 million, respectively, from Oaktree Capital I, which were included in due from affiliates. During the twelve months ended December 31, 2025 and six months ended December 31, 2024, the Company generated $5.7 million and $1.9 million of interest income on an average deposit balances of $129.7 million and $78.9 million, respectively, which</w:t>
      </w:r>
    </w:p>
    <w:p>
      <w:pPr>
        <w:spacing w:after="0" w:line="2" w:lineRule="exact"/>
        <w:rPr>
          <w:sz w:val="20"/>
          <w:szCs w:val="20"/>
          <w:color w:val="auto"/>
        </w:rPr>
      </w:pPr>
    </w:p>
    <w:p>
      <w:pPr>
        <w:ind w:right="160"/>
        <w:spacing w:after="0" w:line="239" w:lineRule="auto"/>
        <w:rPr>
          <w:sz w:val="20"/>
          <w:szCs w:val="20"/>
          <w:color w:val="auto"/>
        </w:rPr>
      </w:pPr>
      <w:r>
        <w:rPr>
          <w:rFonts w:ascii="Arial" w:cs="Arial" w:eastAsia="Arial" w:hAnsi="Arial"/>
          <w:sz w:val="17"/>
          <w:szCs w:val="17"/>
          <w:color w:val="auto"/>
        </w:rPr>
        <w:t>were included in interest and dividend income. As of December 31, 2025 and 2024, there were no outstanding loans from affiliates and no interest expense was incurred for the twelve months ended December 31, 2025 or the six months ended December 31, 2024.</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Due From Oaktree Funds and Affiliates</w:t>
      </w:r>
    </w:p>
    <w:p>
      <w:pPr>
        <w:spacing w:after="0" w:line="168" w:lineRule="exact"/>
        <w:rPr>
          <w:sz w:val="20"/>
          <w:szCs w:val="20"/>
          <w:color w:val="auto"/>
        </w:rPr>
      </w:pPr>
    </w:p>
    <w:p>
      <w:pPr>
        <w:ind w:right="300" w:firstLine="619"/>
        <w:spacing w:after="0" w:line="262" w:lineRule="auto"/>
        <w:rPr>
          <w:sz w:val="20"/>
          <w:szCs w:val="20"/>
          <w:color w:val="auto"/>
        </w:rPr>
      </w:pPr>
      <w:r>
        <w:rPr>
          <w:rFonts w:ascii="Arial" w:cs="Arial" w:eastAsia="Arial" w:hAnsi="Arial"/>
          <w:sz w:val="17"/>
          <w:szCs w:val="17"/>
          <w:color w:val="auto"/>
        </w:rPr>
        <w:t>In the normal course of business, the Company advances certain expenses on behalf of Oaktree funds. Amounts advanced on behalf of consolidated funds are eliminated in consolidation. Certain expenses paid by the Company, which typically are employee travel and other costs associated with particular portfolio company holdings, are reimbursed to the Company by the portfolio companies. In addition, the Company recognizes distributions and proceeds from corporate investments in Oaktree funds for which it serves as general partner, and other third-party managed funds and companies as receivables when certain criteria is met.</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Revenues Earned From Oaktree Funds</w:t>
      </w:r>
    </w:p>
    <w:p>
      <w:pPr>
        <w:spacing w:after="0" w:line="168" w:lineRule="exact"/>
        <w:rPr>
          <w:sz w:val="20"/>
          <w:szCs w:val="20"/>
          <w:color w:val="auto"/>
        </w:rPr>
      </w:pPr>
    </w:p>
    <w:p>
      <w:pPr>
        <w:ind w:right="720" w:firstLine="619"/>
        <w:spacing w:after="0" w:line="290" w:lineRule="auto"/>
        <w:rPr>
          <w:sz w:val="20"/>
          <w:szCs w:val="20"/>
          <w:color w:val="auto"/>
        </w:rPr>
      </w:pPr>
      <w:r>
        <w:rPr>
          <w:rFonts w:ascii="Arial" w:cs="Arial" w:eastAsia="Arial" w:hAnsi="Arial"/>
          <w:sz w:val="17"/>
          <w:szCs w:val="17"/>
          <w:color w:val="auto"/>
        </w:rPr>
        <w:t>Incentive income earned from unconsolidated Oaktree funds totaled $411.5 million and $239.8 million for the twelve months ended December 31, 2025 and the six months ended December 31, 2024, respectively.</w:t>
      </w:r>
    </w:p>
    <w:p>
      <w:pPr>
        <w:spacing w:after="0" w:line="9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Subordinated Credit Facility</w:t>
      </w:r>
    </w:p>
    <w:p>
      <w:pPr>
        <w:spacing w:after="0" w:line="167" w:lineRule="exact"/>
        <w:rPr>
          <w:sz w:val="20"/>
          <w:szCs w:val="20"/>
          <w:color w:val="auto"/>
        </w:rPr>
      </w:pPr>
    </w:p>
    <w:p>
      <w:pPr>
        <w:ind w:right="360" w:firstLine="619"/>
        <w:spacing w:after="0" w:line="263" w:lineRule="auto"/>
        <w:rPr>
          <w:sz w:val="20"/>
          <w:szCs w:val="20"/>
          <w:color w:val="auto"/>
        </w:rPr>
      </w:pPr>
      <w:r>
        <w:rPr>
          <w:rFonts w:ascii="Arial" w:cs="Arial" w:eastAsia="Arial" w:hAnsi="Arial"/>
          <w:sz w:val="17"/>
          <w:szCs w:val="17"/>
          <w:color w:val="auto"/>
        </w:rPr>
        <w:t>Oaktree Capital I, along with certain other Oaktree Operating Group members as co-borrowers, are parties to a credit agreement with a subsidiary of Brookfield that provides for a subordinated credit facility. The subordinated credit facility has a revolving loan commitment of</w:t>
      </w:r>
    </w:p>
    <w:p>
      <w:pPr>
        <w:spacing w:after="0" w:line="255" w:lineRule="auto"/>
        <w:rPr>
          <w:sz w:val="20"/>
          <w:szCs w:val="20"/>
          <w:color w:val="auto"/>
        </w:rPr>
      </w:pPr>
      <w:r>
        <w:rPr>
          <w:rFonts w:ascii="Arial" w:cs="Arial" w:eastAsia="Arial" w:hAnsi="Arial"/>
          <w:sz w:val="17"/>
          <w:szCs w:val="17"/>
          <w:color w:val="auto"/>
        </w:rPr>
        <w:t>$250.0 million and borrowings generally bear interest at a spread to either LIBOR or an alternative base rate. Borrowings on the subordinated credit facility are subordinate to the outstanding debt obligations and borrowings on the primary credit facility of Oaktree Capital I and its co-borrowers as detailed in note 9. Oaktree Capital I is jointly and severally liable, along with its co-obligors for outstanding borrowings on the subordinated credit facility. As set forth in note 9, the Company’s financial statements generally will not reflect debt obligations, interest expense or related liabilities associated with its operating subsidiaries until such time as Oaktree Capital I directly borrows from the subordinated credit facility. In March 2022, this credit facility was amended to extend the revolving credit maturity date from May 19, 2023 to September 14, 2026. On October 6, 2023, an amendment was signed to further extend the maturity date to October 6, 2028, and change the interest rate to SOFR plus 1.6% or an alternative base rate plus 0.5%. The amendment also provided that the maturity date will automatically extend annually in one-year increments until the lenders notify the borrowers of their intention to terminate the subordinated credit facility. No amounts were outstanding on the subordinated credit facility as of December 31, 2025 and 2024.</w:t>
      </w:r>
    </w:p>
    <w:p>
      <w:pPr>
        <w:spacing w:after="0" w:line="20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Deposit Agreement with Brookfield</w:t>
      </w:r>
    </w:p>
    <w:p>
      <w:pPr>
        <w:spacing w:after="0" w:line="245" w:lineRule="exact"/>
        <w:rPr>
          <w:sz w:val="20"/>
          <w:szCs w:val="20"/>
          <w:color w:val="auto"/>
        </w:rPr>
      </w:pPr>
    </w:p>
    <w:p>
      <w:pPr>
        <w:jc w:val="both"/>
        <w:ind w:right="40" w:firstLine="619"/>
        <w:spacing w:after="0" w:line="265" w:lineRule="auto"/>
        <w:rPr>
          <w:sz w:val="20"/>
          <w:szCs w:val="20"/>
          <w:color w:val="auto"/>
        </w:rPr>
      </w:pPr>
      <w:r>
        <w:rPr>
          <w:rFonts w:ascii="Arial" w:cs="Arial" w:eastAsia="Arial" w:hAnsi="Arial"/>
          <w:sz w:val="17"/>
          <w:szCs w:val="17"/>
          <w:color w:val="auto"/>
        </w:rPr>
        <w:t>On May 1, 2023, Brookfield and OCM, Oaktree Capital I, Oaktree Capital II, OCM Cayman, Oaktree AIF and Oaktree Investment Holdings, L.P. (collectively, the “Oaktree Depositors”) entered into a deposit agreement under which each of the Oaktree Depositors has the ability to place up to $750.0 million in the aggregate at any time on deposit with Brookfield. This deposit arrangement is set up to facilitate a more efficient use of cash across the Brookfield family of companies and provides Oaktree with the option to deposit excess operational cash.</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36</w:t>
      </w:r>
    </w:p>
    <w:p>
      <w:pPr>
        <w:sectPr>
          <w:pgSz w:w="11900" w:h="16838" w:orient="portrait"/>
          <w:cols w:equalWidth="0" w:num="1">
            <w:col w:w="11240"/>
          </w:cols>
          <w:pgMar w:left="320" w:top="353" w:right="339" w:bottom="1440" w:gutter="0" w:footer="0" w:header="0"/>
        </w:sectPr>
      </w:pPr>
    </w:p>
    <w:bookmarkStart w:id="176" w:name="page177"/>
    <w:bookmarkEnd w:id="176"/>
    <w:p>
      <w:pPr>
        <w:jc w:val="center"/>
        <w:spacing w:after="0"/>
        <w:rPr>
          <w:sz w:val="20"/>
          <w:szCs w:val="20"/>
          <w:color w:val="auto"/>
        </w:rPr>
      </w:pPr>
      <w:r>
        <w:rPr>
          <w:rFonts w:ascii="Arial" w:cs="Arial" w:eastAsia="Arial" w:hAnsi="Arial"/>
          <w:sz w:val="17"/>
          <w:szCs w:val="17"/>
          <w:b w:val="1"/>
          <w:bCs w:val="1"/>
          <w:color w:val="auto"/>
        </w:rPr>
        <w:t>Oaktree Capital I, L.P.</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 (Continued)</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December 31, 2025</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 in thousands, except where noted)</w:t>
      </w:r>
    </w:p>
    <w:p>
      <w:pPr>
        <w:spacing w:after="0" w:line="200" w:lineRule="exact"/>
        <w:rPr>
          <w:sz w:val="20"/>
          <w:szCs w:val="20"/>
          <w:color w:val="auto"/>
        </w:rPr>
      </w:pPr>
    </w:p>
    <w:p>
      <w:pPr>
        <w:spacing w:after="0" w:line="298" w:lineRule="exact"/>
        <w:rPr>
          <w:sz w:val="20"/>
          <w:szCs w:val="20"/>
          <w:color w:val="auto"/>
        </w:rPr>
      </w:pPr>
    </w:p>
    <w:p>
      <w:pPr>
        <w:jc w:val="both"/>
        <w:ind w:right="520" w:firstLine="619"/>
        <w:spacing w:after="0" w:line="290" w:lineRule="auto"/>
        <w:rPr>
          <w:sz w:val="20"/>
          <w:szCs w:val="20"/>
          <w:color w:val="auto"/>
        </w:rPr>
      </w:pPr>
      <w:r>
        <w:rPr>
          <w:rFonts w:ascii="Arial" w:cs="Arial" w:eastAsia="Arial" w:hAnsi="Arial"/>
          <w:sz w:val="17"/>
          <w:szCs w:val="17"/>
          <w:color w:val="auto"/>
        </w:rPr>
        <w:t>Oaktree can deposit cash from time to time, subject to the aggregate limits, and can withdraw deposited funds on two business days’ notice. Each deposit will earn interest on the outstanding principal amount at an agreed rate. There is no set maturity on any deposit balance.</w:t>
      </w:r>
    </w:p>
    <w:p>
      <w:pPr>
        <w:spacing w:after="0" w:line="172" w:lineRule="exact"/>
        <w:rPr>
          <w:sz w:val="20"/>
          <w:szCs w:val="20"/>
          <w:color w:val="auto"/>
        </w:rPr>
      </w:pPr>
    </w:p>
    <w:p>
      <w:pPr>
        <w:ind w:right="20" w:firstLine="619"/>
        <w:spacing w:after="0" w:line="265" w:lineRule="auto"/>
        <w:rPr>
          <w:sz w:val="20"/>
          <w:szCs w:val="20"/>
          <w:color w:val="auto"/>
        </w:rPr>
      </w:pPr>
      <w:r>
        <w:rPr>
          <w:rFonts w:ascii="Arial" w:cs="Arial" w:eastAsia="Arial" w:hAnsi="Arial"/>
          <w:sz w:val="17"/>
          <w:szCs w:val="17"/>
          <w:color w:val="auto"/>
        </w:rPr>
        <w:t>As of December 31, 2025 and 2024, the Company had $236.3 million and $0.6 million, respectively, on deposit with Brookfield, which was included in the U.S. Treasury and other securities. During the twelve months ended December 31, 2025 and six months ended December 31, 2024, the Company generated $6.3 million and $5.1 million of interest income on an average deposit balances of $143.0 million and $190.0 million, respectively, which were included in interest and dividend income.</w:t>
      </w:r>
    </w:p>
    <w:p>
      <w:pPr>
        <w:spacing w:after="0" w:line="218" w:lineRule="exact"/>
        <w:rPr>
          <w:sz w:val="20"/>
          <w:szCs w:val="20"/>
          <w:color w:val="auto"/>
        </w:rPr>
      </w:pPr>
    </w:p>
    <w:p>
      <w:pPr>
        <w:jc w:val="both"/>
        <w:ind w:right="8980" w:firstLine="3"/>
        <w:spacing w:after="0" w:line="444" w:lineRule="auto"/>
        <w:tabs>
          <w:tab w:leader="none" w:pos="287" w:val="left"/>
        </w:tabs>
        <w:numPr>
          <w:ilvl w:val="0"/>
          <w:numId w:val="73"/>
        </w:numPr>
        <w:rPr>
          <w:rFonts w:ascii="Arial" w:cs="Arial" w:eastAsia="Arial" w:hAnsi="Arial"/>
          <w:sz w:val="17"/>
          <w:szCs w:val="17"/>
          <w:b w:val="1"/>
          <w:bCs w:val="1"/>
          <w:color w:val="auto"/>
        </w:rPr>
      </w:pPr>
      <w:r>
        <w:rPr>
          <w:rFonts w:ascii="Arial" w:cs="Arial" w:eastAsia="Arial" w:hAnsi="Arial"/>
          <w:sz w:val="17"/>
          <w:szCs w:val="17"/>
          <w:b w:val="1"/>
          <w:bCs w:val="1"/>
          <w:color w:val="auto"/>
        </w:rPr>
        <w:t>SUBSEQUENT EVENTS Preferred Unit Distributions</w:t>
      </w:r>
    </w:p>
    <w:p>
      <w:pPr>
        <w:spacing w:after="0" w:line="1" w:lineRule="exact"/>
        <w:rPr>
          <w:sz w:val="20"/>
          <w:szCs w:val="20"/>
          <w:color w:val="auto"/>
        </w:rPr>
      </w:pPr>
    </w:p>
    <w:p>
      <w:pPr>
        <w:ind w:right="380" w:firstLine="181"/>
        <w:spacing w:after="0" w:line="290" w:lineRule="auto"/>
        <w:rPr>
          <w:sz w:val="20"/>
          <w:szCs w:val="20"/>
          <w:color w:val="auto"/>
        </w:rPr>
      </w:pPr>
      <w:r>
        <w:rPr>
          <w:rFonts w:ascii="Arial" w:cs="Arial" w:eastAsia="Arial" w:hAnsi="Arial"/>
          <w:sz w:val="17"/>
          <w:szCs w:val="17"/>
          <w:color w:val="auto"/>
        </w:rPr>
        <w:t>A distribution of $0.414063 per Series A preferred unit was paid on March 16, 2026 to Series A preferred unitholders of record at the close of business on March 1, 2026.</w:t>
      </w:r>
    </w:p>
    <w:p>
      <w:pPr>
        <w:spacing w:after="0" w:line="95" w:lineRule="exact"/>
        <w:rPr>
          <w:sz w:val="20"/>
          <w:szCs w:val="20"/>
          <w:color w:val="auto"/>
        </w:rPr>
      </w:pPr>
    </w:p>
    <w:p>
      <w:pPr>
        <w:ind w:right="380" w:firstLine="181"/>
        <w:spacing w:after="0" w:line="290" w:lineRule="auto"/>
        <w:rPr>
          <w:sz w:val="20"/>
          <w:szCs w:val="20"/>
          <w:color w:val="auto"/>
        </w:rPr>
      </w:pPr>
      <w:r>
        <w:rPr>
          <w:rFonts w:ascii="Arial" w:cs="Arial" w:eastAsia="Arial" w:hAnsi="Arial"/>
          <w:sz w:val="17"/>
          <w:szCs w:val="17"/>
          <w:color w:val="auto"/>
        </w:rPr>
        <w:t>A distribution of $0.409375 per Series B preferred unit was paid on March 16, 2026 to Series B preferred unitholders of record at the close of business on March 1, 2026.</w:t>
      </w:r>
    </w:p>
    <w:p>
      <w:pPr>
        <w:spacing w:after="0" w:line="9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Oaktree/Brookfield Transaction</w:t>
      </w:r>
    </w:p>
    <w:p>
      <w:pPr>
        <w:spacing w:after="0" w:line="155" w:lineRule="exact"/>
        <w:rPr>
          <w:sz w:val="20"/>
          <w:szCs w:val="20"/>
          <w:color w:val="auto"/>
        </w:rPr>
      </w:pPr>
    </w:p>
    <w:p>
      <w:pPr>
        <w:jc w:val="both"/>
        <w:ind w:firstLine="619"/>
        <w:spacing w:after="0" w:line="246" w:lineRule="auto"/>
        <w:rPr>
          <w:sz w:val="20"/>
          <w:szCs w:val="20"/>
          <w:color w:val="auto"/>
        </w:rPr>
      </w:pPr>
      <w:r>
        <w:rPr>
          <w:rFonts w:ascii="Arial" w:cs="Arial" w:eastAsia="Arial" w:hAnsi="Arial"/>
          <w:sz w:val="17"/>
          <w:szCs w:val="17"/>
          <w:color w:val="auto"/>
        </w:rPr>
        <w:t>On October 13, 2025, Oaktree and Brookfield announced that they have agreed on a proposed transaction whereby Brookfield will acquire the approximately 26% interest in Oaktree that it does not already own such that, upon completion of the proposed transaction, Brookfield will own 100% of Oaktree (such transaction, the “Remaining Interest Acquisition”). Subsequent to the Remaining Interest Acquisition, Brookfield will have 100% economic and voting interests in Oaktree and BOH. The Remaining Interest Acquisition is expected to close in the first half of 2026, subject to regulatory approvals and customary closing conditions.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37</w:t>
      </w:r>
    </w:p>
    <w:sectPr>
      <w:pgSz w:w="11900" w:h="16838" w:orient="portrait"/>
      <w:cols w:equalWidth="0" w:num="1">
        <w:col w:w="11240"/>
      </w:cols>
      <w:pgMar w:left="320" w:top="35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7465F01"/>
    <w:multiLevelType w:val="hybridMultilevel"/>
    <w:lvl w:ilvl="0">
      <w:lvlJc w:val="left"/>
      <w:lvlText w:val="☒"/>
      <w:numFmt w:val="bullet"/>
      <w:start w:val="1"/>
    </w:lvl>
  </w:abstractNum>
  <w:abstractNum w:abstractNumId="1">
    <w:nsid w:val="7724C67E"/>
    <w:multiLevelType w:val="hybridMultilevel"/>
    <w:lvl w:ilvl="0">
      <w:lvlJc w:val="left"/>
      <w:lvlText w:val="☐"/>
      <w:numFmt w:val="bullet"/>
      <w:start w:val="1"/>
    </w:lvl>
  </w:abstractNum>
  <w:abstractNum w:abstractNumId="2">
    <w:nsid w:val="5C482A97"/>
    <w:multiLevelType w:val="hybridMultilevel"/>
    <w:lvl w:ilvl="0">
      <w:lvlJc w:val="left"/>
      <w:lvlText w:val="•"/>
      <w:numFmt w:val="bullet"/>
      <w:start w:val="1"/>
    </w:lvl>
  </w:abstractNum>
  <w:abstractNum w:abstractNumId="3">
    <w:nsid w:val="2463B9EA"/>
    <w:multiLevelType w:val="hybridMultilevel"/>
    <w:lvl w:ilvl="0">
      <w:lvlJc w:val="left"/>
      <w:lvlText w:val="•"/>
      <w:numFmt w:val="bullet"/>
      <w:start w:val="1"/>
    </w:lvl>
  </w:abstractNum>
  <w:abstractNum w:abstractNumId="4">
    <w:nsid w:val="5E884ADC"/>
    <w:multiLevelType w:val="hybridMultilevel"/>
    <w:lvl w:ilvl="0">
      <w:lvlJc w:val="left"/>
      <w:lvlText w:val="•"/>
      <w:numFmt w:val="bullet"/>
      <w:start w:val="1"/>
    </w:lvl>
  </w:abstractNum>
  <w:abstractNum w:abstractNumId="5">
    <w:nsid w:val="51EAD36B"/>
    <w:multiLevelType w:val="hybridMultilevel"/>
    <w:lvl w:ilvl="0">
      <w:lvlJc w:val="left"/>
      <w:lvlText w:val="•"/>
      <w:numFmt w:val="bullet"/>
      <w:start w:val="1"/>
    </w:lvl>
  </w:abstractNum>
  <w:abstractNum w:abstractNumId="6">
    <w:nsid w:val="2D517796"/>
    <w:multiLevelType w:val="hybridMultilevel"/>
    <w:lvl w:ilvl="0">
      <w:lvlJc w:val="left"/>
      <w:lvlText w:val="•"/>
      <w:numFmt w:val="bullet"/>
      <w:start w:val="1"/>
    </w:lvl>
  </w:abstractNum>
  <w:abstractNum w:abstractNumId="7">
    <w:nsid w:val="580BD78F"/>
    <w:multiLevelType w:val="hybridMultilevel"/>
    <w:lvl w:ilvl="0">
      <w:lvlJc w:val="left"/>
      <w:lvlText w:val="(%1)"/>
      <w:numFmt w:val="decimal"/>
      <w:start w:val="1"/>
    </w:lvl>
  </w:abstractNum>
  <w:abstractNum w:abstractNumId="8">
    <w:nsid w:val="153EA438"/>
    <w:multiLevelType w:val="hybridMultilevel"/>
    <w:lvl w:ilvl="0">
      <w:lvlJc w:val="left"/>
      <w:lvlText w:val="(%1)"/>
      <w:numFmt w:val="decimal"/>
      <w:start w:val="1"/>
    </w:lvl>
  </w:abstractNum>
  <w:abstractNum w:abstractNumId="9">
    <w:nsid w:val="3855585C"/>
    <w:multiLevelType w:val="hybridMultilevel"/>
    <w:lvl w:ilvl="0">
      <w:lvlJc w:val="left"/>
      <w:lvlText w:val="(%1)"/>
      <w:numFmt w:val="decimal"/>
      <w:start w:val="1"/>
    </w:lvl>
  </w:abstractNum>
  <w:abstractNum w:abstractNumId="10">
    <w:nsid w:val="70A64E2A"/>
    <w:multiLevelType w:val="hybridMultilevel"/>
    <w:lvl w:ilvl="0">
      <w:lvlJc w:val="left"/>
      <w:lvlText w:val="(%1)"/>
      <w:numFmt w:val="decimal"/>
      <w:start w:val="1"/>
    </w:lvl>
  </w:abstractNum>
  <w:abstractNum w:abstractNumId="11">
    <w:nsid w:val="6A2342EC"/>
    <w:multiLevelType w:val="hybridMultilevel"/>
    <w:lvl w:ilvl="0">
      <w:lvlJc w:val="left"/>
      <w:lvlText w:val="(%1)"/>
      <w:numFmt w:val="decimal"/>
      <w:start w:val="1"/>
    </w:lvl>
  </w:abstractNum>
  <w:abstractNum w:abstractNumId="12">
    <w:nsid w:val="2A487CB0"/>
    <w:multiLevelType w:val="hybridMultilevel"/>
    <w:lvl w:ilvl="0">
      <w:lvlJc w:val="left"/>
      <w:lvlText w:val="(%1)"/>
      <w:numFmt w:val="decimal"/>
      <w:start w:val="5"/>
    </w:lvl>
  </w:abstractNum>
  <w:abstractNum w:abstractNumId="13">
    <w:nsid w:val="1D4ED43B"/>
    <w:multiLevelType w:val="hybridMultilevel"/>
    <w:lvl w:ilvl="0">
      <w:lvlJc w:val="left"/>
      <w:lvlText w:val="(%1)"/>
      <w:numFmt w:val="decimal"/>
      <w:start w:val="1"/>
    </w:lvl>
    <w:lvl w:ilvl="1">
      <w:lvlJc w:val="left"/>
      <w:lvlText w:val="(%2)"/>
      <w:numFmt w:val="lowerRoman"/>
      <w:start w:val="2"/>
    </w:lvl>
  </w:abstractNum>
  <w:abstractNum w:abstractNumId="14">
    <w:nsid w:val="725A06FB"/>
    <w:multiLevelType w:val="hybridMultilevel"/>
    <w:lvl w:ilvl="0">
      <w:lvlJc w:val="left"/>
      <w:lvlText w:val="•"/>
      <w:numFmt w:val="bullet"/>
      <w:start w:val="1"/>
    </w:lvl>
  </w:abstractNum>
  <w:abstractNum w:abstractNumId="15">
    <w:nsid w:val="2CD89A32"/>
    <w:multiLevelType w:val="hybridMultilevel"/>
    <w:lvl w:ilvl="0">
      <w:lvlJc w:val="left"/>
      <w:lvlText w:val="•"/>
      <w:numFmt w:val="bullet"/>
      <w:start w:val="1"/>
    </w:lvl>
  </w:abstractNum>
  <w:abstractNum w:abstractNumId="16">
    <w:nsid w:val="57E4CCAF"/>
    <w:multiLevelType w:val="hybridMultilevel"/>
    <w:lvl w:ilvl="0">
      <w:lvlJc w:val="left"/>
      <w:lvlText w:val="•"/>
      <w:numFmt w:val="bullet"/>
      <w:start w:val="1"/>
    </w:lvl>
  </w:abstractNum>
  <w:abstractNum w:abstractNumId="17">
    <w:nsid w:val="7A6D8D3C"/>
    <w:multiLevelType w:val="hybridMultilevel"/>
    <w:lvl w:ilvl="0">
      <w:lvlJc w:val="left"/>
      <w:lvlText w:val="•"/>
      <w:numFmt w:val="bullet"/>
      <w:start w:val="1"/>
    </w:lvl>
  </w:abstractNum>
  <w:abstractNum w:abstractNumId="18">
    <w:nsid w:val="4B588F54"/>
    <w:multiLevelType w:val="hybridMultilevel"/>
    <w:lvl w:ilvl="0">
      <w:lvlJc w:val="left"/>
      <w:lvlText w:val="•"/>
      <w:numFmt w:val="bullet"/>
      <w:start w:val="1"/>
    </w:lvl>
  </w:abstractNum>
  <w:abstractNum w:abstractNumId="19">
    <w:nsid w:val="542289EC"/>
    <w:multiLevelType w:val="hybridMultilevel"/>
    <w:lvl w:ilvl="0">
      <w:lvlJc w:val="left"/>
      <w:lvlText w:val="•"/>
      <w:numFmt w:val="bullet"/>
      <w:start w:val="1"/>
    </w:lvl>
  </w:abstractNum>
  <w:abstractNum w:abstractNumId="20">
    <w:nsid w:val="6DE91B18"/>
    <w:multiLevelType w:val="hybridMultilevel"/>
    <w:lvl w:ilvl="0">
      <w:lvlJc w:val="left"/>
      <w:lvlText w:val="(%1)"/>
      <w:numFmt w:val="decimal"/>
      <w:start w:val="1"/>
    </w:lvl>
  </w:abstractNum>
  <w:abstractNum w:abstractNumId="21">
    <w:nsid w:val="38437FDB"/>
    <w:multiLevelType w:val="hybridMultilevel"/>
    <w:lvl w:ilvl="0">
      <w:lvlJc w:val="left"/>
      <w:lvlText w:val="•"/>
      <w:numFmt w:val="bullet"/>
      <w:start w:val="1"/>
    </w:lvl>
  </w:abstractNum>
  <w:abstractNum w:abstractNumId="22">
    <w:nsid w:val="7644A45C"/>
    <w:multiLevelType w:val="hybridMultilevel"/>
    <w:lvl w:ilvl="0">
      <w:lvlJc w:val="left"/>
      <w:lvlText w:val="(%1)"/>
      <w:numFmt w:val="lowerLetter"/>
      <w:start w:val="5"/>
    </w:lvl>
  </w:abstractNum>
  <w:abstractNum w:abstractNumId="23">
    <w:nsid w:val="32FFF902"/>
    <w:multiLevelType w:val="hybridMultilevel"/>
    <w:lvl w:ilvl="0">
      <w:lvlJc w:val="left"/>
      <w:lvlText w:val="(%1)"/>
      <w:numFmt w:val="lowerLetter"/>
      <w:start w:val="3"/>
    </w:lvl>
  </w:abstractNum>
  <w:abstractNum w:abstractNumId="24">
    <w:nsid w:val="684A481A"/>
    <w:multiLevelType w:val="hybridMultilevel"/>
    <w:lvl w:ilvl="0">
      <w:lvlJc w:val="left"/>
      <w:lvlText w:val="%1"/>
      <w:numFmt w:val="upperLetter"/>
      <w:start w:val="35"/>
    </w:lvl>
  </w:abstractNum>
  <w:abstractNum w:abstractNumId="25">
    <w:nsid w:val="579478FE"/>
    <w:multiLevelType w:val="hybridMultilevel"/>
    <w:lvl w:ilvl="0">
      <w:lvlJc w:val="left"/>
      <w:lvlText w:val="•"/>
      <w:numFmt w:val="bullet"/>
      <w:start w:val="1"/>
    </w:lvl>
  </w:abstractNum>
  <w:abstractNum w:abstractNumId="26">
    <w:nsid w:val="749ABB43"/>
    <w:multiLevelType w:val="hybridMultilevel"/>
    <w:lvl w:ilvl="0">
      <w:lvlJc w:val="left"/>
      <w:lvlText w:val="(%1)"/>
      <w:numFmt w:val="decimal"/>
      <w:start w:val="1"/>
    </w:lvl>
  </w:abstractNum>
  <w:abstractNum w:abstractNumId="27">
    <w:nsid w:val="3DC240FB"/>
    <w:multiLevelType w:val="hybridMultilevel"/>
    <w:lvl w:ilvl="0">
      <w:lvlJc w:val="left"/>
      <w:lvlText w:val="(%1)"/>
      <w:numFmt w:val="decimal"/>
      <w:start w:val="2"/>
    </w:lvl>
  </w:abstractNum>
  <w:abstractNum w:abstractNumId="28">
    <w:nsid w:val="1BA026FA"/>
    <w:multiLevelType w:val="hybridMultilevel"/>
    <w:lvl w:ilvl="0">
      <w:lvlJc w:val="left"/>
      <w:lvlText w:val="%1."/>
      <w:numFmt w:val="decimal"/>
      <w:start w:val="2"/>
    </w:lvl>
  </w:abstractNum>
  <w:abstractNum w:abstractNumId="29">
    <w:nsid w:val="79A1DEAA"/>
    <w:multiLevelType w:val="hybridMultilevel"/>
    <w:lvl w:ilvl="0">
      <w:lvlJc w:val="left"/>
      <w:lvlText w:val="•"/>
      <w:numFmt w:val="bullet"/>
      <w:start w:val="1"/>
    </w:lvl>
  </w:abstractNum>
  <w:abstractNum w:abstractNumId="30">
    <w:nsid w:val="75C6C33A"/>
    <w:multiLevelType w:val="hybridMultilevel"/>
    <w:lvl w:ilvl="0">
      <w:lvlJc w:val="left"/>
      <w:lvlText w:val="•"/>
      <w:numFmt w:val="bullet"/>
      <w:start w:val="1"/>
    </w:lvl>
  </w:abstractNum>
  <w:abstractNum w:abstractNumId="31">
    <w:nsid w:val="12E685FB"/>
    <w:multiLevelType w:val="hybridMultilevel"/>
    <w:lvl w:ilvl="0">
      <w:lvlJc w:val="left"/>
      <w:lvlText w:val="•"/>
      <w:numFmt w:val="bullet"/>
      <w:start w:val="1"/>
    </w:lvl>
  </w:abstractNum>
  <w:abstractNum w:abstractNumId="32">
    <w:nsid w:val="70C6A529"/>
    <w:multiLevelType w:val="hybridMultilevel"/>
    <w:lvl w:ilvl="0">
      <w:lvlJc w:val="left"/>
      <w:lvlText w:val="%1."/>
      <w:numFmt w:val="decimal"/>
      <w:start w:val="5"/>
    </w:lvl>
  </w:abstractNum>
  <w:abstractNum w:abstractNumId="33">
    <w:nsid w:val="520EEDD1"/>
    <w:multiLevelType w:val="hybridMultilevel"/>
    <w:lvl w:ilvl="0">
      <w:lvlJc w:val="left"/>
      <w:lvlText w:val="%1"/>
      <w:numFmt w:val="decimal"/>
      <w:start w:val="1"/>
    </w:lvl>
    <w:lvl w:ilvl="1">
      <w:lvlJc w:val="left"/>
      <w:lvlText w:val="(%2)"/>
      <w:numFmt w:val="decimal"/>
      <w:start w:val="1"/>
    </w:lvl>
  </w:abstractNum>
  <w:abstractNum w:abstractNumId="34">
    <w:nsid w:val="374A3FE6"/>
    <w:multiLevelType w:val="hybridMultilevel"/>
    <w:lvl w:ilvl="0">
      <w:lvlJc w:val="left"/>
      <w:lvlText w:val="(%1)"/>
      <w:numFmt w:val="decimal"/>
      <w:start w:val="2"/>
    </w:lvl>
    <w:lvl w:ilvl="1">
      <w:lvlJc w:val="left"/>
      <w:lvlText w:val="%2"/>
      <w:numFmt w:val="decimal"/>
      <w:start w:val="1"/>
    </w:lvl>
  </w:abstractNum>
  <w:abstractNum w:abstractNumId="35">
    <w:nsid w:val="4F4EF005"/>
    <w:multiLevelType w:val="hybridMultilevel"/>
    <w:lvl w:ilvl="0">
      <w:lvlJc w:val="left"/>
      <w:lvlText w:val="(%1)"/>
      <w:numFmt w:val="decimal"/>
      <w:start w:val="1"/>
    </w:lvl>
  </w:abstractNum>
  <w:abstractNum w:abstractNumId="36">
    <w:nsid w:val="23F9C13C"/>
    <w:multiLevelType w:val="hybridMultilevel"/>
    <w:lvl w:ilvl="0">
      <w:lvlJc w:val="left"/>
      <w:lvlText w:val="(%1)"/>
      <w:numFmt w:val="decimal"/>
      <w:start w:val="1"/>
    </w:lvl>
  </w:abstractNum>
  <w:abstractNum w:abstractNumId="37">
    <w:nsid w:val="649BB77C"/>
    <w:multiLevelType w:val="hybridMultilevel"/>
    <w:lvl w:ilvl="0">
      <w:lvlJc w:val="left"/>
      <w:lvlText w:val="(%1)"/>
      <w:numFmt w:val="decimal"/>
      <w:start w:val="10"/>
    </w:lvl>
  </w:abstractNum>
  <w:abstractNum w:abstractNumId="38">
    <w:nsid w:val="275AC794"/>
    <w:multiLevelType w:val="hybridMultilevel"/>
    <w:lvl w:ilvl="0">
      <w:lvlJc w:val="left"/>
      <w:lvlText w:val="(%1)"/>
      <w:numFmt w:val="decimal"/>
      <w:start w:val="1"/>
    </w:lvl>
  </w:abstractNum>
  <w:abstractNum w:abstractNumId="39">
    <w:nsid w:val="39386575"/>
    <w:multiLevelType w:val="hybridMultilevel"/>
    <w:lvl w:ilvl="0">
      <w:lvlJc w:val="left"/>
      <w:lvlText w:val="(%1)"/>
      <w:numFmt w:val="decimal"/>
      <w:start w:val="1"/>
    </w:lvl>
  </w:abstractNum>
  <w:abstractNum w:abstractNumId="40">
    <w:nsid w:val="1CF10FD8"/>
    <w:multiLevelType w:val="hybridMultilevel"/>
    <w:lvl w:ilvl="0">
      <w:lvlJc w:val="left"/>
      <w:lvlText w:val="%1"/>
      <w:numFmt w:val="upperLetter"/>
      <w:start w:val="35"/>
    </w:lvl>
  </w:abstractNum>
  <w:abstractNum w:abstractNumId="41">
    <w:nsid w:val="180115BE"/>
    <w:multiLevelType w:val="hybridMultilevel"/>
    <w:lvl w:ilvl="0">
      <w:lvlJc w:val="left"/>
      <w:lvlText w:val="%1."/>
      <w:numFmt w:val="decimal"/>
      <w:start w:val="17"/>
    </w:lvl>
  </w:abstractNum>
  <w:abstractNum w:abstractNumId="42">
    <w:nsid w:val="235BA861"/>
    <w:multiLevelType w:val="hybridMultilevel"/>
    <w:lvl w:ilvl="0">
      <w:lvlJc w:val="left"/>
      <w:lvlText w:val="(%1)"/>
      <w:numFmt w:val="decimal"/>
      <w:start w:val="1"/>
    </w:lvl>
  </w:abstractNum>
  <w:abstractNum w:abstractNumId="43">
    <w:nsid w:val="47398C89"/>
    <w:multiLevelType w:val="hybridMultilevel"/>
    <w:lvl w:ilvl="0">
      <w:lvlJc w:val="left"/>
      <w:lvlText w:val="•"/>
      <w:numFmt w:val="bullet"/>
      <w:start w:val="1"/>
    </w:lvl>
  </w:abstractNum>
  <w:abstractNum w:abstractNumId="44">
    <w:nsid w:val="354FE9F9"/>
    <w:multiLevelType w:val="hybridMultilevel"/>
    <w:lvl w:ilvl="0">
      <w:lvlJc w:val="left"/>
      <w:lvlText w:val="•"/>
      <w:numFmt w:val="bullet"/>
      <w:start w:val="1"/>
    </w:lvl>
  </w:abstractNum>
  <w:abstractNum w:abstractNumId="45">
    <w:nsid w:val="15B5AF5C"/>
    <w:multiLevelType w:val="hybridMultilevel"/>
    <w:lvl w:ilvl="0">
      <w:lvlJc w:val="left"/>
      <w:lvlText w:val="(%1)"/>
      <w:numFmt w:val="decimal"/>
      <w:start w:val="1"/>
    </w:lvl>
  </w:abstractNum>
  <w:abstractNum w:abstractNumId="46">
    <w:nsid w:val="741226BB"/>
    <w:multiLevelType w:val="hybridMultilevel"/>
    <w:lvl w:ilvl="0">
      <w:lvlJc w:val="left"/>
      <w:lvlText w:val="•"/>
      <w:numFmt w:val="bullet"/>
      <w:start w:val="1"/>
    </w:lvl>
  </w:abstractNum>
  <w:abstractNum w:abstractNumId="47">
    <w:nsid w:val="D34B6A8"/>
    <w:multiLevelType w:val="hybridMultilevel"/>
    <w:lvl w:ilvl="0">
      <w:lvlJc w:val="left"/>
      <w:lvlText w:val="*"/>
      <w:numFmt w:val="bullet"/>
      <w:start w:val="1"/>
    </w:lvl>
  </w:abstractNum>
  <w:abstractNum w:abstractNumId="48">
    <w:nsid w:val="10233C99"/>
    <w:multiLevelType w:val="hybridMultilevel"/>
    <w:lvl w:ilvl="0">
      <w:lvlJc w:val="left"/>
      <w:lvlText w:val="(%1)"/>
      <w:numFmt w:val="decimal"/>
      <w:start w:val="1"/>
    </w:lvl>
  </w:abstractNum>
  <w:abstractNum w:abstractNumId="49">
    <w:nsid w:val="3F6AB60F"/>
    <w:multiLevelType w:val="hybridMultilevel"/>
    <w:lvl w:ilvl="0">
      <w:lvlJc w:val="left"/>
      <w:lvlText w:val="(%1)"/>
      <w:numFmt w:val="decimal"/>
      <w:start w:val="1"/>
    </w:lvl>
  </w:abstractNum>
  <w:abstractNum w:abstractNumId="50">
    <w:nsid w:val="61574095"/>
    <w:multiLevelType w:val="hybridMultilevel"/>
    <w:lvl w:ilvl="0">
      <w:lvlJc w:val="left"/>
      <w:lvlText w:val="(%1)"/>
      <w:numFmt w:val="lowerLetter"/>
      <w:start w:val="1"/>
    </w:lvl>
    <w:lvl w:ilvl="1">
      <w:lvlJc w:val="left"/>
      <w:lvlText w:val="(%2)"/>
      <w:numFmt w:val="decimal"/>
      <w:start w:val="1"/>
    </w:lvl>
  </w:abstractNum>
  <w:abstractNum w:abstractNumId="51">
    <w:nsid w:val="7E0C57B1"/>
    <w:multiLevelType w:val="hybridMultilevel"/>
    <w:lvl w:ilvl="0">
      <w:lvlJc w:val="left"/>
      <w:lvlText w:val="%1"/>
      <w:numFmt w:val="decimal"/>
      <w:start w:val="97"/>
    </w:lvl>
  </w:abstractNum>
  <w:abstractNum w:abstractNumId="52">
    <w:nsid w:val="77AE35EB"/>
    <w:multiLevelType w:val="hybridMultilevel"/>
    <w:lvl w:ilvl="0">
      <w:lvlJc w:val="left"/>
      <w:lvlText w:val="*"/>
      <w:numFmt w:val="bullet"/>
      <w:start w:val="1"/>
    </w:lvl>
  </w:abstractNum>
  <w:abstractNum w:abstractNumId="53">
    <w:nsid w:val="579BE4F1"/>
    <w:multiLevelType w:val="hybridMultilevel"/>
    <w:lvl w:ilvl="0">
      <w:lvlJc w:val="left"/>
      <w:lvlText w:val="%1."/>
      <w:numFmt w:val="decimal"/>
      <w:start w:val="1"/>
    </w:lvl>
    <w:lvl w:ilvl="1">
      <w:lvlJc w:val="left"/>
      <w:lvlText w:val="(%2)"/>
      <w:numFmt w:val="lowerLetter"/>
      <w:start w:val="1"/>
    </w:lvl>
  </w:abstractNum>
  <w:abstractNum w:abstractNumId="54">
    <w:nsid w:val="310C50B3"/>
    <w:multiLevelType w:val="hybridMultilevel"/>
    <w:lvl w:ilvl="0">
      <w:lvlJc w:val="left"/>
      <w:lvlText w:val="%1."/>
      <w:numFmt w:val="decimal"/>
      <w:start w:val="1"/>
    </w:lvl>
    <w:lvl w:ilvl="1">
      <w:lvlJc w:val="left"/>
      <w:lvlText w:val="(%2)"/>
      <w:numFmt w:val="lowerLetter"/>
      <w:start w:val="1"/>
    </w:lvl>
  </w:abstractNum>
  <w:abstractNum w:abstractNumId="55">
    <w:nsid w:val="5FF87E05"/>
    <w:multiLevelType w:val="hybridMultilevel"/>
    <w:lvl w:ilvl="0">
      <w:lvlJc w:val="left"/>
      <w:lvlText w:val="(%1)"/>
      <w:numFmt w:val="decimal"/>
      <w:start w:val="1"/>
    </w:lvl>
  </w:abstractNum>
  <w:abstractNum w:abstractNumId="56">
    <w:nsid w:val="2F305DEF"/>
    <w:multiLevelType w:val="hybridMultilevel"/>
    <w:lvl w:ilvl="0">
      <w:lvlJc w:val="left"/>
      <w:lvlText w:val="(%1)"/>
      <w:numFmt w:val="decimal"/>
      <w:start w:val="1"/>
    </w:lvl>
  </w:abstractNum>
  <w:abstractNum w:abstractNumId="57">
    <w:nsid w:val="25A70BF7"/>
    <w:multiLevelType w:val="hybridMultilevel"/>
    <w:lvl w:ilvl="0">
      <w:lvlJc w:val="left"/>
      <w:lvlText w:val="•"/>
      <w:numFmt w:val="bullet"/>
      <w:start w:val="1"/>
    </w:lvl>
  </w:abstractNum>
  <w:abstractNum w:abstractNumId="58">
    <w:nsid w:val="1DBABF00"/>
    <w:multiLevelType w:val="hybridMultilevel"/>
    <w:lvl w:ilvl="0">
      <w:lvlJc w:val="left"/>
      <w:lvlText w:val="•"/>
      <w:numFmt w:val="bullet"/>
      <w:start w:val="1"/>
    </w:lvl>
  </w:abstractNum>
  <w:abstractNum w:abstractNumId="59">
    <w:nsid w:val="4AD084E9"/>
    <w:multiLevelType w:val="hybridMultilevel"/>
    <w:lvl w:ilvl="0">
      <w:lvlJc w:val="left"/>
      <w:lvlText w:val="%1."/>
      <w:numFmt w:val="decimal"/>
      <w:start w:val="2"/>
    </w:lvl>
  </w:abstractNum>
  <w:abstractNum w:abstractNumId="60">
    <w:nsid w:val="1F48EAA1"/>
    <w:multiLevelType w:val="hybridMultilevel"/>
    <w:lvl w:ilvl="0">
      <w:lvlJc w:val="left"/>
      <w:lvlText w:val="•"/>
      <w:numFmt w:val="bullet"/>
      <w:start w:val="1"/>
    </w:lvl>
  </w:abstractNum>
  <w:abstractNum w:abstractNumId="61">
    <w:nsid w:val="1381823A"/>
    <w:multiLevelType w:val="hybridMultilevel"/>
    <w:lvl w:ilvl="0">
      <w:lvlJc w:val="left"/>
      <w:lvlText w:val="(%1)"/>
      <w:numFmt w:val="decimal"/>
      <w:start w:val="1"/>
    </w:lvl>
  </w:abstractNum>
  <w:abstractNum w:abstractNumId="62">
    <w:nsid w:val="5DB70AE5"/>
    <w:multiLevelType w:val="hybridMultilevel"/>
    <w:lvl w:ilvl="0">
      <w:lvlJc w:val="left"/>
      <w:lvlText w:val="(%1)"/>
      <w:numFmt w:val="decimal"/>
      <w:start w:val="1"/>
    </w:lvl>
  </w:abstractNum>
  <w:abstractNum w:abstractNumId="63">
    <w:nsid w:val="100F8FCA"/>
    <w:multiLevelType w:val="hybridMultilevel"/>
    <w:lvl w:ilvl="0">
      <w:lvlJc w:val="left"/>
      <w:lvlText w:val="(%1)"/>
      <w:numFmt w:val="decimal"/>
      <w:start w:val="1"/>
    </w:lvl>
  </w:abstractNum>
  <w:abstractNum w:abstractNumId="64">
    <w:nsid w:val="6590700B"/>
    <w:multiLevelType w:val="hybridMultilevel"/>
    <w:lvl w:ilvl="0">
      <w:lvlJc w:val="left"/>
      <w:lvlText w:val="(%1)"/>
      <w:numFmt w:val="decimal"/>
      <w:start w:val="1"/>
    </w:lvl>
  </w:abstractNum>
  <w:abstractNum w:abstractNumId="65">
    <w:nsid w:val="15014ACB"/>
    <w:multiLevelType w:val="hybridMultilevel"/>
    <w:lvl w:ilvl="0">
      <w:lvlJc w:val="left"/>
      <w:lvlText w:val="(%1)"/>
      <w:numFmt w:val="decimal"/>
      <w:start w:val="1"/>
    </w:lvl>
  </w:abstractNum>
  <w:abstractNum w:abstractNumId="66">
    <w:nsid w:val="5F5E7FD0"/>
    <w:multiLevelType w:val="hybridMultilevel"/>
    <w:lvl w:ilvl="0">
      <w:lvlJc w:val="left"/>
      <w:lvlText w:val="(%1)"/>
      <w:numFmt w:val="decimal"/>
      <w:start w:val="3"/>
    </w:lvl>
  </w:abstractNum>
  <w:abstractNum w:abstractNumId="67">
    <w:nsid w:val="98A3148"/>
    <w:multiLevelType w:val="hybridMultilevel"/>
    <w:lvl w:ilvl="0">
      <w:lvlJc w:val="left"/>
      <w:lvlText w:val="(%1)"/>
      <w:numFmt w:val="decimal"/>
      <w:start w:val="1"/>
    </w:lvl>
  </w:abstractNum>
  <w:abstractNum w:abstractNumId="68">
    <w:nsid w:val="799D0247"/>
    <w:multiLevelType w:val="hybridMultilevel"/>
    <w:lvl w:ilvl="0">
      <w:lvlJc w:val="left"/>
      <w:lvlText w:val="%1."/>
      <w:numFmt w:val="decimal"/>
      <w:start w:val="9"/>
    </w:lvl>
  </w:abstractNum>
  <w:abstractNum w:abstractNumId="69">
    <w:nsid w:val="6B94764"/>
    <w:multiLevelType w:val="hybridMultilevel"/>
    <w:lvl w:ilvl="0">
      <w:lvlJc w:val="left"/>
      <w:lvlText w:val="(%1)"/>
      <w:numFmt w:val="decimal"/>
      <w:start w:val="1"/>
    </w:lvl>
  </w:abstractNum>
  <w:abstractNum w:abstractNumId="70">
    <w:nsid w:val="42C296BD"/>
    <w:multiLevelType w:val="hybridMultilevel"/>
    <w:lvl w:ilvl="0">
      <w:lvlJc w:val="left"/>
      <w:lvlText w:val="(%1)"/>
      <w:numFmt w:val="decimal"/>
      <w:start w:val="1"/>
    </w:lvl>
  </w:abstractNum>
  <w:abstractNum w:abstractNumId="71">
    <w:nsid w:val="168E121F"/>
    <w:multiLevelType w:val="hybridMultilevel"/>
    <w:lvl w:ilvl="0">
      <w:lvlJc w:val="left"/>
      <w:lvlText w:val="(%1)"/>
      <w:numFmt w:val="decimal"/>
      <w:start w:val="2"/>
    </w:lvl>
  </w:abstractNum>
  <w:abstractNum w:abstractNumId="72">
    <w:nsid w:val="1EBA5D23"/>
    <w:multiLevelType w:val="hybridMultilevel"/>
    <w:lvl w:ilvl="0">
      <w:lvlJc w:val="left"/>
      <w:lvlText w:val="%1."/>
      <w:numFmt w:val="decimal"/>
      <w:start w:val="1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74" Type="http://schemas.openxmlformats.org/officeDocument/2006/relationships/image" Target="media/image155.png"/><Relationship Id="rId190" Type="http://schemas.openxmlformats.org/officeDocument/2006/relationships/image" Target="media/image156.png"/><Relationship Id="rId191" Type="http://schemas.openxmlformats.org/officeDocument/2006/relationships/image" Target="media/image157.png"/><Relationship Id="rId197" Type="http://schemas.openxmlformats.org/officeDocument/2006/relationships/image" Target="media/image158.png"/><Relationship Id="rId198" Type="http://schemas.openxmlformats.org/officeDocument/2006/relationships/image" Target="media/image159.png"/><Relationship Id="rId199" Type="http://schemas.openxmlformats.org/officeDocument/2006/relationships/image" Target="media/image160.png"/><Relationship Id="rId200" Type="http://schemas.openxmlformats.org/officeDocument/2006/relationships/image" Target="media/image161.png"/><Relationship Id="rId201" Type="http://schemas.openxmlformats.org/officeDocument/2006/relationships/image" Target="media/image162.png"/><Relationship Id="rId202" Type="http://schemas.openxmlformats.org/officeDocument/2006/relationships/image" Target="media/image163.png"/><Relationship Id="rId203" Type="http://schemas.openxmlformats.org/officeDocument/2006/relationships/image" Target="media/image164.png"/><Relationship Id="rId204" Type="http://schemas.openxmlformats.org/officeDocument/2006/relationships/image" Target="media/image165.png"/><Relationship Id="rId205" Type="http://schemas.openxmlformats.org/officeDocument/2006/relationships/image" Target="media/image166.png"/><Relationship Id="rId162" Type="http://schemas.openxmlformats.org/officeDocument/2006/relationships/hyperlink" Target="https://www.sec.gov/Archives/edgar/data/1403528/000140352824000019/a31.htm" TargetMode="External"/><Relationship Id="rId163" Type="http://schemas.openxmlformats.org/officeDocument/2006/relationships/hyperlink" Target="https://www.sec.gov/Archives/edgar/data/1403528/000140352824000019/brookfieldoaktreeholdingsl.htm" TargetMode="External"/><Relationship Id="rId164" Type="http://schemas.openxmlformats.org/officeDocument/2006/relationships/hyperlink" Target="https://www.sec.gov/Archives/edgar/data/1403528/000119312518166699/d585342dex41.htm" TargetMode="External"/><Relationship Id="rId165" Type="http://schemas.openxmlformats.org/officeDocument/2006/relationships/hyperlink" Target="https://www.sec.gov/Archives/edgar/data/1403528/000119312518244300/d557060dex41.htm" TargetMode="External"/><Relationship Id="rId166" Type="http://schemas.openxmlformats.org/officeDocument/2006/relationships/hyperlink" Target="https://www.sec.gov/Archives/edgar/data/1403528/000140352820000003/exhibit411descriptiono.htm" TargetMode="External"/><Relationship Id="rId167" Type="http://schemas.openxmlformats.org/officeDocument/2006/relationships/hyperlink" Target="https://www.sec.gov/Archives/edgar/data/1403528/000140352825000039/oaktreecapitalilp-lpagr_.htm" TargetMode="External"/><Relationship Id="rId168" Type="http://schemas.openxmlformats.org/officeDocument/2006/relationships/hyperlink" Target="https://www.sec.gov/Archives/edgar/data/1403528/000140352819000027/exhibit1023q2019.htm" TargetMode="External"/><Relationship Id="rId169" Type="http://schemas.openxmlformats.org/officeDocument/2006/relationships/hyperlink" Target="https://www.sec.gov/Archives/edgar/data/1403528/000140352819000027/exhibit1033q2019.htm" TargetMode="External"/><Relationship Id="rId170" Type="http://schemas.openxmlformats.org/officeDocument/2006/relationships/hyperlink" Target="https://www.sec.gov/Archives/edgar/data/1403528/000140352823000028/exh101-amendmenttothirdart.htm" TargetMode="External"/><Relationship Id="rId171" Type="http://schemas.openxmlformats.org/officeDocument/2006/relationships/hyperlink" Target="https://www.sec.gov/Archives/edgar/data/1403528/000140352825000013/a104-fifthamendedandrestat.htm" TargetMode="External"/><Relationship Id="rId172" Type="http://schemas.openxmlformats.org/officeDocument/2006/relationships/hyperlink" Target="https://www.sec.gov/Archives/edgar/data/1403528/000140352820000003/exhibit106ocmlp-ocgser.htm" TargetMode="External"/><Relationship Id="rId173" Type="http://schemas.openxmlformats.org/officeDocument/2006/relationships/hyperlink" Target="https://www.sec.gov/Archives/edgar/data/1403528/000140352822000003/exhibit10127tharlpa6-30x21.htm" TargetMode="External"/><Relationship Id="rId175" Type="http://schemas.openxmlformats.org/officeDocument/2006/relationships/hyperlink" Target="https://www.sec.gov/Archives/edgar/data/1403528/000140352824000019/a108workiva.htm" TargetMode="External"/><Relationship Id="rId176" Type="http://schemas.openxmlformats.org/officeDocument/2006/relationships/hyperlink" Target="https://www.sec.gov/Archives/edgar/data/1403528/000140352815000009/exhibit1020201410k.htm" TargetMode="External"/><Relationship Id="rId177" Type="http://schemas.openxmlformats.org/officeDocument/2006/relationships/hyperlink" Target="https://www.sec.gov/Archives/edgar/data/1403528/000140352819000007/exhibit1021201810k.htm" TargetMode="External"/><Relationship Id="rId178" Type="http://schemas.openxmlformats.org/officeDocument/2006/relationships/hyperlink" Target="https://www.sec.gov/Archives/edgar/data/1403528/000140352816000054/exhibit103-formofocghrestr.htm" TargetMode="External"/><Relationship Id="rId179" Type="http://schemas.openxmlformats.org/officeDocument/2006/relationships/hyperlink" Target="https://www.sec.gov/Archives/edgar/data/1403528/000140352819000007/exhibit1023201810k.htm" TargetMode="External"/><Relationship Id="rId180" Type="http://schemas.openxmlformats.org/officeDocument/2006/relationships/hyperlink" Target="https://www.sec.gov/Archives/edgar/data/1403528/000140352824000019/a1042023_1015.htm" TargetMode="External"/><Relationship Id="rId181" Type="http://schemas.openxmlformats.org/officeDocument/2006/relationships/hyperlink" Target="https://www.sec.gov/Archives/edgar/data/1403528/000140352824000019/a1052023_1016.htm" TargetMode="External"/><Relationship Id="rId182" Type="http://schemas.openxmlformats.org/officeDocument/2006/relationships/hyperlink" Target="https://www.sec.gov/Archives/edgar/data/1403528/000140352824000019/a1017clarity-letteragreeme.htm" TargetMode="External"/><Relationship Id="rId183" Type="http://schemas.openxmlformats.org/officeDocument/2006/relationships/hyperlink" Target="https://www.sec.gov/Archives/edgar/data/1713407/000119312521322863/d255986dex11.htm" TargetMode="External"/><Relationship Id="rId184" Type="http://schemas.openxmlformats.org/officeDocument/2006/relationships/hyperlink" Target="https://www.sec.gov/Archives/edgar/data/1713407/000119312522085122/d339957dex101.htm" TargetMode="External"/><Relationship Id="rId185" Type="http://schemas.openxmlformats.org/officeDocument/2006/relationships/hyperlink" Target="https://www.sec.gov/Archives/edgar/data/1713407/000171340722000071/exhibit101.htm" TargetMode="External"/><Relationship Id="rId186" Type="http://schemas.openxmlformats.org/officeDocument/2006/relationships/hyperlink" Target="https://www.sec.gov/Archives/edgar/data/1713407/000119312521322863/d255986dex103.htm" TargetMode="External"/><Relationship Id="rId187" Type="http://schemas.openxmlformats.org/officeDocument/2006/relationships/hyperlink" Target="https://www.sec.gov/Archives/edgar/data/1713407/000119312522085122/d339957dex103.htm" TargetMode="External"/><Relationship Id="rId188" Type="http://schemas.openxmlformats.org/officeDocument/2006/relationships/hyperlink" Target="https://www.sec.gov/Archives/edgar/data/1713407/000119312521322863/d255986dex104.htm" TargetMode="External"/><Relationship Id="rId189" Type="http://schemas.openxmlformats.org/officeDocument/2006/relationships/hyperlink" Target="https://www.sec.gov/Archives/edgar/data/1713407/000119312521322863/d255986dex106.htm" TargetMode="External"/><Relationship Id="rId192" Type="http://schemas.openxmlformats.org/officeDocument/2006/relationships/hyperlink" Target="https://www.sec.gov/Archives/edgar/data/1713407/000171340722000091/exh101asof09302022.htm" TargetMode="External"/><Relationship Id="rId193" Type="http://schemas.openxmlformats.org/officeDocument/2006/relationships/hyperlink" Target="https://www.sec.gov/Archives/edgar/data/1403528/000140352824000019/a1026workiva.htm" TargetMode="External"/><Relationship Id="rId194" Type="http://schemas.openxmlformats.org/officeDocument/2006/relationships/hyperlink" Target="https://www.sec.gov/Archives/edgar/data/1403528/000140352821000007/exhibit1021ocglongtermince.htm" TargetMode="External"/><Relationship Id="rId195" Type="http://schemas.openxmlformats.org/officeDocument/2006/relationships/hyperlink" Target="https://www.sec.gov/Archives/edgar/data/1403528/000140352825000013/a191-securitiestradingpoli.htm" TargetMode="External"/><Relationship Id="rId196" Type="http://schemas.openxmlformats.org/officeDocument/2006/relationships/hyperlink" Target="https://www.sec.gov/Archives/edgar/data/1403528/000140352824000019/a97-ocgincentivecompensati.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2026-03-24T15:56:55Z</dcterms:created>
  <dcterms:modified xsi:type="dcterms:W3CDTF">2026-03-24T15:56:55Z</dcterms:modified>
</cp:coreProperties>
</file>