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233680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Aetherium Acquisition Corp.</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00809J101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jc w:val="both"/>
        <w:ind w:left="660" w:right="9200" w:hanging="4"/>
        <w:spacing w:after="0" w:line="224" w:lineRule="exact"/>
        <w:tabs>
          <w:tab w:leader="none" w:pos="984"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980" w:hanging="324"/>
        <w:spacing w:after="0"/>
        <w:tabs>
          <w:tab w:leader="none" w:pos="9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8" w:lineRule="exact"/>
        <w:rPr>
          <w:rFonts w:ascii="MS PGothic" w:cs="MS PGothic" w:eastAsia="MS PGothic" w:hAnsi="MS PGothic"/>
          <w:sz w:val="18"/>
          <w:szCs w:val="18"/>
          <w:color w:val="auto"/>
        </w:rPr>
      </w:pPr>
    </w:p>
    <w:p>
      <w:pPr>
        <w:ind w:right="40"/>
        <w:spacing w:after="0"/>
        <w:rPr>
          <w:rFonts w:ascii="MS PGothic" w:cs="MS PGothic" w:eastAsia="MS PGothic" w:hAnsi="MS PGothic"/>
          <w:sz w:val="18"/>
          <w:szCs w:val="18"/>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620"/>
              <w:spacing w:after="0"/>
              <w:rPr>
                <w:sz w:val="20"/>
                <w:szCs w:val="20"/>
                <w:color w:val="auto"/>
              </w:rPr>
            </w:pPr>
            <w:r>
              <w:rPr>
                <w:rFonts w:ascii="Arial" w:cs="Arial" w:eastAsia="Arial" w:hAnsi="Arial"/>
                <w:sz w:val="18"/>
                <w:szCs w:val="18"/>
                <w:color w:val="auto"/>
                <w:w w:val="84"/>
              </w:rPr>
              <w:t>Page 2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OCM Value SPAC Holdings,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100,000(1)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100,000(1)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89"/>
              </w:rPr>
              <w:t>100,000(1)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8"/>
              </w:rPr>
              <w:t>0.8%(2)</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26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100,000 shares of Class A common stock, $0.0001 par value of Aetherium Acquisition Corp. (the “Issuer”) held directly by OCM Value SPAC Holdings, L.P.</w:t>
      </w:r>
    </w:p>
    <w:p>
      <w:pPr>
        <w:spacing w:after="0" w:line="1" w:lineRule="exact"/>
        <w:rPr>
          <w:rFonts w:ascii="Arial" w:cs="Arial" w:eastAsia="Arial" w:hAnsi="Arial"/>
          <w:sz w:val="18"/>
          <w:szCs w:val="18"/>
          <w:color w:val="auto"/>
        </w:rPr>
      </w:pPr>
    </w:p>
    <w:p>
      <w:pPr>
        <w:ind w:left="340" w:right="280" w:hanging="332"/>
        <w:spacing w:after="0" w:line="32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calculations of percentage ownership herein are based on an aggregate of 12,028,500 shares of Class A common stock, $0.0001 par value of the Issuer outstanding as of November 14, 2022, as reported in the Issuer’s Quarterly Report on Form 10-Q filed on 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620"/>
              <w:spacing w:after="0"/>
              <w:rPr>
                <w:sz w:val="20"/>
                <w:szCs w:val="20"/>
                <w:color w:val="auto"/>
              </w:rPr>
            </w:pPr>
            <w:r>
              <w:rPr>
                <w:rFonts w:ascii="Arial" w:cs="Arial" w:eastAsia="Arial" w:hAnsi="Arial"/>
                <w:sz w:val="18"/>
                <w:szCs w:val="18"/>
                <w:color w:val="auto"/>
                <w:w w:val="84"/>
              </w:rPr>
              <w:t>Page 3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OCM Value SPAC Holdings II,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100,000(1)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100,000(1)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89"/>
              </w:rPr>
              <w:t>100,000(1)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(1)  Represents 100,000 shares of Class A common stock, $0.0001 par value of the Issuer held directly by OCM Value SPAC Holdings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620"/>
              <w:spacing w:after="0"/>
              <w:rPr>
                <w:sz w:val="20"/>
                <w:szCs w:val="20"/>
                <w:color w:val="auto"/>
              </w:rPr>
            </w:pPr>
            <w:r>
              <w:rPr>
                <w:rFonts w:ascii="Arial" w:cs="Arial" w:eastAsia="Arial" w:hAnsi="Arial"/>
                <w:sz w:val="18"/>
                <w:szCs w:val="18"/>
                <w:color w:val="auto"/>
                <w:w w:val="84"/>
              </w:rPr>
              <w:t>Page 4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Oaktree Fund GP,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89"/>
              </w:rPr>
              <w:t>200,000(1)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general partner of OCM Value SPAC Holdings, L.P. and OCM Value SPAC Holdings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620"/>
              <w:spacing w:after="0"/>
              <w:rPr>
                <w:sz w:val="20"/>
                <w:szCs w:val="20"/>
                <w:color w:val="auto"/>
              </w:rPr>
            </w:pPr>
            <w:r>
              <w:rPr>
                <w:rFonts w:ascii="Arial" w:cs="Arial" w:eastAsia="Arial" w:hAnsi="Arial"/>
                <w:sz w:val="18"/>
                <w:szCs w:val="18"/>
                <w:color w:val="auto"/>
                <w:w w:val="84"/>
              </w:rPr>
              <w:t>Page 5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Oaktree Fund GP I,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89"/>
              </w:rPr>
              <w:t>200,000(1)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managing member of Oaktree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620"/>
              <w:spacing w:after="0"/>
              <w:rPr>
                <w:sz w:val="20"/>
                <w:szCs w:val="20"/>
                <w:color w:val="auto"/>
              </w:rPr>
            </w:pPr>
            <w:r>
              <w:rPr>
                <w:rFonts w:ascii="Arial" w:cs="Arial" w:eastAsia="Arial" w:hAnsi="Arial"/>
                <w:sz w:val="18"/>
                <w:szCs w:val="18"/>
                <w:color w:val="auto"/>
                <w:w w:val="84"/>
              </w:rPr>
              <w:t>Page 6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Oaktree Capital I,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89"/>
              </w:rPr>
              <w:t>200,000(1)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620"/>
              <w:spacing w:after="0"/>
              <w:rPr>
                <w:sz w:val="20"/>
                <w:szCs w:val="20"/>
                <w:color w:val="auto"/>
              </w:rPr>
            </w:pPr>
            <w:r>
              <w:rPr>
                <w:rFonts w:ascii="Arial" w:cs="Arial" w:eastAsia="Arial" w:hAnsi="Arial"/>
                <w:sz w:val="18"/>
                <w:szCs w:val="18"/>
                <w:color w:val="auto"/>
                <w:w w:val="84"/>
              </w:rPr>
              <w:t>Page 7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OCM Holdings I,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89"/>
              </w:rPr>
              <w:t>200,000(1)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620"/>
              <w:spacing w:after="0"/>
              <w:rPr>
                <w:sz w:val="20"/>
                <w:szCs w:val="20"/>
                <w:color w:val="auto"/>
              </w:rPr>
            </w:pPr>
            <w:r>
              <w:rPr>
                <w:rFonts w:ascii="Arial" w:cs="Arial" w:eastAsia="Arial" w:hAnsi="Arial"/>
                <w:sz w:val="18"/>
                <w:szCs w:val="18"/>
                <w:color w:val="auto"/>
                <w:w w:val="84"/>
              </w:rPr>
              <w:t>Page 8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Oaktree Holdings,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89"/>
              </w:rPr>
              <w:t>200,000(1)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managing member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620"/>
              <w:spacing w:after="0"/>
              <w:rPr>
                <w:sz w:val="20"/>
                <w:szCs w:val="20"/>
                <w:color w:val="auto"/>
              </w:rPr>
            </w:pPr>
            <w:r>
              <w:rPr>
                <w:rFonts w:ascii="Arial" w:cs="Arial" w:eastAsia="Arial" w:hAnsi="Arial"/>
                <w:sz w:val="18"/>
                <w:szCs w:val="18"/>
                <w:color w:val="auto"/>
                <w:w w:val="84"/>
              </w:rPr>
              <w:t>Page 9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Oaktree Capital Group,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89"/>
              </w:rPr>
              <w:t>200,000(1)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managing member of 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520"/>
              <w:spacing w:after="0"/>
              <w:rPr>
                <w:sz w:val="20"/>
                <w:szCs w:val="20"/>
                <w:color w:val="auto"/>
              </w:rPr>
            </w:pPr>
            <w:r>
              <w:rPr>
                <w:rFonts w:ascii="Arial" w:cs="Arial" w:eastAsia="Arial" w:hAnsi="Arial"/>
                <w:sz w:val="18"/>
                <w:szCs w:val="18"/>
                <w:color w:val="auto"/>
                <w:w w:val="85"/>
              </w:rPr>
              <w:t>Page 10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Oaktree Capital Group Holdings GP,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89"/>
              </w:rPr>
              <w:t>200,000(1)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indirect owner of the class B units of Oaktree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540"/>
              <w:spacing w:after="0"/>
              <w:rPr>
                <w:sz w:val="20"/>
                <w:szCs w:val="20"/>
                <w:color w:val="auto"/>
              </w:rPr>
            </w:pPr>
            <w:r>
              <w:rPr>
                <w:rFonts w:ascii="Arial" w:cs="Arial" w:eastAsia="Arial" w:hAnsi="Arial"/>
                <w:sz w:val="18"/>
                <w:szCs w:val="18"/>
                <w:color w:val="auto"/>
                <w:w w:val="83"/>
              </w:rPr>
              <w:t>Page 11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Brookfield Corporation</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auto"/>
                <w:w w:val="89"/>
              </w:rPr>
              <w:t>200,000(1)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5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HC</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indirect owner of the class A units of Oaktree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160"/>
              <w:spacing w:after="0"/>
              <w:rPr>
                <w:sz w:val="20"/>
                <w:szCs w:val="20"/>
                <w:color w:val="auto"/>
              </w:rPr>
            </w:pPr>
            <w:r>
              <w:rPr>
                <w:rFonts w:ascii="Arial" w:cs="Arial" w:eastAsia="Arial" w:hAnsi="Arial"/>
                <w:sz w:val="18"/>
                <w:szCs w:val="18"/>
                <w:color w:val="auto"/>
              </w:rPr>
              <w:t>SCHEDULE 13G/A</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00809J101</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gridSpan w:val="2"/>
          </w:tcPr>
          <w:p>
            <w:pPr>
              <w:ind w:left="7520"/>
              <w:spacing w:after="0"/>
              <w:rPr>
                <w:sz w:val="20"/>
                <w:szCs w:val="20"/>
                <w:color w:val="auto"/>
              </w:rPr>
            </w:pPr>
            <w:r>
              <w:rPr>
                <w:rFonts w:ascii="Arial" w:cs="Arial" w:eastAsia="Arial" w:hAnsi="Arial"/>
                <w:sz w:val="18"/>
                <w:szCs w:val="18"/>
                <w:color w:val="auto"/>
                <w:w w:val="85"/>
              </w:rPr>
              <w:t>Page 12 of 19</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BAM Partners Trust</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w w:val="95"/>
              </w:rPr>
              <w:t>Ontario, Canada</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200,000(1)</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gridSpan w:val="2"/>
          </w:tcPr>
          <w:p>
            <w:pPr>
              <w:spacing w:after="0"/>
              <w:rPr>
                <w:sz w:val="18"/>
                <w:szCs w:val="18"/>
                <w:color w:val="auto"/>
              </w:rPr>
            </w:pPr>
          </w:p>
        </w:tc>
        <w:tc>
          <w:tcPr>
            <w:tcW w:w="85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89"/>
              </w:rPr>
              <w:t>200,000(1)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HC</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(1)  Solely in its capacity as the sole owner of the Class B Limited Voting Shares of Brookfield Corporation (f/k/a Brookfield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00809J101</w:t>
      </w:r>
      <w:r>
        <w:rPr>
          <w:sz w:val="20"/>
          <w:szCs w:val="20"/>
          <w:color w:val="auto"/>
        </w:rPr>
        <w:tab/>
      </w:r>
      <w:r>
        <w:rPr>
          <w:rFonts w:ascii="Arial" w:cs="Arial" w:eastAsia="Arial" w:hAnsi="Arial"/>
          <w:sz w:val="16"/>
          <w:szCs w:val="16"/>
          <w:color w:val="auto"/>
        </w:rPr>
        <w:t>Page 13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Aetherium Acquisition Corp.</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79B Pemberwick Rd., Greenwich, CT 06831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2(a)-(c).  Name of Person Filing; Address of Principal Business Office; and Citizenship</w:t>
      </w:r>
    </w:p>
    <w:p>
      <w:pPr>
        <w:spacing w:after="0" w:line="249" w:lineRule="exact"/>
        <w:rPr>
          <w:sz w:val="20"/>
          <w:szCs w:val="20"/>
          <w:color w:val="auto"/>
        </w:rPr>
      </w:pPr>
    </w:p>
    <w:p>
      <w:pPr>
        <w:ind w:left="820" w:right="200"/>
        <w:spacing w:after="0" w:line="250" w:lineRule="auto"/>
        <w:rPr>
          <w:sz w:val="20"/>
          <w:szCs w:val="20"/>
          <w:color w:val="auto"/>
        </w:rPr>
      </w:pPr>
      <w:r>
        <w:rPr>
          <w:rFonts w:ascii="Arial" w:cs="Arial" w:eastAsia="Arial" w:hAnsi="Arial"/>
          <w:sz w:val="22"/>
          <w:szCs w:val="22"/>
          <w:color w:val="auto"/>
        </w:rPr>
        <w:t>This Schedule 13G/A is filed jointly by each of the following persons (collectively, the “Reporting Persons”) pursuant to a joint filing agreement attached hereto as Exhibit 1:</w:t>
      </w:r>
    </w:p>
    <w:p>
      <w:pPr>
        <w:spacing w:after="0" w:line="209" w:lineRule="exact"/>
        <w:rPr>
          <w:sz w:val="20"/>
          <w:szCs w:val="20"/>
          <w:color w:val="auto"/>
        </w:rPr>
      </w:pPr>
    </w:p>
    <w:p>
      <w:pPr>
        <w:ind w:left="500" w:right="34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OCM Value SPAC Holdings, L.P., a Delaware limited partnership (“OCM Value SPAC”), in its capacity as the direct owner of 100,000 shares of Class A common stock, $0.0001 par value of the Issuer;</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OCM Value SPAC Holdings II, L.P., a Delaware limited partnership (“OCM Value SPAC II”), in its capacity as the direct owner of 100,000 shares of Class A common stock, $0.0001 par value of the Issuer;</w:t>
      </w:r>
    </w:p>
    <w:p>
      <w:pPr>
        <w:spacing w:after="0" w:line="197" w:lineRule="exact"/>
        <w:rPr>
          <w:rFonts w:ascii="Arial" w:cs="Arial" w:eastAsia="Arial" w:hAnsi="Arial"/>
          <w:sz w:val="18"/>
          <w:szCs w:val="18"/>
          <w:color w:val="auto"/>
        </w:rPr>
      </w:pPr>
    </w:p>
    <w:p>
      <w:pPr>
        <w:ind w:left="500" w:right="32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Oaktree Fund GP, LLC, a Delaware limited liability company (“Fund GP”), in its capacity as the general partner of OCM Value SPAC and OCM Value SPAC II;</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Oaktree Fund GP I, L.P., a Delaware limited partnership (“GP I”), in its capacity as the managing member of Fund GP;</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(“Capital I”), in its capacity as the general partner of GP I;</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OCM Holdings I, LLC, a Delaware limited liability company (“Holdings I”), in its capacity as the general partner of Capital I;</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Oaktree Holdings, LLC, a Delaware limited liability company (“Holdings”), in its capacity as the managing member of Holdings I;</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Oaktree Capital Group, LLC, a Delaware limited liability company (“OCG”), in its capacity as the managing member of Holdings;</w:t>
      </w:r>
    </w:p>
    <w:p>
      <w:pPr>
        <w:spacing w:after="0" w:line="252"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(“OCGH GP”), in its capacity as the indirect owner of the class B units of OCG;</w:t>
      </w:r>
    </w:p>
    <w:p>
      <w:pPr>
        <w:spacing w:after="0" w:line="197"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Brookfield Corporation (f/k/a Brookfield Asset Management Inc.), an Ontario corporation (“Brookfield”), in its capacity as the indirect owner of the class A units of OCG, in its capacity as such; and</w:t>
      </w:r>
    </w:p>
    <w:p>
      <w:pPr>
        <w:spacing w:after="0" w:line="197" w:lineRule="exact"/>
        <w:rPr>
          <w:rFonts w:ascii="Arial" w:cs="Arial" w:eastAsia="Arial" w:hAnsi="Arial"/>
          <w:sz w:val="18"/>
          <w:szCs w:val="18"/>
          <w:color w:val="auto"/>
        </w:rPr>
      </w:pPr>
    </w:p>
    <w:p>
      <w:pPr>
        <w:ind w:left="500" w:right="36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BAM Partners Trust, a trust established under the laws of Ontario (the “BAM Partnership”), in its capacity as the sole owner of Class B Limited Voting Shares of Brookfield.</w:t>
      </w:r>
    </w:p>
    <w:p>
      <w:pPr>
        <w:spacing w:after="0" w:line="190" w:lineRule="exact"/>
        <w:rPr>
          <w:sz w:val="20"/>
          <w:szCs w:val="20"/>
          <w:color w:val="auto"/>
        </w:rPr>
      </w:pPr>
    </w:p>
    <w:p>
      <w:pPr>
        <w:ind w:left="820" w:right="140"/>
        <w:spacing w:after="0" w:line="257" w:lineRule="auto"/>
        <w:rPr>
          <w:sz w:val="20"/>
          <w:szCs w:val="20"/>
          <w:color w:val="auto"/>
        </w:rPr>
      </w:pPr>
      <w:r>
        <w:rPr>
          <w:rFonts w:ascii="Arial" w:cs="Arial" w:eastAsia="Arial" w:hAnsi="Arial"/>
          <w:sz w:val="21"/>
          <w:szCs w:val="21"/>
          <w:color w:val="auto"/>
        </w:rPr>
        <w:t>The address of the principal business office of Brookfield and of the BAM Partnership is Brookfield Place, Suite 300, 181 Bay Street, P.O. Box 762, Toronto, Ontario, Canada M5J 2T3. The address of the principal business office of other Reporting Persons is 333 S. Grand Avenue, 28th Floor, Los Angeles, CA 90071.</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Class A common stock, $0.0001 par value</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00809J101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00809J101</w:t>
      </w:r>
      <w:r>
        <w:rPr>
          <w:sz w:val="20"/>
          <w:szCs w:val="20"/>
          <w:color w:val="auto"/>
        </w:rPr>
        <w:tab/>
      </w:r>
      <w:r>
        <w:rPr>
          <w:rFonts w:ascii="Arial" w:cs="Arial" w:eastAsia="Arial" w:hAnsi="Arial"/>
          <w:sz w:val="16"/>
          <w:szCs w:val="16"/>
          <w:color w:val="auto"/>
        </w:rPr>
        <w:t>Page 14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This Item 3 is not applicable.</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49" w:lineRule="exact"/>
        <w:rPr>
          <w:sz w:val="20"/>
          <w:szCs w:val="20"/>
          <w:color w:val="auto"/>
        </w:rPr>
      </w:pPr>
    </w:p>
    <w:p>
      <w:pPr>
        <w:ind w:left="820" w:right="460"/>
        <w:spacing w:after="0" w:line="250" w:lineRule="auto"/>
        <w:rPr>
          <w:sz w:val="20"/>
          <w:szCs w:val="20"/>
          <w:color w:val="auto"/>
        </w:rPr>
      </w:pPr>
      <w:r>
        <w:rPr>
          <w:rFonts w:ascii="Arial" w:cs="Arial" w:eastAsia="Arial" w:hAnsi="Arial"/>
          <w:sz w:val="22"/>
          <w:szCs w:val="22"/>
          <w:color w:val="auto"/>
        </w:rPr>
        <w:t>The responses of the Reporting Persons to Rows 5-9 and 11 in each of their respective cover pages to this Schedule 13G/A are incorporated herein by reference.</w:t>
      </w:r>
    </w:p>
    <w:p>
      <w:pPr>
        <w:spacing w:after="0" w:line="202" w:lineRule="exact"/>
        <w:rPr>
          <w:sz w:val="20"/>
          <w:szCs w:val="20"/>
          <w:color w:val="auto"/>
        </w:rPr>
      </w:pPr>
    </w:p>
    <w:p>
      <w:pPr>
        <w:ind w:left="820" w:right="40"/>
        <w:spacing w:after="0" w:line="328" w:lineRule="auto"/>
        <w:rPr>
          <w:sz w:val="20"/>
          <w:szCs w:val="20"/>
          <w:color w:val="auto"/>
        </w:rPr>
      </w:pPr>
      <w:r>
        <w:rPr>
          <w:rFonts w:ascii="Arial" w:cs="Arial" w:eastAsia="Arial" w:hAnsi="Arial"/>
          <w:sz w:val="19"/>
          <w:szCs w:val="19"/>
          <w:color w:val="auto"/>
        </w:rPr>
        <w:t>OCM Value SPAC directly holds 100,000 shares of Class A common stock, $0.0001 par value of the Issuer, constituting approximately 0.83% of the total outstanding shares and has the sole power to vote and dispose of such shares.</w:t>
      </w:r>
    </w:p>
    <w:p>
      <w:pPr>
        <w:spacing w:after="0" w:line="132" w:lineRule="exact"/>
        <w:rPr>
          <w:sz w:val="20"/>
          <w:szCs w:val="20"/>
          <w:color w:val="auto"/>
        </w:rPr>
      </w:pPr>
    </w:p>
    <w:p>
      <w:pPr>
        <w:ind w:left="820" w:right="420"/>
        <w:spacing w:after="0"/>
        <w:rPr>
          <w:sz w:val="20"/>
          <w:szCs w:val="20"/>
          <w:color w:val="auto"/>
        </w:rPr>
      </w:pPr>
      <w:r>
        <w:rPr>
          <w:rFonts w:ascii="Arial" w:cs="Arial" w:eastAsia="Arial" w:hAnsi="Arial"/>
          <w:sz w:val="22"/>
          <w:szCs w:val="22"/>
          <w:color w:val="auto"/>
        </w:rPr>
        <w:t>OCM Value SPAC II directly holds 100,000 shares of Class A common stock, $0.0001 par value of the Issuer, constituting approximately 0.83% of the total outstanding shares and has the sole power to vote and dispose of such shares.</w:t>
      </w:r>
    </w:p>
    <w:p>
      <w:pPr>
        <w:spacing w:after="0" w:line="213" w:lineRule="exact"/>
        <w:rPr>
          <w:sz w:val="20"/>
          <w:szCs w:val="20"/>
          <w:color w:val="auto"/>
        </w:rPr>
      </w:pPr>
    </w:p>
    <w:p>
      <w:pPr>
        <w:ind w:left="820" w:right="20"/>
        <w:spacing w:after="0" w:line="287" w:lineRule="auto"/>
        <w:rPr>
          <w:sz w:val="20"/>
          <w:szCs w:val="20"/>
          <w:color w:val="auto"/>
        </w:rPr>
      </w:pPr>
      <w:r>
        <w:rPr>
          <w:rFonts w:ascii="Arial" w:cs="Arial" w:eastAsia="Arial" w:hAnsi="Arial"/>
          <w:sz w:val="19"/>
          <w:szCs w:val="19"/>
          <w:color w:val="auto"/>
        </w:rPr>
        <w:t>Fund GP, in its capacity as the general partner of each of OCM Value SPAC and OCM Value SPAC II, has the ability to direct the management of each of OCM Value SPAC’s and OCM Value SPAC II’s business regarding the vote and disposition of securities held by each of OCM Value SPAC and OCM Value SPAC II; therefore, Fund GP may be deemed to have indirect beneficial ownership of the shares held by each of OCM Value SPAC and OCM Value SPAC II.</w:t>
      </w:r>
    </w:p>
    <w:p>
      <w:pPr>
        <w:spacing w:after="0" w:line="170" w:lineRule="exact"/>
        <w:rPr>
          <w:sz w:val="20"/>
          <w:szCs w:val="20"/>
          <w:color w:val="auto"/>
        </w:rPr>
      </w:pPr>
    </w:p>
    <w:p>
      <w:pPr>
        <w:ind w:left="820" w:right="260"/>
        <w:spacing w:after="0" w:line="238" w:lineRule="auto"/>
        <w:rPr>
          <w:sz w:val="20"/>
          <w:szCs w:val="20"/>
          <w:color w:val="auto"/>
        </w:rPr>
      </w:pPr>
      <w:r>
        <w:rPr>
          <w:rFonts w:ascii="Arial" w:cs="Arial" w:eastAsia="Arial" w:hAnsi="Arial"/>
          <w:sz w:val="22"/>
          <w:szCs w:val="22"/>
          <w:color w:val="auto"/>
        </w:rPr>
        <w:t>GP I, in its capacity as the managing member of Fund GP, has the ability to direct the management of Fund GP’s business regarding the vote and disposition of securities held by each of OCM Value SPAC and OCM Value SPAC II; therefore, GP I may be deemed to have indirect beneficial ownership of the shares held by each of OCM Value SPAC and OCM Value SPAC II.</w:t>
      </w:r>
    </w:p>
    <w:p>
      <w:pPr>
        <w:spacing w:after="0" w:line="212" w:lineRule="exact"/>
        <w:rPr>
          <w:sz w:val="20"/>
          <w:szCs w:val="20"/>
          <w:color w:val="auto"/>
        </w:rPr>
      </w:pPr>
    </w:p>
    <w:p>
      <w:pPr>
        <w:ind w:left="820" w:right="160"/>
        <w:spacing w:after="0" w:line="238" w:lineRule="auto"/>
        <w:rPr>
          <w:sz w:val="20"/>
          <w:szCs w:val="20"/>
          <w:color w:val="auto"/>
        </w:rPr>
      </w:pPr>
      <w:r>
        <w:rPr>
          <w:rFonts w:ascii="Arial" w:cs="Arial" w:eastAsia="Arial" w:hAnsi="Arial"/>
          <w:sz w:val="22"/>
          <w:szCs w:val="22"/>
          <w:color w:val="auto"/>
        </w:rPr>
        <w:t>Capital I, in its capacity as the general partner of GP I, has the ability to direct the management of GP I’s business regarding the vote and disposition of securities held by each of OCM Value SPAC and OCM Value SPAC II; therefore, Capital I may be deemed to have indirect beneficial ownership of the shares held by each of OCM Value SPAC and OCM Value SPAC II.</w:t>
      </w:r>
    </w:p>
    <w:p>
      <w:pPr>
        <w:spacing w:after="0" w:line="212" w:lineRule="exact"/>
        <w:rPr>
          <w:sz w:val="20"/>
          <w:szCs w:val="20"/>
          <w:color w:val="auto"/>
        </w:rPr>
      </w:pPr>
    </w:p>
    <w:p>
      <w:pPr>
        <w:ind w:left="820" w:right="260"/>
        <w:spacing w:after="0" w:line="238" w:lineRule="auto"/>
        <w:rPr>
          <w:sz w:val="20"/>
          <w:szCs w:val="20"/>
          <w:color w:val="auto"/>
        </w:rPr>
      </w:pPr>
      <w:r>
        <w:rPr>
          <w:rFonts w:ascii="Arial" w:cs="Arial" w:eastAsia="Arial" w:hAnsi="Arial"/>
          <w:sz w:val="22"/>
          <w:szCs w:val="22"/>
          <w:color w:val="auto"/>
        </w:rPr>
        <w:t>Holdings I, in its capacity as the general partner of Capital I, has the ability to direct the management of Capital I’s business regarding the vote and disposition of securities held by each of OCM Value SPAC and OCM Value SPAC II; therefore, Holdings I may be deemed to have indirect beneficial ownership of the shares held by each of OCM Value SPAC and OCM Value SPAC II.</w:t>
      </w:r>
    </w:p>
    <w:p>
      <w:pPr>
        <w:spacing w:after="0" w:line="212" w:lineRule="exact"/>
        <w:rPr>
          <w:sz w:val="20"/>
          <w:szCs w:val="20"/>
          <w:color w:val="auto"/>
        </w:rPr>
      </w:pPr>
    </w:p>
    <w:p>
      <w:pPr>
        <w:jc w:val="both"/>
        <w:ind w:left="820" w:right="200"/>
        <w:spacing w:after="0" w:line="238" w:lineRule="auto"/>
        <w:rPr>
          <w:sz w:val="20"/>
          <w:szCs w:val="20"/>
          <w:color w:val="auto"/>
        </w:rPr>
      </w:pPr>
      <w:r>
        <w:rPr>
          <w:rFonts w:ascii="Arial" w:cs="Arial" w:eastAsia="Arial" w:hAnsi="Arial"/>
          <w:sz w:val="22"/>
          <w:szCs w:val="22"/>
          <w:color w:val="auto"/>
        </w:rPr>
        <w:t>Holdings, in its capacity as the managing member of Holdings I, has the ability to direct the management of Holdings I’s business regarding the vote and disposition of securities held by each of OCM Value SPAC and OCM Value SPAC II; therefore, Holdings may be deemed to have indirect beneficial ownership of the shares held by each of OCM Value SPAC and OCM Value SPAC II.</w:t>
      </w:r>
    </w:p>
    <w:p>
      <w:pPr>
        <w:spacing w:after="0" w:line="212" w:lineRule="exact"/>
        <w:rPr>
          <w:sz w:val="20"/>
          <w:szCs w:val="20"/>
          <w:color w:val="auto"/>
        </w:rPr>
      </w:pPr>
    </w:p>
    <w:p>
      <w:pPr>
        <w:ind w:left="820" w:right="220"/>
        <w:spacing w:after="0" w:line="238" w:lineRule="auto"/>
        <w:rPr>
          <w:sz w:val="20"/>
          <w:szCs w:val="20"/>
          <w:color w:val="auto"/>
        </w:rPr>
      </w:pPr>
      <w:r>
        <w:rPr>
          <w:rFonts w:ascii="Arial" w:cs="Arial" w:eastAsia="Arial" w:hAnsi="Arial"/>
          <w:sz w:val="22"/>
          <w:szCs w:val="22"/>
          <w:color w:val="auto"/>
        </w:rPr>
        <w:t>OCG, in its capacity as the managing member of Holdings, has the ability to direct the management of Holdings’ business regarding the vote and disposition of securities held by each of OCM Value SPAC and OCM Value SPAC II; therefore, OCG may be deemed to have indirect beneficial ownership of the shares held by each of OCM Value SPAC and OCM Value SPAC II.</w:t>
      </w:r>
    </w:p>
    <w:p>
      <w:pPr>
        <w:spacing w:after="0" w:line="212" w:lineRule="exact"/>
        <w:rPr>
          <w:sz w:val="20"/>
          <w:szCs w:val="20"/>
          <w:color w:val="auto"/>
        </w:rPr>
      </w:pPr>
    </w:p>
    <w:p>
      <w:pPr>
        <w:ind w:left="820" w:right="260"/>
        <w:spacing w:after="0" w:line="238" w:lineRule="auto"/>
        <w:rPr>
          <w:sz w:val="20"/>
          <w:szCs w:val="20"/>
          <w:color w:val="auto"/>
        </w:rPr>
      </w:pPr>
      <w:r>
        <w:rPr>
          <w:rFonts w:ascii="Arial" w:cs="Arial" w:eastAsia="Arial" w:hAnsi="Arial"/>
          <w:sz w:val="22"/>
          <w:szCs w:val="22"/>
          <w:color w:val="auto"/>
        </w:rPr>
        <w:t>OCGH GP, in its capacity as the managing member of OCG, has the ability to direct the management of Holdings’ business regarding the vote and disposition of securities held by each of OCM Value SPAC and OCM Value SPAC II; therefore, OCGH GP may be deemed to have indirect beneficial ownership of the shares held by each of OCM Value SPAC and OCM Value SPAC II.</w:t>
      </w:r>
    </w:p>
    <w:p>
      <w:pPr>
        <w:spacing w:after="0" w:line="212" w:lineRule="exact"/>
        <w:rPr>
          <w:sz w:val="20"/>
          <w:szCs w:val="20"/>
          <w:color w:val="auto"/>
        </w:rPr>
      </w:pPr>
    </w:p>
    <w:p>
      <w:pPr>
        <w:ind w:left="820" w:right="120"/>
        <w:spacing w:after="0" w:line="287" w:lineRule="auto"/>
        <w:rPr>
          <w:sz w:val="20"/>
          <w:szCs w:val="20"/>
          <w:color w:val="auto"/>
        </w:rPr>
      </w:pPr>
      <w:r>
        <w:rPr>
          <w:rFonts w:ascii="Arial" w:cs="Arial" w:eastAsia="Arial" w:hAnsi="Arial"/>
          <w:sz w:val="19"/>
          <w:szCs w:val="19"/>
          <w:color w:val="auto"/>
        </w:rPr>
        <w:t>Brookfield, in its capacity as the indirect owner of the class A units of OCG, has the ability to appoint and remove certain directors of OCG, and, as such, may indirectly control the decisions of OCG regarding the vote and disposition of securities held by each of OCM Value SPAC and OCM Value SPAC II; therefore Brookfield may be deemed to have indirect beneficial ownership of the Common Stock held by each of OCM Value SPAC and OCM Value SPAC II.</w:t>
      </w:r>
    </w:p>
    <w:p>
      <w:pPr>
        <w:spacing w:after="0" w:line="170" w:lineRule="exact"/>
        <w:rPr>
          <w:sz w:val="20"/>
          <w:szCs w:val="20"/>
          <w:color w:val="auto"/>
        </w:rPr>
      </w:pPr>
    </w:p>
    <w:p>
      <w:pPr>
        <w:ind w:left="820" w:right="200"/>
        <w:spacing w:after="0" w:line="236" w:lineRule="auto"/>
        <w:rPr>
          <w:sz w:val="20"/>
          <w:szCs w:val="20"/>
          <w:color w:val="auto"/>
        </w:rPr>
      </w:pPr>
      <w:r>
        <w:rPr>
          <w:rFonts w:ascii="Arial" w:cs="Arial" w:eastAsia="Arial" w:hAnsi="Arial"/>
          <w:sz w:val="22"/>
          <w:szCs w:val="22"/>
          <w:color w:val="auto"/>
        </w:rPr>
        <w:t>BAM Partnership, in its capacity as the sole owner of Class B Limited Voting Shares of Brookfield, has the ability to appoint and remove certain directors of Brookfield and, as such, may indirectly control the decisions of Brookfield regarding the vote and disposition of securities held by each of OCM Value SPAC and OCM Value SPAC II; therefore BAM Partnership may be deemed to have indirect beneficial ownership of the Common Stock held by each of OCM Value SPAC and OCM Value SPAC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56"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00809J101</w:t>
      </w:r>
      <w:r>
        <w:rPr>
          <w:sz w:val="20"/>
          <w:szCs w:val="20"/>
          <w:color w:val="auto"/>
        </w:rPr>
        <w:tab/>
      </w:r>
      <w:r>
        <w:rPr>
          <w:rFonts w:ascii="Arial" w:cs="Arial" w:eastAsia="Arial" w:hAnsi="Arial"/>
          <w:sz w:val="16"/>
          <w:szCs w:val="16"/>
          <w:color w:val="auto"/>
        </w:rPr>
        <w:t>Page 15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left="820" w:right="60"/>
        <w:spacing w:after="0" w:line="277" w:lineRule="auto"/>
        <w:rPr>
          <w:sz w:val="20"/>
          <w:szCs w:val="20"/>
          <w:color w:val="auto"/>
        </w:rPr>
      </w:pPr>
      <w:r>
        <w:rPr>
          <w:rFonts w:ascii="Arial" w:cs="Arial" w:eastAsia="Arial" w:hAnsi="Arial"/>
          <w:sz w:val="19"/>
          <w:szCs w:val="19"/>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and except to the extent of its pecuniary interest, such beneficial ownership is expressly disclaimed by each Reporting Person. All calculations of percentage ownership herein are based on an aggregate of 12,028,500 shares of Class A common stock, $0.0001 par value of the Issuer outstanding as of November 14, 2022, as reported in the Issuer’s Quarterly Report on Form 10-Q filed on November 15, 2022.</w:t>
      </w:r>
    </w:p>
    <w:p>
      <w:pPr>
        <w:spacing w:after="0" w:line="18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right="620" w:firstLine="810"/>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p>
    <w:p>
      <w:pPr>
        <w:spacing w:after="0" w:line="1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This Item 6 is not applicable.</w:t>
      </w:r>
    </w:p>
    <w:p>
      <w:pPr>
        <w:spacing w:after="0" w:line="236" w:lineRule="exact"/>
        <w:rPr>
          <w:sz w:val="20"/>
          <w:szCs w:val="20"/>
          <w:color w:val="auto"/>
        </w:rPr>
      </w:pPr>
    </w:p>
    <w:p>
      <w:pPr>
        <w:ind w:left="1140" w:right="7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This Item 7 is not applicable.</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This Item 8 is not applicable.</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This Item 9 is not applicable.</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left="820" w:right="10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00809J101</w:t>
      </w:r>
      <w:r>
        <w:rPr>
          <w:sz w:val="20"/>
          <w:szCs w:val="20"/>
          <w:color w:val="auto"/>
        </w:rPr>
        <w:tab/>
      </w:r>
      <w:r>
        <w:rPr>
          <w:rFonts w:ascii="Arial" w:cs="Arial" w:eastAsia="Arial" w:hAnsi="Arial"/>
          <w:sz w:val="16"/>
          <w:szCs w:val="16"/>
          <w:color w:val="auto"/>
        </w:rPr>
        <w:t>Page 16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February 14, 2023</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OCM VALUE SPAC HOLDINGS, L.P.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50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237"/>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21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OCM VALUE SPAC HOLDINGS II, L.P.</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50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237"/>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21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OAKTREE FUND GP, LLC</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50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237"/>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21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OAKTREE FUND GP I, L.P.</w:t>
            </w:r>
          </w:p>
        </w:tc>
      </w:tr>
      <w:tr>
        <w:trPr>
          <w:trHeight w:val="237"/>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21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OAKTREE CAPITAL I, L.P.</w:t>
            </w:r>
          </w:p>
        </w:tc>
      </w:tr>
      <w:tr>
        <w:trPr>
          <w:trHeight w:val="237"/>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2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00809J101</w:t>
      </w:r>
      <w:r>
        <w:rPr>
          <w:sz w:val="20"/>
          <w:szCs w:val="20"/>
          <w:color w:val="auto"/>
        </w:rPr>
        <w:tab/>
      </w:r>
      <w:r>
        <w:rPr>
          <w:rFonts w:ascii="Arial" w:cs="Arial" w:eastAsia="Arial" w:hAnsi="Arial"/>
          <w:sz w:val="16"/>
          <w:szCs w:val="16"/>
          <w:color w:val="auto"/>
        </w:rPr>
        <w:t>Page 17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OCM HOLDINGS I,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HOLDINGS, LLC</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HOLDINGS GP, LLC</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CORPORATION</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Swati Mandava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00809J101</w:t>
      </w:r>
      <w:r>
        <w:rPr>
          <w:sz w:val="20"/>
          <w:szCs w:val="20"/>
          <w:color w:val="auto"/>
        </w:rPr>
        <w:tab/>
      </w:r>
      <w:r>
        <w:rPr>
          <w:rFonts w:ascii="Arial" w:cs="Arial" w:eastAsia="Arial" w:hAnsi="Arial"/>
          <w:sz w:val="16"/>
          <w:szCs w:val="16"/>
          <w:color w:val="auto"/>
        </w:rPr>
        <w:t>Page 18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BAM PARTNERS TRUST, by its trustee, BAM CLASS B PARTNERS INC.</w:t>
      </w:r>
    </w:p>
    <w:p>
      <w:pPr>
        <w:spacing w:after="0" w:line="24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Kathy Sarpash</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SCHEDULE 13G/A</w:t>
      </w:r>
    </w:p>
    <w:p>
      <w:pPr>
        <w:spacing w:after="0" w:line="23" w:lineRule="exact"/>
        <w:rPr>
          <w:sz w:val="20"/>
          <w:szCs w:val="20"/>
          <w:color w:val="auto"/>
        </w:rPr>
      </w:pPr>
    </w:p>
    <w:p>
      <w:pPr>
        <w:spacing w:after="0"/>
        <w:tabs>
          <w:tab w:leader="none" w:pos="10220" w:val="left"/>
        </w:tabs>
        <w:rPr>
          <w:sz w:val="20"/>
          <w:szCs w:val="20"/>
          <w:color w:val="auto"/>
        </w:rPr>
      </w:pPr>
      <w:r>
        <w:rPr>
          <w:rFonts w:ascii="Arial" w:cs="Arial" w:eastAsia="Arial" w:hAnsi="Arial"/>
          <w:sz w:val="18"/>
          <w:szCs w:val="18"/>
          <w:color w:val="auto"/>
        </w:rPr>
        <w:t>CUSIP No. 00809J101</w:t>
      </w:r>
      <w:r>
        <w:rPr>
          <w:sz w:val="20"/>
          <w:szCs w:val="20"/>
          <w:color w:val="auto"/>
        </w:rPr>
        <w:tab/>
      </w:r>
      <w:r>
        <w:rPr>
          <w:rFonts w:ascii="Arial" w:cs="Arial" w:eastAsia="Arial" w:hAnsi="Arial"/>
          <w:sz w:val="16"/>
          <w:szCs w:val="16"/>
          <w:color w:val="auto"/>
        </w:rPr>
        <w:t>Page 19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0000EE"/>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ind w:right="100"/>
        <w:spacing w:after="0" w:line="231" w:lineRule="auto"/>
        <w:rPr>
          <w:sz w:val="20"/>
          <w:szCs w:val="20"/>
          <w:color w:val="auto"/>
        </w:rPr>
      </w:pPr>
      <w:r>
        <w:rPr>
          <w:rFonts w:ascii="Arial" w:cs="Arial" w:eastAsia="Arial" w:hAnsi="Arial"/>
          <w:sz w:val="22"/>
          <w:szCs w:val="22"/>
          <w:color w:val="auto"/>
        </w:rPr>
        <w:t>Pursuant to Rule 13d-1(k)(1) promulgated under the Securities Exchange Act of 1934, as amended, each of the undersigned acknowledges and agrees that the foregoing statement on this Schedule 13G/A is filed on behalf of the undersigned and that all subsequent amendments to this statement on Schedule 13G/A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he or it knows or has reason to believe that such information is inaccurate. Dated: February 14, 2023</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OCM VALUE SPAC HOLDINGS, L.P.</w:t>
      </w:r>
    </w:p>
    <w:p>
      <w:pPr>
        <w:spacing w:after="0" w:line="2" w:lineRule="exact"/>
        <w:rPr>
          <w:sz w:val="20"/>
          <w:szCs w:val="20"/>
          <w:color w:val="auto"/>
        </w:rPr>
      </w:pPr>
    </w:p>
    <w:tbl>
      <w:tblPr>
        <w:tblLayout w:type="fixed"/>
        <w:tblInd w:w="56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96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OCM VALUE SPAC HOLDINGS II, L.P.</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96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OAKTREE FUND GP, LLC</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96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OAKTREE FUND GP I, L.P.</w:t>
            </w: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OAKTREE CAPITAL I, L.P.</w:t>
            </w: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OCM HOLDINGS I, LLC</w:t>
            </w: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OAKTREE HOLDINGS, LLC</w:t>
            </w: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Henry Orren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Henry Orren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OAKTREE CAPITAL GROUP, LLC</w:t>
      </w:r>
    </w:p>
    <w:p>
      <w:pPr>
        <w:spacing w:after="0" w:line="23"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5715</wp:posOffset>
            </wp:positionV>
            <wp:extent cx="25114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OAKTREE CAPITAL GROUP HOLDINGS GP, LLC</w:t>
      </w:r>
    </w:p>
    <w:p>
      <w:pPr>
        <w:spacing w:after="0" w:line="9"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-130810</wp:posOffset>
            </wp:positionV>
            <wp:extent cx="25114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 w:name="page21"/>
    <w:bookmarkEnd w:id="20"/>
    <w:p>
      <w:pPr>
        <w:ind w:left="4540"/>
        <w:spacing w:after="0"/>
        <w:rPr>
          <w:sz w:val="20"/>
          <w:szCs w:val="20"/>
          <w:color w:val="auto"/>
        </w:rPr>
      </w:pPr>
      <w:r>
        <w:rPr>
          <w:rFonts w:ascii="Arial" w:cs="Arial" w:eastAsia="Arial" w:hAnsi="Arial"/>
          <w:sz w:val="18"/>
          <w:szCs w:val="18"/>
          <w:color w:val="auto"/>
        </w:rPr>
        <w:t>BROOKFIELD CORPORATION</w:t>
      </w:r>
    </w:p>
    <w:p>
      <w:pPr>
        <w:spacing w:after="0" w:line="23"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5715</wp:posOffset>
            </wp:positionV>
            <wp:extent cx="25114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Swati Mandava</w:t>
      </w:r>
    </w:p>
    <w:p>
      <w:pPr>
        <w:spacing w:after="0" w:line="23"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BAM PARTNERS TRUST, by its trustee, BAM CLASS B</w:t>
      </w:r>
    </w:p>
    <w:p>
      <w:pPr>
        <w:spacing w:after="0" w:line="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PARTNERS INC.</w:t>
      </w:r>
    </w:p>
    <w:p>
      <w:pPr>
        <w:spacing w:after="0" w:line="211"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14605</wp:posOffset>
            </wp:positionV>
            <wp:extent cx="25114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Kathy Sarpash</w:t>
      </w:r>
    </w:p>
    <w:p>
      <w:pPr>
        <w:spacing w:after="0" w:line="36"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382905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2023-02-14T17:18:34Z</dcterms:created>
  <dcterms:modified xsi:type="dcterms:W3CDTF">2023-02-14T17:18:34Z</dcterms:modified>
</cp:coreProperties>
</file>