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t>UNITED STATES</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1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w:t>
      </w:r>
    </w:p>
    <w:p>
      <w:pPr>
        <w:spacing w:after="0" w:line="115"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FORM 10-Q</w:t>
      </w:r>
    </w:p>
    <w:p>
      <w:pPr>
        <w:spacing w:after="0" w:line="2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________________</w:t>
      </w:r>
    </w:p>
    <w:p>
      <w:pPr>
        <w:spacing w:after="0" w:line="168" w:lineRule="exact"/>
        <w:rPr>
          <w:sz w:val="24"/>
          <w:szCs w:val="24"/>
          <w:color w:val="auto"/>
        </w:rPr>
      </w:pPr>
    </w:p>
    <w:p>
      <w:pPr>
        <w:ind w:left="4140" w:right="3580" w:hanging="4135"/>
        <w:spacing w:after="0" w:line="379" w:lineRule="auto"/>
        <w:tabs>
          <w:tab w:leader="none" w:pos="29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or</w:t>
      </w:r>
    </w:p>
    <w:p>
      <w:pPr>
        <w:spacing w:after="0" w:line="94" w:lineRule="exact"/>
        <w:rPr>
          <w:sz w:val="24"/>
          <w:szCs w:val="24"/>
          <w:color w:val="auto"/>
        </w:rPr>
      </w:pPr>
    </w:p>
    <w:p>
      <w:pPr>
        <w:ind w:left="280" w:hanging="275"/>
        <w:spacing w:after="0"/>
        <w:tabs>
          <w:tab w:leader="none" w:pos="2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36" w:lineRule="exact"/>
        <w:rPr>
          <w:sz w:val="24"/>
          <w:szCs w:val="24"/>
          <w:color w:val="auto"/>
        </w:rPr>
      </w:pPr>
    </w:p>
    <w:tbl>
      <w:tblPr>
        <w:tblLayout w:type="fixed"/>
        <w:tblInd w:w="1620" w:type="dxa"/>
        <w:tblCellMar>
          <w:top w:w="0" w:type="dxa"/>
          <w:left w:w="0" w:type="dxa"/>
          <w:bottom w:w="0" w:type="dxa"/>
          <w:right w:w="0" w:type="dxa"/>
        </w:tblCellMar>
      </w:tblPr>
      <w:tr>
        <w:trPr>
          <w:trHeight w:val="194"/>
        </w:trPr>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2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 the transition period from</w:t>
            </w: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320" w:type="dxa"/>
            <w:vAlign w:val="bottom"/>
          </w:tcPr>
          <w:p>
            <w:pPr>
              <w:jc w:val="right"/>
              <w:ind w:right="96"/>
              <w:spacing w:after="0"/>
              <w:rPr>
                <w:sz w:val="20"/>
                <w:szCs w:val="20"/>
                <w:color w:val="auto"/>
              </w:rPr>
            </w:pPr>
            <w:r>
              <w:rPr>
                <w:rFonts w:ascii="Arial" w:cs="Arial" w:eastAsia="Arial" w:hAnsi="Arial"/>
                <w:sz w:val="14"/>
                <w:szCs w:val="14"/>
                <w:b w:val="1"/>
                <w:bCs w:val="1"/>
                <w:color w:val="auto"/>
              </w:rPr>
              <w:t>.</w:t>
            </w:r>
          </w:p>
        </w:tc>
        <w:tc>
          <w:tcPr>
            <w:tcW w:w="2400" w:type="dxa"/>
            <w:vAlign w:val="bottom"/>
          </w:tcPr>
          <w:p>
            <w:pPr>
              <w:spacing w:after="0"/>
              <w:rPr>
                <w:sz w:val="16"/>
                <w:szCs w:val="16"/>
                <w:color w:val="auto"/>
              </w:rPr>
            </w:pPr>
          </w:p>
        </w:tc>
      </w:tr>
      <w:tr>
        <w:trPr>
          <w:trHeight w:val="273"/>
        </w:trPr>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780" w:type="dxa"/>
            <w:vAlign w:val="bottom"/>
            <w:gridSpan w:val="4"/>
          </w:tcPr>
          <w:p>
            <w:pPr>
              <w:jc w:val="center"/>
              <w:ind w:left="211"/>
              <w:spacing w:after="0"/>
              <w:rPr>
                <w:sz w:val="20"/>
                <w:szCs w:val="20"/>
                <w:color w:val="auto"/>
              </w:rPr>
            </w:pPr>
            <w:r>
              <w:rPr>
                <w:rFonts w:ascii="Arial" w:cs="Arial" w:eastAsia="Arial" w:hAnsi="Arial"/>
                <w:sz w:val="14"/>
                <w:szCs w:val="14"/>
                <w:b w:val="1"/>
                <w:bCs w:val="1"/>
                <w:color w:val="auto"/>
              </w:rPr>
              <w:t>Commission File Number 001-35500</w:t>
            </w:r>
          </w:p>
        </w:tc>
        <w:tc>
          <w:tcPr>
            <w:tcW w:w="32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52"/>
        </w:trPr>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20" w:type="dxa"/>
            <w:vAlign w:val="bottom"/>
            <w:gridSpan w:val="3"/>
          </w:tcPr>
          <w:p>
            <w:pPr>
              <w:jc w:val="center"/>
              <w:ind w:left="1051"/>
              <w:spacing w:after="0"/>
              <w:rPr>
                <w:sz w:val="20"/>
                <w:szCs w:val="20"/>
                <w:color w:val="auto"/>
              </w:rPr>
            </w:pPr>
            <w:r>
              <w:rPr>
                <w:rFonts w:ascii="Arial" w:cs="Arial" w:eastAsia="Arial" w:hAnsi="Arial"/>
                <w:sz w:val="18"/>
                <w:szCs w:val="18"/>
                <w:b w:val="1"/>
                <w:bCs w:val="1"/>
                <w:color w:val="auto"/>
              </w:rPr>
              <w:t>________________</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356"/>
        </w:trPr>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80" w:type="dxa"/>
            <w:vAlign w:val="bottom"/>
            <w:gridSpan w:val="4"/>
          </w:tcPr>
          <w:p>
            <w:pPr>
              <w:jc w:val="center"/>
              <w:ind w:left="191"/>
              <w:spacing w:after="0"/>
              <w:rPr>
                <w:sz w:val="20"/>
                <w:szCs w:val="20"/>
                <w:color w:val="auto"/>
              </w:rPr>
            </w:pPr>
            <w:r>
              <w:rPr>
                <w:rFonts w:ascii="Arial" w:cs="Arial" w:eastAsia="Arial" w:hAnsi="Arial"/>
                <w:sz w:val="23"/>
                <w:szCs w:val="23"/>
                <w:b w:val="1"/>
                <w:bCs w:val="1"/>
                <w:color w:val="auto"/>
                <w:w w:val="98"/>
              </w:rPr>
              <w:t>Oaktree Capital Group, LLC</w:t>
            </w:r>
          </w:p>
        </w:tc>
        <w:tc>
          <w:tcPr>
            <w:tcW w:w="3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80" w:type="dxa"/>
            <w:vAlign w:val="bottom"/>
            <w:gridSpan w:val="4"/>
          </w:tcPr>
          <w:p>
            <w:pPr>
              <w:jc w:val="center"/>
              <w:ind w:left="211"/>
              <w:spacing w:after="0"/>
              <w:rPr>
                <w:sz w:val="20"/>
                <w:szCs w:val="20"/>
                <w:color w:val="auto"/>
              </w:rPr>
            </w:pPr>
            <w:r>
              <w:rPr>
                <w:rFonts w:ascii="Arial" w:cs="Arial" w:eastAsia="Arial" w:hAnsi="Arial"/>
                <w:sz w:val="14"/>
                <w:szCs w:val="14"/>
                <w:color w:val="auto"/>
              </w:rPr>
              <w:t>(Exact name of registrant as specified in its charter)</w:t>
            </w:r>
          </w:p>
        </w:tc>
        <w:tc>
          <w:tcPr>
            <w:tcW w:w="3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920" w:type="dxa"/>
            <w:vAlign w:val="bottom"/>
            <w:gridSpan w:val="3"/>
          </w:tcPr>
          <w:p>
            <w:pPr>
              <w:jc w:val="center"/>
              <w:ind w:left="1071"/>
              <w:spacing w:after="0"/>
              <w:rPr>
                <w:sz w:val="20"/>
                <w:szCs w:val="20"/>
                <w:color w:val="auto"/>
              </w:rPr>
            </w:pPr>
            <w:r>
              <w:rPr>
                <w:rFonts w:ascii="Arial" w:cs="Arial" w:eastAsia="Arial" w:hAnsi="Arial"/>
                <w:sz w:val="10"/>
                <w:szCs w:val="10"/>
                <w:b w:val="1"/>
                <w:bCs w:val="1"/>
                <w:color w:val="auto"/>
                <w:w w:val="98"/>
              </w:rPr>
              <w:t>_______________________________</w:t>
            </w: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176"/>
        </w:trPr>
        <w:tc>
          <w:tcPr>
            <w:tcW w:w="260" w:type="dxa"/>
            <w:vAlign w:val="bottom"/>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Delaware</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720" w:type="dxa"/>
            <w:vAlign w:val="bottom"/>
            <w:gridSpan w:val="2"/>
          </w:tcPr>
          <w:p>
            <w:pPr>
              <w:ind w:left="900"/>
              <w:spacing w:after="0"/>
              <w:rPr>
                <w:sz w:val="20"/>
                <w:szCs w:val="20"/>
                <w:color w:val="auto"/>
              </w:rPr>
            </w:pPr>
            <w:r>
              <w:rPr>
                <w:rFonts w:ascii="Arial" w:cs="Arial" w:eastAsia="Arial" w:hAnsi="Arial"/>
                <w:sz w:val="11"/>
                <w:szCs w:val="11"/>
                <w:b w:val="1"/>
                <w:bCs w:val="1"/>
                <w:color w:val="auto"/>
              </w:rPr>
              <w:t>26-0174894</w:t>
            </w:r>
          </w:p>
        </w:tc>
      </w:tr>
      <w:tr>
        <w:trPr>
          <w:trHeight w:val="122"/>
        </w:trPr>
        <w:tc>
          <w:tcPr>
            <w:tcW w:w="260" w:type="dxa"/>
            <w:vAlign w:val="bottom"/>
          </w:tcPr>
          <w:p>
            <w:pPr>
              <w:spacing w:after="0"/>
              <w:rPr>
                <w:sz w:val="10"/>
                <w:szCs w:val="10"/>
                <w:color w:val="auto"/>
              </w:rPr>
            </w:pPr>
          </w:p>
        </w:tc>
        <w:tc>
          <w:tcPr>
            <w:tcW w:w="1740" w:type="dxa"/>
            <w:vAlign w:val="bottom"/>
            <w:gridSpan w:val="2"/>
          </w:tcPr>
          <w:p>
            <w:pPr>
              <w:jc w:val="center"/>
              <w:spacing w:after="0" w:line="122" w:lineRule="exact"/>
              <w:rPr>
                <w:sz w:val="20"/>
                <w:szCs w:val="20"/>
                <w:color w:val="auto"/>
              </w:rPr>
            </w:pPr>
            <w:r>
              <w:rPr>
                <w:rFonts w:ascii="Arial" w:cs="Arial" w:eastAsia="Arial" w:hAnsi="Arial"/>
                <w:sz w:val="11"/>
                <w:szCs w:val="11"/>
                <w:color w:val="auto"/>
              </w:rPr>
              <w:t>(State or other jurisdiction of</w:t>
            </w:r>
          </w:p>
        </w:tc>
        <w:tc>
          <w:tcPr>
            <w:tcW w:w="1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0" w:type="dxa"/>
            <w:vAlign w:val="bottom"/>
          </w:tcPr>
          <w:p>
            <w:pPr>
              <w:jc w:val="center"/>
              <w:ind w:right="565"/>
              <w:spacing w:after="0" w:line="122" w:lineRule="exact"/>
              <w:rPr>
                <w:sz w:val="20"/>
                <w:szCs w:val="20"/>
                <w:color w:val="auto"/>
              </w:rPr>
            </w:pPr>
            <w:r>
              <w:rPr>
                <w:rFonts w:ascii="Arial" w:cs="Arial" w:eastAsia="Arial" w:hAnsi="Arial"/>
                <w:sz w:val="11"/>
                <w:szCs w:val="11"/>
                <w:color w:val="auto"/>
              </w:rPr>
              <w:t>(I.R.S. Employer</w:t>
            </w:r>
          </w:p>
        </w:tc>
      </w:tr>
      <w:tr>
        <w:trPr>
          <w:trHeight w:val="148"/>
        </w:trPr>
        <w:tc>
          <w:tcPr>
            <w:tcW w:w="260" w:type="dxa"/>
            <w:vAlign w:val="bottom"/>
          </w:tcPr>
          <w:p>
            <w:pPr>
              <w:spacing w:after="0"/>
              <w:rPr>
                <w:sz w:val="12"/>
                <w:szCs w:val="12"/>
                <w:color w:val="auto"/>
              </w:rPr>
            </w:pPr>
          </w:p>
        </w:tc>
        <w:tc>
          <w:tcPr>
            <w:tcW w:w="1740" w:type="dxa"/>
            <w:vAlign w:val="bottom"/>
            <w:gridSpan w:val="2"/>
          </w:tcPr>
          <w:p>
            <w:pPr>
              <w:jc w:val="center"/>
              <w:spacing w:after="0"/>
              <w:rPr>
                <w:sz w:val="20"/>
                <w:szCs w:val="20"/>
                <w:color w:val="auto"/>
              </w:rPr>
            </w:pPr>
            <w:r>
              <w:rPr>
                <w:rFonts w:ascii="Arial" w:cs="Arial" w:eastAsia="Arial" w:hAnsi="Arial"/>
                <w:sz w:val="11"/>
                <w:szCs w:val="11"/>
                <w:color w:val="auto"/>
              </w:rPr>
              <w:t>incorporation or organization)</w:t>
            </w: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0" w:type="dxa"/>
            <w:vAlign w:val="bottom"/>
          </w:tcPr>
          <w:p>
            <w:pPr>
              <w:jc w:val="center"/>
              <w:ind w:right="565"/>
              <w:spacing w:after="0"/>
              <w:rPr>
                <w:sz w:val="20"/>
                <w:szCs w:val="20"/>
                <w:color w:val="auto"/>
              </w:rPr>
            </w:pPr>
            <w:r>
              <w:rPr>
                <w:rFonts w:ascii="Arial" w:cs="Arial" w:eastAsia="Arial" w:hAnsi="Arial"/>
                <w:sz w:val="11"/>
                <w:szCs w:val="11"/>
                <w:color w:val="auto"/>
              </w:rPr>
              <w:t>Identification Number)</w:t>
            </w:r>
          </w:p>
        </w:tc>
      </w:tr>
      <w:tr>
        <w:trPr>
          <w:trHeight w:val="268"/>
        </w:trPr>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780" w:type="dxa"/>
            <w:vAlign w:val="bottom"/>
            <w:gridSpan w:val="4"/>
          </w:tcPr>
          <w:p>
            <w:pPr>
              <w:jc w:val="center"/>
              <w:ind w:left="191"/>
              <w:spacing w:after="0"/>
              <w:rPr>
                <w:sz w:val="20"/>
                <w:szCs w:val="20"/>
                <w:color w:val="auto"/>
              </w:rPr>
            </w:pPr>
            <w:r>
              <w:rPr>
                <w:rFonts w:ascii="Arial" w:cs="Arial" w:eastAsia="Arial" w:hAnsi="Arial"/>
                <w:sz w:val="14"/>
                <w:szCs w:val="14"/>
                <w:b w:val="1"/>
                <w:bCs w:val="1"/>
                <w:color w:val="auto"/>
              </w:rPr>
              <w:t>333 South Grand Avenue, 28th Floor</w:t>
            </w:r>
          </w:p>
        </w:tc>
        <w:tc>
          <w:tcPr>
            <w:tcW w:w="32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170"/>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20" w:type="dxa"/>
            <w:vAlign w:val="bottom"/>
            <w:gridSpan w:val="3"/>
          </w:tcPr>
          <w:p>
            <w:pPr>
              <w:jc w:val="center"/>
              <w:ind w:left="1051"/>
              <w:spacing w:after="0"/>
              <w:rPr>
                <w:sz w:val="20"/>
                <w:szCs w:val="20"/>
                <w:color w:val="auto"/>
              </w:rPr>
            </w:pPr>
            <w:r>
              <w:rPr>
                <w:rFonts w:ascii="Arial" w:cs="Arial" w:eastAsia="Arial" w:hAnsi="Arial"/>
                <w:sz w:val="14"/>
                <w:szCs w:val="14"/>
                <w:b w:val="1"/>
                <w:bCs w:val="1"/>
                <w:color w:val="auto"/>
              </w:rPr>
              <w:t>Los Angeles, CA 90071</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78"/>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20" w:type="dxa"/>
            <w:vAlign w:val="bottom"/>
            <w:gridSpan w:val="3"/>
          </w:tcPr>
          <w:p>
            <w:pPr>
              <w:jc w:val="center"/>
              <w:ind w:left="1051"/>
              <w:spacing w:after="0"/>
              <w:rPr>
                <w:sz w:val="20"/>
                <w:szCs w:val="20"/>
                <w:color w:val="auto"/>
              </w:rPr>
            </w:pPr>
            <w:r>
              <w:rPr>
                <w:rFonts w:ascii="Arial" w:cs="Arial" w:eastAsia="Arial" w:hAnsi="Arial"/>
                <w:sz w:val="14"/>
                <w:szCs w:val="14"/>
                <w:b w:val="1"/>
                <w:bCs w:val="1"/>
                <w:color w:val="auto"/>
              </w:rPr>
              <w:t>Telephone: (213) 830-6300</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38"/>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780" w:type="dxa"/>
            <w:vAlign w:val="bottom"/>
            <w:gridSpan w:val="4"/>
          </w:tcPr>
          <w:p>
            <w:pPr>
              <w:jc w:val="center"/>
              <w:ind w:left="191"/>
              <w:spacing w:after="0"/>
              <w:rPr>
                <w:sz w:val="20"/>
                <w:szCs w:val="20"/>
                <w:color w:val="auto"/>
              </w:rPr>
            </w:pPr>
            <w:r>
              <w:rPr>
                <w:rFonts w:ascii="Arial" w:cs="Arial" w:eastAsia="Arial" w:hAnsi="Arial"/>
                <w:sz w:val="11"/>
                <w:szCs w:val="11"/>
                <w:color w:val="auto"/>
              </w:rPr>
              <w:t>(Address, zip code, and telephone number, including</w:t>
            </w:r>
          </w:p>
        </w:tc>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119"/>
        </w:trPr>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780" w:type="dxa"/>
            <w:vAlign w:val="bottom"/>
            <w:gridSpan w:val="4"/>
          </w:tcPr>
          <w:p>
            <w:pPr>
              <w:jc w:val="center"/>
              <w:ind w:left="191"/>
              <w:spacing w:after="0" w:line="119" w:lineRule="exact"/>
              <w:rPr>
                <w:sz w:val="20"/>
                <w:szCs w:val="20"/>
                <w:color w:val="auto"/>
              </w:rPr>
            </w:pPr>
            <w:r>
              <w:rPr>
                <w:rFonts w:ascii="Arial" w:cs="Arial" w:eastAsia="Arial" w:hAnsi="Arial"/>
                <w:sz w:val="11"/>
                <w:szCs w:val="11"/>
                <w:color w:val="auto"/>
              </w:rPr>
              <w:t>area code, of registrant’s principal executive offices)</w:t>
            </w:r>
          </w:p>
        </w:tc>
        <w:tc>
          <w:tcPr>
            <w:tcW w:w="32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920" w:type="dxa"/>
            <w:vAlign w:val="bottom"/>
            <w:gridSpan w:val="3"/>
          </w:tcPr>
          <w:p>
            <w:pPr>
              <w:jc w:val="center"/>
              <w:ind w:left="1071"/>
              <w:spacing w:after="0"/>
              <w:rPr>
                <w:sz w:val="20"/>
                <w:szCs w:val="20"/>
                <w:color w:val="auto"/>
              </w:rPr>
            </w:pPr>
            <w:r>
              <w:rPr>
                <w:rFonts w:ascii="Arial" w:cs="Arial" w:eastAsia="Arial" w:hAnsi="Arial"/>
                <w:sz w:val="10"/>
                <w:szCs w:val="10"/>
                <w:b w:val="1"/>
                <w:bCs w:val="1"/>
                <w:color w:val="auto"/>
                <w:w w:val="98"/>
              </w:rPr>
              <w:t>_______________________________</w:t>
            </w: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233"/>
        </w:trPr>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80" w:type="dxa"/>
            <w:vAlign w:val="bottom"/>
            <w:gridSpan w:val="4"/>
          </w:tcPr>
          <w:p>
            <w:pPr>
              <w:ind w:left="720"/>
              <w:spacing w:after="0"/>
              <w:rPr>
                <w:sz w:val="20"/>
                <w:szCs w:val="20"/>
                <w:color w:val="auto"/>
              </w:rPr>
            </w:pPr>
            <w:r>
              <w:rPr>
                <w:rFonts w:ascii="Arial" w:cs="Arial" w:eastAsia="Arial" w:hAnsi="Arial"/>
                <w:sz w:val="11"/>
                <w:szCs w:val="11"/>
                <w:color w:val="auto"/>
              </w:rPr>
              <w:t>Securities registered pursuant to Section 12(b) of the Act:</w:t>
            </w: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134"/>
        </w:trPr>
        <w:tc>
          <w:tcPr>
            <w:tcW w:w="26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Trading Symbol(s)</w:t>
            </w: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52"/>
        </w:trPr>
        <w:tc>
          <w:tcPr>
            <w:tcW w:w="2000" w:type="dxa"/>
            <w:vAlign w:val="bottom"/>
            <w:gridSpan w:val="3"/>
          </w:tcPr>
          <w:p>
            <w:pPr>
              <w:jc w:val="center"/>
              <w:ind w:right="500"/>
              <w:spacing w:after="0"/>
              <w:rPr>
                <w:sz w:val="20"/>
                <w:szCs w:val="20"/>
                <w:color w:val="auto"/>
              </w:rPr>
            </w:pPr>
            <w:r>
              <w:rPr>
                <w:rFonts w:ascii="Arial" w:cs="Arial" w:eastAsia="Arial" w:hAnsi="Arial"/>
                <w:sz w:val="11"/>
                <w:szCs w:val="11"/>
                <w:color w:val="auto"/>
                <w:w w:val="96"/>
              </w:rPr>
              <w:t>6.625% Series A preferred units</w:t>
            </w:r>
          </w:p>
        </w:tc>
        <w:tc>
          <w:tcPr>
            <w:tcW w:w="152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1"/>
                <w:szCs w:val="11"/>
                <w:color w:val="auto"/>
                <w:w w:val="96"/>
              </w:rPr>
              <w:t>OAK-PA</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0" w:type="dxa"/>
            <w:vAlign w:val="bottom"/>
          </w:tcPr>
          <w:p>
            <w:pPr>
              <w:ind w:left="580"/>
              <w:spacing w:after="0"/>
              <w:rPr>
                <w:sz w:val="20"/>
                <w:szCs w:val="20"/>
                <w:color w:val="auto"/>
              </w:rPr>
            </w:pPr>
            <w:r>
              <w:rPr>
                <w:rFonts w:ascii="Arial" w:cs="Arial" w:eastAsia="Arial" w:hAnsi="Arial"/>
                <w:sz w:val="11"/>
                <w:szCs w:val="11"/>
                <w:color w:val="auto"/>
              </w:rPr>
              <w:t>New York Stock Exchange</w:t>
            </w:r>
          </w:p>
        </w:tc>
      </w:tr>
      <w:tr>
        <w:trPr>
          <w:trHeight w:val="149"/>
        </w:trPr>
        <w:tc>
          <w:tcPr>
            <w:tcW w:w="2000" w:type="dxa"/>
            <w:vAlign w:val="bottom"/>
            <w:gridSpan w:val="3"/>
          </w:tcPr>
          <w:p>
            <w:pPr>
              <w:jc w:val="center"/>
              <w:ind w:right="500"/>
              <w:spacing w:after="0"/>
              <w:rPr>
                <w:sz w:val="20"/>
                <w:szCs w:val="20"/>
                <w:color w:val="auto"/>
              </w:rPr>
            </w:pPr>
            <w:r>
              <w:rPr>
                <w:rFonts w:ascii="Arial" w:cs="Arial" w:eastAsia="Arial" w:hAnsi="Arial"/>
                <w:sz w:val="11"/>
                <w:szCs w:val="11"/>
                <w:color w:val="auto"/>
                <w:w w:val="96"/>
              </w:rPr>
              <w:t>6.550% Series B preferred units</w:t>
            </w:r>
          </w:p>
        </w:tc>
        <w:tc>
          <w:tcPr>
            <w:tcW w:w="1520" w:type="dxa"/>
            <w:vAlign w:val="bottom"/>
          </w:tcPr>
          <w:p>
            <w:pPr>
              <w:spacing w:after="0"/>
              <w:rPr>
                <w:sz w:val="12"/>
                <w:szCs w:val="12"/>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1"/>
                <w:szCs w:val="11"/>
                <w:color w:val="auto"/>
                <w:w w:val="96"/>
              </w:rPr>
              <w:t>OAK-PB</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0" w:type="dxa"/>
            <w:vAlign w:val="bottom"/>
          </w:tcPr>
          <w:p>
            <w:pPr>
              <w:ind w:left="580"/>
              <w:spacing w:after="0"/>
              <w:rPr>
                <w:sz w:val="20"/>
                <w:szCs w:val="20"/>
                <w:color w:val="auto"/>
              </w:rPr>
            </w:pPr>
            <w:r>
              <w:rPr>
                <w:rFonts w:ascii="Arial" w:cs="Arial" w:eastAsia="Arial" w:hAnsi="Arial"/>
                <w:sz w:val="11"/>
                <w:szCs w:val="11"/>
                <w:color w:val="auto"/>
              </w:rPr>
              <w:t>New York Stock Exchange</w:t>
            </w:r>
          </w:p>
        </w:tc>
      </w:tr>
    </w:tbl>
    <w:p>
      <w:pPr>
        <w:spacing w:after="0" w:line="342" w:lineRule="exact"/>
        <w:rPr>
          <w:sz w:val="24"/>
          <w:szCs w:val="24"/>
          <w:color w:val="auto"/>
        </w:rPr>
      </w:pPr>
    </w:p>
    <w:p>
      <w:pPr>
        <w:ind w:right="20" w:firstLine="255"/>
        <w:spacing w:after="0" w:line="143"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96" w:lineRule="exact"/>
        <w:rPr>
          <w:sz w:val="24"/>
          <w:szCs w:val="24"/>
          <w:color w:val="auto"/>
        </w:rPr>
      </w:pPr>
    </w:p>
    <w:p>
      <w:pPr>
        <w:ind w:firstLine="255"/>
        <w:spacing w:after="0" w:line="14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43" w:lineRule="exact"/>
        <w:rPr>
          <w:sz w:val="24"/>
          <w:szCs w:val="24"/>
          <w:color w:val="auto"/>
        </w:rPr>
      </w:pPr>
    </w:p>
    <w:p>
      <w:pPr>
        <w:ind w:firstLine="255"/>
        <w:spacing w:after="0" w:line="27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140" w:type="dxa"/>
        <w:tblCellMar>
          <w:top w:w="0" w:type="dxa"/>
          <w:left w:w="0" w:type="dxa"/>
          <w:bottom w:w="0" w:type="dxa"/>
          <w:right w:w="0" w:type="dxa"/>
        </w:tblCellMar>
      </w:tblPr>
      <w:tr>
        <w:trPr>
          <w:trHeight w:val="149"/>
        </w:trPr>
        <w:tc>
          <w:tcPr>
            <w:tcW w:w="1380" w:type="dxa"/>
            <w:vAlign w:val="bottom"/>
          </w:tcPr>
          <w:p>
            <w:pPr>
              <w:jc w:val="center"/>
              <w:ind w:right="287"/>
              <w:spacing w:after="0"/>
              <w:rPr>
                <w:sz w:val="20"/>
                <w:szCs w:val="20"/>
                <w:color w:val="auto"/>
              </w:rPr>
            </w:pPr>
            <w:r>
              <w:rPr>
                <w:rFonts w:ascii="Arial" w:cs="Arial" w:eastAsia="Arial" w:hAnsi="Arial"/>
                <w:sz w:val="11"/>
                <w:szCs w:val="11"/>
                <w:color w:val="auto"/>
                <w:w w:val="95"/>
              </w:rPr>
              <w:t>Large accelerated filer</w:t>
            </w:r>
          </w:p>
        </w:tc>
        <w:tc>
          <w:tcPr>
            <w:tcW w:w="2540" w:type="dxa"/>
            <w:vAlign w:val="bottom"/>
          </w:tcPr>
          <w:p>
            <w:pPr>
              <w:ind w:left="320"/>
              <w:spacing w:after="0"/>
              <w:rPr>
                <w:sz w:val="20"/>
                <w:szCs w:val="20"/>
                <w:color w:val="auto"/>
              </w:rPr>
            </w:pPr>
            <w:r>
              <w:rPr>
                <w:rFonts w:ascii="Arial" w:cs="Arial" w:eastAsia="Arial" w:hAnsi="Arial"/>
                <w:sz w:val="11"/>
                <w:szCs w:val="11"/>
                <w:color w:val="auto"/>
              </w:rPr>
              <w:t>o</w:t>
            </w:r>
          </w:p>
        </w:tc>
        <w:tc>
          <w:tcPr>
            <w:tcW w:w="3840" w:type="dxa"/>
            <w:vAlign w:val="bottom"/>
          </w:tcPr>
          <w:p>
            <w:pPr>
              <w:jc w:val="center"/>
              <w:ind w:left="1667"/>
              <w:spacing w:after="0"/>
              <w:rPr>
                <w:sz w:val="20"/>
                <w:szCs w:val="20"/>
                <w:color w:val="auto"/>
              </w:rPr>
            </w:pPr>
            <w:r>
              <w:rPr>
                <w:rFonts w:ascii="Arial" w:cs="Arial" w:eastAsia="Arial" w:hAnsi="Arial"/>
                <w:sz w:val="11"/>
                <w:szCs w:val="11"/>
                <w:color w:val="auto"/>
                <w:w w:val="96"/>
              </w:rPr>
              <w:t>Accelerated filer</w:t>
            </w:r>
          </w:p>
        </w:tc>
        <w:tc>
          <w:tcPr>
            <w:tcW w:w="520" w:type="dxa"/>
            <w:vAlign w:val="bottom"/>
          </w:tcPr>
          <w:p>
            <w:pPr>
              <w:ind w:left="440"/>
              <w:spacing w:after="0" w:line="81" w:lineRule="exact"/>
              <w:rPr>
                <w:sz w:val="20"/>
                <w:szCs w:val="20"/>
                <w:color w:val="auto"/>
              </w:rPr>
            </w:pPr>
            <w:r>
              <w:rPr>
                <w:rFonts w:ascii="MS PGothic" w:cs="MS PGothic" w:eastAsia="MS PGothic" w:hAnsi="MS PGothic"/>
                <w:sz w:val="8"/>
                <w:szCs w:val="8"/>
                <w:color w:val="auto"/>
                <w:w w:val="74"/>
              </w:rPr>
              <w:t>☐</w:t>
            </w:r>
          </w:p>
        </w:tc>
      </w:tr>
      <w:tr>
        <w:trPr>
          <w:trHeight w:val="149"/>
        </w:trPr>
        <w:tc>
          <w:tcPr>
            <w:tcW w:w="1380" w:type="dxa"/>
            <w:vAlign w:val="bottom"/>
          </w:tcPr>
          <w:p>
            <w:pPr>
              <w:jc w:val="center"/>
              <w:ind w:right="267"/>
              <w:spacing w:after="0"/>
              <w:rPr>
                <w:sz w:val="20"/>
                <w:szCs w:val="20"/>
                <w:color w:val="auto"/>
              </w:rPr>
            </w:pPr>
            <w:r>
              <w:rPr>
                <w:rFonts w:ascii="Arial" w:cs="Arial" w:eastAsia="Arial" w:hAnsi="Arial"/>
                <w:sz w:val="11"/>
                <w:szCs w:val="11"/>
                <w:color w:val="auto"/>
                <w:w w:val="96"/>
              </w:rPr>
              <w:t>Non-accelerated filer</w:t>
            </w:r>
          </w:p>
        </w:tc>
        <w:tc>
          <w:tcPr>
            <w:tcW w:w="2540" w:type="dxa"/>
            <w:vAlign w:val="bottom"/>
          </w:tcPr>
          <w:p>
            <w:pPr>
              <w:ind w:left="320"/>
              <w:spacing w:after="0"/>
              <w:rPr>
                <w:sz w:val="20"/>
                <w:szCs w:val="20"/>
                <w:color w:val="auto"/>
              </w:rPr>
            </w:pPr>
            <w:r>
              <w:rPr>
                <w:rFonts w:ascii="Arial" w:cs="Arial" w:eastAsia="Arial" w:hAnsi="Arial"/>
                <w:sz w:val="11"/>
                <w:szCs w:val="11"/>
                <w:color w:val="auto"/>
              </w:rPr>
              <w:t>x</w:t>
            </w:r>
          </w:p>
        </w:tc>
        <w:tc>
          <w:tcPr>
            <w:tcW w:w="3840" w:type="dxa"/>
            <w:vAlign w:val="bottom"/>
          </w:tcPr>
          <w:p>
            <w:pPr>
              <w:jc w:val="center"/>
              <w:ind w:left="1667"/>
              <w:spacing w:after="0"/>
              <w:rPr>
                <w:sz w:val="20"/>
                <w:szCs w:val="20"/>
                <w:color w:val="auto"/>
              </w:rPr>
            </w:pPr>
            <w:r>
              <w:rPr>
                <w:rFonts w:ascii="Arial" w:cs="Arial" w:eastAsia="Arial" w:hAnsi="Arial"/>
                <w:sz w:val="11"/>
                <w:szCs w:val="11"/>
                <w:color w:val="auto"/>
                <w:w w:val="97"/>
              </w:rPr>
              <w:t>Smaller reporting company</w:t>
            </w:r>
          </w:p>
        </w:tc>
        <w:tc>
          <w:tcPr>
            <w:tcW w:w="520" w:type="dxa"/>
            <w:vAlign w:val="bottom"/>
          </w:tcPr>
          <w:p>
            <w:pPr>
              <w:ind w:left="440"/>
              <w:spacing w:after="0" w:line="81" w:lineRule="exact"/>
              <w:rPr>
                <w:sz w:val="20"/>
                <w:szCs w:val="20"/>
                <w:color w:val="auto"/>
              </w:rPr>
            </w:pPr>
            <w:r>
              <w:rPr>
                <w:rFonts w:ascii="MS PGothic" w:cs="MS PGothic" w:eastAsia="MS PGothic" w:hAnsi="MS PGothic"/>
                <w:sz w:val="8"/>
                <w:szCs w:val="8"/>
                <w:color w:val="auto"/>
                <w:w w:val="74"/>
              </w:rPr>
              <w:t>☐</w:t>
            </w:r>
          </w:p>
        </w:tc>
      </w:tr>
      <w:tr>
        <w:trPr>
          <w:trHeight w:val="164"/>
        </w:trPr>
        <w:tc>
          <w:tcPr>
            <w:tcW w:w="1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40" w:type="dxa"/>
            <w:vAlign w:val="bottom"/>
          </w:tcPr>
          <w:p>
            <w:pPr>
              <w:jc w:val="center"/>
              <w:ind w:left="1647"/>
              <w:spacing w:after="0"/>
              <w:rPr>
                <w:sz w:val="20"/>
                <w:szCs w:val="20"/>
                <w:color w:val="auto"/>
              </w:rPr>
            </w:pPr>
            <w:r>
              <w:rPr>
                <w:rFonts w:ascii="Arial" w:cs="Arial" w:eastAsia="Arial" w:hAnsi="Arial"/>
                <w:sz w:val="11"/>
                <w:szCs w:val="11"/>
                <w:color w:val="auto"/>
                <w:w w:val="96"/>
              </w:rPr>
              <w:t>Emerging growth company</w:t>
            </w:r>
          </w:p>
        </w:tc>
        <w:tc>
          <w:tcPr>
            <w:tcW w:w="520" w:type="dxa"/>
            <w:vAlign w:val="bottom"/>
          </w:tcPr>
          <w:p>
            <w:pPr>
              <w:ind w:left="44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132" w:lineRule="exact"/>
        <w:rPr>
          <w:sz w:val="24"/>
          <w:szCs w:val="24"/>
          <w:color w:val="auto"/>
        </w:rPr>
      </w:pPr>
    </w:p>
    <w:p>
      <w:pPr>
        <w:ind w:right="140" w:firstLine="255"/>
        <w:spacing w:after="0" w:line="303"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left="260" w:right="4400"/>
        <w:spacing w:after="0" w:line="21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As of August 10, 2022, there were 103,080,160 Class A units and 56,822,301 Class B units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817"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720" w:type="dxa"/>
            <w:vAlign w:val="bottom"/>
            <w:gridSpan w:val="8"/>
          </w:tcPr>
          <w:p>
            <w:pPr>
              <w:ind w:left="60"/>
              <w:spacing w:after="0"/>
              <w:rPr>
                <w:sz w:val="20"/>
                <w:szCs w:val="20"/>
                <w:color w:val="auto"/>
              </w:rPr>
            </w:pPr>
            <w:r>
              <w:rPr>
                <w:rFonts w:ascii="Arial" w:cs="Arial" w:eastAsia="Arial" w:hAnsi="Arial"/>
                <w:sz w:val="14"/>
                <w:szCs w:val="14"/>
                <w:b w:val="1"/>
                <w:bCs w:val="1"/>
                <w:color w:val="auto"/>
              </w:rPr>
              <w:t>TABLE OF CONTENTS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0480" w:type="dxa"/>
            <w:vAlign w:val="bottom"/>
            <w:gridSpan w:val="21"/>
            <w:vMerge w:val="restart"/>
          </w:tcPr>
          <w:p>
            <w:pPr>
              <w:spacing w:after="0"/>
              <w:rPr>
                <w:sz w:val="20"/>
                <w:szCs w:val="20"/>
                <w:color w:val="auto"/>
              </w:rPr>
            </w:pPr>
            <w:r>
              <w:rPr>
                <w:rFonts w:ascii="Arial" w:cs="Arial" w:eastAsia="Arial" w:hAnsi="Arial"/>
                <w:sz w:val="14"/>
                <w:szCs w:val="14"/>
                <w:color w:val="auto"/>
              </w:rPr>
              <w:t>PART I – FINANCIAL INFORMATION</w:t>
            </w:r>
          </w:p>
        </w:tc>
        <w:tc>
          <w:tcPr>
            <w:tcW w:w="740" w:type="dxa"/>
            <w:vAlign w:val="bottom"/>
            <w:gridSpan w:val="4"/>
          </w:tcPr>
          <w:p>
            <w:pPr>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0480" w:type="dxa"/>
            <w:vAlign w:val="bottom"/>
            <w:gridSpan w:val="21"/>
            <w:vMerge w:val="continue"/>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080" w:type="dxa"/>
            <w:vAlign w:val="bottom"/>
            <w:gridSpan w:val="4"/>
          </w:tcPr>
          <w:p>
            <w:pPr>
              <w:spacing w:after="0" w:line="153" w:lineRule="exact"/>
              <w:rPr>
                <w:sz w:val="20"/>
                <w:szCs w:val="20"/>
                <w:color w:val="auto"/>
              </w:rPr>
            </w:pPr>
            <w:r>
              <w:rPr>
                <w:rFonts w:ascii="Arial" w:cs="Arial" w:eastAsia="Arial" w:hAnsi="Arial"/>
                <w:sz w:val="14"/>
                <w:szCs w:val="14"/>
                <w:color w:val="0000FF"/>
              </w:rPr>
              <w:t>Item 1.</w:t>
            </w:r>
          </w:p>
        </w:tc>
        <w:tc>
          <w:tcPr>
            <w:tcW w:w="9400" w:type="dxa"/>
            <w:vAlign w:val="bottom"/>
            <w:gridSpan w:val="17"/>
          </w:tcPr>
          <w:p>
            <w:pPr>
              <w:spacing w:after="0" w:line="153" w:lineRule="exact"/>
              <w:rPr>
                <w:sz w:val="20"/>
                <w:szCs w:val="20"/>
                <w:color w:val="auto"/>
              </w:rPr>
            </w:pPr>
            <w:r>
              <w:rPr>
                <w:rFonts w:ascii="Arial" w:cs="Arial" w:eastAsia="Arial" w:hAnsi="Arial"/>
                <w:sz w:val="14"/>
                <w:szCs w:val="14"/>
                <w:color w:val="0000FF"/>
              </w:rPr>
              <w:t>Financial Statements (Unaudited)</w:t>
            </w:r>
          </w:p>
        </w:tc>
        <w:tc>
          <w:tcPr>
            <w:tcW w:w="160" w:type="dxa"/>
            <w:vAlign w:val="bottom"/>
            <w:gridSpan w:val="2"/>
          </w:tcPr>
          <w:p>
            <w:pPr>
              <w:spacing w:after="0" w:line="153" w:lineRule="exact"/>
              <w:rPr>
                <w:sz w:val="20"/>
                <w:szCs w:val="20"/>
                <w:color w:val="auto"/>
              </w:rPr>
            </w:pPr>
            <w:r>
              <w:rPr>
                <w:rFonts w:ascii="Arial" w:cs="Arial" w:eastAsia="Arial" w:hAnsi="Arial"/>
                <w:sz w:val="14"/>
                <w:szCs w:val="14"/>
                <w:color w:val="0000FF"/>
              </w:rPr>
              <w:t>1</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0" w:type="dxa"/>
            <w:vAlign w:val="bottom"/>
            <w:gridSpan w:val="17"/>
          </w:tcPr>
          <w:p>
            <w:pPr>
              <w:spacing w:after="0"/>
              <w:rPr>
                <w:sz w:val="20"/>
                <w:szCs w:val="20"/>
                <w:color w:val="auto"/>
              </w:rPr>
            </w:pPr>
            <w:r>
              <w:rPr>
                <w:rFonts w:ascii="Arial" w:cs="Arial" w:eastAsia="Arial" w:hAnsi="Arial"/>
                <w:sz w:val="14"/>
                <w:szCs w:val="14"/>
                <w:color w:val="0000FF"/>
              </w:rPr>
              <w:t>Condensed Consolidated Statements of Financial Condition as of June 30, 2021 and December 31, 2020</w:t>
            </w:r>
          </w:p>
        </w:tc>
        <w:tc>
          <w:tcPr>
            <w:tcW w:w="160" w:type="dxa"/>
            <w:vAlign w:val="bottom"/>
            <w:gridSpan w:val="2"/>
          </w:tcPr>
          <w:p>
            <w:pPr>
              <w:spacing w:after="0"/>
              <w:rPr>
                <w:sz w:val="20"/>
                <w:szCs w:val="20"/>
                <w:color w:val="auto"/>
              </w:rPr>
            </w:pPr>
            <w:r>
              <w:rPr>
                <w:rFonts w:ascii="Arial" w:cs="Arial" w:eastAsia="Arial" w:hAnsi="Arial"/>
                <w:sz w:val="14"/>
                <w:szCs w:val="14"/>
                <w:color w:val="0000FF"/>
              </w:rPr>
              <w:t>2</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100" w:type="dxa"/>
            <w:vAlign w:val="bottom"/>
            <w:gridSpan w:val="14"/>
          </w:tcPr>
          <w:p>
            <w:pPr>
              <w:spacing w:after="0"/>
              <w:rPr>
                <w:sz w:val="20"/>
                <w:szCs w:val="20"/>
                <w:color w:val="auto"/>
              </w:rPr>
            </w:pPr>
            <w:r>
              <w:rPr>
                <w:rFonts w:ascii="Arial" w:cs="Arial" w:eastAsia="Arial" w:hAnsi="Arial"/>
                <w:sz w:val="14"/>
                <w:szCs w:val="14"/>
                <w:color w:val="0000FF"/>
              </w:rPr>
              <w:t>Condensed Consolidated Statements of Operations for the Three and Six Months Ended June 30, 2021 and 2020</w:t>
            </w:r>
          </w:p>
        </w:tc>
        <w:tc>
          <w:tcPr>
            <w:tcW w:w="2300" w:type="dxa"/>
            <w:vAlign w:val="bottom"/>
            <w:gridSpan w:val="3"/>
          </w:tcPr>
          <w:p>
            <w:pPr>
              <w:spacing w:after="0"/>
              <w:rPr>
                <w:sz w:val="13"/>
                <w:szCs w:val="13"/>
                <w:color w:val="auto"/>
              </w:rPr>
            </w:pPr>
          </w:p>
        </w:tc>
        <w:tc>
          <w:tcPr>
            <w:tcW w:w="160" w:type="dxa"/>
            <w:vAlign w:val="bottom"/>
            <w:gridSpan w:val="2"/>
          </w:tcPr>
          <w:p>
            <w:pPr>
              <w:spacing w:after="0"/>
              <w:rPr>
                <w:sz w:val="20"/>
                <w:szCs w:val="20"/>
                <w:color w:val="auto"/>
              </w:rPr>
            </w:pPr>
            <w:r>
              <w:rPr>
                <w:rFonts w:ascii="Arial" w:cs="Arial" w:eastAsia="Arial" w:hAnsi="Arial"/>
                <w:sz w:val="14"/>
                <w:szCs w:val="14"/>
                <w:color w:val="0000FF"/>
              </w:rPr>
              <w:t>3</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0" w:type="dxa"/>
            <w:vAlign w:val="bottom"/>
            <w:gridSpan w:val="17"/>
          </w:tcPr>
          <w:p>
            <w:pPr>
              <w:spacing w:after="0"/>
              <w:rPr>
                <w:sz w:val="20"/>
                <w:szCs w:val="20"/>
                <w:color w:val="auto"/>
              </w:rPr>
            </w:pPr>
            <w:r>
              <w:rPr>
                <w:rFonts w:ascii="Arial" w:cs="Arial" w:eastAsia="Arial" w:hAnsi="Arial"/>
                <w:sz w:val="14"/>
                <w:szCs w:val="14"/>
                <w:color w:val="0000FF"/>
              </w:rPr>
              <w:t>Condensed Consolidated Statements of Comprehensive Income (Loss) for the Three and Six Months Ended June 30, 2021 and 2020</w:t>
            </w:r>
          </w:p>
        </w:tc>
        <w:tc>
          <w:tcPr>
            <w:tcW w:w="160" w:type="dxa"/>
            <w:vAlign w:val="bottom"/>
            <w:gridSpan w:val="2"/>
          </w:tcPr>
          <w:p>
            <w:pPr>
              <w:spacing w:after="0"/>
              <w:rPr>
                <w:sz w:val="20"/>
                <w:szCs w:val="20"/>
                <w:color w:val="auto"/>
              </w:rPr>
            </w:pPr>
            <w:r>
              <w:rPr>
                <w:rFonts w:ascii="Arial" w:cs="Arial" w:eastAsia="Arial" w:hAnsi="Arial"/>
                <w:sz w:val="14"/>
                <w:szCs w:val="14"/>
                <w:color w:val="0000FF"/>
              </w:rPr>
              <w:t>4</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60" w:type="dxa"/>
            <w:vAlign w:val="bottom"/>
            <w:gridSpan w:val="12"/>
          </w:tcPr>
          <w:p>
            <w:pPr>
              <w:spacing w:after="0"/>
              <w:rPr>
                <w:sz w:val="20"/>
                <w:szCs w:val="20"/>
                <w:color w:val="auto"/>
              </w:rPr>
            </w:pPr>
            <w:r>
              <w:rPr>
                <w:rFonts w:ascii="Arial" w:cs="Arial" w:eastAsia="Arial" w:hAnsi="Arial"/>
                <w:sz w:val="14"/>
                <w:szCs w:val="14"/>
                <w:color w:val="0000FF"/>
              </w:rPr>
              <w:t>Condensed Consolidated Statements of Cash Flows for the Six Months Ended June 30, 2021 and 2020</w:t>
            </w:r>
          </w:p>
        </w:tc>
        <w:tc>
          <w:tcPr>
            <w:tcW w:w="1860" w:type="dxa"/>
            <w:vAlign w:val="bottom"/>
            <w:gridSpan w:val="3"/>
          </w:tcPr>
          <w:p>
            <w:pPr>
              <w:spacing w:after="0"/>
              <w:rPr>
                <w:sz w:val="13"/>
                <w:szCs w:val="13"/>
                <w:color w:val="auto"/>
              </w:rPr>
            </w:pPr>
          </w:p>
        </w:tc>
        <w:tc>
          <w:tcPr>
            <w:tcW w:w="1080" w:type="dxa"/>
            <w:vAlign w:val="bottom"/>
            <w:gridSpan w:val="2"/>
          </w:tcPr>
          <w:p>
            <w:pPr>
              <w:spacing w:after="0"/>
              <w:rPr>
                <w:sz w:val="13"/>
                <w:szCs w:val="13"/>
                <w:color w:val="auto"/>
              </w:rPr>
            </w:pPr>
          </w:p>
        </w:tc>
        <w:tc>
          <w:tcPr>
            <w:tcW w:w="160" w:type="dxa"/>
            <w:vAlign w:val="bottom"/>
            <w:gridSpan w:val="2"/>
          </w:tcPr>
          <w:p>
            <w:pPr>
              <w:spacing w:after="0"/>
              <w:rPr>
                <w:sz w:val="20"/>
                <w:szCs w:val="20"/>
                <w:color w:val="auto"/>
              </w:rPr>
            </w:pPr>
            <w:r>
              <w:rPr>
                <w:rFonts w:ascii="Arial" w:cs="Arial" w:eastAsia="Arial" w:hAnsi="Arial"/>
                <w:sz w:val="14"/>
                <w:szCs w:val="14"/>
                <w:color w:val="0000FF"/>
              </w:rPr>
              <w:t>5</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0" w:type="dxa"/>
            <w:vAlign w:val="bottom"/>
            <w:gridSpan w:val="17"/>
          </w:tcPr>
          <w:p>
            <w:pPr>
              <w:spacing w:after="0"/>
              <w:rPr>
                <w:sz w:val="20"/>
                <w:szCs w:val="20"/>
                <w:color w:val="auto"/>
              </w:rPr>
            </w:pPr>
            <w:r>
              <w:rPr>
                <w:rFonts w:ascii="Arial" w:cs="Arial" w:eastAsia="Arial" w:hAnsi="Arial"/>
                <w:sz w:val="14"/>
                <w:szCs w:val="14"/>
                <w:color w:val="0000FF"/>
              </w:rPr>
              <w:t>Condensed Consolidated Statements of Changes in Unitholders’ Capital for the Three and Six Months Ended June 30, 2021 and 2020</w:t>
            </w:r>
          </w:p>
        </w:tc>
        <w:tc>
          <w:tcPr>
            <w:tcW w:w="160" w:type="dxa"/>
            <w:vAlign w:val="bottom"/>
            <w:gridSpan w:val="2"/>
          </w:tcPr>
          <w:p>
            <w:pPr>
              <w:spacing w:after="0"/>
              <w:rPr>
                <w:sz w:val="20"/>
                <w:szCs w:val="20"/>
                <w:color w:val="auto"/>
              </w:rPr>
            </w:pPr>
            <w:r>
              <w:rPr>
                <w:rFonts w:ascii="Arial" w:cs="Arial" w:eastAsia="Arial" w:hAnsi="Arial"/>
                <w:sz w:val="14"/>
                <w:szCs w:val="14"/>
                <w:color w:val="0000FF"/>
              </w:rPr>
              <w:t>7</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840" w:type="dxa"/>
            <w:vAlign w:val="bottom"/>
            <w:gridSpan w:val="5"/>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500" w:type="dxa"/>
            <w:vAlign w:val="bottom"/>
            <w:gridSpan w:val="8"/>
          </w:tcPr>
          <w:p>
            <w:pPr>
              <w:spacing w:after="0"/>
              <w:rPr>
                <w:sz w:val="20"/>
                <w:szCs w:val="20"/>
                <w:color w:val="auto"/>
              </w:rPr>
            </w:pPr>
            <w:r>
              <w:rPr>
                <w:rFonts w:ascii="Arial" w:cs="Arial" w:eastAsia="Arial" w:hAnsi="Arial"/>
                <w:sz w:val="14"/>
                <w:szCs w:val="14"/>
                <w:color w:val="0000FF"/>
              </w:rPr>
              <w:t>Notes to Condensed Consolidated Financial Statements</w:t>
            </w:r>
          </w:p>
        </w:tc>
        <w:tc>
          <w:tcPr>
            <w:tcW w:w="4880" w:type="dxa"/>
            <w:vAlign w:val="bottom"/>
            <w:gridSpan w:val="8"/>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gridSpan w:val="2"/>
          </w:tcPr>
          <w:p>
            <w:pPr>
              <w:spacing w:after="0"/>
              <w:rPr>
                <w:sz w:val="20"/>
                <w:szCs w:val="20"/>
                <w:color w:val="auto"/>
              </w:rPr>
            </w:pPr>
            <w:r>
              <w:rPr>
                <w:rFonts w:ascii="Arial" w:cs="Arial" w:eastAsia="Arial" w:hAnsi="Arial"/>
                <w:sz w:val="14"/>
                <w:szCs w:val="14"/>
                <w:color w:val="0000FF"/>
              </w:rPr>
              <w:t>9</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Arial" w:cs="Arial" w:eastAsia="Arial" w:hAnsi="Arial"/>
                <w:sz w:val="14"/>
                <w:szCs w:val="14"/>
                <w:color w:val="0000FF"/>
              </w:rPr>
              <w:t>Item 2.</w:t>
            </w:r>
          </w:p>
        </w:tc>
        <w:tc>
          <w:tcPr>
            <w:tcW w:w="9400" w:type="dxa"/>
            <w:vAlign w:val="bottom"/>
            <w:gridSpan w:val="17"/>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40" w:type="dxa"/>
            <w:vAlign w:val="bottom"/>
            <w:gridSpan w:val="3"/>
          </w:tcPr>
          <w:p>
            <w:pPr>
              <w:spacing w:after="0"/>
              <w:rPr>
                <w:sz w:val="20"/>
                <w:szCs w:val="20"/>
                <w:color w:val="auto"/>
              </w:rPr>
            </w:pPr>
            <w:r>
              <w:rPr>
                <w:rFonts w:ascii="Arial" w:cs="Arial" w:eastAsia="Arial" w:hAnsi="Arial"/>
                <w:sz w:val="14"/>
                <w:szCs w:val="14"/>
                <w:color w:val="0000FF"/>
              </w:rPr>
              <w:t>58</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Arial" w:cs="Arial" w:eastAsia="Arial" w:hAnsi="Arial"/>
                <w:sz w:val="14"/>
                <w:szCs w:val="14"/>
                <w:color w:val="0000FF"/>
              </w:rPr>
              <w:t>Item 3.</w:t>
            </w:r>
          </w:p>
        </w:tc>
        <w:tc>
          <w:tcPr>
            <w:tcW w:w="9400" w:type="dxa"/>
            <w:vAlign w:val="bottom"/>
            <w:gridSpan w:val="17"/>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340" w:type="dxa"/>
            <w:vAlign w:val="bottom"/>
            <w:gridSpan w:val="3"/>
          </w:tcPr>
          <w:p>
            <w:pPr>
              <w:spacing w:after="0"/>
              <w:rPr>
                <w:sz w:val="20"/>
                <w:szCs w:val="20"/>
                <w:color w:val="auto"/>
              </w:rPr>
            </w:pPr>
            <w:r>
              <w:rPr>
                <w:rFonts w:ascii="Arial" w:cs="Arial" w:eastAsia="Arial" w:hAnsi="Arial"/>
                <w:sz w:val="14"/>
                <w:szCs w:val="14"/>
                <w:color w:val="0000FF"/>
              </w:rPr>
              <w:t>81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Arial" w:cs="Arial" w:eastAsia="Arial" w:hAnsi="Arial"/>
                <w:sz w:val="14"/>
                <w:szCs w:val="14"/>
                <w:color w:val="0000FF"/>
              </w:rPr>
              <w:t>Item 4.</w:t>
            </w:r>
          </w:p>
        </w:tc>
        <w:tc>
          <w:tcPr>
            <w:tcW w:w="9400" w:type="dxa"/>
            <w:vAlign w:val="bottom"/>
            <w:gridSpan w:val="17"/>
          </w:tcPr>
          <w:p>
            <w:pPr>
              <w:spacing w:after="0"/>
              <w:rPr>
                <w:sz w:val="20"/>
                <w:szCs w:val="20"/>
                <w:color w:val="auto"/>
              </w:rPr>
            </w:pPr>
            <w:r>
              <w:rPr>
                <w:rFonts w:ascii="Arial" w:cs="Arial" w:eastAsia="Arial" w:hAnsi="Arial"/>
                <w:sz w:val="14"/>
                <w:szCs w:val="14"/>
                <w:color w:val="0000FF"/>
              </w:rPr>
              <w:t>Controls and Procedures</w:t>
            </w:r>
          </w:p>
        </w:tc>
        <w:tc>
          <w:tcPr>
            <w:tcW w:w="340" w:type="dxa"/>
            <w:vAlign w:val="bottom"/>
            <w:gridSpan w:val="3"/>
          </w:tcPr>
          <w:p>
            <w:pPr>
              <w:spacing w:after="0"/>
              <w:rPr>
                <w:sz w:val="20"/>
                <w:szCs w:val="20"/>
                <w:color w:val="auto"/>
              </w:rPr>
            </w:pPr>
            <w:r>
              <w:rPr>
                <w:rFonts w:ascii="Arial" w:cs="Arial" w:eastAsia="Arial" w:hAnsi="Arial"/>
                <w:sz w:val="14"/>
                <w:szCs w:val="14"/>
                <w:color w:val="0000FF"/>
              </w:rPr>
              <w:t>83</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Arial" w:cs="Arial" w:eastAsia="Arial" w:hAnsi="Arial"/>
                <w:sz w:val="14"/>
                <w:szCs w:val="14"/>
                <w:color w:val="0000FF"/>
              </w:rPr>
              <w:t>PART II – OTHER INFORMATION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080" w:type="dxa"/>
            <w:vAlign w:val="bottom"/>
            <w:gridSpan w:val="4"/>
          </w:tcPr>
          <w:p>
            <w:pPr>
              <w:spacing w:after="0" w:line="153" w:lineRule="exact"/>
              <w:rPr>
                <w:sz w:val="20"/>
                <w:szCs w:val="20"/>
                <w:color w:val="auto"/>
              </w:rPr>
            </w:pPr>
            <w:r>
              <w:rPr>
                <w:rFonts w:ascii="Arial" w:cs="Arial" w:eastAsia="Arial" w:hAnsi="Arial"/>
                <w:sz w:val="14"/>
                <w:szCs w:val="14"/>
                <w:color w:val="0000FF"/>
              </w:rPr>
              <w:t>Item 1.</w:t>
            </w:r>
          </w:p>
        </w:tc>
        <w:tc>
          <w:tcPr>
            <w:tcW w:w="9400" w:type="dxa"/>
            <w:vAlign w:val="bottom"/>
            <w:gridSpan w:val="17"/>
          </w:tcPr>
          <w:p>
            <w:pPr>
              <w:spacing w:after="0" w:line="153" w:lineRule="exact"/>
              <w:rPr>
                <w:sz w:val="20"/>
                <w:szCs w:val="20"/>
                <w:color w:val="auto"/>
              </w:rPr>
            </w:pPr>
            <w:r>
              <w:rPr>
                <w:rFonts w:ascii="Arial" w:cs="Arial" w:eastAsia="Arial" w:hAnsi="Arial"/>
                <w:sz w:val="14"/>
                <w:szCs w:val="14"/>
                <w:color w:val="0000FF"/>
              </w:rPr>
              <w:t>Legal Proceedings</w:t>
            </w:r>
          </w:p>
        </w:tc>
        <w:tc>
          <w:tcPr>
            <w:tcW w:w="340" w:type="dxa"/>
            <w:vAlign w:val="bottom"/>
            <w:gridSpan w:val="3"/>
          </w:tcPr>
          <w:p>
            <w:pPr>
              <w:spacing w:after="0" w:line="153" w:lineRule="exact"/>
              <w:rPr>
                <w:sz w:val="20"/>
                <w:szCs w:val="20"/>
                <w:color w:val="auto"/>
              </w:rPr>
            </w:pPr>
            <w:r>
              <w:rPr>
                <w:rFonts w:ascii="Arial" w:cs="Arial" w:eastAsia="Arial" w:hAnsi="Arial"/>
                <w:sz w:val="14"/>
                <w:szCs w:val="14"/>
                <w:color w:val="0000FF"/>
              </w:rPr>
              <w:t>84</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Arial" w:cs="Arial" w:eastAsia="Arial" w:hAnsi="Arial"/>
                <w:sz w:val="14"/>
                <w:szCs w:val="14"/>
                <w:color w:val="0000FF"/>
              </w:rPr>
              <w:t>Item 1A.</w:t>
            </w:r>
          </w:p>
        </w:tc>
        <w:tc>
          <w:tcPr>
            <w:tcW w:w="9400" w:type="dxa"/>
            <w:vAlign w:val="bottom"/>
            <w:gridSpan w:val="17"/>
          </w:tcPr>
          <w:p>
            <w:pPr>
              <w:spacing w:after="0"/>
              <w:rPr>
                <w:sz w:val="20"/>
                <w:szCs w:val="20"/>
                <w:color w:val="auto"/>
              </w:rPr>
            </w:pPr>
            <w:r>
              <w:rPr>
                <w:rFonts w:ascii="Arial" w:cs="Arial" w:eastAsia="Arial" w:hAnsi="Arial"/>
                <w:sz w:val="14"/>
                <w:szCs w:val="14"/>
                <w:color w:val="0000FF"/>
              </w:rPr>
              <w:t>Risk Factors</w:t>
            </w:r>
          </w:p>
        </w:tc>
        <w:tc>
          <w:tcPr>
            <w:tcW w:w="340" w:type="dxa"/>
            <w:vAlign w:val="bottom"/>
            <w:gridSpan w:val="3"/>
          </w:tcPr>
          <w:p>
            <w:pPr>
              <w:spacing w:after="0"/>
              <w:rPr>
                <w:sz w:val="20"/>
                <w:szCs w:val="20"/>
                <w:color w:val="auto"/>
              </w:rPr>
            </w:pPr>
            <w:r>
              <w:rPr>
                <w:rFonts w:ascii="Arial" w:cs="Arial" w:eastAsia="Arial" w:hAnsi="Arial"/>
                <w:sz w:val="14"/>
                <w:szCs w:val="14"/>
                <w:color w:val="0000FF"/>
              </w:rPr>
              <w:t>84</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0" w:type="dxa"/>
            <w:vAlign w:val="bottom"/>
            <w:gridSpan w:val="17"/>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340" w:type="dxa"/>
            <w:vAlign w:val="bottom"/>
            <w:gridSpan w:val="3"/>
          </w:tcPr>
          <w:p>
            <w:pPr>
              <w:spacing w:after="0"/>
              <w:rPr>
                <w:sz w:val="20"/>
                <w:szCs w:val="20"/>
                <w:color w:val="auto"/>
              </w:rPr>
            </w:pPr>
            <w:r>
              <w:rPr>
                <w:rFonts w:ascii="Arial" w:cs="Arial" w:eastAsia="Arial" w:hAnsi="Arial"/>
                <w:sz w:val="14"/>
                <w:szCs w:val="14"/>
                <w:color w:val="0000FF"/>
              </w:rPr>
              <w:t>84</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480" w:type="dxa"/>
            <w:vAlign w:val="bottom"/>
          </w:tcPr>
          <w:p>
            <w:pPr>
              <w:spacing w:after="0"/>
              <w:rPr>
                <w:sz w:val="13"/>
                <w:szCs w:val="13"/>
                <w:color w:val="auto"/>
              </w:rPr>
            </w:pPr>
          </w:p>
        </w:tc>
        <w:tc>
          <w:tcPr>
            <w:tcW w:w="9400" w:type="dxa"/>
            <w:vAlign w:val="bottom"/>
            <w:gridSpan w:val="17"/>
          </w:tcPr>
          <w:p>
            <w:pPr>
              <w:spacing w:after="0"/>
              <w:rPr>
                <w:sz w:val="20"/>
                <w:szCs w:val="20"/>
                <w:color w:val="auto"/>
              </w:rPr>
            </w:pPr>
            <w:r>
              <w:rPr>
                <w:rFonts w:ascii="Arial" w:cs="Arial" w:eastAsia="Arial" w:hAnsi="Arial"/>
                <w:sz w:val="14"/>
                <w:szCs w:val="14"/>
                <w:color w:val="0000FF"/>
              </w:rPr>
              <w:t>Defaults Upon Senior Securities</w:t>
            </w:r>
          </w:p>
        </w:tc>
        <w:tc>
          <w:tcPr>
            <w:tcW w:w="340" w:type="dxa"/>
            <w:vAlign w:val="bottom"/>
            <w:gridSpan w:val="3"/>
          </w:tcPr>
          <w:p>
            <w:pPr>
              <w:spacing w:after="0"/>
              <w:rPr>
                <w:sz w:val="20"/>
                <w:szCs w:val="20"/>
                <w:color w:val="auto"/>
              </w:rPr>
            </w:pPr>
            <w:r>
              <w:rPr>
                <w:rFonts w:ascii="Arial" w:cs="Arial" w:eastAsia="Arial" w:hAnsi="Arial"/>
                <w:sz w:val="14"/>
                <w:szCs w:val="14"/>
                <w:color w:val="0000FF"/>
              </w:rPr>
              <w:t>84</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Arial" w:cs="Arial" w:eastAsia="Arial" w:hAnsi="Arial"/>
                <w:sz w:val="14"/>
                <w:szCs w:val="14"/>
                <w:color w:val="0000FF"/>
              </w:rPr>
              <w:t>Item 4.</w:t>
            </w:r>
          </w:p>
        </w:tc>
        <w:tc>
          <w:tcPr>
            <w:tcW w:w="9400" w:type="dxa"/>
            <w:vAlign w:val="bottom"/>
            <w:gridSpan w:val="17"/>
          </w:tcPr>
          <w:p>
            <w:pPr>
              <w:spacing w:after="0"/>
              <w:rPr>
                <w:sz w:val="20"/>
                <w:szCs w:val="20"/>
                <w:color w:val="auto"/>
              </w:rPr>
            </w:pPr>
            <w:r>
              <w:rPr>
                <w:rFonts w:ascii="Arial" w:cs="Arial" w:eastAsia="Arial" w:hAnsi="Arial"/>
                <w:sz w:val="14"/>
                <w:szCs w:val="14"/>
                <w:color w:val="0000FF"/>
              </w:rPr>
              <w:t>Mine Safety Disclosures</w:t>
            </w:r>
          </w:p>
        </w:tc>
        <w:tc>
          <w:tcPr>
            <w:tcW w:w="340" w:type="dxa"/>
            <w:vAlign w:val="bottom"/>
            <w:gridSpan w:val="3"/>
          </w:tcPr>
          <w:p>
            <w:pPr>
              <w:spacing w:after="0"/>
              <w:rPr>
                <w:sz w:val="20"/>
                <w:szCs w:val="20"/>
                <w:color w:val="auto"/>
              </w:rPr>
            </w:pPr>
            <w:r>
              <w:rPr>
                <w:rFonts w:ascii="Arial" w:cs="Arial" w:eastAsia="Arial" w:hAnsi="Arial"/>
                <w:sz w:val="14"/>
                <w:szCs w:val="14"/>
                <w:color w:val="0000FF"/>
              </w:rPr>
              <w:t>84</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Arial" w:cs="Arial" w:eastAsia="Arial" w:hAnsi="Arial"/>
                <w:sz w:val="14"/>
                <w:szCs w:val="14"/>
                <w:color w:val="0000FF"/>
              </w:rPr>
              <w:t>Item 5.</w:t>
            </w:r>
          </w:p>
        </w:tc>
        <w:tc>
          <w:tcPr>
            <w:tcW w:w="9400" w:type="dxa"/>
            <w:vAlign w:val="bottom"/>
            <w:gridSpan w:val="17"/>
          </w:tcPr>
          <w:p>
            <w:pPr>
              <w:spacing w:after="0"/>
              <w:rPr>
                <w:sz w:val="20"/>
                <w:szCs w:val="20"/>
                <w:color w:val="auto"/>
              </w:rPr>
            </w:pPr>
            <w:r>
              <w:rPr>
                <w:rFonts w:ascii="Arial" w:cs="Arial" w:eastAsia="Arial" w:hAnsi="Arial"/>
                <w:sz w:val="14"/>
                <w:szCs w:val="14"/>
                <w:color w:val="0000FF"/>
              </w:rPr>
              <w:t>Other Information</w:t>
            </w:r>
          </w:p>
        </w:tc>
        <w:tc>
          <w:tcPr>
            <w:tcW w:w="340" w:type="dxa"/>
            <w:vAlign w:val="bottom"/>
            <w:gridSpan w:val="3"/>
          </w:tcPr>
          <w:p>
            <w:pPr>
              <w:spacing w:after="0"/>
              <w:rPr>
                <w:sz w:val="20"/>
                <w:szCs w:val="20"/>
                <w:color w:val="auto"/>
              </w:rPr>
            </w:pPr>
            <w:r>
              <w:rPr>
                <w:rFonts w:ascii="Arial" w:cs="Arial" w:eastAsia="Arial" w:hAnsi="Arial"/>
                <w:sz w:val="14"/>
                <w:szCs w:val="14"/>
                <w:color w:val="0000FF"/>
              </w:rPr>
              <w:t>84</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320" w:type="dxa"/>
            <w:vAlign w:val="bottom"/>
            <w:gridSpan w:val="14"/>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Arial" w:cs="Arial" w:eastAsia="Arial" w:hAnsi="Arial"/>
                <w:sz w:val="14"/>
                <w:szCs w:val="14"/>
                <w:color w:val="0000FF"/>
              </w:rPr>
              <w:t>Item 6.</w:t>
            </w:r>
          </w:p>
        </w:tc>
        <w:tc>
          <w:tcPr>
            <w:tcW w:w="9400" w:type="dxa"/>
            <w:vAlign w:val="bottom"/>
            <w:gridSpan w:val="17"/>
          </w:tcPr>
          <w:p>
            <w:pPr>
              <w:spacing w:after="0"/>
              <w:rPr>
                <w:sz w:val="20"/>
                <w:szCs w:val="20"/>
                <w:color w:val="auto"/>
              </w:rPr>
            </w:pPr>
            <w:r>
              <w:rPr>
                <w:rFonts w:ascii="Arial" w:cs="Arial" w:eastAsia="Arial" w:hAnsi="Arial"/>
                <w:sz w:val="14"/>
                <w:szCs w:val="14"/>
                <w:color w:val="0000FF"/>
              </w:rPr>
              <w:t>Exhibits</w:t>
            </w:r>
          </w:p>
        </w:tc>
        <w:tc>
          <w:tcPr>
            <w:tcW w:w="340" w:type="dxa"/>
            <w:vAlign w:val="bottom"/>
            <w:gridSpan w:val="3"/>
          </w:tcPr>
          <w:p>
            <w:pPr>
              <w:spacing w:after="0"/>
              <w:rPr>
                <w:sz w:val="20"/>
                <w:szCs w:val="20"/>
                <w:color w:val="auto"/>
              </w:rPr>
            </w:pPr>
            <w:r>
              <w:rPr>
                <w:rFonts w:ascii="Arial" w:cs="Arial" w:eastAsia="Arial" w:hAnsi="Arial"/>
                <w:sz w:val="14"/>
                <w:szCs w:val="14"/>
                <w:color w:val="0000FF"/>
              </w:rPr>
              <w:t>85</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Arial" w:cs="Arial" w:eastAsia="Arial" w:hAnsi="Arial"/>
                <w:sz w:val="14"/>
                <w:szCs w:val="14"/>
                <w:color w:val="0000FF"/>
              </w:rPr>
              <w:t>Signature</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8"/>
        </w:trPr>
        <w:tc>
          <w:tcPr>
            <w:tcW w:w="60" w:type="dxa"/>
            <w:vAlign w:val="bottom"/>
            <w:tcBorders>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136"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This quarterly report contains forward-looking statements within the meaning of Section 27A of the U.S. Securities Act of 1933, as amended (the “Securities Act”), and Section 21E of the U.S. Securities Exchange Act of 1934, as amended (the “Exchange Act”), which reflect our current views with respect to, among other things, our future results of operations and financial performance. In some cases, you can identify forward-looking statements by words such as “anticipate,” “approximately,” “believe,” “continue,” “could,” “estimate,” “expect,” “intend,” “may,” “outlook,” “plan,” “potential,” “predict,” “seek,” “should,” “will” and “would” or the negative version of these words or other comparable or similar words. These statements identify prospective information. Important factors could cause actual results to differ, possibly materially, from those indicated in these statements. Forward-looking statements are based on our beliefs, assumptions and expectations of our future performance, taking into account all information currently available to us. Such forward-looking statements are subject to risks and uncertainties and assumptions relating to our operations, financial results, financial condition, business prospects, growth strategy and liquidity.</w:t>
      </w:r>
    </w:p>
    <w:p>
      <w:pPr>
        <w:spacing w:after="0" w:line="101"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In addition to factors previously disclosed in Oaktree Capital Group, LLC’s (“OCG”) reports filed with securities regulators in the United States and those identified elsewhere in this quarterly report, the following factors, among others, could cause actual results to differ materially from forward-looking statements and information or historical performance: course and severity of the coronavirus (including any subsequent variants, “COVID-19”) pandemic and its direct and indirect business impacts; the ability of OCG to retain and hire key personnel; the continued availability of capital and financing; the business, economic and political conditions in the markets in which OCG operates; changes in OCG’s anticipated revenue and income, which are inherently volatile; changes in the value of OCG’s investments; the termination or amendment (including fee amendments) of certain service or sub-advisory agreements that generate revenues for OCG that are between OCG and its subsidiaries on the one hand and certain affiliates of OCG on the other hand; the pace of OCG’s raising of new funds; changes in assets under management; the timing and receipt of, and impact of taxes on, carried interest; distributions from and liquidation of OCG’s existing funds; the amount and timing of distributions on OCG’s preferred units; changes in OCG’s operating or other expenses; the degree to which OCG encounters competition; and general political, economic and market conditions.</w:t>
      </w:r>
    </w:p>
    <w:p>
      <w:pPr>
        <w:spacing w:after="0" w:line="104" w:lineRule="exact"/>
        <w:rPr>
          <w:sz w:val="20"/>
          <w:szCs w:val="20"/>
          <w:color w:val="auto"/>
        </w:rPr>
      </w:pPr>
    </w:p>
    <w:p>
      <w:pPr>
        <w:ind w:right="280" w:firstLine="509"/>
        <w:spacing w:after="0" w:line="265" w:lineRule="auto"/>
        <w:rPr>
          <w:sz w:val="20"/>
          <w:szCs w:val="20"/>
          <w:color w:val="auto"/>
        </w:rPr>
      </w:pPr>
      <w:r>
        <w:rPr>
          <w:rFonts w:ascii="Arial" w:cs="Arial" w:eastAsia="Arial" w:hAnsi="Arial"/>
          <w:sz w:val="14"/>
          <w:szCs w:val="14"/>
          <w:color w:val="auto"/>
        </w:rPr>
        <w:t>Any forward-looking statements and information speak only as of the date of this quarterly report or as of the date they were made, and except as required by law, OCG does not undertake any obligation to update forward-looking statements and information. For a more detailed discussion of these factors, also see the information under the captions “Risk Factors” and “Management’s Discussion and Analysis of Financial Condition and Results of Operations” in OCG’s most recent report on Form 10-K for the year ended December 31, 2021 (our “annual report”), and in this quarterly report, and in each case any material updates to these factors contained in any of OCG’s future filings.</w:t>
      </w:r>
    </w:p>
    <w:p>
      <w:pPr>
        <w:spacing w:after="0" w:line="95" w:lineRule="exact"/>
        <w:rPr>
          <w:sz w:val="20"/>
          <w:szCs w:val="20"/>
          <w:color w:val="auto"/>
        </w:rPr>
      </w:pPr>
    </w:p>
    <w:p>
      <w:pPr>
        <w:ind w:right="200" w:firstLine="509"/>
        <w:spacing w:after="0" w:line="271" w:lineRule="auto"/>
        <w:rPr>
          <w:sz w:val="20"/>
          <w:szCs w:val="20"/>
          <w:color w:val="auto"/>
        </w:rPr>
      </w:pPr>
      <w:r>
        <w:rPr>
          <w:rFonts w:ascii="Arial" w:cs="Arial" w:eastAsia="Arial" w:hAnsi="Arial"/>
          <w:sz w:val="14"/>
          <w:szCs w:val="14"/>
          <w:color w:val="auto"/>
        </w:rPr>
        <w:t>As for the forward-looking statements and information that relate to future financial results and other projections, actual results will be different due to the inherent uncertainties of estimates, forecasts and projections and may be better or worse than projected and such differences could be material. Given these uncertainties, you should not place any reliance on these forward-looking statements and information.</w:t>
      </w:r>
    </w:p>
    <w:p>
      <w:pPr>
        <w:spacing w:after="0" w:line="91" w:lineRule="exact"/>
        <w:rPr>
          <w:sz w:val="20"/>
          <w:szCs w:val="20"/>
          <w:color w:val="auto"/>
        </w:rPr>
      </w:pPr>
    </w:p>
    <w:p>
      <w:pPr>
        <w:ind w:right="160" w:firstLine="509"/>
        <w:spacing w:after="0" w:line="290" w:lineRule="auto"/>
        <w:rPr>
          <w:sz w:val="20"/>
          <w:szCs w:val="20"/>
          <w:color w:val="auto"/>
        </w:rPr>
      </w:pPr>
      <w:r>
        <w:rPr>
          <w:rFonts w:ascii="Arial" w:cs="Arial" w:eastAsia="Arial" w:hAnsi="Arial"/>
          <w:sz w:val="14"/>
          <w:szCs w:val="14"/>
          <w:color w:val="auto"/>
        </w:rPr>
        <w:t>This quarterly report and its contents do not constitute and should not be construed as (a) a recommendation to buy, (b) an offer to buy or solicitation of an offer to buy, (c) an offer to sell or (d) advice in relation to, any securities of OCG or securities of any Oaktree investment fund.</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this quarterly report, unless the context otherwise requires:</w:t>
      </w:r>
    </w:p>
    <w:p>
      <w:pPr>
        <w:spacing w:after="0" w:line="136" w:lineRule="exact"/>
        <w:rPr>
          <w:sz w:val="20"/>
          <w:szCs w:val="20"/>
          <w:color w:val="auto"/>
        </w:rPr>
      </w:pPr>
    </w:p>
    <w:p>
      <w:pPr>
        <w:ind w:right="220" w:firstLine="509"/>
        <w:spacing w:after="0" w:line="290" w:lineRule="auto"/>
        <w:rPr>
          <w:sz w:val="20"/>
          <w:szCs w:val="20"/>
          <w:color w:val="auto"/>
        </w:rPr>
      </w:pPr>
      <w:r>
        <w:rPr>
          <w:rFonts w:ascii="Arial" w:cs="Arial" w:eastAsia="Arial" w:hAnsi="Arial"/>
          <w:sz w:val="14"/>
          <w:szCs w:val="14"/>
          <w:color w:val="auto"/>
        </w:rPr>
        <w:t>“Oaktree” refers to (i) Oaktree Capital Group, LLC and, where applicable, its subsidiaries and affiliates prior to October 1, 2019 and (ii) the Oaktree Operating Group and, where applicable, their respective subsidiaries and affiliates after September 30, 2019.</w:t>
      </w:r>
    </w:p>
    <w:p>
      <w:pPr>
        <w:spacing w:after="0" w:line="78" w:lineRule="exact"/>
        <w:rPr>
          <w:sz w:val="20"/>
          <w:szCs w:val="20"/>
          <w:color w:val="auto"/>
        </w:rPr>
      </w:pPr>
    </w:p>
    <w:p>
      <w:pPr>
        <w:ind w:right="220" w:firstLine="509"/>
        <w:spacing w:after="0" w:line="290" w:lineRule="auto"/>
        <w:rPr>
          <w:sz w:val="20"/>
          <w:szCs w:val="20"/>
          <w:color w:val="auto"/>
        </w:rPr>
      </w:pPr>
      <w:r>
        <w:rPr>
          <w:rFonts w:ascii="Arial" w:cs="Arial" w:eastAsia="Arial" w:hAnsi="Arial"/>
          <w:sz w:val="14"/>
          <w:szCs w:val="14"/>
          <w:color w:val="auto"/>
        </w:rPr>
        <w:t>“OCG,” “Company,” “we,” “us,” “our” or “our company” refers to Oaktree Capital Group, LLC and, where applicable, its subsidiaries and affiliates, including, as the context requires, affiliated Oaktree Operating Group members after September 30, 2019.</w:t>
      </w:r>
    </w:p>
    <w:p>
      <w:pPr>
        <w:spacing w:after="0" w:line="78" w:lineRule="exact"/>
        <w:rPr>
          <w:sz w:val="20"/>
          <w:szCs w:val="20"/>
          <w:color w:val="auto"/>
        </w:rPr>
      </w:pPr>
    </w:p>
    <w:p>
      <w:pPr>
        <w:ind w:right="240" w:firstLine="509"/>
        <w:spacing w:after="0" w:line="290" w:lineRule="auto"/>
        <w:rPr>
          <w:sz w:val="20"/>
          <w:szCs w:val="20"/>
          <w:color w:val="auto"/>
        </w:rPr>
      </w:pPr>
      <w:r>
        <w:rPr>
          <w:rFonts w:ascii="Arial" w:cs="Arial" w:eastAsia="Arial" w:hAnsi="Arial"/>
          <w:sz w:val="14"/>
          <w:szCs w:val="14"/>
          <w:color w:val="auto"/>
        </w:rPr>
        <w:t>“OCM” refers to Oaktree Capital Management, L.P. and, where applicable, its subsidiaries and affiliates. OCM is one of the Oaktree Operating Group entities and acts as the U.S. registered investment adviser to most of the Oaktree funds. Subsequent to September 30, 2019, OCM is no longer our indirect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403225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 w:name="page4"/>
    <w:bookmarkEnd w:id="3"/>
    <w:p>
      <w:pPr>
        <w:ind w:right="460" w:firstLine="509"/>
        <w:spacing w:after="0" w:line="290" w:lineRule="auto"/>
        <w:rPr>
          <w:sz w:val="20"/>
          <w:szCs w:val="20"/>
          <w:color w:val="auto"/>
        </w:rPr>
      </w:pPr>
      <w:r>
        <w:rPr>
          <w:rFonts w:ascii="Arial" w:cs="Arial" w:eastAsia="Arial" w:hAnsi="Arial"/>
          <w:sz w:val="14"/>
          <w:szCs w:val="14"/>
          <w:color w:val="auto"/>
        </w:rPr>
        <w:t>“Oaktree Operating Group,” or “Operating Group,” refers collectively to the entities that either (i) act as or control the general partners and investment advisers of the Oaktree funds or (ii) hold interests in other entities or investments generating income for Oaktree.</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“OCGH” refers to Oaktree Capital Group Holdings, L.P., a Delaware limited partnership, which holds an interest in the Oaktree Operating Group and all of our Class B units.</w:t>
      </w:r>
    </w:p>
    <w:p>
      <w:pPr>
        <w:spacing w:after="0" w:line="136" w:lineRule="exact"/>
        <w:rPr>
          <w:sz w:val="20"/>
          <w:szCs w:val="20"/>
          <w:color w:val="auto"/>
        </w:rPr>
      </w:pPr>
    </w:p>
    <w:p>
      <w:pPr>
        <w:ind w:right="420" w:firstLine="509"/>
        <w:spacing w:after="0" w:line="290" w:lineRule="auto"/>
        <w:rPr>
          <w:sz w:val="20"/>
          <w:szCs w:val="20"/>
          <w:color w:val="auto"/>
        </w:rPr>
      </w:pPr>
      <w:r>
        <w:rPr>
          <w:rFonts w:ascii="Arial" w:cs="Arial" w:eastAsia="Arial" w:hAnsi="Arial"/>
          <w:sz w:val="14"/>
          <w:szCs w:val="14"/>
          <w:color w:val="auto"/>
        </w:rPr>
        <w:t>“OCGH unitholders” refers collectively to Oaktree senior executives, current and former employees and their respective transferees who hold interests in the Oaktree Operating Group through OCGH.</w:t>
      </w:r>
    </w:p>
    <w:p>
      <w:pPr>
        <w:spacing w:after="0" w:line="78" w:lineRule="exact"/>
        <w:rPr>
          <w:sz w:val="20"/>
          <w:szCs w:val="20"/>
          <w:color w:val="auto"/>
        </w:rPr>
      </w:pPr>
    </w:p>
    <w:p>
      <w:pPr>
        <w:ind w:right="80" w:firstLine="509"/>
        <w:spacing w:after="0" w:line="258" w:lineRule="auto"/>
        <w:rPr>
          <w:sz w:val="20"/>
          <w:szCs w:val="20"/>
          <w:color w:val="auto"/>
        </w:rPr>
      </w:pPr>
      <w:r>
        <w:rPr>
          <w:rFonts w:ascii="Arial" w:cs="Arial" w:eastAsia="Arial" w:hAnsi="Arial"/>
          <w:sz w:val="14"/>
          <w:szCs w:val="14"/>
          <w:color w:val="auto"/>
        </w:rPr>
        <w:t>“assets under management,” or “AUM,” generally refers to the assets Oaktree manages and equals the NAV (as defined below) of the assets Oaktree manages, the leverage on which management fees are charged, the undrawn capital that Oaktree is entitled to call from investors in the funds pursuant to their capital commitments, investment proceeds held in trust for use in investment activities and Oaktree’s pro rata portion of AUM managed by DoubleLine Capital LP and its affiliates (“DoubleLine”), in which Oaktree holds a minority ownership interest. For Oaktree’s collateralized loan obligation vehicles (“CLOs”), AUM represents the aggregate par value of collateral assets and principal cash; for Oaktree’s BDCs, gross assets (including assets acquired with leverage), net of cash; for Oaktree’s special purpose acquisition companies (“SPACs”), the proceeds of any initial public offering held in trust for use in a business combination; and for DoubleLine funds, NAV. Oaktree’s AUM amounts include AUM for which Oaktree charges no management fees. Oaktree’s definition of AUM is not based on any definition contained in our operating agreement or the agreements governing the funds that Oaktree manages. Oaktree’s calculation of AUM and the AUM-related metric described below may not be directly comparable to the AUM metrics of other investment managers.</w:t>
      </w:r>
    </w:p>
    <w:p>
      <w:pPr>
        <w:spacing w:after="0" w:line="101" w:lineRule="exact"/>
        <w:rPr>
          <w:sz w:val="20"/>
          <w:szCs w:val="20"/>
          <w:color w:val="auto"/>
        </w:rPr>
      </w:pPr>
    </w:p>
    <w:p>
      <w:pPr>
        <w:ind w:right="240" w:firstLine="509"/>
        <w:spacing w:after="0" w:line="290" w:lineRule="auto"/>
        <w:rPr>
          <w:sz w:val="20"/>
          <w:szCs w:val="20"/>
          <w:color w:val="auto"/>
        </w:rPr>
      </w:pPr>
      <w:r>
        <w:rPr>
          <w:rFonts w:ascii="Arial" w:cs="Arial" w:eastAsia="Arial" w:hAnsi="Arial"/>
          <w:sz w:val="14"/>
          <w:szCs w:val="14"/>
          <w:color w:val="auto"/>
        </w:rPr>
        <w:t>“incentive-creating assets under management,” or “incentive-creating AUM,” refers to the AUM that may eventually produce incentive income, as more fully described in “Management’s Discussion and Analysis of Financial Condition and Results of Operations—Operating Metrics”.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“Class A units” refer to the common units of OCG designated as Class A units.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“common units” or “common unitholders” refer to the Class A common units of OCG or Class A common unitholders, respectively, unless otherwise specified.</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“consolidated funds” refers to the funds and CLOs that we are required to consolidate as of the applicable reporting date.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“funds” refers to investment funds and, where applicable, CLOs and separate accounts that are managed by Oaktree or its subsidiaries.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“Intermediate Holding Companies” collectively refers to the subsidiaries wholly owned by us.</w:t>
      </w:r>
    </w:p>
    <w:p>
      <w:pPr>
        <w:spacing w:after="0" w:line="136"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“net asset value,” or “NAV,” refers to the value of all the assets of a fund (including cash and accrued interest and dividends) less all liabilities of the fund (including accrued expenses and any reserves established by us, in our discretion, for contingent liabilities) without reduction for accrued incentives (fund level) because they are reflected in the partners’ capital of the fund.</w:t>
      </w:r>
    </w:p>
    <w:p>
      <w:pPr>
        <w:spacing w:after="0" w:line="91" w:lineRule="exact"/>
        <w:rPr>
          <w:sz w:val="20"/>
          <w:szCs w:val="20"/>
          <w:color w:val="auto"/>
        </w:rPr>
      </w:pPr>
    </w:p>
    <w:p>
      <w:pPr>
        <w:ind w:right="260" w:firstLine="509"/>
        <w:spacing w:after="0" w:line="290" w:lineRule="auto"/>
        <w:rPr>
          <w:sz w:val="20"/>
          <w:szCs w:val="20"/>
          <w:color w:val="auto"/>
        </w:rPr>
      </w:pPr>
      <w:r>
        <w:rPr>
          <w:rFonts w:ascii="Arial" w:cs="Arial" w:eastAsia="Arial" w:hAnsi="Arial"/>
          <w:sz w:val="14"/>
          <w:szCs w:val="14"/>
          <w:color w:val="auto"/>
        </w:rPr>
        <w:t>“preferred units” or “preferred unitholders” refer to the Series A and Series B preferred units of OCG or Series A and Series B preferred unitholders, respectively, unless otherwise specified.</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“senior executives” refers collectively to Howard S. Marks, Bruce A. Karsh, Jay S. Wintrob, John B. Frank and Sheldon 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7" w:right="359" w:bottom="1440" w:gutter="0" w:footer="0" w:header="0"/>
        </w:sectPr>
      </w:pPr>
    </w:p>
    <w:bookmarkStart w:id="4" w:name="page5"/>
    <w:bookmarkEnd w:id="4"/>
    <w:p>
      <w:pPr>
        <w:jc w:val="right"/>
        <w:ind w:right="3359"/>
        <w:spacing w:after="0"/>
        <w:rPr>
          <w:sz w:val="20"/>
          <w:szCs w:val="20"/>
          <w:color w:val="auto"/>
        </w:rPr>
      </w:pPr>
      <w:r>
        <w:rPr>
          <w:rFonts w:ascii="Arial" w:cs="Arial" w:eastAsia="Arial" w:hAnsi="Arial"/>
          <w:sz w:val="14"/>
          <w:szCs w:val="14"/>
          <w:b w:val="1"/>
          <w:bCs w:val="1"/>
          <w:color w:val="auto"/>
        </w:rPr>
        <w:t>PART I. FINANCIAL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200" w:lineRule="exact"/>
        <w:rPr>
          <w:sz w:val="20"/>
          <w:szCs w:val="20"/>
          <w:color w:val="auto"/>
        </w:rPr>
      </w:pPr>
    </w:p>
    <w:p>
      <w:pPr>
        <w:spacing w:after="0" w:line="244"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30" w:right="1440" w:bottom="1440" w:gutter="0" w:footer="0" w:header="0"/>
        </w:sectPr>
      </w:pPr>
    </w:p>
    <w:bookmarkStart w:id="5" w:name="page6"/>
    <w:bookmarkEnd w:id="5"/>
    <w:p>
      <w:pPr>
        <w:ind w:left="4780"/>
        <w:spacing w:after="0"/>
        <w:rPr>
          <w:sz w:val="20"/>
          <w:szCs w:val="20"/>
          <w:color w:val="auto"/>
        </w:rPr>
      </w:pPr>
      <w:r>
        <w:rPr>
          <w:rFonts w:ascii="Arial" w:cs="Arial" w:eastAsia="Arial" w:hAnsi="Arial"/>
          <w:sz w:val="13"/>
          <w:szCs w:val="13"/>
          <w:b w:val="1"/>
          <w:bCs w:val="1"/>
          <w:color w:val="auto"/>
        </w:rPr>
        <w:t>Oaktree Capital Group, LLC</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Condensed Consolidated Statements of Financial Condition (Unaudited)</w:t>
      </w:r>
    </w:p>
    <w:p>
      <w:pPr>
        <w:jc w:val="center"/>
        <w:ind w:right="20"/>
        <w:spacing w:after="0"/>
        <w:rPr>
          <w:sz w:val="20"/>
          <w:szCs w:val="20"/>
          <w:color w:val="auto"/>
        </w:rPr>
      </w:pPr>
      <w:r>
        <w:rPr>
          <w:rFonts w:ascii="Arial" w:cs="Arial" w:eastAsia="Arial" w:hAnsi="Arial"/>
          <w:sz w:val="13"/>
          <w:szCs w:val="13"/>
          <w:b w:val="1"/>
          <w:bCs w:val="1"/>
          <w:color w:val="auto"/>
        </w:rPr>
        <w:t>($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5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w w:val="95"/>
              </w:rPr>
              <w:t>As of</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24"/>
              <w:spacing w:after="0"/>
              <w:rPr>
                <w:sz w:val="20"/>
                <w:szCs w:val="20"/>
                <w:color w:val="auto"/>
              </w:rPr>
            </w:pPr>
            <w:r>
              <w:rPr>
                <w:rFonts w:ascii="Arial" w:cs="Arial" w:eastAsia="Arial" w:hAnsi="Arial"/>
                <w:sz w:val="10"/>
                <w:szCs w:val="10"/>
                <w:b w:val="1"/>
                <w:bCs w:val="1"/>
                <w:color w:val="auto"/>
              </w:rPr>
              <w:t>June 30, 2022</w:t>
            </w: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141"/>
        </w:trPr>
        <w:tc>
          <w:tcPr>
            <w:tcW w:w="8500" w:type="dxa"/>
            <w:vAlign w:val="bottom"/>
          </w:tcPr>
          <w:p>
            <w:pPr>
              <w:spacing w:after="0"/>
              <w:rPr>
                <w:sz w:val="20"/>
                <w:szCs w:val="20"/>
                <w:color w:val="auto"/>
              </w:rPr>
            </w:pPr>
            <w:r>
              <w:rPr>
                <w:rFonts w:ascii="Arial" w:cs="Arial" w:eastAsia="Arial" w:hAnsi="Arial"/>
                <w:sz w:val="11"/>
                <w:szCs w:val="11"/>
                <w:b w:val="1"/>
                <w:bCs w:val="1"/>
                <w:color w:val="auto"/>
              </w:rPr>
              <w:t>Assets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00" w:type="dxa"/>
            <w:vAlign w:val="bottom"/>
          </w:tcPr>
          <w:p>
            <w:pPr>
              <w:spacing w:after="0"/>
              <w:rPr>
                <w:sz w:val="20"/>
                <w:szCs w:val="20"/>
                <w:color w:val="auto"/>
              </w:rPr>
            </w:pPr>
            <w:r>
              <w:rPr>
                <w:rFonts w:ascii="Arial" w:cs="Arial" w:eastAsia="Arial" w:hAnsi="Arial"/>
                <w:sz w:val="11"/>
                <w:szCs w:val="11"/>
                <w:color w:val="auto"/>
              </w:rPr>
              <w:t>Cash and cash-equivalents</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348,040</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167,319</w:t>
            </w:r>
          </w:p>
        </w:tc>
        <w:tc>
          <w:tcPr>
            <w:tcW w:w="0" w:type="dxa"/>
            <w:vAlign w:val="bottom"/>
          </w:tcPr>
          <w:p>
            <w:pPr>
              <w:spacing w:after="0"/>
              <w:rPr>
                <w:sz w:val="1"/>
                <w:szCs w:val="1"/>
                <w:color w:val="auto"/>
              </w:rPr>
            </w:pPr>
          </w:p>
        </w:tc>
      </w:tr>
      <w:tr>
        <w:trPr>
          <w:trHeight w:val="159"/>
        </w:trPr>
        <w:tc>
          <w:tcPr>
            <w:tcW w:w="8500" w:type="dxa"/>
            <w:vAlign w:val="bottom"/>
          </w:tcPr>
          <w:p>
            <w:pPr>
              <w:spacing w:after="0"/>
              <w:rPr>
                <w:sz w:val="20"/>
                <w:szCs w:val="20"/>
                <w:color w:val="auto"/>
              </w:rPr>
            </w:pPr>
            <w:r>
              <w:rPr>
                <w:rFonts w:ascii="Arial" w:cs="Arial" w:eastAsia="Arial" w:hAnsi="Arial"/>
                <w:sz w:val="11"/>
                <w:szCs w:val="11"/>
                <w:color w:val="auto"/>
              </w:rPr>
              <w:t>U.S. Treasury and other securities</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6,285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2,086</w:t>
            </w:r>
          </w:p>
        </w:tc>
        <w:tc>
          <w:tcPr>
            <w:tcW w:w="0" w:type="dxa"/>
            <w:vAlign w:val="bottom"/>
          </w:tcPr>
          <w:p>
            <w:pPr>
              <w:spacing w:after="0"/>
              <w:rPr>
                <w:sz w:val="1"/>
                <w:szCs w:val="1"/>
                <w:color w:val="auto"/>
              </w:rPr>
            </w:pPr>
          </w:p>
        </w:tc>
      </w:tr>
      <w:tr>
        <w:trPr>
          <w:trHeight w:val="123"/>
        </w:trPr>
        <w:tc>
          <w:tcPr>
            <w:tcW w:w="8500" w:type="dxa"/>
            <w:vAlign w:val="bottom"/>
          </w:tcPr>
          <w:p>
            <w:pPr>
              <w:spacing w:after="0" w:line="123" w:lineRule="exact"/>
              <w:rPr>
                <w:sz w:val="20"/>
                <w:szCs w:val="20"/>
                <w:color w:val="auto"/>
              </w:rPr>
            </w:pPr>
            <w:r>
              <w:rPr>
                <w:rFonts w:ascii="Arial" w:cs="Arial" w:eastAsia="Arial" w:hAnsi="Arial"/>
                <w:sz w:val="11"/>
                <w:szCs w:val="11"/>
                <w:color w:val="auto"/>
              </w:rPr>
              <w:t>Corporate investments (includes $101,729 and $71,154 measured at fair value as of June 30, 2022</w:t>
            </w:r>
          </w:p>
        </w:tc>
        <w:tc>
          <w:tcPr>
            <w:tcW w:w="2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1,133,667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1"/>
                <w:szCs w:val="11"/>
                <w:color w:val="auto"/>
              </w:rPr>
              <w:t>1,022,564</w:t>
            </w:r>
          </w:p>
        </w:tc>
        <w:tc>
          <w:tcPr>
            <w:tcW w:w="0" w:type="dxa"/>
            <w:vAlign w:val="bottom"/>
          </w:tcPr>
          <w:p>
            <w:pPr>
              <w:spacing w:after="0"/>
              <w:rPr>
                <w:sz w:val="1"/>
                <w:szCs w:val="1"/>
                <w:color w:val="auto"/>
              </w:rPr>
            </w:pPr>
          </w:p>
        </w:tc>
      </w:tr>
      <w:tr>
        <w:trPr>
          <w:trHeight w:val="148"/>
        </w:trPr>
        <w:tc>
          <w:tcPr>
            <w:tcW w:w="8500" w:type="dxa"/>
            <w:vAlign w:val="bottom"/>
          </w:tcPr>
          <w:p>
            <w:pPr>
              <w:spacing w:after="0"/>
              <w:rPr>
                <w:sz w:val="20"/>
                <w:szCs w:val="20"/>
                <w:color w:val="auto"/>
              </w:rPr>
            </w:pPr>
            <w:r>
              <w:rPr>
                <w:rFonts w:ascii="Arial" w:cs="Arial" w:eastAsia="Arial" w:hAnsi="Arial"/>
                <w:sz w:val="11"/>
                <w:szCs w:val="11"/>
                <w:color w:val="auto"/>
              </w:rPr>
              <w:t>and December 31, 2021, respectively)</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00" w:type="dxa"/>
            <w:vAlign w:val="bottom"/>
          </w:tcPr>
          <w:p>
            <w:pPr>
              <w:spacing w:after="0"/>
              <w:rPr>
                <w:sz w:val="20"/>
                <w:szCs w:val="20"/>
                <w:color w:val="auto"/>
              </w:rPr>
            </w:pPr>
            <w:r>
              <w:rPr>
                <w:rFonts w:ascii="Arial" w:cs="Arial" w:eastAsia="Arial" w:hAnsi="Arial"/>
                <w:sz w:val="11"/>
                <w:szCs w:val="11"/>
                <w:color w:val="auto"/>
              </w:rPr>
              <w:t>Due from affiliates</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76,524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372,861</w:t>
            </w:r>
          </w:p>
        </w:tc>
        <w:tc>
          <w:tcPr>
            <w:tcW w:w="0" w:type="dxa"/>
            <w:vAlign w:val="bottom"/>
          </w:tcPr>
          <w:p>
            <w:pPr>
              <w:spacing w:after="0"/>
              <w:rPr>
                <w:sz w:val="1"/>
                <w:szCs w:val="1"/>
                <w:color w:val="auto"/>
              </w:rPr>
            </w:pPr>
          </w:p>
        </w:tc>
      </w:tr>
      <w:tr>
        <w:trPr>
          <w:trHeight w:val="159"/>
        </w:trPr>
        <w:tc>
          <w:tcPr>
            <w:tcW w:w="8500" w:type="dxa"/>
            <w:vAlign w:val="bottom"/>
          </w:tcPr>
          <w:p>
            <w:pPr>
              <w:spacing w:after="0"/>
              <w:rPr>
                <w:sz w:val="20"/>
                <w:szCs w:val="20"/>
                <w:color w:val="auto"/>
              </w:rPr>
            </w:pPr>
            <w:r>
              <w:rPr>
                <w:rFonts w:ascii="Arial" w:cs="Arial" w:eastAsia="Arial" w:hAnsi="Arial"/>
                <w:sz w:val="11"/>
                <w:szCs w:val="11"/>
                <w:color w:val="auto"/>
              </w:rPr>
              <w:t>Deferred tax assets</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3,653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3,548</w:t>
            </w:r>
          </w:p>
        </w:tc>
        <w:tc>
          <w:tcPr>
            <w:tcW w:w="0" w:type="dxa"/>
            <w:vAlign w:val="bottom"/>
          </w:tcPr>
          <w:p>
            <w:pPr>
              <w:spacing w:after="0"/>
              <w:rPr>
                <w:sz w:val="1"/>
                <w:szCs w:val="1"/>
                <w:color w:val="auto"/>
              </w:rPr>
            </w:pPr>
          </w:p>
        </w:tc>
      </w:tr>
      <w:tr>
        <w:trPr>
          <w:trHeight w:val="159"/>
        </w:trPr>
        <w:tc>
          <w:tcPr>
            <w:tcW w:w="8500" w:type="dxa"/>
            <w:vAlign w:val="bottom"/>
          </w:tcPr>
          <w:p>
            <w:pPr>
              <w:spacing w:after="0"/>
              <w:rPr>
                <w:sz w:val="20"/>
                <w:szCs w:val="20"/>
                <w:color w:val="auto"/>
              </w:rPr>
            </w:pPr>
            <w:r>
              <w:rPr>
                <w:rFonts w:ascii="Arial" w:cs="Arial" w:eastAsia="Arial" w:hAnsi="Arial"/>
                <w:sz w:val="11"/>
                <w:szCs w:val="11"/>
                <w:color w:val="auto"/>
              </w:rPr>
              <w:t>Right-of-use assets</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28,075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33,359</w:t>
            </w:r>
          </w:p>
        </w:tc>
        <w:tc>
          <w:tcPr>
            <w:tcW w:w="0" w:type="dxa"/>
            <w:vAlign w:val="bottom"/>
          </w:tcPr>
          <w:p>
            <w:pPr>
              <w:spacing w:after="0"/>
              <w:rPr>
                <w:sz w:val="1"/>
                <w:szCs w:val="1"/>
                <w:color w:val="auto"/>
              </w:rPr>
            </w:pPr>
          </w:p>
        </w:tc>
      </w:tr>
      <w:tr>
        <w:trPr>
          <w:trHeight w:val="159"/>
        </w:trPr>
        <w:tc>
          <w:tcPr>
            <w:tcW w:w="8500" w:type="dxa"/>
            <w:vAlign w:val="bottom"/>
          </w:tcPr>
          <w:p>
            <w:pPr>
              <w:spacing w:after="0"/>
              <w:rPr>
                <w:sz w:val="20"/>
                <w:szCs w:val="20"/>
                <w:color w:val="auto"/>
              </w:rPr>
            </w:pPr>
            <w:r>
              <w:rPr>
                <w:rFonts w:ascii="Arial" w:cs="Arial" w:eastAsia="Arial" w:hAnsi="Arial"/>
                <w:sz w:val="11"/>
                <w:szCs w:val="11"/>
                <w:color w:val="auto"/>
              </w:rPr>
              <w:t>Other assets</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62,209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45,979</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i w:val="1"/>
                <w:iCs w:val="1"/>
                <w:color w:val="auto"/>
              </w:rPr>
              <w:t>Assets of consolidated funds: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500" w:type="dxa"/>
            <w:vAlign w:val="bottom"/>
          </w:tcPr>
          <w:p>
            <w:pPr>
              <w:spacing w:after="0"/>
              <w:rPr>
                <w:sz w:val="20"/>
                <w:szCs w:val="20"/>
                <w:color w:val="auto"/>
              </w:rPr>
            </w:pPr>
            <w:r>
              <w:rPr>
                <w:rFonts w:ascii="Arial" w:cs="Arial" w:eastAsia="Arial" w:hAnsi="Arial"/>
                <w:sz w:val="11"/>
                <w:szCs w:val="11"/>
                <w:color w:val="auto"/>
              </w:rPr>
              <w:t>Cash and cash-equivalents</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777,389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991,800</w:t>
            </w:r>
          </w:p>
        </w:tc>
        <w:tc>
          <w:tcPr>
            <w:tcW w:w="0" w:type="dxa"/>
            <w:vAlign w:val="bottom"/>
          </w:tcPr>
          <w:p>
            <w:pPr>
              <w:spacing w:after="0"/>
              <w:rPr>
                <w:sz w:val="1"/>
                <w:szCs w:val="1"/>
                <w:color w:val="auto"/>
              </w:rPr>
            </w:pPr>
          </w:p>
        </w:tc>
      </w:tr>
      <w:tr>
        <w:trPr>
          <w:trHeight w:val="159"/>
        </w:trPr>
        <w:tc>
          <w:tcPr>
            <w:tcW w:w="8500" w:type="dxa"/>
            <w:vAlign w:val="bottom"/>
          </w:tcPr>
          <w:p>
            <w:pPr>
              <w:spacing w:after="0"/>
              <w:rPr>
                <w:sz w:val="20"/>
                <w:szCs w:val="20"/>
                <w:color w:val="auto"/>
              </w:rPr>
            </w:pPr>
            <w:r>
              <w:rPr>
                <w:rFonts w:ascii="Arial" w:cs="Arial" w:eastAsia="Arial" w:hAnsi="Arial"/>
                <w:sz w:val="11"/>
                <w:szCs w:val="11"/>
                <w:color w:val="auto"/>
              </w:rPr>
              <w:t>Investments, at fair value</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11,637,552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11,456,895</w:t>
            </w:r>
          </w:p>
        </w:tc>
        <w:tc>
          <w:tcPr>
            <w:tcW w:w="0" w:type="dxa"/>
            <w:vAlign w:val="bottom"/>
          </w:tcPr>
          <w:p>
            <w:pPr>
              <w:spacing w:after="0"/>
              <w:rPr>
                <w:sz w:val="1"/>
                <w:szCs w:val="1"/>
                <w:color w:val="auto"/>
              </w:rPr>
            </w:pPr>
          </w:p>
        </w:tc>
      </w:tr>
      <w:tr>
        <w:trPr>
          <w:trHeight w:val="159"/>
        </w:trPr>
        <w:tc>
          <w:tcPr>
            <w:tcW w:w="8500" w:type="dxa"/>
            <w:vAlign w:val="bottom"/>
          </w:tcPr>
          <w:p>
            <w:pPr>
              <w:spacing w:after="0"/>
              <w:rPr>
                <w:sz w:val="20"/>
                <w:szCs w:val="20"/>
                <w:color w:val="auto"/>
              </w:rPr>
            </w:pPr>
            <w:r>
              <w:rPr>
                <w:rFonts w:ascii="Arial" w:cs="Arial" w:eastAsia="Arial" w:hAnsi="Arial"/>
                <w:sz w:val="11"/>
                <w:szCs w:val="11"/>
                <w:color w:val="auto"/>
              </w:rPr>
              <w:t>Dividends and interest receivable</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53,220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48,584</w:t>
            </w:r>
          </w:p>
        </w:tc>
        <w:tc>
          <w:tcPr>
            <w:tcW w:w="0" w:type="dxa"/>
            <w:vAlign w:val="bottom"/>
          </w:tcPr>
          <w:p>
            <w:pPr>
              <w:spacing w:after="0"/>
              <w:rPr>
                <w:sz w:val="1"/>
                <w:szCs w:val="1"/>
                <w:color w:val="auto"/>
              </w:rPr>
            </w:pPr>
          </w:p>
        </w:tc>
      </w:tr>
      <w:tr>
        <w:trPr>
          <w:trHeight w:val="159"/>
        </w:trPr>
        <w:tc>
          <w:tcPr>
            <w:tcW w:w="8500" w:type="dxa"/>
            <w:vAlign w:val="bottom"/>
          </w:tcPr>
          <w:p>
            <w:pPr>
              <w:spacing w:after="0"/>
              <w:rPr>
                <w:sz w:val="20"/>
                <w:szCs w:val="20"/>
                <w:color w:val="auto"/>
              </w:rPr>
            </w:pPr>
            <w:r>
              <w:rPr>
                <w:rFonts w:ascii="Arial" w:cs="Arial" w:eastAsia="Arial" w:hAnsi="Arial"/>
                <w:sz w:val="11"/>
                <w:szCs w:val="11"/>
                <w:color w:val="auto"/>
              </w:rPr>
              <w:t>Due from brokers</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72,685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15,498</w:t>
            </w:r>
          </w:p>
        </w:tc>
        <w:tc>
          <w:tcPr>
            <w:tcW w:w="0" w:type="dxa"/>
            <w:vAlign w:val="bottom"/>
          </w:tcPr>
          <w:p>
            <w:pPr>
              <w:spacing w:after="0"/>
              <w:rPr>
                <w:sz w:val="1"/>
                <w:szCs w:val="1"/>
                <w:color w:val="auto"/>
              </w:rPr>
            </w:pPr>
          </w:p>
        </w:tc>
      </w:tr>
      <w:tr>
        <w:trPr>
          <w:trHeight w:val="159"/>
        </w:trPr>
        <w:tc>
          <w:tcPr>
            <w:tcW w:w="8500" w:type="dxa"/>
            <w:vAlign w:val="bottom"/>
          </w:tcPr>
          <w:p>
            <w:pPr>
              <w:spacing w:after="0"/>
              <w:rPr>
                <w:sz w:val="20"/>
                <w:szCs w:val="20"/>
                <w:color w:val="auto"/>
              </w:rPr>
            </w:pPr>
            <w:r>
              <w:rPr>
                <w:rFonts w:ascii="Arial" w:cs="Arial" w:eastAsia="Arial" w:hAnsi="Arial"/>
                <w:sz w:val="11"/>
                <w:szCs w:val="11"/>
                <w:color w:val="auto"/>
              </w:rPr>
              <w:t>Receivable for securities sold</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177,606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206,770</w:t>
            </w:r>
          </w:p>
        </w:tc>
        <w:tc>
          <w:tcPr>
            <w:tcW w:w="0" w:type="dxa"/>
            <w:vAlign w:val="bottom"/>
          </w:tcPr>
          <w:p>
            <w:pPr>
              <w:spacing w:after="0"/>
              <w:rPr>
                <w:sz w:val="1"/>
                <w:szCs w:val="1"/>
                <w:color w:val="auto"/>
              </w:rPr>
            </w:pPr>
          </w:p>
        </w:tc>
      </w:tr>
      <w:tr>
        <w:trPr>
          <w:trHeight w:val="159"/>
        </w:trPr>
        <w:tc>
          <w:tcPr>
            <w:tcW w:w="8500" w:type="dxa"/>
            <w:vAlign w:val="bottom"/>
          </w:tcPr>
          <w:p>
            <w:pPr>
              <w:spacing w:after="0"/>
              <w:rPr>
                <w:sz w:val="20"/>
                <w:szCs w:val="20"/>
                <w:color w:val="auto"/>
              </w:rPr>
            </w:pPr>
            <w:r>
              <w:rPr>
                <w:rFonts w:ascii="Arial" w:cs="Arial" w:eastAsia="Arial" w:hAnsi="Arial"/>
                <w:sz w:val="11"/>
                <w:szCs w:val="11"/>
                <w:color w:val="auto"/>
              </w:rPr>
              <w:t>Derivative assets, at fair value</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19,511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6,733</w:t>
            </w:r>
          </w:p>
        </w:tc>
        <w:tc>
          <w:tcPr>
            <w:tcW w:w="0" w:type="dxa"/>
            <w:vAlign w:val="bottom"/>
          </w:tcPr>
          <w:p>
            <w:pPr>
              <w:spacing w:after="0"/>
              <w:rPr>
                <w:sz w:val="1"/>
                <w:szCs w:val="1"/>
                <w:color w:val="auto"/>
              </w:rPr>
            </w:pPr>
          </w:p>
        </w:tc>
      </w:tr>
      <w:tr>
        <w:trPr>
          <w:trHeight w:val="162"/>
        </w:trPr>
        <w:tc>
          <w:tcPr>
            <w:tcW w:w="8500" w:type="dxa"/>
            <w:vAlign w:val="bottom"/>
          </w:tcPr>
          <w:p>
            <w:pPr>
              <w:spacing w:after="0"/>
              <w:rPr>
                <w:sz w:val="20"/>
                <w:szCs w:val="20"/>
                <w:color w:val="auto"/>
              </w:rPr>
            </w:pPr>
            <w:r>
              <w:rPr>
                <w:rFonts w:ascii="Arial" w:cs="Arial" w:eastAsia="Arial" w:hAnsi="Arial"/>
                <w:sz w:val="11"/>
                <w:szCs w:val="11"/>
                <w:color w:val="auto"/>
              </w:rPr>
              <w:t>Other assets, net</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18,259</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23,853</w:t>
            </w:r>
          </w:p>
        </w:tc>
        <w:tc>
          <w:tcPr>
            <w:tcW w:w="0" w:type="dxa"/>
            <w:vAlign w:val="bottom"/>
          </w:tcPr>
          <w:p>
            <w:pPr>
              <w:spacing w:after="0"/>
              <w:rPr>
                <w:sz w:val="1"/>
                <w:szCs w:val="1"/>
                <w:color w:val="auto"/>
              </w:rPr>
            </w:pPr>
          </w:p>
        </w:tc>
      </w:tr>
      <w:tr>
        <w:trPr>
          <w:trHeight w:val="153"/>
        </w:trPr>
        <w:tc>
          <w:tcPr>
            <w:tcW w:w="8500" w:type="dxa"/>
            <w:vAlign w:val="bottom"/>
          </w:tcPr>
          <w:p>
            <w:pPr>
              <w:ind w:left="260"/>
              <w:spacing w:after="0"/>
              <w:rPr>
                <w:sz w:val="20"/>
                <w:szCs w:val="20"/>
                <w:color w:val="auto"/>
              </w:rPr>
            </w:pPr>
            <w:r>
              <w:rPr>
                <w:rFonts w:ascii="Arial" w:cs="Arial" w:eastAsia="Arial" w:hAnsi="Arial"/>
                <w:sz w:val="11"/>
                <w:szCs w:val="11"/>
                <w:color w:val="auto"/>
              </w:rPr>
              <w:t>Total assets</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14,414,675</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14,397,849</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1"/>
                <w:szCs w:val="11"/>
                <w:b w:val="1"/>
                <w:bCs w:val="1"/>
                <w:color w:val="auto"/>
              </w:rPr>
              <w:t>Liabilities and Unitholders’ Capital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5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00" w:type="dxa"/>
            <w:vAlign w:val="bottom"/>
          </w:tcPr>
          <w:p>
            <w:pPr>
              <w:spacing w:after="0"/>
              <w:rPr>
                <w:sz w:val="20"/>
                <w:szCs w:val="20"/>
                <w:color w:val="auto"/>
              </w:rPr>
            </w:pPr>
            <w:r>
              <w:rPr>
                <w:rFonts w:ascii="Arial" w:cs="Arial" w:eastAsia="Arial" w:hAnsi="Arial"/>
                <w:sz w:val="11"/>
                <w:szCs w:val="11"/>
                <w:color w:val="auto"/>
              </w:rPr>
              <w:t>Liabilities: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Accrued compensation expense</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134,956</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245,787</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Accounts payable, accrued expenses and other liabilities</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21,082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15,365</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Due to affiliates</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11,266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4,198</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Debt obligations (Note 8)</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213,754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Operating lease liabilities</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33,361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39,294</w:t>
            </w:r>
          </w:p>
        </w:tc>
        <w:tc>
          <w:tcPr>
            <w:tcW w:w="0" w:type="dxa"/>
            <w:vAlign w:val="bottom"/>
          </w:tcPr>
          <w:p>
            <w:pPr>
              <w:spacing w:after="0"/>
              <w:rPr>
                <w:sz w:val="1"/>
                <w:szCs w:val="1"/>
                <w:color w:val="auto"/>
              </w:rPr>
            </w:pPr>
          </w:p>
        </w:tc>
      </w:tr>
      <w:tr>
        <w:trPr>
          <w:trHeight w:val="159"/>
        </w:trPr>
        <w:tc>
          <w:tcPr>
            <w:tcW w:w="8500" w:type="dxa"/>
            <w:vAlign w:val="bottom"/>
          </w:tcPr>
          <w:p>
            <w:pPr>
              <w:ind w:left="500"/>
              <w:spacing w:after="0"/>
              <w:rPr>
                <w:sz w:val="20"/>
                <w:szCs w:val="20"/>
                <w:color w:val="auto"/>
              </w:rPr>
            </w:pPr>
            <w:r>
              <w:rPr>
                <w:rFonts w:ascii="Arial" w:cs="Arial" w:eastAsia="Arial" w:hAnsi="Arial"/>
                <w:sz w:val="11"/>
                <w:szCs w:val="11"/>
                <w:i w:val="1"/>
                <w:iCs w:val="1"/>
                <w:color w:val="auto"/>
              </w:rPr>
              <w:t>Liabilities of consolidated funds: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Accounts payable, accrued expenses and other liabilities</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72,540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80,897</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Payables for securities purchased</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984,798</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1,066,261</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Derivative liabilities, at fair value</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37,441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11,847</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Distributions payable</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138</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Borrowings under credit facilities</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937,980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1,131,918</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Debt obligations of CLOs</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7,821,877</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7,806,263</w:t>
            </w:r>
          </w:p>
        </w:tc>
        <w:tc>
          <w:tcPr>
            <w:tcW w:w="0" w:type="dxa"/>
            <w:vAlign w:val="bottom"/>
          </w:tcPr>
          <w:p>
            <w:pPr>
              <w:spacing w:after="0"/>
              <w:rPr>
                <w:sz w:val="1"/>
                <w:szCs w:val="1"/>
                <w:color w:val="auto"/>
              </w:rPr>
            </w:pPr>
          </w:p>
        </w:tc>
      </w:tr>
      <w:tr>
        <w:trPr>
          <w:trHeight w:val="150"/>
        </w:trPr>
        <w:tc>
          <w:tcPr>
            <w:tcW w:w="8500" w:type="dxa"/>
            <w:vAlign w:val="bottom"/>
          </w:tcPr>
          <w:p>
            <w:pPr>
              <w:ind w:left="500"/>
              <w:spacing w:after="0"/>
              <w:rPr>
                <w:sz w:val="20"/>
                <w:szCs w:val="20"/>
                <w:color w:val="auto"/>
              </w:rPr>
            </w:pPr>
            <w:r>
              <w:rPr>
                <w:rFonts w:ascii="Arial" w:cs="Arial" w:eastAsia="Arial" w:hAnsi="Arial"/>
                <w:sz w:val="11"/>
                <w:szCs w:val="11"/>
                <w:color w:val="auto"/>
              </w:rPr>
              <w:t>Total liabilities</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10,269,193</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10,401,953</w:t>
            </w:r>
          </w:p>
        </w:tc>
        <w:tc>
          <w:tcPr>
            <w:tcW w:w="0" w:type="dxa"/>
            <w:vAlign w:val="bottom"/>
          </w:tcPr>
          <w:p>
            <w:pPr>
              <w:spacing w:after="0"/>
              <w:rPr>
                <w:sz w:val="1"/>
                <w:szCs w:val="1"/>
                <w:color w:val="auto"/>
              </w:rPr>
            </w:pPr>
          </w:p>
        </w:tc>
      </w:tr>
      <w:tr>
        <w:trPr>
          <w:trHeight w:val="139"/>
        </w:trPr>
        <w:tc>
          <w:tcPr>
            <w:tcW w:w="8500" w:type="dxa"/>
            <w:vAlign w:val="bottom"/>
          </w:tcPr>
          <w:p>
            <w:pPr>
              <w:spacing w:after="0"/>
              <w:rPr>
                <w:sz w:val="20"/>
                <w:szCs w:val="20"/>
                <w:color w:val="auto"/>
              </w:rPr>
            </w:pPr>
            <w:r>
              <w:rPr>
                <w:rFonts w:ascii="Arial" w:cs="Arial" w:eastAsia="Arial" w:hAnsi="Arial"/>
                <w:sz w:val="11"/>
                <w:szCs w:val="11"/>
                <w:color w:val="auto"/>
              </w:rPr>
              <w:t>Commitments and contingencies (Note 15)</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500" w:type="dxa"/>
            <w:vAlign w:val="bottom"/>
          </w:tcPr>
          <w:p>
            <w:pPr>
              <w:spacing w:after="0"/>
              <w:rPr>
                <w:sz w:val="20"/>
                <w:szCs w:val="20"/>
                <w:color w:val="auto"/>
              </w:rPr>
            </w:pPr>
            <w:r>
              <w:rPr>
                <w:rFonts w:ascii="Arial" w:cs="Arial" w:eastAsia="Arial" w:hAnsi="Arial"/>
                <w:sz w:val="11"/>
                <w:szCs w:val="11"/>
                <w:color w:val="auto"/>
              </w:rPr>
              <w:t>Non-controlling redeemable interests in consolidated funds</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1,955,708</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1,723,294</w:t>
            </w:r>
          </w:p>
        </w:tc>
        <w:tc>
          <w:tcPr>
            <w:tcW w:w="0" w:type="dxa"/>
            <w:vAlign w:val="bottom"/>
          </w:tcPr>
          <w:p>
            <w:pPr>
              <w:spacing w:after="0"/>
              <w:rPr>
                <w:sz w:val="1"/>
                <w:szCs w:val="1"/>
                <w:color w:val="auto"/>
              </w:rPr>
            </w:pPr>
          </w:p>
        </w:tc>
      </w:tr>
      <w:tr>
        <w:trPr>
          <w:trHeight w:val="139"/>
        </w:trPr>
        <w:tc>
          <w:tcPr>
            <w:tcW w:w="8500" w:type="dxa"/>
            <w:vAlign w:val="bottom"/>
          </w:tcPr>
          <w:p>
            <w:pPr>
              <w:spacing w:after="0"/>
              <w:rPr>
                <w:sz w:val="20"/>
                <w:szCs w:val="20"/>
                <w:color w:val="auto"/>
              </w:rPr>
            </w:pPr>
            <w:r>
              <w:rPr>
                <w:rFonts w:ascii="Arial" w:cs="Arial" w:eastAsia="Arial" w:hAnsi="Arial"/>
                <w:sz w:val="11"/>
                <w:szCs w:val="11"/>
                <w:color w:val="auto"/>
              </w:rPr>
              <w:t>Unitholders’ capital:</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Series A preferred units, 7,200,000 units issued and outstanding as of June 30, 2022 and December 31, 2021</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173,669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173,669</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Series B preferred units, 9,400,000 units issued and outstanding as of June 30, 2022 and December 31, 2021</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226,915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226,915</w:t>
            </w:r>
          </w:p>
        </w:tc>
        <w:tc>
          <w:tcPr>
            <w:tcW w:w="0" w:type="dxa"/>
            <w:vAlign w:val="bottom"/>
          </w:tcPr>
          <w:p>
            <w:pPr>
              <w:spacing w:after="0"/>
              <w:rPr>
                <w:sz w:val="1"/>
                <w:szCs w:val="1"/>
                <w:color w:val="auto"/>
              </w:rPr>
            </w:pPr>
          </w:p>
        </w:tc>
      </w:tr>
      <w:tr>
        <w:trPr>
          <w:trHeight w:val="123"/>
        </w:trPr>
        <w:tc>
          <w:tcPr>
            <w:tcW w:w="8500" w:type="dxa"/>
            <w:vAlign w:val="bottom"/>
          </w:tcPr>
          <w:p>
            <w:pPr>
              <w:ind w:left="260"/>
              <w:spacing w:after="0" w:line="123" w:lineRule="exact"/>
              <w:rPr>
                <w:sz w:val="20"/>
                <w:szCs w:val="20"/>
                <w:color w:val="auto"/>
              </w:rPr>
            </w:pPr>
            <w:r>
              <w:rPr>
                <w:rFonts w:ascii="Arial" w:cs="Arial" w:eastAsia="Arial" w:hAnsi="Arial"/>
                <w:sz w:val="11"/>
                <w:szCs w:val="11"/>
                <w:color w:val="auto"/>
              </w:rPr>
              <w:t>Class A units, no par value, unlimited units authorized, 103,080,160 and 99,136,620 units issued and outstanding as of June 30, 2022 and December 31, 2021,</w:t>
            </w:r>
          </w:p>
        </w:tc>
        <w:tc>
          <w:tcPr>
            <w:tcW w:w="2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8500" w:type="dxa"/>
            <w:vAlign w:val="bottom"/>
          </w:tcPr>
          <w:p>
            <w:pPr>
              <w:ind w:left="380"/>
              <w:spacing w:after="0"/>
              <w:rPr>
                <w:sz w:val="20"/>
                <w:szCs w:val="20"/>
                <w:color w:val="auto"/>
              </w:rPr>
            </w:pPr>
            <w:r>
              <w:rPr>
                <w:rFonts w:ascii="Arial" w:cs="Arial" w:eastAsia="Arial" w:hAnsi="Arial"/>
                <w:sz w:val="11"/>
                <w:szCs w:val="11"/>
                <w:color w:val="auto"/>
              </w:rPr>
              <w:t>respectively</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500" w:type="dxa"/>
            <w:vAlign w:val="bottom"/>
          </w:tcPr>
          <w:p>
            <w:pPr>
              <w:ind w:left="260"/>
              <w:spacing w:after="0" w:line="117" w:lineRule="exact"/>
              <w:rPr>
                <w:sz w:val="20"/>
                <w:szCs w:val="20"/>
                <w:color w:val="auto"/>
              </w:rPr>
            </w:pPr>
            <w:r>
              <w:rPr>
                <w:rFonts w:ascii="Arial" w:cs="Arial" w:eastAsia="Arial" w:hAnsi="Arial"/>
                <w:sz w:val="11"/>
                <w:szCs w:val="11"/>
                <w:color w:val="auto"/>
              </w:rPr>
              <w:t>Class B units, no par value, unlimited units authorized, 56,822,301 and 60,783,255 units issued and outstanding as of June 30, 2022 and December 31, 2021,</w:t>
            </w:r>
          </w:p>
        </w:tc>
        <w:tc>
          <w:tcPr>
            <w:tcW w:w="2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8500" w:type="dxa"/>
            <w:vAlign w:val="bottom"/>
          </w:tcPr>
          <w:p>
            <w:pPr>
              <w:ind w:left="380"/>
              <w:spacing w:after="0"/>
              <w:rPr>
                <w:sz w:val="20"/>
                <w:szCs w:val="20"/>
                <w:color w:val="auto"/>
              </w:rPr>
            </w:pPr>
            <w:r>
              <w:rPr>
                <w:rFonts w:ascii="Arial" w:cs="Arial" w:eastAsia="Arial" w:hAnsi="Arial"/>
                <w:sz w:val="11"/>
                <w:szCs w:val="11"/>
                <w:color w:val="auto"/>
              </w:rPr>
              <w:t>respectively</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00" w:type="dxa"/>
            <w:vAlign w:val="bottom"/>
          </w:tcPr>
          <w:p>
            <w:pPr>
              <w:ind w:left="260"/>
              <w:spacing w:after="0"/>
              <w:rPr>
                <w:sz w:val="20"/>
                <w:szCs w:val="20"/>
                <w:color w:val="auto"/>
              </w:rPr>
            </w:pPr>
            <w:r>
              <w:rPr>
                <w:rFonts w:ascii="Arial" w:cs="Arial" w:eastAsia="Arial" w:hAnsi="Arial"/>
                <w:sz w:val="11"/>
                <w:szCs w:val="11"/>
                <w:color w:val="auto"/>
              </w:rPr>
              <w:t>Paid-in capital</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1,173,557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1,011,333</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Retained earnings</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128,154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251,791</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Accumulated other comprehensive loss</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2,126</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(3,334)</w:t>
            </w:r>
          </w:p>
        </w:tc>
        <w:tc>
          <w:tcPr>
            <w:tcW w:w="0" w:type="dxa"/>
            <w:vAlign w:val="bottom"/>
          </w:tcPr>
          <w:p>
            <w:pPr>
              <w:spacing w:after="0"/>
              <w:rPr>
                <w:sz w:val="1"/>
                <w:szCs w:val="1"/>
                <w:color w:val="auto"/>
              </w:rPr>
            </w:pPr>
          </w:p>
        </w:tc>
      </w:tr>
      <w:tr>
        <w:trPr>
          <w:trHeight w:val="150"/>
        </w:trPr>
        <w:tc>
          <w:tcPr>
            <w:tcW w:w="8500" w:type="dxa"/>
            <w:vAlign w:val="bottom"/>
          </w:tcPr>
          <w:p>
            <w:pPr>
              <w:ind w:left="500"/>
              <w:spacing w:after="0"/>
              <w:rPr>
                <w:sz w:val="20"/>
                <w:szCs w:val="20"/>
                <w:color w:val="auto"/>
              </w:rPr>
            </w:pPr>
            <w:r>
              <w:rPr>
                <w:rFonts w:ascii="Arial" w:cs="Arial" w:eastAsia="Arial" w:hAnsi="Arial"/>
                <w:sz w:val="11"/>
                <w:szCs w:val="11"/>
                <w:color w:val="auto"/>
              </w:rPr>
              <w:t>Unitholders’ capital attributable to Oaktree Capital Group, LLC</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1,704,421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1,660,374</w:t>
            </w:r>
          </w:p>
        </w:tc>
        <w:tc>
          <w:tcPr>
            <w:tcW w:w="0" w:type="dxa"/>
            <w:vAlign w:val="bottom"/>
          </w:tcPr>
          <w:p>
            <w:pPr>
              <w:spacing w:after="0"/>
              <w:rPr>
                <w:sz w:val="1"/>
                <w:szCs w:val="1"/>
                <w:color w:val="auto"/>
              </w:rPr>
            </w:pPr>
          </w:p>
        </w:tc>
      </w:tr>
      <w:tr>
        <w:trPr>
          <w:trHeight w:val="159"/>
        </w:trPr>
        <w:tc>
          <w:tcPr>
            <w:tcW w:w="8500" w:type="dxa"/>
            <w:vAlign w:val="bottom"/>
          </w:tcPr>
          <w:p>
            <w:pPr>
              <w:ind w:left="260"/>
              <w:spacing w:after="0"/>
              <w:rPr>
                <w:sz w:val="20"/>
                <w:szCs w:val="20"/>
                <w:color w:val="auto"/>
              </w:rPr>
            </w:pPr>
            <w:r>
              <w:rPr>
                <w:rFonts w:ascii="Arial" w:cs="Arial" w:eastAsia="Arial" w:hAnsi="Arial"/>
                <w:sz w:val="11"/>
                <w:szCs w:val="11"/>
                <w:color w:val="auto"/>
              </w:rPr>
              <w:t>Non-controlling interests in consolidated subsidiaries</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485,353</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612,228</w:t>
            </w:r>
          </w:p>
        </w:tc>
        <w:tc>
          <w:tcPr>
            <w:tcW w:w="0" w:type="dxa"/>
            <w:vAlign w:val="bottom"/>
          </w:tcPr>
          <w:p>
            <w:pPr>
              <w:spacing w:after="0"/>
              <w:rPr>
                <w:sz w:val="1"/>
                <w:szCs w:val="1"/>
                <w:color w:val="auto"/>
              </w:rPr>
            </w:pPr>
          </w:p>
        </w:tc>
      </w:tr>
      <w:tr>
        <w:trPr>
          <w:trHeight w:val="153"/>
        </w:trPr>
        <w:tc>
          <w:tcPr>
            <w:tcW w:w="8500" w:type="dxa"/>
            <w:vAlign w:val="bottom"/>
          </w:tcPr>
          <w:p>
            <w:pPr>
              <w:ind w:left="500"/>
              <w:spacing w:after="0"/>
              <w:rPr>
                <w:sz w:val="20"/>
                <w:szCs w:val="20"/>
                <w:color w:val="auto"/>
              </w:rPr>
            </w:pPr>
            <w:r>
              <w:rPr>
                <w:rFonts w:ascii="Arial" w:cs="Arial" w:eastAsia="Arial" w:hAnsi="Arial"/>
                <w:sz w:val="11"/>
                <w:szCs w:val="11"/>
                <w:color w:val="auto"/>
              </w:rPr>
              <w:t>Total unitholders’ capital</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2,189,774</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2,272,602</w:t>
            </w:r>
          </w:p>
        </w:tc>
        <w:tc>
          <w:tcPr>
            <w:tcW w:w="0" w:type="dxa"/>
            <w:vAlign w:val="bottom"/>
          </w:tcPr>
          <w:p>
            <w:pPr>
              <w:spacing w:after="0"/>
              <w:rPr>
                <w:sz w:val="1"/>
                <w:szCs w:val="1"/>
                <w:color w:val="auto"/>
              </w:rPr>
            </w:pPr>
          </w:p>
        </w:tc>
      </w:tr>
      <w:tr>
        <w:trPr>
          <w:trHeight w:val="153"/>
        </w:trPr>
        <w:tc>
          <w:tcPr>
            <w:tcW w:w="8500" w:type="dxa"/>
            <w:vAlign w:val="bottom"/>
          </w:tcPr>
          <w:p>
            <w:pPr>
              <w:ind w:left="500"/>
              <w:spacing w:after="0"/>
              <w:rPr>
                <w:sz w:val="20"/>
                <w:szCs w:val="20"/>
                <w:color w:val="auto"/>
              </w:rPr>
            </w:pPr>
            <w:r>
              <w:rPr>
                <w:rFonts w:ascii="Arial" w:cs="Arial" w:eastAsia="Arial" w:hAnsi="Arial"/>
                <w:sz w:val="11"/>
                <w:szCs w:val="11"/>
                <w:color w:val="auto"/>
              </w:rPr>
              <w:t>Total liabilities and unitholders’ capital</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14,414,675</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14,397,849</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Please see accompanying notes to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66"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unit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gridSpan w:val="5"/>
          </w:tcPr>
          <w:p>
            <w:pPr>
              <w:ind w:left="380"/>
              <w:spacing w:after="0"/>
              <w:rPr>
                <w:sz w:val="20"/>
                <w:szCs w:val="20"/>
                <w:color w:val="auto"/>
              </w:rPr>
            </w:pPr>
            <w:r>
              <w:rPr>
                <w:rFonts w:ascii="Arial" w:cs="Arial" w:eastAsia="Arial" w:hAnsi="Arial"/>
                <w:sz w:val="10"/>
                <w:szCs w:val="10"/>
                <w:b w:val="1"/>
                <w:bCs w:val="1"/>
                <w:color w:val="auto"/>
              </w:rPr>
              <w:t>Three months ended June 30,</w:t>
            </w:r>
          </w:p>
        </w:tc>
        <w:tc>
          <w:tcPr>
            <w:tcW w:w="320" w:type="dxa"/>
            <w:vAlign w:val="bottom"/>
          </w:tcPr>
          <w:p>
            <w:pPr>
              <w:spacing w:after="0"/>
              <w:rPr>
                <w:sz w:val="12"/>
                <w:szCs w:val="12"/>
                <w:color w:val="auto"/>
              </w:rPr>
            </w:pPr>
          </w:p>
        </w:tc>
        <w:tc>
          <w:tcPr>
            <w:tcW w:w="2460" w:type="dxa"/>
            <w:vAlign w:val="bottom"/>
            <w:gridSpan w:val="4"/>
          </w:tcPr>
          <w:p>
            <w:pPr>
              <w:jc w:val="right"/>
              <w:ind w:right="677"/>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147"/>
        </w:trPr>
        <w:tc>
          <w:tcPr>
            <w:tcW w:w="55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0"/>
                <w:szCs w:val="10"/>
                <w:b w:val="1"/>
                <w:bCs w:val="1"/>
                <w:color w:val="auto"/>
              </w:rPr>
              <w:t>2022</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0"/>
                <w:szCs w:val="10"/>
                <w:b w:val="1"/>
                <w:bCs w:val="1"/>
                <w:color w:val="auto"/>
              </w:rPr>
              <w:t>2021</w:t>
            </w:r>
          </w:p>
        </w:tc>
        <w:tc>
          <w:tcPr>
            <w:tcW w:w="1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64"/>
        </w:trPr>
        <w:tc>
          <w:tcPr>
            <w:tcW w:w="5520" w:type="dxa"/>
            <w:vAlign w:val="bottom"/>
          </w:tcPr>
          <w:p>
            <w:pPr>
              <w:spacing w:after="0"/>
              <w:rPr>
                <w:sz w:val="20"/>
                <w:szCs w:val="20"/>
                <w:color w:val="auto"/>
              </w:rPr>
            </w:pPr>
            <w:r>
              <w:rPr>
                <w:rFonts w:ascii="Arial" w:cs="Arial" w:eastAsia="Arial" w:hAnsi="Arial"/>
                <w:sz w:val="13"/>
                <w:szCs w:val="13"/>
                <w:color w:val="auto"/>
              </w:rPr>
              <w:t>Revenues: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Management fees</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63,079</w:t>
            </w:r>
          </w:p>
        </w:tc>
        <w:tc>
          <w:tcPr>
            <w:tcW w:w="2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57,894</w:t>
            </w:r>
          </w:p>
        </w:tc>
        <w:tc>
          <w:tcPr>
            <w:tcW w:w="1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123,510</w:t>
            </w:r>
          </w:p>
        </w:tc>
        <w:tc>
          <w:tcPr>
            <w:tcW w:w="180" w:type="dxa"/>
            <w:vAlign w:val="bottom"/>
          </w:tcPr>
          <w:p>
            <w:pPr>
              <w:spacing w:after="0"/>
              <w:rPr>
                <w:sz w:val="14"/>
                <w:szCs w:val="14"/>
                <w:color w:val="auto"/>
              </w:rPr>
            </w:pPr>
          </w:p>
        </w:tc>
        <w:tc>
          <w:tcPr>
            <w:tcW w:w="3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114,220</w:t>
            </w: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Incentive income</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53,504</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92,522</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56,103</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643,947</w:t>
            </w:r>
          </w:p>
        </w:tc>
        <w:tc>
          <w:tcPr>
            <w:tcW w:w="0" w:type="dxa"/>
            <w:vAlign w:val="bottom"/>
          </w:tcPr>
          <w:p>
            <w:pPr>
              <w:spacing w:after="0"/>
              <w:rPr>
                <w:sz w:val="1"/>
                <w:szCs w:val="1"/>
                <w:color w:val="auto"/>
              </w:rPr>
            </w:pPr>
          </w:p>
        </w:tc>
      </w:tr>
      <w:tr>
        <w:trPr>
          <w:trHeight w:val="160"/>
        </w:trPr>
        <w:tc>
          <w:tcPr>
            <w:tcW w:w="5520" w:type="dxa"/>
            <w:vAlign w:val="bottom"/>
          </w:tcPr>
          <w:p>
            <w:pPr>
              <w:ind w:left="500"/>
              <w:spacing w:after="0"/>
              <w:rPr>
                <w:sz w:val="20"/>
                <w:szCs w:val="20"/>
                <w:color w:val="auto"/>
              </w:rPr>
            </w:pPr>
            <w:r>
              <w:rPr>
                <w:rFonts w:ascii="Arial" w:cs="Arial" w:eastAsia="Arial" w:hAnsi="Arial"/>
                <w:sz w:val="13"/>
                <w:szCs w:val="13"/>
                <w:color w:val="auto"/>
              </w:rPr>
              <w:t>Total revenues</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116,583</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150,416</w:t>
            </w: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179,613</w:t>
            </w: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758,167</w:t>
            </w:r>
          </w:p>
        </w:tc>
        <w:tc>
          <w:tcPr>
            <w:tcW w:w="0" w:type="dxa"/>
            <w:vAlign w:val="bottom"/>
          </w:tcPr>
          <w:p>
            <w:pPr>
              <w:spacing w:after="0"/>
              <w:rPr>
                <w:sz w:val="1"/>
                <w:szCs w:val="1"/>
                <w:color w:val="auto"/>
              </w:rPr>
            </w:pPr>
          </w:p>
        </w:tc>
      </w:tr>
      <w:tr>
        <w:trPr>
          <w:trHeight w:val="150"/>
        </w:trPr>
        <w:tc>
          <w:tcPr>
            <w:tcW w:w="5520" w:type="dxa"/>
            <w:vAlign w:val="bottom"/>
          </w:tcPr>
          <w:p>
            <w:pPr>
              <w:spacing w:after="0"/>
              <w:rPr>
                <w:sz w:val="20"/>
                <w:szCs w:val="20"/>
                <w:color w:val="auto"/>
              </w:rPr>
            </w:pPr>
            <w:r>
              <w:rPr>
                <w:rFonts w:ascii="Arial" w:cs="Arial" w:eastAsia="Arial" w:hAnsi="Arial"/>
                <w:sz w:val="13"/>
                <w:szCs w:val="13"/>
                <w:color w:val="auto"/>
              </w:rPr>
              <w:t>Expenses: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Compensation and benefits</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(37,830)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(38,476)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(81,919)</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(79,723)</w:t>
            </w: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Equity-based compensation</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(1,952)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(2,562)</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(3,450)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(5,965)</w:t>
            </w: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Incentive income compensation</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(12,937)</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(48,553)</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(17,894)</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(314,483)</w:t>
            </w:r>
          </w:p>
        </w:tc>
        <w:tc>
          <w:tcPr>
            <w:tcW w:w="0" w:type="dxa"/>
            <w:vAlign w:val="bottom"/>
          </w:tcPr>
          <w:p>
            <w:pPr>
              <w:spacing w:after="0"/>
              <w:rPr>
                <w:sz w:val="1"/>
                <w:szCs w:val="1"/>
                <w:color w:val="auto"/>
              </w:rPr>
            </w:pPr>
          </w:p>
        </w:tc>
      </w:tr>
      <w:tr>
        <w:trPr>
          <w:trHeight w:val="160"/>
        </w:trPr>
        <w:tc>
          <w:tcPr>
            <w:tcW w:w="5520" w:type="dxa"/>
            <w:vAlign w:val="bottom"/>
          </w:tcPr>
          <w:p>
            <w:pPr>
              <w:ind w:left="500"/>
              <w:spacing w:after="0"/>
              <w:rPr>
                <w:sz w:val="20"/>
                <w:szCs w:val="20"/>
                <w:color w:val="auto"/>
              </w:rPr>
            </w:pPr>
            <w:r>
              <w:rPr>
                <w:rFonts w:ascii="Arial" w:cs="Arial" w:eastAsia="Arial" w:hAnsi="Arial"/>
                <w:sz w:val="13"/>
                <w:szCs w:val="13"/>
                <w:color w:val="auto"/>
              </w:rPr>
              <w:t>Total compensation and benefits expense</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(52,719)</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(89,591)</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(103,263)</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(400,171)</w:t>
            </w: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General and administrative</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(6,259)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(8,631)</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(11,297)</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(13,576)</w:t>
            </w: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(586)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(993)</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(1,165)</w:t>
            </w: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Consolidated fund expenses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(15,357)</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(14,013)</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(40,159)</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(24,847)</w:t>
            </w:r>
          </w:p>
        </w:tc>
        <w:tc>
          <w:tcPr>
            <w:tcW w:w="0" w:type="dxa"/>
            <w:vAlign w:val="bottom"/>
          </w:tcPr>
          <w:p>
            <w:pPr>
              <w:spacing w:after="0"/>
              <w:rPr>
                <w:sz w:val="1"/>
                <w:szCs w:val="1"/>
                <w:color w:val="auto"/>
              </w:rPr>
            </w:pPr>
          </w:p>
        </w:tc>
      </w:tr>
      <w:tr>
        <w:trPr>
          <w:trHeight w:val="160"/>
        </w:trPr>
        <w:tc>
          <w:tcPr>
            <w:tcW w:w="5520" w:type="dxa"/>
            <w:vAlign w:val="bottom"/>
          </w:tcPr>
          <w:p>
            <w:pPr>
              <w:ind w:left="500"/>
              <w:spacing w:after="0"/>
              <w:rPr>
                <w:sz w:val="20"/>
                <w:szCs w:val="20"/>
                <w:color w:val="auto"/>
              </w:rPr>
            </w:pPr>
            <w:r>
              <w:rPr>
                <w:rFonts w:ascii="Arial" w:cs="Arial" w:eastAsia="Arial" w:hAnsi="Arial"/>
                <w:sz w:val="13"/>
                <w:szCs w:val="13"/>
                <w:color w:val="auto"/>
              </w:rPr>
              <w:t>Total expenses</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(74,746)</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(112,821)</w:t>
            </w: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(155,712)</w:t>
            </w: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(439,759)</w:t>
            </w:r>
          </w:p>
        </w:tc>
        <w:tc>
          <w:tcPr>
            <w:tcW w:w="0" w:type="dxa"/>
            <w:vAlign w:val="bottom"/>
          </w:tcPr>
          <w:p>
            <w:pPr>
              <w:spacing w:after="0"/>
              <w:rPr>
                <w:sz w:val="1"/>
                <w:szCs w:val="1"/>
                <w:color w:val="auto"/>
              </w:rPr>
            </w:pPr>
          </w:p>
        </w:tc>
      </w:tr>
      <w:tr>
        <w:trPr>
          <w:trHeight w:val="150"/>
        </w:trPr>
        <w:tc>
          <w:tcPr>
            <w:tcW w:w="5520" w:type="dxa"/>
            <w:vAlign w:val="bottom"/>
          </w:tcPr>
          <w:p>
            <w:pPr>
              <w:spacing w:after="0"/>
              <w:rPr>
                <w:sz w:val="20"/>
                <w:szCs w:val="20"/>
                <w:color w:val="auto"/>
              </w:rPr>
            </w:pPr>
            <w:r>
              <w:rPr>
                <w:rFonts w:ascii="Arial" w:cs="Arial" w:eastAsia="Arial" w:hAnsi="Arial"/>
                <w:sz w:val="13"/>
                <w:szCs w:val="13"/>
                <w:color w:val="auto"/>
              </w:rPr>
              <w:t>Other income (loss):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Interest expense</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(57,849)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(43,227)</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(97,040)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(80,103)</w:t>
            </w: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Interest and dividend income</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129,857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94,343</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253,429</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182,787</w:t>
            </w: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Net realized gain (loss) on consolidated funds’ investments</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16,126</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5,149</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(73,099)</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11,193</w:t>
            </w: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Net change in unrealized appreciation (depreciation) on consolidated funds’ investments</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(155,352)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71,221</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(26,993)</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125,089</w:t>
            </w: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Investment income (loss)</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(30,674)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60,540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(18,933)</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173,779</w:t>
            </w: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Other income (loss), net</w:t>
            </w:r>
          </w:p>
        </w:tc>
        <w:tc>
          <w:tcPr>
            <w:tcW w:w="3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0"/>
        </w:trPr>
        <w:tc>
          <w:tcPr>
            <w:tcW w:w="5520" w:type="dxa"/>
            <w:vAlign w:val="bottom"/>
          </w:tcPr>
          <w:p>
            <w:pPr>
              <w:ind w:left="500"/>
              <w:spacing w:after="0"/>
              <w:rPr>
                <w:sz w:val="20"/>
                <w:szCs w:val="20"/>
                <w:color w:val="auto"/>
              </w:rPr>
            </w:pPr>
            <w:r>
              <w:rPr>
                <w:rFonts w:ascii="Arial" w:cs="Arial" w:eastAsia="Arial" w:hAnsi="Arial"/>
                <w:sz w:val="13"/>
                <w:szCs w:val="13"/>
                <w:color w:val="auto"/>
              </w:rPr>
              <w:t>Total other income (loss)</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(97,892)</w:t>
            </w:r>
          </w:p>
        </w:tc>
        <w:tc>
          <w:tcPr>
            <w:tcW w:w="2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188,026</w:t>
            </w:r>
          </w:p>
        </w:tc>
        <w:tc>
          <w:tcPr>
            <w:tcW w:w="1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37,364</w:t>
            </w:r>
          </w:p>
        </w:tc>
        <w:tc>
          <w:tcPr>
            <w:tcW w:w="1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412,764</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20"/>
                <w:szCs w:val="20"/>
                <w:color w:val="auto"/>
              </w:rPr>
            </w:pPr>
            <w:r>
              <w:rPr>
                <w:rFonts w:ascii="Arial" w:cs="Arial" w:eastAsia="Arial" w:hAnsi="Arial"/>
                <w:sz w:val="13"/>
                <w:szCs w:val="13"/>
                <w:color w:val="auto"/>
              </w:rPr>
              <w:t>Income (loss) before income taxes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(56,055)</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225,621</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61,265</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731,172</w:t>
            </w: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Income taxes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(3,716)</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(3,165)</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(7,413)</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(5,435)</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20"/>
                <w:szCs w:val="20"/>
                <w:color w:val="auto"/>
              </w:rPr>
            </w:pPr>
            <w:r>
              <w:rPr>
                <w:rFonts w:ascii="Arial" w:cs="Arial" w:eastAsia="Arial" w:hAnsi="Arial"/>
                <w:sz w:val="13"/>
                <w:szCs w:val="13"/>
                <w:color w:val="auto"/>
              </w:rPr>
              <w:t>Net income (loss)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(59,771)</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222,456</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53,852</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725,737</w:t>
            </w:r>
          </w:p>
        </w:tc>
        <w:tc>
          <w:tcPr>
            <w:tcW w:w="0" w:type="dxa"/>
            <w:vAlign w:val="bottom"/>
          </w:tcPr>
          <w:p>
            <w:pPr>
              <w:spacing w:after="0"/>
              <w:rPr>
                <w:sz w:val="1"/>
                <w:szCs w:val="1"/>
                <w:color w:val="auto"/>
              </w:rPr>
            </w:pPr>
          </w:p>
        </w:tc>
      </w:tr>
      <w:tr>
        <w:trPr>
          <w:trHeight w:val="170"/>
        </w:trPr>
        <w:tc>
          <w:tcPr>
            <w:tcW w:w="5520" w:type="dxa"/>
            <w:vAlign w:val="bottom"/>
          </w:tcPr>
          <w:p>
            <w:pPr>
              <w:spacing w:after="0"/>
              <w:rPr>
                <w:sz w:val="20"/>
                <w:szCs w:val="20"/>
                <w:color w:val="auto"/>
              </w:rPr>
            </w:pPr>
            <w:r>
              <w:rPr>
                <w:rFonts w:ascii="Arial" w:cs="Arial" w:eastAsia="Arial" w:hAnsi="Arial"/>
                <w:sz w:val="13"/>
                <w:szCs w:val="13"/>
                <w:color w:val="auto"/>
              </w:rPr>
              <w:t>Less: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Net (income) loss attributable to non-controlling interests in consolidated funds</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32,093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(60,586)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(66,850)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(111,891)</w:t>
            </w:r>
          </w:p>
        </w:tc>
        <w:tc>
          <w:tcPr>
            <w:tcW w:w="0" w:type="dxa"/>
            <w:vAlign w:val="bottom"/>
          </w:tcPr>
          <w:p>
            <w:pPr>
              <w:spacing w:after="0"/>
              <w:rPr>
                <w:sz w:val="1"/>
                <w:szCs w:val="1"/>
                <w:color w:val="auto"/>
              </w:rPr>
            </w:pPr>
          </w:p>
        </w:tc>
      </w:tr>
      <w:tr>
        <w:trPr>
          <w:trHeight w:val="170"/>
        </w:trPr>
        <w:tc>
          <w:tcPr>
            <w:tcW w:w="5520" w:type="dxa"/>
            <w:vAlign w:val="bottom"/>
          </w:tcPr>
          <w:p>
            <w:pPr>
              <w:ind w:left="260"/>
              <w:spacing w:after="0"/>
              <w:rPr>
                <w:sz w:val="20"/>
                <w:szCs w:val="20"/>
                <w:color w:val="auto"/>
              </w:rPr>
            </w:pPr>
            <w:r>
              <w:rPr>
                <w:rFonts w:ascii="Arial" w:cs="Arial" w:eastAsia="Arial" w:hAnsi="Arial"/>
                <w:sz w:val="13"/>
                <w:szCs w:val="13"/>
                <w:color w:val="auto"/>
              </w:rPr>
              <w:t>Net (income) loss attributable to non-controlling interests in consolidated subsidiaries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13,151</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(52,958)</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16,153</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(219,386)</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20"/>
                <w:szCs w:val="20"/>
                <w:color w:val="auto"/>
              </w:rPr>
            </w:pPr>
            <w:r>
              <w:rPr>
                <w:rFonts w:ascii="Arial" w:cs="Arial" w:eastAsia="Arial" w:hAnsi="Arial"/>
                <w:sz w:val="13"/>
                <w:szCs w:val="13"/>
                <w:color w:val="auto"/>
              </w:rPr>
              <w:t>Net income (loss) attributable to Oaktree Capital Group, LLC</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(14,527)</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108,912</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3,155</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394,460</w:t>
            </w:r>
          </w:p>
        </w:tc>
        <w:tc>
          <w:tcPr>
            <w:tcW w:w="0" w:type="dxa"/>
            <w:vAlign w:val="bottom"/>
          </w:tcPr>
          <w:p>
            <w:pPr>
              <w:spacing w:after="0"/>
              <w:rPr>
                <w:sz w:val="1"/>
                <w:szCs w:val="1"/>
                <w:color w:val="auto"/>
              </w:rPr>
            </w:pPr>
          </w:p>
        </w:tc>
      </w:tr>
      <w:tr>
        <w:trPr>
          <w:trHeight w:val="171"/>
        </w:trPr>
        <w:tc>
          <w:tcPr>
            <w:tcW w:w="5520" w:type="dxa"/>
            <w:vAlign w:val="bottom"/>
          </w:tcPr>
          <w:p>
            <w:pPr>
              <w:ind w:left="260"/>
              <w:spacing w:after="0"/>
              <w:rPr>
                <w:sz w:val="20"/>
                <w:szCs w:val="20"/>
                <w:color w:val="auto"/>
              </w:rPr>
            </w:pPr>
            <w:r>
              <w:rPr>
                <w:rFonts w:ascii="Arial" w:cs="Arial" w:eastAsia="Arial" w:hAnsi="Arial"/>
                <w:sz w:val="13"/>
                <w:szCs w:val="13"/>
                <w:color w:val="auto"/>
              </w:rPr>
              <w:t>Net income attributable to preferred unitholders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(6,829)</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(6,829)</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(13,658)</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(13,658)</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3"/>
                <w:szCs w:val="13"/>
                <w:color w:val="auto"/>
              </w:rPr>
              <w:t>Net income (loss) attributable to Oaktree Capital Group, LLC Class A unitholders</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(21,356)</w:t>
            </w: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102,083</w:t>
            </w:r>
          </w:p>
        </w:tc>
        <w:tc>
          <w:tcPr>
            <w:tcW w:w="1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(10,503)</w:t>
            </w:r>
          </w:p>
        </w:tc>
        <w:tc>
          <w:tcPr>
            <w:tcW w:w="180" w:type="dxa"/>
            <w:vAlign w:val="bottom"/>
          </w:tcPr>
          <w:p>
            <w:pPr>
              <w:spacing w:after="0"/>
              <w:rPr>
                <w:sz w:val="14"/>
                <w:szCs w:val="14"/>
                <w:color w:val="auto"/>
              </w:rPr>
            </w:pP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380,802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520" w:type="dxa"/>
            <w:vAlign w:val="bottom"/>
          </w:tcPr>
          <w:p>
            <w:pPr>
              <w:spacing w:after="0"/>
              <w:rPr>
                <w:sz w:val="20"/>
                <w:szCs w:val="20"/>
                <w:color w:val="auto"/>
              </w:rPr>
            </w:pPr>
            <w:r>
              <w:rPr>
                <w:rFonts w:ascii="Arial" w:cs="Arial" w:eastAsia="Arial" w:hAnsi="Arial"/>
                <w:sz w:val="13"/>
                <w:szCs w:val="13"/>
                <w:color w:val="auto"/>
              </w:rPr>
              <w:t>Distributions declared per Class A unit</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0.16</w:t>
            </w:r>
          </w:p>
        </w:tc>
        <w:tc>
          <w:tcPr>
            <w:tcW w:w="200" w:type="dxa"/>
            <w:vAlign w:val="bottom"/>
          </w:tcPr>
          <w:p>
            <w:pPr>
              <w:spacing w:after="0"/>
              <w:rPr>
                <w:sz w:val="24"/>
                <w:szCs w:val="2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c>
          <w:tcPr>
            <w:tcW w:w="180" w:type="dxa"/>
            <w:vAlign w:val="bottom"/>
          </w:tcPr>
          <w:p>
            <w:pPr>
              <w:spacing w:after="0"/>
              <w:rPr>
                <w:sz w:val="24"/>
                <w:szCs w:val="2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180" w:type="dxa"/>
            <w:vAlign w:val="bottom"/>
          </w:tcPr>
          <w:p>
            <w:pPr>
              <w:spacing w:after="0"/>
              <w:rPr>
                <w:sz w:val="24"/>
                <w:szCs w:val="24"/>
                <w:color w:val="auto"/>
              </w:rPr>
            </w:pP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3"/>
                <w:szCs w:val="13"/>
                <w:color w:val="auto"/>
              </w:rPr>
              <w:t>Net income (loss) per Class A unit (basic and diluted):</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20" w:type="dxa"/>
            <w:vAlign w:val="bottom"/>
            <w:vMerge w:val="continue"/>
          </w:tcPr>
          <w:p>
            <w:pPr>
              <w:spacing w:after="0"/>
              <w:rPr>
                <w:sz w:val="11"/>
                <w:szCs w:val="11"/>
                <w:color w:val="auto"/>
              </w:rPr>
            </w:pPr>
          </w:p>
        </w:tc>
        <w:tc>
          <w:tcPr>
            <w:tcW w:w="300" w:type="dxa"/>
            <w:vAlign w:val="bottom"/>
            <w:vMerge w:val="restart"/>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(0.21)</w:t>
            </w:r>
          </w:p>
        </w:tc>
        <w:tc>
          <w:tcPr>
            <w:tcW w:w="200" w:type="dxa"/>
            <w:vAlign w:val="bottom"/>
          </w:tcPr>
          <w:p>
            <w:pPr>
              <w:spacing w:after="0"/>
              <w:rPr>
                <w:sz w:val="11"/>
                <w:szCs w:val="11"/>
                <w:color w:val="auto"/>
              </w:rPr>
            </w:pPr>
          </w:p>
        </w:tc>
        <w:tc>
          <w:tcPr>
            <w:tcW w:w="300" w:type="dxa"/>
            <w:vAlign w:val="bottom"/>
            <w:vMerge w:val="restart"/>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1.03</w:t>
            </w:r>
          </w:p>
        </w:tc>
        <w:tc>
          <w:tcPr>
            <w:tcW w:w="180" w:type="dxa"/>
            <w:vAlign w:val="bottom"/>
          </w:tcPr>
          <w:p>
            <w:pPr>
              <w:spacing w:after="0"/>
              <w:rPr>
                <w:sz w:val="11"/>
                <w:szCs w:val="11"/>
                <w:color w:val="auto"/>
              </w:rPr>
            </w:pPr>
          </w:p>
        </w:tc>
        <w:tc>
          <w:tcPr>
            <w:tcW w:w="320" w:type="dxa"/>
            <w:vAlign w:val="bottom"/>
            <w:vMerge w:val="restart"/>
          </w:tcPr>
          <w:p>
            <w:pPr>
              <w:jc w:val="right"/>
              <w:ind w:right="176"/>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(0.10)</w:t>
            </w:r>
          </w:p>
        </w:tc>
        <w:tc>
          <w:tcPr>
            <w:tcW w:w="180" w:type="dxa"/>
            <w:vAlign w:val="bottom"/>
          </w:tcPr>
          <w:p>
            <w:pPr>
              <w:spacing w:after="0"/>
              <w:rPr>
                <w:sz w:val="11"/>
                <w:szCs w:val="11"/>
                <w:color w:val="auto"/>
              </w:rPr>
            </w:pPr>
          </w:p>
        </w:tc>
        <w:tc>
          <w:tcPr>
            <w:tcW w:w="320" w:type="dxa"/>
            <w:vAlign w:val="bottom"/>
            <w:vMerge w:val="restart"/>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77"/>
        </w:trPr>
        <w:tc>
          <w:tcPr>
            <w:tcW w:w="5520" w:type="dxa"/>
            <w:vAlign w:val="bottom"/>
          </w:tcPr>
          <w:p>
            <w:pPr>
              <w:ind w:left="260"/>
              <w:spacing w:after="0"/>
              <w:rPr>
                <w:sz w:val="20"/>
                <w:szCs w:val="20"/>
                <w:color w:val="auto"/>
              </w:rPr>
            </w:pPr>
            <w:r>
              <w:rPr>
                <w:rFonts w:ascii="Arial" w:cs="Arial" w:eastAsia="Arial" w:hAnsi="Arial"/>
                <w:sz w:val="13"/>
                <w:szCs w:val="13"/>
                <w:color w:val="auto"/>
              </w:rPr>
              <w:t>Net income (loss) per Class A unit</w:t>
            </w:r>
          </w:p>
        </w:tc>
        <w:tc>
          <w:tcPr>
            <w:tcW w:w="30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ind w:left="260"/>
              <w:spacing w:after="0"/>
              <w:rPr>
                <w:sz w:val="20"/>
                <w:szCs w:val="20"/>
                <w:color w:val="auto"/>
              </w:rPr>
            </w:pPr>
            <w:r>
              <w:rPr>
                <w:rFonts w:ascii="Arial" w:cs="Arial" w:eastAsia="Arial" w:hAnsi="Arial"/>
                <w:sz w:val="13"/>
                <w:szCs w:val="13"/>
                <w:color w:val="auto"/>
              </w:rPr>
              <w:t>Weighted average number of Class A units outstanding</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102,820</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99,137</w:t>
            </w: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100,989</w:t>
            </w: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98,923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Please 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0"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Comprehensive Income (Loss)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500" w:type="dxa"/>
            <w:vAlign w:val="bottom"/>
          </w:tcPr>
          <w:p>
            <w:pPr>
              <w:spacing w:after="0"/>
              <w:rPr>
                <w:sz w:val="12"/>
                <w:szCs w:val="12"/>
                <w:color w:val="auto"/>
              </w:rPr>
            </w:pPr>
          </w:p>
        </w:tc>
        <w:tc>
          <w:tcPr>
            <w:tcW w:w="232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0"/>
                <w:szCs w:val="10"/>
                <w:b w:val="1"/>
                <w:bCs w:val="1"/>
                <w:color w:val="auto"/>
              </w:rPr>
              <w:t>Three months ended June 30,</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4"/>
          </w:tcPr>
          <w:p>
            <w:pPr>
              <w:jc w:val="right"/>
              <w:ind w:right="658"/>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150"/>
        </w:trPr>
        <w:tc>
          <w:tcPr>
            <w:tcW w:w="550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0"/>
                <w:szCs w:val="10"/>
                <w:b w:val="1"/>
                <w:bCs w:val="1"/>
                <w:color w:val="auto"/>
              </w:rPr>
              <w:t>2022</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8"/>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352"/>
        </w:trPr>
        <w:tc>
          <w:tcPr>
            <w:tcW w:w="5500" w:type="dxa"/>
            <w:vAlign w:val="bottom"/>
          </w:tcPr>
          <w:p>
            <w:pPr>
              <w:spacing w:after="0"/>
              <w:rPr>
                <w:sz w:val="20"/>
                <w:szCs w:val="20"/>
                <w:color w:val="auto"/>
              </w:rPr>
            </w:pPr>
            <w:r>
              <w:rPr>
                <w:rFonts w:ascii="Arial" w:cs="Arial" w:eastAsia="Arial" w:hAnsi="Arial"/>
                <w:sz w:val="13"/>
                <w:szCs w:val="13"/>
                <w:color w:val="auto"/>
              </w:rPr>
              <w:t>Net income (loss)</w:t>
            </w:r>
          </w:p>
        </w:tc>
        <w:tc>
          <w:tcPr>
            <w:tcW w:w="800" w:type="dxa"/>
            <w:vAlign w:val="bottom"/>
            <w:tcBorders>
              <w:bottom w:val="single" w:sz="8" w:color="auto"/>
            </w:tcBorders>
          </w:tcPr>
          <w:p>
            <w:pPr>
              <w:jc w:val="right"/>
              <w:ind w:right="663"/>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(59,771)</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ind w:right="661"/>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222,456</w:t>
            </w:r>
          </w:p>
        </w:tc>
        <w:tc>
          <w:tcPr>
            <w:tcW w:w="180" w:type="dxa"/>
            <w:vAlign w:val="bottom"/>
          </w:tcPr>
          <w:p>
            <w:pPr>
              <w:spacing w:after="0"/>
              <w:rPr>
                <w:sz w:val="24"/>
                <w:szCs w:val="24"/>
                <w:color w:val="auto"/>
              </w:rPr>
            </w:pP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53,852</w:t>
            </w:r>
          </w:p>
        </w:tc>
        <w:tc>
          <w:tcPr>
            <w:tcW w:w="200" w:type="dxa"/>
            <w:vAlign w:val="bottom"/>
          </w:tcPr>
          <w:p>
            <w:pPr>
              <w:spacing w:after="0"/>
              <w:rPr>
                <w:sz w:val="24"/>
                <w:szCs w:val="2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725,737</w:t>
            </w:r>
          </w:p>
        </w:tc>
        <w:tc>
          <w:tcPr>
            <w:tcW w:w="0" w:type="dxa"/>
            <w:vAlign w:val="bottom"/>
          </w:tcPr>
          <w:p>
            <w:pPr>
              <w:spacing w:after="0"/>
              <w:rPr>
                <w:sz w:val="1"/>
                <w:szCs w:val="1"/>
                <w:color w:val="auto"/>
              </w:rPr>
            </w:pPr>
          </w:p>
        </w:tc>
      </w:tr>
      <w:tr>
        <w:trPr>
          <w:trHeight w:val="150"/>
        </w:trPr>
        <w:tc>
          <w:tcPr>
            <w:tcW w:w="5500" w:type="dxa"/>
            <w:vAlign w:val="bottom"/>
          </w:tcPr>
          <w:p>
            <w:pPr>
              <w:spacing w:after="0"/>
              <w:rPr>
                <w:sz w:val="20"/>
                <w:szCs w:val="20"/>
                <w:color w:val="auto"/>
              </w:rPr>
            </w:pPr>
            <w:r>
              <w:rPr>
                <w:rFonts w:ascii="Arial" w:cs="Arial" w:eastAsia="Arial" w:hAnsi="Arial"/>
                <w:sz w:val="13"/>
                <w:szCs w:val="13"/>
                <w:color w:val="auto"/>
              </w:rPr>
              <w:t>Other comprehensive income (loss), net of tax:</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500" w:type="dxa"/>
            <w:vAlign w:val="bottom"/>
          </w:tcPr>
          <w:p>
            <w:pPr>
              <w:ind w:left="260"/>
              <w:spacing w:after="0"/>
              <w:rPr>
                <w:sz w:val="20"/>
                <w:szCs w:val="20"/>
                <w:color w:val="auto"/>
              </w:rPr>
            </w:pPr>
            <w:r>
              <w:rPr>
                <w:rFonts w:ascii="Arial" w:cs="Arial" w:eastAsia="Arial" w:hAnsi="Arial"/>
                <w:sz w:val="13"/>
                <w:szCs w:val="13"/>
                <w:color w:val="auto"/>
              </w:rPr>
              <w:t>Foreign currency translation adjustments</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9,389</w:t>
            </w: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(7,413)</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8,796</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(16,339)</w:t>
            </w:r>
          </w:p>
        </w:tc>
        <w:tc>
          <w:tcPr>
            <w:tcW w:w="0" w:type="dxa"/>
            <w:vAlign w:val="bottom"/>
          </w:tcPr>
          <w:p>
            <w:pPr>
              <w:spacing w:after="0"/>
              <w:rPr>
                <w:sz w:val="1"/>
                <w:szCs w:val="1"/>
                <w:color w:val="auto"/>
              </w:rPr>
            </w:pPr>
          </w:p>
        </w:tc>
      </w:tr>
      <w:tr>
        <w:trPr>
          <w:trHeight w:val="160"/>
        </w:trPr>
        <w:tc>
          <w:tcPr>
            <w:tcW w:w="5500" w:type="dxa"/>
            <w:vAlign w:val="bottom"/>
          </w:tcPr>
          <w:p>
            <w:pPr>
              <w:ind w:left="500"/>
              <w:spacing w:after="0"/>
              <w:rPr>
                <w:sz w:val="20"/>
                <w:szCs w:val="20"/>
                <w:color w:val="auto"/>
              </w:rPr>
            </w:pPr>
            <w:r>
              <w:rPr>
                <w:rFonts w:ascii="Arial" w:cs="Arial" w:eastAsia="Arial" w:hAnsi="Arial"/>
                <w:sz w:val="13"/>
                <w:szCs w:val="13"/>
                <w:color w:val="auto"/>
              </w:rPr>
              <w:t>Other comprehensive income (loss), net of tax</w:t>
            </w: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9,389</w:t>
            </w:r>
          </w:p>
        </w:tc>
        <w:tc>
          <w:tcPr>
            <w:tcW w:w="2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(7,413)</w:t>
            </w: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8,796</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(16,339)</w:t>
            </w:r>
          </w:p>
        </w:tc>
        <w:tc>
          <w:tcPr>
            <w:tcW w:w="0" w:type="dxa"/>
            <w:vAlign w:val="bottom"/>
          </w:tcPr>
          <w:p>
            <w:pPr>
              <w:spacing w:after="0"/>
              <w:rPr>
                <w:sz w:val="1"/>
                <w:szCs w:val="1"/>
                <w:color w:val="auto"/>
              </w:rPr>
            </w:pPr>
          </w:p>
        </w:tc>
      </w:tr>
      <w:tr>
        <w:trPr>
          <w:trHeight w:val="160"/>
        </w:trPr>
        <w:tc>
          <w:tcPr>
            <w:tcW w:w="5500" w:type="dxa"/>
            <w:vAlign w:val="bottom"/>
          </w:tcPr>
          <w:p>
            <w:pPr>
              <w:spacing w:after="0"/>
              <w:rPr>
                <w:sz w:val="20"/>
                <w:szCs w:val="20"/>
                <w:color w:val="auto"/>
              </w:rPr>
            </w:pPr>
            <w:r>
              <w:rPr>
                <w:rFonts w:ascii="Arial" w:cs="Arial" w:eastAsia="Arial" w:hAnsi="Arial"/>
                <w:sz w:val="13"/>
                <w:szCs w:val="13"/>
                <w:color w:val="auto"/>
              </w:rPr>
              <w:t>Total comprehensive income (loss)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(50,382)</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215,043</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62,648</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709,398</w:t>
            </w:r>
          </w:p>
        </w:tc>
        <w:tc>
          <w:tcPr>
            <w:tcW w:w="0" w:type="dxa"/>
            <w:vAlign w:val="bottom"/>
          </w:tcPr>
          <w:p>
            <w:pPr>
              <w:spacing w:after="0"/>
              <w:rPr>
                <w:sz w:val="1"/>
                <w:szCs w:val="1"/>
                <w:color w:val="auto"/>
              </w:rPr>
            </w:pPr>
          </w:p>
        </w:tc>
      </w:tr>
      <w:tr>
        <w:trPr>
          <w:trHeight w:val="170"/>
        </w:trPr>
        <w:tc>
          <w:tcPr>
            <w:tcW w:w="5500" w:type="dxa"/>
            <w:vAlign w:val="bottom"/>
          </w:tcPr>
          <w:p>
            <w:pPr>
              <w:spacing w:after="0"/>
              <w:rPr>
                <w:sz w:val="20"/>
                <w:szCs w:val="20"/>
                <w:color w:val="auto"/>
              </w:rPr>
            </w:pPr>
            <w:r>
              <w:rPr>
                <w:rFonts w:ascii="Arial" w:cs="Arial" w:eastAsia="Arial" w:hAnsi="Arial"/>
                <w:sz w:val="13"/>
                <w:szCs w:val="13"/>
                <w:color w:val="auto"/>
              </w:rPr>
              <w:t>Less:</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00" w:type="dxa"/>
            <w:vAlign w:val="bottom"/>
          </w:tcPr>
          <w:p>
            <w:pPr>
              <w:ind w:left="260"/>
              <w:spacing w:after="0"/>
              <w:rPr>
                <w:sz w:val="20"/>
                <w:szCs w:val="20"/>
                <w:color w:val="auto"/>
              </w:rPr>
            </w:pPr>
            <w:r>
              <w:rPr>
                <w:rFonts w:ascii="Arial" w:cs="Arial" w:eastAsia="Arial" w:hAnsi="Arial"/>
                <w:sz w:val="13"/>
                <w:szCs w:val="13"/>
                <w:color w:val="auto"/>
              </w:rPr>
              <w:t>Comprehensive (income) loss attributable to non-controlling interests in consolidated funds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32,093</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(60,586)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(66,850)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(111,891)</w:t>
            </w:r>
          </w:p>
        </w:tc>
        <w:tc>
          <w:tcPr>
            <w:tcW w:w="0" w:type="dxa"/>
            <w:vAlign w:val="bottom"/>
          </w:tcPr>
          <w:p>
            <w:pPr>
              <w:spacing w:after="0"/>
              <w:rPr>
                <w:sz w:val="1"/>
                <w:szCs w:val="1"/>
                <w:color w:val="auto"/>
              </w:rPr>
            </w:pPr>
          </w:p>
        </w:tc>
      </w:tr>
      <w:tr>
        <w:trPr>
          <w:trHeight w:val="130"/>
        </w:trPr>
        <w:tc>
          <w:tcPr>
            <w:tcW w:w="5500" w:type="dxa"/>
            <w:vAlign w:val="bottom"/>
          </w:tcPr>
          <w:p>
            <w:pPr>
              <w:ind w:left="260"/>
              <w:spacing w:after="0" w:line="130" w:lineRule="exact"/>
              <w:rPr>
                <w:sz w:val="20"/>
                <w:szCs w:val="20"/>
                <w:color w:val="auto"/>
              </w:rPr>
            </w:pPr>
            <w:r>
              <w:rPr>
                <w:rFonts w:ascii="Arial" w:cs="Arial" w:eastAsia="Arial" w:hAnsi="Arial"/>
                <w:sz w:val="13"/>
                <w:szCs w:val="13"/>
                <w:color w:val="auto"/>
              </w:rPr>
              <w:t>Comprehensive (income) loss attributable to non-controlling interests in consolidated</w:t>
            </w:r>
          </w:p>
        </w:tc>
        <w:tc>
          <w:tcPr>
            <w:tcW w:w="8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9,589</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(50,139)</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12,817</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(213,833)</w:t>
            </w:r>
          </w:p>
        </w:tc>
        <w:tc>
          <w:tcPr>
            <w:tcW w:w="0" w:type="dxa"/>
            <w:vAlign w:val="bottom"/>
          </w:tcPr>
          <w:p>
            <w:pPr>
              <w:spacing w:after="0"/>
              <w:rPr>
                <w:sz w:val="1"/>
                <w:szCs w:val="1"/>
                <w:color w:val="auto"/>
              </w:rPr>
            </w:pPr>
          </w:p>
        </w:tc>
      </w:tr>
      <w:tr>
        <w:trPr>
          <w:trHeight w:val="167"/>
        </w:trPr>
        <w:tc>
          <w:tcPr>
            <w:tcW w:w="5500" w:type="dxa"/>
            <w:vAlign w:val="bottom"/>
          </w:tcPr>
          <w:p>
            <w:pPr>
              <w:ind w:left="380"/>
              <w:spacing w:after="0"/>
              <w:rPr>
                <w:sz w:val="20"/>
                <w:szCs w:val="20"/>
                <w:color w:val="auto"/>
              </w:rPr>
            </w:pPr>
            <w:r>
              <w:rPr>
                <w:rFonts w:ascii="Arial" w:cs="Arial" w:eastAsia="Arial" w:hAnsi="Arial"/>
                <w:sz w:val="13"/>
                <w:szCs w:val="13"/>
                <w:color w:val="auto"/>
              </w:rPr>
              <w:t>subsidiaries</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500" w:type="dxa"/>
            <w:vAlign w:val="bottom"/>
          </w:tcPr>
          <w:p>
            <w:pPr>
              <w:spacing w:after="0"/>
              <w:rPr>
                <w:sz w:val="20"/>
                <w:szCs w:val="20"/>
                <w:color w:val="auto"/>
              </w:rPr>
            </w:pPr>
            <w:r>
              <w:rPr>
                <w:rFonts w:ascii="Arial" w:cs="Arial" w:eastAsia="Arial" w:hAnsi="Arial"/>
                <w:sz w:val="13"/>
                <w:szCs w:val="13"/>
                <w:color w:val="auto"/>
              </w:rPr>
              <w:t>Comprehensive income (loss) attributable to OCG</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(8,700)</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104,318</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8,615</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383,674</w:t>
            </w:r>
          </w:p>
        </w:tc>
        <w:tc>
          <w:tcPr>
            <w:tcW w:w="0" w:type="dxa"/>
            <w:vAlign w:val="bottom"/>
          </w:tcPr>
          <w:p>
            <w:pPr>
              <w:spacing w:after="0"/>
              <w:rPr>
                <w:sz w:val="1"/>
                <w:szCs w:val="1"/>
                <w:color w:val="auto"/>
              </w:rPr>
            </w:pPr>
          </w:p>
        </w:tc>
      </w:tr>
      <w:tr>
        <w:trPr>
          <w:trHeight w:val="171"/>
        </w:trPr>
        <w:tc>
          <w:tcPr>
            <w:tcW w:w="5500" w:type="dxa"/>
            <w:vAlign w:val="bottom"/>
          </w:tcPr>
          <w:p>
            <w:pPr>
              <w:ind w:left="260"/>
              <w:spacing w:after="0"/>
              <w:rPr>
                <w:sz w:val="20"/>
                <w:szCs w:val="20"/>
                <w:color w:val="auto"/>
              </w:rPr>
            </w:pPr>
            <w:r>
              <w:rPr>
                <w:rFonts w:ascii="Arial" w:cs="Arial" w:eastAsia="Arial" w:hAnsi="Arial"/>
                <w:sz w:val="13"/>
                <w:szCs w:val="13"/>
                <w:color w:val="auto"/>
              </w:rPr>
              <w:t>Comprehensive income attributable to preferred unitholders</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(6,829)</w:t>
            </w: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(6,829)</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(13,658)</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(13,658)</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3"/>
                <w:szCs w:val="13"/>
                <w:color w:val="auto"/>
              </w:rPr>
              <w:t>Comprehensive income (loss) attributable to OCG Class A unitholders</w:t>
            </w:r>
          </w:p>
        </w:tc>
        <w:tc>
          <w:tcPr>
            <w:tcW w:w="800" w:type="dxa"/>
            <w:vAlign w:val="bottom"/>
            <w:tcBorders>
              <w:bottom w:val="single" w:sz="8" w:color="auto"/>
            </w:tcBorders>
          </w:tcPr>
          <w:p>
            <w:pPr>
              <w:jc w:val="right"/>
              <w:ind w:right="663"/>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(15,529)</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661"/>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97,489</w:t>
            </w:r>
          </w:p>
        </w:tc>
        <w:tc>
          <w:tcPr>
            <w:tcW w:w="180" w:type="dxa"/>
            <w:vAlign w:val="bottom"/>
          </w:tcPr>
          <w:p>
            <w:pPr>
              <w:spacing w:after="0"/>
              <w:rPr>
                <w:sz w:val="14"/>
                <w:szCs w:val="14"/>
                <w:color w:val="auto"/>
              </w:rPr>
            </w:pP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(5,043)</w:t>
            </w: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370,016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Please 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0"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0"/>
                <w:szCs w:val="10"/>
                <w:b w:val="1"/>
                <w:bCs w:val="1"/>
                <w:color w:val="auto"/>
              </w:rPr>
              <w:t>Six months ended June 30,</w:t>
            </w:r>
          </w:p>
        </w:tc>
      </w:tr>
      <w:tr>
        <w:trPr>
          <w:trHeight w:val="147"/>
        </w:trPr>
        <w:tc>
          <w:tcPr>
            <w:tcW w:w="8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7"/>
              <w:spacing w:after="0"/>
              <w:rPr>
                <w:sz w:val="20"/>
                <w:szCs w:val="20"/>
                <w:color w:val="auto"/>
              </w:rPr>
            </w:pPr>
            <w:r>
              <w:rPr>
                <w:rFonts w:ascii="Arial" w:cs="Arial" w:eastAsia="Arial" w:hAnsi="Arial"/>
                <w:sz w:val="10"/>
                <w:szCs w:val="10"/>
                <w:b w:val="1"/>
                <w:bCs w:val="1"/>
                <w:color w:val="auto"/>
              </w:rPr>
              <w:t>2022</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7"/>
              <w:spacing w:after="0"/>
              <w:rPr>
                <w:sz w:val="20"/>
                <w:szCs w:val="20"/>
                <w:color w:val="auto"/>
              </w:rPr>
            </w:pPr>
            <w:r>
              <w:rPr>
                <w:rFonts w:ascii="Arial" w:cs="Arial" w:eastAsia="Arial" w:hAnsi="Arial"/>
                <w:sz w:val="10"/>
                <w:szCs w:val="10"/>
                <w:b w:val="1"/>
                <w:bCs w:val="1"/>
                <w:color w:val="auto"/>
              </w:rPr>
              <w:t>2021</w:t>
            </w:r>
          </w:p>
        </w:tc>
      </w:tr>
      <w:tr>
        <w:trPr>
          <w:trHeight w:val="164"/>
        </w:trPr>
        <w:tc>
          <w:tcPr>
            <w:tcW w:w="8500" w:type="dxa"/>
            <w:vAlign w:val="bottom"/>
          </w:tcPr>
          <w:p>
            <w:pPr>
              <w:spacing w:after="0"/>
              <w:rPr>
                <w:sz w:val="20"/>
                <w:szCs w:val="20"/>
                <w:color w:val="auto"/>
              </w:rPr>
            </w:pPr>
            <w:r>
              <w:rPr>
                <w:rFonts w:ascii="Arial" w:cs="Arial" w:eastAsia="Arial" w:hAnsi="Arial"/>
                <w:sz w:val="13"/>
                <w:szCs w:val="13"/>
                <w:color w:val="auto"/>
              </w:rPr>
              <w:t>Cash flows from operating activities: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8500" w:type="dxa"/>
            <w:vAlign w:val="bottom"/>
          </w:tcPr>
          <w:p>
            <w:pPr>
              <w:ind w:left="260"/>
              <w:spacing w:after="0"/>
              <w:rPr>
                <w:sz w:val="20"/>
                <w:szCs w:val="20"/>
                <w:color w:val="auto"/>
              </w:rPr>
            </w:pPr>
            <w:r>
              <w:rPr>
                <w:rFonts w:ascii="Arial" w:cs="Arial" w:eastAsia="Arial" w:hAnsi="Arial"/>
                <w:sz w:val="13"/>
                <w:szCs w:val="13"/>
                <w:color w:val="auto"/>
              </w:rPr>
              <w:t>Net income</w:t>
            </w: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53,852</w:t>
            </w:r>
          </w:p>
        </w:tc>
        <w:tc>
          <w:tcPr>
            <w:tcW w:w="2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725,737</w:t>
            </w:r>
          </w:p>
        </w:tc>
      </w:tr>
      <w:tr>
        <w:trPr>
          <w:trHeight w:val="170"/>
        </w:trPr>
        <w:tc>
          <w:tcPr>
            <w:tcW w:w="8500" w:type="dxa"/>
            <w:vAlign w:val="bottom"/>
          </w:tcPr>
          <w:p>
            <w:pPr>
              <w:ind w:left="260"/>
              <w:spacing w:after="0"/>
              <w:rPr>
                <w:sz w:val="20"/>
                <w:szCs w:val="20"/>
                <w:color w:val="auto"/>
              </w:rPr>
            </w:pPr>
            <w:r>
              <w:rPr>
                <w:rFonts w:ascii="Arial" w:cs="Arial" w:eastAsia="Arial" w:hAnsi="Arial"/>
                <w:sz w:val="13"/>
                <w:szCs w:val="13"/>
                <w:color w:val="auto"/>
              </w:rPr>
              <w:t>Adjustments to reconcile net income (loss) to net cash used in operating activities: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Investment (income) loss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18,933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(173,779)</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1,165</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Equity-based compensation</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3,450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5,965</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Net realized and unrealized (gain) loss from consolidated funds’ investments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100,092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(136,282)</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Accretion of original issue and market discount of consolidated funds’ investments, net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(15,584)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(1,816)</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Income distributions from corporate investments in funds and companies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48,474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116,175</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SPAC deconsolidation gain and other non-cash items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(52,559)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(72,347)</w:t>
            </w:r>
          </w:p>
        </w:tc>
      </w:tr>
      <w:tr>
        <w:trPr>
          <w:trHeight w:val="170"/>
        </w:trPr>
        <w:tc>
          <w:tcPr>
            <w:tcW w:w="8500" w:type="dxa"/>
            <w:vAlign w:val="bottom"/>
          </w:tcPr>
          <w:p>
            <w:pPr>
              <w:ind w:left="260"/>
              <w:spacing w:after="0"/>
              <w:rPr>
                <w:sz w:val="20"/>
                <w:szCs w:val="20"/>
                <w:color w:val="auto"/>
              </w:rPr>
            </w:pPr>
            <w:r>
              <w:rPr>
                <w:rFonts w:ascii="Arial" w:cs="Arial" w:eastAsia="Arial" w:hAnsi="Arial"/>
                <w:sz w:val="13"/>
                <w:szCs w:val="13"/>
                <w:color w:val="auto"/>
              </w:rPr>
              <w:t>Cash flows due to changes in operating assets and liabilities: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Decrease in deferred tax assets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505</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Increase in other assets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(4,794)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(809)</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(Increase) decrease in net due from affiliates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300,010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(37,487)</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Increase (decrease) in accrued compensation expense</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(110,831)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19,202</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Decrease in accounts payable, accrued expenses and other liabilities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(2,530)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(3,968)</w:t>
            </w:r>
          </w:p>
        </w:tc>
      </w:tr>
      <w:tr>
        <w:trPr>
          <w:trHeight w:val="170"/>
        </w:trPr>
        <w:tc>
          <w:tcPr>
            <w:tcW w:w="8500" w:type="dxa"/>
            <w:vAlign w:val="bottom"/>
          </w:tcPr>
          <w:p>
            <w:pPr>
              <w:ind w:left="260"/>
              <w:spacing w:after="0"/>
              <w:rPr>
                <w:sz w:val="20"/>
                <w:szCs w:val="20"/>
                <w:color w:val="auto"/>
              </w:rPr>
            </w:pPr>
            <w:r>
              <w:rPr>
                <w:rFonts w:ascii="Arial" w:cs="Arial" w:eastAsia="Arial" w:hAnsi="Arial"/>
                <w:sz w:val="13"/>
                <w:szCs w:val="13"/>
                <w:i w:val="1"/>
                <w:iCs w:val="1"/>
                <w:color w:val="auto"/>
              </w:rPr>
              <w:t>Cash flows due to changes in operating assets and liabilities of consolidated funds: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Increase in dividends and interest receivable</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(7,607)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(22,526)</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Increase in due from brokers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(57,390)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(2,771)</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(Increase) decrease in receivables for securities sold</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25,325</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(67,461)</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Decrease in other assets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3,621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24,528</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Increase (decrease) in accounts payable, accrued expenses and other liabilities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(11,923)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26,189</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Increase in payables for securities purchased</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24,203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314,646</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Purchases of securities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(5,113,662)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(4,367,986)</w:t>
            </w:r>
          </w:p>
        </w:tc>
      </w:tr>
      <w:tr>
        <w:trPr>
          <w:trHeight w:val="170"/>
        </w:trPr>
        <w:tc>
          <w:tcPr>
            <w:tcW w:w="8500" w:type="dxa"/>
            <w:vAlign w:val="bottom"/>
          </w:tcPr>
          <w:p>
            <w:pPr>
              <w:ind w:left="500"/>
              <w:spacing w:after="0"/>
              <w:rPr>
                <w:sz w:val="20"/>
                <w:szCs w:val="20"/>
                <w:color w:val="auto"/>
              </w:rPr>
            </w:pPr>
            <w:r>
              <w:rPr>
                <w:rFonts w:ascii="Arial" w:cs="Arial" w:eastAsia="Arial" w:hAnsi="Arial"/>
                <w:sz w:val="13"/>
                <w:szCs w:val="13"/>
                <w:color w:val="auto"/>
              </w:rPr>
              <w:t>Proceeds from maturities and sales of securities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3,840,170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2,858,001</w:t>
            </w:r>
          </w:p>
        </w:tc>
      </w:tr>
      <w:tr>
        <w:trPr>
          <w:trHeight w:val="160"/>
        </w:trPr>
        <w:tc>
          <w:tcPr>
            <w:tcW w:w="8500" w:type="dxa"/>
            <w:vAlign w:val="bottom"/>
          </w:tcPr>
          <w:p>
            <w:pPr>
              <w:ind w:left="500"/>
              <w:spacing w:after="0"/>
              <w:rPr>
                <w:sz w:val="20"/>
                <w:szCs w:val="20"/>
                <w:color w:val="auto"/>
              </w:rPr>
            </w:pPr>
            <w:r>
              <w:rPr>
                <w:rFonts w:ascii="Arial" w:cs="Arial" w:eastAsia="Arial" w:hAnsi="Arial"/>
                <w:sz w:val="13"/>
                <w:szCs w:val="13"/>
                <w:color w:val="auto"/>
              </w:rPr>
              <w:t>Net cash used in operating activities</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(957,252)</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(795,519)</w:t>
            </w:r>
          </w:p>
        </w:tc>
      </w:tr>
      <w:tr>
        <w:trPr>
          <w:trHeight w:val="150"/>
        </w:trPr>
        <w:tc>
          <w:tcPr>
            <w:tcW w:w="85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0"/>
        </w:trPr>
        <w:tc>
          <w:tcPr>
            <w:tcW w:w="8500" w:type="dxa"/>
            <w:vAlign w:val="bottom"/>
          </w:tcPr>
          <w:p>
            <w:pPr>
              <w:ind w:left="260"/>
              <w:spacing w:after="0"/>
              <w:rPr>
                <w:sz w:val="20"/>
                <w:szCs w:val="20"/>
                <w:color w:val="auto"/>
              </w:rPr>
            </w:pPr>
            <w:r>
              <w:rPr>
                <w:rFonts w:ascii="Arial" w:cs="Arial" w:eastAsia="Arial" w:hAnsi="Arial"/>
                <w:sz w:val="13"/>
                <w:szCs w:val="13"/>
                <w:color w:val="auto"/>
              </w:rPr>
              <w:t>Purchases of U.S. Treasury and other securities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(8,824)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(7,503)</w:t>
            </w:r>
          </w:p>
        </w:tc>
      </w:tr>
      <w:tr>
        <w:trPr>
          <w:trHeight w:val="170"/>
        </w:trPr>
        <w:tc>
          <w:tcPr>
            <w:tcW w:w="8500" w:type="dxa"/>
            <w:vAlign w:val="bottom"/>
          </w:tcPr>
          <w:p>
            <w:pPr>
              <w:ind w:left="260"/>
              <w:spacing w:after="0"/>
              <w:rPr>
                <w:sz w:val="20"/>
                <w:szCs w:val="20"/>
                <w:color w:val="auto"/>
              </w:rPr>
            </w:pPr>
            <w:r>
              <w:rPr>
                <w:rFonts w:ascii="Arial" w:cs="Arial" w:eastAsia="Arial" w:hAnsi="Arial"/>
                <w:sz w:val="13"/>
                <w:szCs w:val="13"/>
                <w:color w:val="auto"/>
              </w:rPr>
              <w:t>Proceeds from maturities and sales of U.S. Treasury and other securities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4,433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15,044</w:t>
            </w:r>
          </w:p>
        </w:tc>
      </w:tr>
      <w:tr>
        <w:trPr>
          <w:trHeight w:val="170"/>
        </w:trPr>
        <w:tc>
          <w:tcPr>
            <w:tcW w:w="8500" w:type="dxa"/>
            <w:vAlign w:val="bottom"/>
          </w:tcPr>
          <w:p>
            <w:pPr>
              <w:ind w:left="260"/>
              <w:spacing w:after="0"/>
              <w:rPr>
                <w:sz w:val="20"/>
                <w:szCs w:val="20"/>
                <w:color w:val="auto"/>
              </w:rPr>
            </w:pPr>
            <w:r>
              <w:rPr>
                <w:rFonts w:ascii="Arial" w:cs="Arial" w:eastAsia="Arial" w:hAnsi="Arial"/>
                <w:sz w:val="13"/>
                <w:szCs w:val="13"/>
                <w:color w:val="auto"/>
              </w:rPr>
              <w:t>Corporate investments in funds and companies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(30,098)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(90,684)</w:t>
            </w:r>
          </w:p>
        </w:tc>
      </w:tr>
      <w:tr>
        <w:trPr>
          <w:trHeight w:val="170"/>
        </w:trPr>
        <w:tc>
          <w:tcPr>
            <w:tcW w:w="8500" w:type="dxa"/>
            <w:vAlign w:val="bottom"/>
          </w:tcPr>
          <w:p>
            <w:pPr>
              <w:ind w:left="260"/>
              <w:spacing w:after="0"/>
              <w:rPr>
                <w:sz w:val="20"/>
                <w:szCs w:val="20"/>
                <w:color w:val="auto"/>
              </w:rPr>
            </w:pPr>
            <w:r>
              <w:rPr>
                <w:rFonts w:ascii="Arial" w:cs="Arial" w:eastAsia="Arial" w:hAnsi="Arial"/>
                <w:sz w:val="13"/>
                <w:szCs w:val="13"/>
                <w:color w:val="auto"/>
              </w:rPr>
              <w:t>Distributions and proceeds from corporate investments in funds and companies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23,343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150,591</w:t>
            </w:r>
          </w:p>
        </w:tc>
      </w:tr>
      <w:tr>
        <w:trPr>
          <w:trHeight w:val="170"/>
        </w:trPr>
        <w:tc>
          <w:tcPr>
            <w:tcW w:w="8500" w:type="dxa"/>
            <w:vAlign w:val="bottom"/>
          </w:tcPr>
          <w:p>
            <w:pPr>
              <w:ind w:left="260"/>
              <w:spacing w:after="0"/>
              <w:rPr>
                <w:sz w:val="20"/>
                <w:szCs w:val="20"/>
                <w:color w:val="auto"/>
              </w:rPr>
            </w:pPr>
            <w:r>
              <w:rPr>
                <w:rFonts w:ascii="Arial" w:cs="Arial" w:eastAsia="Arial" w:hAnsi="Arial"/>
                <w:sz w:val="13"/>
                <w:szCs w:val="13"/>
                <w:color w:val="auto"/>
              </w:rPr>
              <w:t>Purchases of fixed assets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w:t>
            </w:r>
          </w:p>
        </w:tc>
      </w:tr>
      <w:tr>
        <w:trPr>
          <w:trHeight w:val="162"/>
        </w:trPr>
        <w:tc>
          <w:tcPr>
            <w:tcW w:w="8500" w:type="dxa"/>
            <w:vAlign w:val="bottom"/>
          </w:tcPr>
          <w:p>
            <w:pPr>
              <w:ind w:left="500"/>
              <w:spacing w:after="0"/>
              <w:rPr>
                <w:sz w:val="20"/>
                <w:szCs w:val="20"/>
                <w:color w:val="auto"/>
              </w:rPr>
            </w:pPr>
            <w:r>
              <w:rPr>
                <w:rFonts w:ascii="Arial" w:cs="Arial" w:eastAsia="Arial" w:hAnsi="Arial"/>
                <w:sz w:val="13"/>
                <w:szCs w:val="13"/>
                <w:color w:val="auto"/>
              </w:rPr>
              <w:t>Net cash provided by (used in) investing activities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(11,284)</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67,277</w:t>
            </w:r>
          </w:p>
        </w:tc>
      </w:tr>
    </w:tbl>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Please 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30"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Cash Flows (Unaudited)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4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58"/>
              <w:spacing w:after="0"/>
              <w:rPr>
                <w:sz w:val="20"/>
                <w:szCs w:val="20"/>
                <w:color w:val="auto"/>
              </w:rPr>
            </w:pPr>
            <w:r>
              <w:rPr>
                <w:rFonts w:ascii="Arial" w:cs="Arial" w:eastAsia="Arial" w:hAnsi="Arial"/>
                <w:sz w:val="10"/>
                <w:szCs w:val="10"/>
                <w:b w:val="1"/>
                <w:bCs w:val="1"/>
                <w:color w:val="auto"/>
              </w:rPr>
              <w:t>2022</w:t>
            </w: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57"/>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50"/>
        </w:trPr>
        <w:tc>
          <w:tcPr>
            <w:tcW w:w="8500" w:type="dxa"/>
            <w:vAlign w:val="bottom"/>
            <w:gridSpan w:val="2"/>
          </w:tcPr>
          <w:p>
            <w:pPr>
              <w:spacing w:after="0"/>
              <w:rPr>
                <w:sz w:val="20"/>
                <w:szCs w:val="20"/>
                <w:color w:val="auto"/>
              </w:rPr>
            </w:pPr>
            <w:r>
              <w:rPr>
                <w:rFonts w:ascii="Arial" w:cs="Arial" w:eastAsia="Arial" w:hAnsi="Arial"/>
                <w:sz w:val="13"/>
                <w:szCs w:val="13"/>
                <w:color w:val="auto"/>
              </w:rPr>
              <w:t>Cash flows from financing activities: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Capital contributions, net</w:t>
            </w: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110,529</w:t>
            </w:r>
          </w:p>
        </w:tc>
        <w:tc>
          <w:tcPr>
            <w:tcW w:w="2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34,873</w:t>
            </w:r>
          </w:p>
        </w:tc>
        <w:tc>
          <w:tcPr>
            <w:tcW w:w="0" w:type="dxa"/>
            <w:vAlign w:val="bottom"/>
          </w:tcPr>
          <w:p>
            <w:pPr>
              <w:spacing w:after="0"/>
              <w:rPr>
                <w:sz w:val="1"/>
                <w:szCs w:val="1"/>
                <w:color w:val="auto"/>
              </w:rPr>
            </w:pPr>
          </w:p>
        </w:tc>
      </w:tr>
      <w:tr>
        <w:trPr>
          <w:trHeight w:val="170"/>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Proceeds from issuance of debt obligations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214,094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Distributions to Class A unitholders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(121,957)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(331,813)</w:t>
            </w:r>
          </w:p>
        </w:tc>
        <w:tc>
          <w:tcPr>
            <w:tcW w:w="0" w:type="dxa"/>
            <w:vAlign w:val="bottom"/>
          </w:tcPr>
          <w:p>
            <w:pPr>
              <w:spacing w:after="0"/>
              <w:rPr>
                <w:sz w:val="1"/>
                <w:szCs w:val="1"/>
                <w:color w:val="auto"/>
              </w:rPr>
            </w:pPr>
          </w:p>
        </w:tc>
      </w:tr>
      <w:tr>
        <w:trPr>
          <w:trHeight w:val="170"/>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Distributions to Non-controlling Interests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(71,204)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(204,550)</w:t>
            </w:r>
          </w:p>
        </w:tc>
        <w:tc>
          <w:tcPr>
            <w:tcW w:w="0" w:type="dxa"/>
            <w:vAlign w:val="bottom"/>
          </w:tcPr>
          <w:p>
            <w:pPr>
              <w:spacing w:after="0"/>
              <w:rPr>
                <w:sz w:val="1"/>
                <w:szCs w:val="1"/>
                <w:color w:val="auto"/>
              </w:rPr>
            </w:pPr>
          </w:p>
        </w:tc>
      </w:tr>
      <w:tr>
        <w:trPr>
          <w:trHeight w:val="170"/>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Distributions to preferred unitholders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(13,658)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(13,658)</w:t>
            </w:r>
          </w:p>
        </w:tc>
        <w:tc>
          <w:tcPr>
            <w:tcW w:w="0" w:type="dxa"/>
            <w:vAlign w:val="bottom"/>
          </w:tcPr>
          <w:p>
            <w:pPr>
              <w:spacing w:after="0"/>
              <w:rPr>
                <w:sz w:val="1"/>
                <w:szCs w:val="1"/>
                <w:color w:val="auto"/>
              </w:rPr>
            </w:pPr>
          </w:p>
        </w:tc>
      </w:tr>
      <w:tr>
        <w:trPr>
          <w:trHeight w:val="170"/>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Payment of debt issuance costs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(1,150)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8500" w:type="dxa"/>
            <w:vAlign w:val="bottom"/>
            <w:gridSpan w:val="2"/>
          </w:tcPr>
          <w:p>
            <w:pPr>
              <w:ind w:left="120"/>
              <w:spacing w:after="0"/>
              <w:rPr>
                <w:sz w:val="20"/>
                <w:szCs w:val="20"/>
                <w:color w:val="auto"/>
              </w:rPr>
            </w:pPr>
            <w:r>
              <w:rPr>
                <w:rFonts w:ascii="Arial" w:cs="Arial" w:eastAsia="Arial" w:hAnsi="Arial"/>
                <w:sz w:val="13"/>
                <w:szCs w:val="13"/>
                <w:i w:val="1"/>
                <w:iCs w:val="1"/>
                <w:color w:val="auto"/>
              </w:rPr>
              <w:t>Cash flows from financing activities of consolidated funds: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Contributions from non-controlling interests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547,100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315,064</w:t>
            </w:r>
          </w:p>
        </w:tc>
        <w:tc>
          <w:tcPr>
            <w:tcW w:w="0" w:type="dxa"/>
            <w:vAlign w:val="bottom"/>
          </w:tcPr>
          <w:p>
            <w:pPr>
              <w:spacing w:after="0"/>
              <w:rPr>
                <w:sz w:val="1"/>
                <w:szCs w:val="1"/>
                <w:color w:val="auto"/>
              </w:rPr>
            </w:pPr>
          </w:p>
        </w:tc>
      </w:tr>
      <w:tr>
        <w:trPr>
          <w:trHeight w:val="170"/>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Distributions to non-controlling interests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(132,979)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(99,719)</w:t>
            </w:r>
          </w:p>
        </w:tc>
        <w:tc>
          <w:tcPr>
            <w:tcW w:w="0" w:type="dxa"/>
            <w:vAlign w:val="bottom"/>
          </w:tcPr>
          <w:p>
            <w:pPr>
              <w:spacing w:after="0"/>
              <w:rPr>
                <w:sz w:val="1"/>
                <w:szCs w:val="1"/>
                <w:color w:val="auto"/>
              </w:rPr>
            </w:pPr>
          </w:p>
        </w:tc>
      </w:tr>
      <w:tr>
        <w:trPr>
          <w:trHeight w:val="170"/>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Proceeds from debt obligations issued by CLOs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1,676,771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1,592,719</w:t>
            </w:r>
          </w:p>
        </w:tc>
        <w:tc>
          <w:tcPr>
            <w:tcW w:w="0" w:type="dxa"/>
            <w:vAlign w:val="bottom"/>
          </w:tcPr>
          <w:p>
            <w:pPr>
              <w:spacing w:after="0"/>
              <w:rPr>
                <w:sz w:val="1"/>
                <w:szCs w:val="1"/>
                <w:color w:val="auto"/>
              </w:rPr>
            </w:pPr>
          </w:p>
        </w:tc>
      </w:tr>
      <w:tr>
        <w:trPr>
          <w:trHeight w:val="170"/>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Payment of debt issuance costs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(6,181)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(1,827)</w:t>
            </w:r>
          </w:p>
        </w:tc>
        <w:tc>
          <w:tcPr>
            <w:tcW w:w="0" w:type="dxa"/>
            <w:vAlign w:val="bottom"/>
          </w:tcPr>
          <w:p>
            <w:pPr>
              <w:spacing w:after="0"/>
              <w:rPr>
                <w:sz w:val="1"/>
                <w:szCs w:val="1"/>
                <w:color w:val="auto"/>
              </w:rPr>
            </w:pPr>
          </w:p>
        </w:tc>
      </w:tr>
      <w:tr>
        <w:trPr>
          <w:trHeight w:val="170"/>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Repayment on debt obligations issued by CLOs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(807,542)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(926,441)</w:t>
            </w:r>
          </w:p>
        </w:tc>
        <w:tc>
          <w:tcPr>
            <w:tcW w:w="0" w:type="dxa"/>
            <w:vAlign w:val="bottom"/>
          </w:tcPr>
          <w:p>
            <w:pPr>
              <w:spacing w:after="0"/>
              <w:rPr>
                <w:sz w:val="1"/>
                <w:szCs w:val="1"/>
                <w:color w:val="auto"/>
              </w:rPr>
            </w:pPr>
          </w:p>
        </w:tc>
      </w:tr>
      <w:tr>
        <w:trPr>
          <w:trHeight w:val="170"/>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Borrowings on credit facilities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403,652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575,561</w:t>
            </w:r>
          </w:p>
        </w:tc>
        <w:tc>
          <w:tcPr>
            <w:tcW w:w="0" w:type="dxa"/>
            <w:vAlign w:val="bottom"/>
          </w:tcPr>
          <w:p>
            <w:pPr>
              <w:spacing w:after="0"/>
              <w:rPr>
                <w:sz w:val="1"/>
                <w:szCs w:val="1"/>
                <w:color w:val="auto"/>
              </w:rPr>
            </w:pPr>
          </w:p>
        </w:tc>
      </w:tr>
      <w:tr>
        <w:trPr>
          <w:trHeight w:val="170"/>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Repayments on credit facilities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(547,590)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8500" w:type="dxa"/>
            <w:vAlign w:val="bottom"/>
            <w:gridSpan w:val="2"/>
          </w:tcPr>
          <w:p>
            <w:pPr>
              <w:ind w:left="500"/>
              <w:spacing w:after="0"/>
              <w:rPr>
                <w:sz w:val="20"/>
                <w:szCs w:val="20"/>
                <w:color w:val="auto"/>
              </w:rPr>
            </w:pPr>
            <w:r>
              <w:rPr>
                <w:rFonts w:ascii="Arial" w:cs="Arial" w:eastAsia="Arial" w:hAnsi="Arial"/>
                <w:sz w:val="13"/>
                <w:szCs w:val="13"/>
                <w:color w:val="auto"/>
              </w:rPr>
              <w:t>Net cash provided by financing activities</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1,249,885</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940,209</w:t>
            </w:r>
          </w:p>
        </w:tc>
        <w:tc>
          <w:tcPr>
            <w:tcW w:w="0" w:type="dxa"/>
            <w:vAlign w:val="bottom"/>
          </w:tcPr>
          <w:p>
            <w:pPr>
              <w:spacing w:after="0"/>
              <w:rPr>
                <w:sz w:val="1"/>
                <w:szCs w:val="1"/>
                <w:color w:val="auto"/>
              </w:rPr>
            </w:pPr>
          </w:p>
        </w:tc>
      </w:tr>
      <w:tr>
        <w:trPr>
          <w:trHeight w:val="160"/>
        </w:trPr>
        <w:tc>
          <w:tcPr>
            <w:tcW w:w="8500" w:type="dxa"/>
            <w:vAlign w:val="bottom"/>
            <w:gridSpan w:val="2"/>
          </w:tcPr>
          <w:p>
            <w:pPr>
              <w:spacing w:after="0"/>
              <w:rPr>
                <w:sz w:val="20"/>
                <w:szCs w:val="20"/>
                <w:color w:val="auto"/>
              </w:rPr>
            </w:pPr>
            <w:r>
              <w:rPr>
                <w:rFonts w:ascii="Arial" w:cs="Arial" w:eastAsia="Arial" w:hAnsi="Arial"/>
                <w:sz w:val="13"/>
                <w:szCs w:val="13"/>
                <w:color w:val="auto"/>
              </w:rPr>
              <w:t>Effect of exchange rate changes on cash</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(18,418)</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(5,522)</w:t>
            </w:r>
          </w:p>
        </w:tc>
        <w:tc>
          <w:tcPr>
            <w:tcW w:w="0" w:type="dxa"/>
            <w:vAlign w:val="bottom"/>
          </w:tcPr>
          <w:p>
            <w:pPr>
              <w:spacing w:after="0"/>
              <w:rPr>
                <w:sz w:val="1"/>
                <w:szCs w:val="1"/>
                <w:color w:val="auto"/>
              </w:rPr>
            </w:pPr>
          </w:p>
        </w:tc>
      </w:tr>
      <w:tr>
        <w:trPr>
          <w:trHeight w:val="160"/>
        </w:trPr>
        <w:tc>
          <w:tcPr>
            <w:tcW w:w="8500" w:type="dxa"/>
            <w:vAlign w:val="bottom"/>
            <w:gridSpan w:val="2"/>
          </w:tcPr>
          <w:p>
            <w:pPr>
              <w:spacing w:after="0"/>
              <w:rPr>
                <w:sz w:val="20"/>
                <w:szCs w:val="20"/>
                <w:color w:val="auto"/>
              </w:rPr>
            </w:pPr>
            <w:r>
              <w:rPr>
                <w:rFonts w:ascii="Arial" w:cs="Arial" w:eastAsia="Arial" w:hAnsi="Arial"/>
                <w:sz w:val="13"/>
                <w:szCs w:val="13"/>
                <w:color w:val="auto"/>
              </w:rPr>
              <w:t>Net increase in cash and cash-equivalents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262,931</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206,445</w:t>
            </w:r>
          </w:p>
        </w:tc>
        <w:tc>
          <w:tcPr>
            <w:tcW w:w="0" w:type="dxa"/>
            <w:vAlign w:val="bottom"/>
          </w:tcPr>
          <w:p>
            <w:pPr>
              <w:spacing w:after="0"/>
              <w:rPr>
                <w:sz w:val="1"/>
                <w:szCs w:val="1"/>
                <w:color w:val="auto"/>
              </w:rPr>
            </w:pPr>
          </w:p>
        </w:tc>
      </w:tr>
      <w:tr>
        <w:trPr>
          <w:trHeight w:val="170"/>
        </w:trPr>
        <w:tc>
          <w:tcPr>
            <w:tcW w:w="8500" w:type="dxa"/>
            <w:vAlign w:val="bottom"/>
            <w:gridSpan w:val="2"/>
          </w:tcPr>
          <w:p>
            <w:pPr>
              <w:spacing w:after="0"/>
              <w:rPr>
                <w:sz w:val="20"/>
                <w:szCs w:val="20"/>
                <w:color w:val="auto"/>
              </w:rPr>
            </w:pPr>
            <w:r>
              <w:rPr>
                <w:rFonts w:ascii="Arial" w:cs="Arial" w:eastAsia="Arial" w:hAnsi="Arial"/>
                <w:sz w:val="13"/>
                <w:szCs w:val="13"/>
                <w:color w:val="auto"/>
              </w:rPr>
              <w:t>Initial consolidation (deconsolidation) of funds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(296,621)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(206,796)</w:t>
            </w:r>
          </w:p>
        </w:tc>
        <w:tc>
          <w:tcPr>
            <w:tcW w:w="0" w:type="dxa"/>
            <w:vAlign w:val="bottom"/>
          </w:tcPr>
          <w:p>
            <w:pPr>
              <w:spacing w:after="0"/>
              <w:rPr>
                <w:sz w:val="1"/>
                <w:szCs w:val="1"/>
                <w:color w:val="auto"/>
              </w:rPr>
            </w:pPr>
          </w:p>
        </w:tc>
      </w:tr>
      <w:tr>
        <w:trPr>
          <w:trHeight w:val="171"/>
        </w:trPr>
        <w:tc>
          <w:tcPr>
            <w:tcW w:w="8500" w:type="dxa"/>
            <w:vAlign w:val="bottom"/>
            <w:gridSpan w:val="2"/>
          </w:tcPr>
          <w:p>
            <w:pPr>
              <w:spacing w:after="0"/>
              <w:rPr>
                <w:sz w:val="20"/>
                <w:szCs w:val="20"/>
                <w:color w:val="auto"/>
              </w:rPr>
            </w:pPr>
            <w:r>
              <w:rPr>
                <w:rFonts w:ascii="Arial" w:cs="Arial" w:eastAsia="Arial" w:hAnsi="Arial"/>
                <w:sz w:val="13"/>
                <w:szCs w:val="13"/>
                <w:color w:val="auto"/>
              </w:rPr>
              <w:t>Cash and cash-equivalents, beginning balance</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1,159,119</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1,200,341</w:t>
            </w:r>
          </w:p>
        </w:tc>
        <w:tc>
          <w:tcPr>
            <w:tcW w:w="0" w:type="dxa"/>
            <w:vAlign w:val="bottom"/>
          </w:tcPr>
          <w:p>
            <w:pPr>
              <w:spacing w:after="0"/>
              <w:rPr>
                <w:sz w:val="1"/>
                <w:szCs w:val="1"/>
                <w:color w:val="auto"/>
              </w:rPr>
            </w:pPr>
          </w:p>
        </w:tc>
      </w:tr>
      <w:tr>
        <w:trPr>
          <w:trHeight w:val="162"/>
        </w:trPr>
        <w:tc>
          <w:tcPr>
            <w:tcW w:w="8500" w:type="dxa"/>
            <w:vAlign w:val="bottom"/>
            <w:gridSpan w:val="2"/>
          </w:tcPr>
          <w:p>
            <w:pPr>
              <w:spacing w:after="0"/>
              <w:rPr>
                <w:sz w:val="20"/>
                <w:szCs w:val="20"/>
                <w:color w:val="auto"/>
              </w:rPr>
            </w:pPr>
            <w:r>
              <w:rPr>
                <w:rFonts w:ascii="Arial" w:cs="Arial" w:eastAsia="Arial" w:hAnsi="Arial"/>
                <w:sz w:val="13"/>
                <w:szCs w:val="13"/>
                <w:color w:val="auto"/>
              </w:rPr>
              <w:t>Cash and cash-equivalents, ending balance</w:t>
            </w: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1,125,429</w:t>
            </w: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1,199,990</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3"/>
                <w:szCs w:val="13"/>
                <w:color w:val="auto"/>
                <w:w w:val="97"/>
              </w:rPr>
              <w:t>Reconciliation of cash and cash-equivalents</w:t>
            </w:r>
          </w:p>
        </w:tc>
        <w:tc>
          <w:tcPr>
            <w:tcW w:w="60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2480" w:type="dxa"/>
            <w:vAlign w:val="bottom"/>
            <w:tcBorders>
              <w:bottom w:val="single" w:sz="8" w:color="auto"/>
            </w:tcBorders>
            <w:vMerge w:val="continue"/>
          </w:tcPr>
          <w:p>
            <w:pPr>
              <w:spacing w:after="0"/>
              <w:rPr>
                <w:sz w:val="24"/>
                <w:szCs w:val="24"/>
                <w:color w:val="auto"/>
              </w:rPr>
            </w:pPr>
          </w:p>
        </w:tc>
        <w:tc>
          <w:tcPr>
            <w:tcW w:w="6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8500" w:type="dxa"/>
            <w:vAlign w:val="bottom"/>
            <w:gridSpan w:val="2"/>
          </w:tcPr>
          <w:p>
            <w:pPr>
              <w:spacing w:after="0"/>
              <w:rPr>
                <w:sz w:val="20"/>
                <w:szCs w:val="20"/>
                <w:color w:val="auto"/>
              </w:rPr>
            </w:pPr>
            <w:r>
              <w:rPr>
                <w:rFonts w:ascii="Arial" w:cs="Arial" w:eastAsia="Arial" w:hAnsi="Arial"/>
                <w:sz w:val="13"/>
                <w:szCs w:val="13"/>
                <w:color w:val="auto"/>
              </w:rPr>
              <w:t>Cash and cash-equivalents – Oaktree</w:t>
            </w: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348,040</w:t>
            </w:r>
          </w:p>
        </w:tc>
        <w:tc>
          <w:tcPr>
            <w:tcW w:w="20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237,149</w:t>
            </w:r>
          </w:p>
        </w:tc>
        <w:tc>
          <w:tcPr>
            <w:tcW w:w="0" w:type="dxa"/>
            <w:vAlign w:val="bottom"/>
          </w:tcPr>
          <w:p>
            <w:pPr>
              <w:spacing w:after="0"/>
              <w:rPr>
                <w:sz w:val="1"/>
                <w:szCs w:val="1"/>
                <w:color w:val="auto"/>
              </w:rPr>
            </w:pPr>
          </w:p>
        </w:tc>
      </w:tr>
      <w:tr>
        <w:trPr>
          <w:trHeight w:val="171"/>
        </w:trPr>
        <w:tc>
          <w:tcPr>
            <w:tcW w:w="8500" w:type="dxa"/>
            <w:vAlign w:val="bottom"/>
            <w:gridSpan w:val="2"/>
          </w:tcPr>
          <w:p>
            <w:pPr>
              <w:spacing w:after="0"/>
              <w:rPr>
                <w:sz w:val="20"/>
                <w:szCs w:val="20"/>
                <w:color w:val="auto"/>
              </w:rPr>
            </w:pPr>
            <w:r>
              <w:rPr>
                <w:rFonts w:ascii="Arial" w:cs="Arial" w:eastAsia="Arial" w:hAnsi="Arial"/>
                <w:sz w:val="13"/>
                <w:szCs w:val="13"/>
                <w:color w:val="auto"/>
              </w:rPr>
              <w:t>Cash and cash-equivalents – consolidated funds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777,389</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962,841</w:t>
            </w:r>
          </w:p>
        </w:tc>
        <w:tc>
          <w:tcPr>
            <w:tcW w:w="0" w:type="dxa"/>
            <w:vAlign w:val="bottom"/>
          </w:tcPr>
          <w:p>
            <w:pPr>
              <w:spacing w:after="0"/>
              <w:rPr>
                <w:sz w:val="1"/>
                <w:szCs w:val="1"/>
                <w:color w:val="auto"/>
              </w:rPr>
            </w:pPr>
          </w:p>
        </w:tc>
      </w:tr>
      <w:tr>
        <w:trPr>
          <w:trHeight w:val="162"/>
        </w:trPr>
        <w:tc>
          <w:tcPr>
            <w:tcW w:w="8500" w:type="dxa"/>
            <w:vAlign w:val="bottom"/>
            <w:gridSpan w:val="2"/>
          </w:tcPr>
          <w:p>
            <w:pPr>
              <w:ind w:left="260"/>
              <w:spacing w:after="0"/>
              <w:rPr>
                <w:sz w:val="20"/>
                <w:szCs w:val="20"/>
                <w:color w:val="auto"/>
              </w:rPr>
            </w:pPr>
            <w:r>
              <w:rPr>
                <w:rFonts w:ascii="Arial" w:cs="Arial" w:eastAsia="Arial" w:hAnsi="Arial"/>
                <w:sz w:val="13"/>
                <w:szCs w:val="13"/>
                <w:color w:val="auto"/>
              </w:rPr>
              <w:t>Total cash and cash-equivalents</w:t>
            </w: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1,125,429</w:t>
            </w: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1,199,990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Please 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30"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Changes in Unitholders’ Capital (Unaudited)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2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9"/>
          </w:tcPr>
          <w:p>
            <w:pPr>
              <w:ind w:left="540"/>
              <w:spacing w:after="0"/>
              <w:rPr>
                <w:sz w:val="20"/>
                <w:szCs w:val="20"/>
                <w:color w:val="auto"/>
              </w:rPr>
            </w:pPr>
            <w:r>
              <w:rPr>
                <w:rFonts w:ascii="Arial" w:cs="Arial" w:eastAsia="Arial" w:hAnsi="Arial"/>
                <w:sz w:val="8"/>
                <w:szCs w:val="8"/>
                <w:b w:val="1"/>
                <w:bCs w:val="1"/>
                <w:color w:val="auto"/>
              </w:rPr>
              <w:t>Oaktree Capital Group, LLC</w:t>
            </w: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Retained Earnings</w:t>
            </w: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8"/>
                <w:szCs w:val="8"/>
                <w:b w:val="1"/>
                <w:bCs w:val="1"/>
                <w:color w:val="auto"/>
              </w:rPr>
              <w:t>Accumulated Other</w:t>
            </w:r>
          </w:p>
        </w:tc>
        <w:tc>
          <w:tcPr>
            <w:tcW w:w="80" w:type="dxa"/>
            <w:vAlign w:val="bottom"/>
          </w:tcPr>
          <w:p>
            <w:pPr>
              <w:spacing w:after="0"/>
              <w:rPr>
                <w:sz w:val="9"/>
                <w:szCs w:val="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Non-controlling</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center"/>
              <w:ind w:right="51"/>
              <w:spacing w:after="0"/>
              <w:rPr>
                <w:sz w:val="20"/>
                <w:szCs w:val="20"/>
                <w:color w:val="auto"/>
              </w:rPr>
            </w:pPr>
            <w:r>
              <w:rPr>
                <w:rFonts w:ascii="Arial" w:cs="Arial" w:eastAsia="Arial" w:hAnsi="Arial"/>
                <w:sz w:val="8"/>
                <w:szCs w:val="8"/>
                <w:b w:val="1"/>
                <w:bCs w:val="1"/>
                <w:color w:val="auto"/>
              </w:rPr>
              <w:t>Series A</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rPr>
              <w:t>Series B</w:t>
            </w: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160"/>
              <w:spacing w:after="0" w:line="85" w:lineRule="exact"/>
              <w:rPr>
                <w:sz w:val="20"/>
                <w:szCs w:val="20"/>
                <w:color w:val="auto"/>
              </w:rPr>
            </w:pPr>
            <w:r>
              <w:rPr>
                <w:rFonts w:ascii="Arial" w:cs="Arial" w:eastAsia="Arial" w:hAnsi="Arial"/>
                <w:sz w:val="8"/>
                <w:szCs w:val="8"/>
                <w:b w:val="1"/>
                <w:bCs w:val="1"/>
                <w:color w:val="auto"/>
              </w:rPr>
              <w:t>Interests in</w:t>
            </w:r>
          </w:p>
        </w:tc>
        <w:tc>
          <w:tcPr>
            <w:tcW w:w="840" w:type="dxa"/>
            <w:vAlign w:val="bottom"/>
            <w:gridSpan w:val="2"/>
            <w:vMerge w:val="restart"/>
          </w:tcPr>
          <w:p>
            <w:pPr>
              <w:jc w:val="center"/>
              <w:spacing w:after="0"/>
              <w:rPr>
                <w:sz w:val="20"/>
                <w:szCs w:val="20"/>
                <w:color w:val="auto"/>
              </w:rPr>
            </w:pPr>
            <w:r>
              <w:rPr>
                <w:rFonts w:ascii="Arial" w:cs="Arial" w:eastAsia="Arial" w:hAnsi="Arial"/>
                <w:sz w:val="8"/>
                <w:szCs w:val="8"/>
                <w:b w:val="1"/>
                <w:bCs w:val="1"/>
                <w:color w:val="auto"/>
              </w:rPr>
              <w:t>Total Unitholders’</w:t>
            </w:r>
          </w:p>
        </w:tc>
        <w:tc>
          <w:tcPr>
            <w:tcW w:w="0" w:type="dxa"/>
            <w:vAlign w:val="bottom"/>
          </w:tcPr>
          <w:p>
            <w:pPr>
              <w:spacing w:after="0"/>
              <w:rPr>
                <w:sz w:val="1"/>
                <w:szCs w:val="1"/>
                <w:color w:val="auto"/>
              </w:rPr>
            </w:pPr>
          </w:p>
        </w:tc>
      </w:tr>
      <w:tr>
        <w:trPr>
          <w:trHeight w:val="85"/>
        </w:trPr>
        <w:tc>
          <w:tcPr>
            <w:tcW w:w="2280" w:type="dxa"/>
            <w:vAlign w:val="bottom"/>
          </w:tcPr>
          <w:p>
            <w:pPr>
              <w:spacing w:after="0"/>
              <w:rPr>
                <w:sz w:val="7"/>
                <w:szCs w:val="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8"/>
                <w:szCs w:val="8"/>
                <w:b w:val="1"/>
                <w:bCs w:val="1"/>
                <w:color w:val="auto"/>
              </w:rPr>
              <w:t>Class A Units</w:t>
            </w:r>
          </w:p>
        </w:tc>
        <w:tc>
          <w:tcPr>
            <w:tcW w:w="80" w:type="dxa"/>
            <w:vAlign w:val="bottom"/>
            <w:vMerge w:val="restart"/>
          </w:tcPr>
          <w:p>
            <w:pPr>
              <w:spacing w:after="0"/>
              <w:rPr>
                <w:sz w:val="7"/>
                <w:szCs w:val="7"/>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8"/>
                <w:szCs w:val="8"/>
                <w:b w:val="1"/>
                <w:bCs w:val="1"/>
                <w:color w:val="auto"/>
              </w:rPr>
              <w:t>Class B Units</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gridSpan w:val="2"/>
            <w:vMerge w:val="restart"/>
          </w:tcPr>
          <w:p>
            <w:pPr>
              <w:jc w:val="right"/>
              <w:ind w:right="11"/>
              <w:spacing w:after="0"/>
              <w:rPr>
                <w:sz w:val="20"/>
                <w:szCs w:val="20"/>
                <w:color w:val="auto"/>
              </w:rPr>
            </w:pPr>
            <w:r>
              <w:rPr>
                <w:rFonts w:ascii="Arial" w:cs="Arial" w:eastAsia="Arial" w:hAnsi="Arial"/>
                <w:sz w:val="8"/>
                <w:szCs w:val="8"/>
                <w:b w:val="1"/>
                <w:bCs w:val="1"/>
                <w:color w:val="auto"/>
              </w:rPr>
              <w:t>Paid-in Capital</w:t>
            </w:r>
          </w:p>
        </w:tc>
        <w:tc>
          <w:tcPr>
            <w:tcW w:w="8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7"/>
                <w:szCs w:val="7"/>
                <w:color w:val="auto"/>
              </w:rPr>
            </w:pPr>
          </w:p>
        </w:tc>
        <w:tc>
          <w:tcPr>
            <w:tcW w:w="84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Comprehensive</w:t>
            </w:r>
          </w:p>
        </w:tc>
        <w:tc>
          <w:tcPr>
            <w:tcW w:w="80" w:type="dxa"/>
            <w:vAlign w:val="bottom"/>
          </w:tcPr>
          <w:p>
            <w:pPr>
              <w:spacing w:after="0"/>
              <w:rPr>
                <w:sz w:val="7"/>
                <w:szCs w:val="7"/>
                <w:color w:val="auto"/>
              </w:rPr>
            </w:pPr>
          </w:p>
        </w:tc>
        <w:tc>
          <w:tcPr>
            <w:tcW w:w="820" w:type="dxa"/>
            <w:vAlign w:val="bottom"/>
            <w:gridSpan w:val="2"/>
          </w:tcPr>
          <w:p>
            <w:pPr>
              <w:jc w:val="center"/>
              <w:ind w:right="160"/>
              <w:spacing w:after="0" w:line="85" w:lineRule="exact"/>
              <w:rPr>
                <w:sz w:val="20"/>
                <w:szCs w:val="20"/>
                <w:color w:val="auto"/>
              </w:rPr>
            </w:pPr>
            <w:r>
              <w:rPr>
                <w:rFonts w:ascii="Arial" w:cs="Arial" w:eastAsia="Arial" w:hAnsi="Arial"/>
                <w:sz w:val="8"/>
                <w:szCs w:val="8"/>
                <w:b w:val="1"/>
                <w:bCs w:val="1"/>
                <w:color w:val="auto"/>
              </w:rPr>
              <w:t>Consolidated</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rPr>
              <w:t>Preferred Units</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rPr>
              <w:t>Preferred Units</w:t>
            </w:r>
          </w:p>
        </w:tc>
        <w:tc>
          <w:tcPr>
            <w:tcW w:w="60" w:type="dxa"/>
            <w:vAlign w:val="bottom"/>
          </w:tcPr>
          <w:p>
            <w:pPr>
              <w:spacing w:after="0"/>
              <w:rPr>
                <w:sz w:val="10"/>
                <w:szCs w:val="10"/>
                <w:color w:val="auto"/>
              </w:rPr>
            </w:pPr>
          </w:p>
        </w:tc>
        <w:tc>
          <w:tcPr>
            <w:tcW w:w="70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52"/>
              <w:spacing w:after="0"/>
              <w:rPr>
                <w:sz w:val="20"/>
                <w:szCs w:val="20"/>
                <w:color w:val="auto"/>
              </w:rPr>
            </w:pPr>
            <w:r>
              <w:rPr>
                <w:rFonts w:ascii="Arial" w:cs="Arial" w:eastAsia="Arial" w:hAnsi="Arial"/>
                <w:sz w:val="8"/>
                <w:szCs w:val="8"/>
                <w:b w:val="1"/>
                <w:bCs w:val="1"/>
                <w:color w:val="auto"/>
              </w:rPr>
              <w:t>Deficit)</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52"/>
              <w:spacing w:after="0"/>
              <w:rPr>
                <w:sz w:val="20"/>
                <w:szCs w:val="20"/>
                <w:color w:val="auto"/>
              </w:rPr>
            </w:pPr>
            <w:r>
              <w:rPr>
                <w:rFonts w:ascii="Arial" w:cs="Arial" w:eastAsia="Arial" w:hAnsi="Arial"/>
                <w:sz w:val="8"/>
                <w:szCs w:val="8"/>
                <w:b w:val="1"/>
                <w:bCs w:val="1"/>
                <w:color w:val="auto"/>
              </w:rPr>
              <w:t>Income (Loss)</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8"/>
                <w:szCs w:val="8"/>
                <w:b w:val="1"/>
                <w:bCs w:val="1"/>
                <w:color w:val="auto"/>
              </w:rPr>
              <w:t>Subsidiaries</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131"/>
              <w:spacing w:after="0"/>
              <w:rPr>
                <w:sz w:val="20"/>
                <w:szCs w:val="20"/>
                <w:color w:val="auto"/>
              </w:rPr>
            </w:pPr>
            <w:r>
              <w:rPr>
                <w:rFonts w:ascii="Arial" w:cs="Arial" w:eastAsia="Arial" w:hAnsi="Arial"/>
                <w:sz w:val="8"/>
                <w:szCs w:val="8"/>
                <w:b w:val="1"/>
                <w:bCs w:val="1"/>
                <w:color w:val="auto"/>
              </w:rPr>
              <w:t>Capital</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0"/>
                <w:szCs w:val="10"/>
                <w:color w:val="auto"/>
              </w:rPr>
              <w:t>Unitholders’ capital as of March 31, 2022</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99,137</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60,779</w:t>
            </w:r>
          </w:p>
        </w:tc>
        <w:tc>
          <w:tcPr>
            <w:tcW w:w="8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173,669</w:t>
            </w:r>
          </w:p>
        </w:tc>
        <w:tc>
          <w:tcPr>
            <w:tcW w:w="200" w:type="dxa"/>
            <w:vAlign w:val="bottom"/>
            <w:gridSpan w:val="3"/>
          </w:tcPr>
          <w:p>
            <w:pPr>
              <w:jc w:val="right"/>
              <w:ind w:right="14"/>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226,915</w:t>
            </w:r>
          </w:p>
        </w:tc>
        <w:tc>
          <w:tcPr>
            <w:tcW w:w="60" w:type="dxa"/>
            <w:vAlign w:val="bottom"/>
          </w:tcPr>
          <w:p>
            <w:pPr>
              <w:spacing w:after="0"/>
              <w:rPr>
                <w:sz w:val="13"/>
                <w:szCs w:val="13"/>
                <w:color w:val="auto"/>
              </w:rPr>
            </w:pPr>
          </w:p>
        </w:tc>
        <w:tc>
          <w:tcPr>
            <w:tcW w:w="140" w:type="dxa"/>
            <w:vAlign w:val="bottom"/>
          </w:tcPr>
          <w:p>
            <w:pPr>
              <w:jc w:val="right"/>
              <w:ind w:right="13"/>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1,139,037</w:t>
            </w: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166,053</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(3,701)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3"/>
              <w:spacing w:after="0"/>
              <w:rPr>
                <w:sz w:val="20"/>
                <w:szCs w:val="20"/>
                <w:color w:val="auto"/>
              </w:rPr>
            </w:pPr>
            <w:r>
              <w:rPr>
                <w:rFonts w:ascii="Arial" w:cs="Arial" w:eastAsia="Arial" w:hAnsi="Arial"/>
                <w:sz w:val="10"/>
                <w:szCs w:val="10"/>
                <w:color w:val="auto"/>
              </w:rPr>
              <w:t>538,305</w:t>
            </w:r>
          </w:p>
        </w:tc>
        <w:tc>
          <w:tcPr>
            <w:tcW w:w="60" w:type="dxa"/>
            <w:vAlign w:val="bottom"/>
          </w:tcPr>
          <w:p>
            <w:pPr>
              <w:spacing w:after="0"/>
              <w:rPr>
                <w:sz w:val="13"/>
                <w:szCs w:val="13"/>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2,240,278</w:t>
            </w:r>
          </w:p>
        </w:tc>
        <w:tc>
          <w:tcPr>
            <w:tcW w:w="0" w:type="dxa"/>
            <w:vAlign w:val="bottom"/>
          </w:tcPr>
          <w:p>
            <w:pPr>
              <w:spacing w:after="0"/>
              <w:rPr>
                <w:sz w:val="1"/>
                <w:szCs w:val="1"/>
                <w:color w:val="auto"/>
              </w:rPr>
            </w:pPr>
          </w:p>
        </w:tc>
      </w:tr>
      <w:tr>
        <w:trPr>
          <w:trHeight w:val="138"/>
        </w:trPr>
        <w:tc>
          <w:tcPr>
            <w:tcW w:w="2280" w:type="dxa"/>
            <w:vAlign w:val="bottom"/>
          </w:tcPr>
          <w:p>
            <w:pPr>
              <w:spacing w:after="0"/>
              <w:rPr>
                <w:sz w:val="20"/>
                <w:szCs w:val="20"/>
                <w:color w:val="auto"/>
              </w:rPr>
            </w:pPr>
            <w:r>
              <w:rPr>
                <w:rFonts w:ascii="Arial" w:cs="Arial" w:eastAsia="Arial" w:hAnsi="Arial"/>
                <w:sz w:val="10"/>
                <w:szCs w:val="10"/>
                <w:color w:val="auto"/>
              </w:rPr>
              <w:t>Activity for the three months ended: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80" w:type="dxa"/>
            <w:vAlign w:val="bottom"/>
          </w:tcPr>
          <w:p>
            <w:pPr>
              <w:ind w:left="260"/>
              <w:spacing w:after="0"/>
              <w:rPr>
                <w:sz w:val="20"/>
                <w:szCs w:val="20"/>
                <w:color w:val="auto"/>
              </w:rPr>
            </w:pPr>
            <w:r>
              <w:rPr>
                <w:rFonts w:ascii="Arial" w:cs="Arial" w:eastAsia="Arial" w:hAnsi="Arial"/>
                <w:sz w:val="10"/>
                <w:szCs w:val="10"/>
                <w:color w:val="auto"/>
              </w:rPr>
              <w:t>Unit exchange</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3,943</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(3,943)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280" w:type="dxa"/>
            <w:vAlign w:val="bottom"/>
          </w:tcPr>
          <w:p>
            <w:pPr>
              <w:ind w:left="260"/>
              <w:spacing w:after="0" w:line="106" w:lineRule="exact"/>
              <w:rPr>
                <w:sz w:val="20"/>
                <w:szCs w:val="20"/>
                <w:color w:val="auto"/>
              </w:rPr>
            </w:pPr>
            <w:r>
              <w:rPr>
                <w:rFonts w:ascii="Arial" w:cs="Arial" w:eastAsia="Arial" w:hAnsi="Arial"/>
                <w:sz w:val="10"/>
                <w:szCs w:val="10"/>
                <w:color w:val="auto"/>
              </w:rPr>
              <w:t>Cancellation of units associated with</w:t>
            </w:r>
          </w:p>
        </w:tc>
        <w:tc>
          <w:tcPr>
            <w:tcW w:w="76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spacing w:after="0" w:line="106" w:lineRule="exact"/>
              <w:rPr>
                <w:sz w:val="20"/>
                <w:szCs w:val="20"/>
                <w:color w:val="auto"/>
              </w:rPr>
            </w:pPr>
            <w:r>
              <w:rPr>
                <w:rFonts w:ascii="Arial" w:cs="Arial" w:eastAsia="Arial" w:hAnsi="Arial"/>
                <w:sz w:val="10"/>
                <w:szCs w:val="10"/>
                <w:color w:val="auto"/>
              </w:rPr>
              <w:t>(14)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4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2280" w:type="dxa"/>
            <w:vAlign w:val="bottom"/>
          </w:tcPr>
          <w:p>
            <w:pPr>
              <w:ind w:left="260"/>
              <w:spacing w:after="0"/>
              <w:rPr>
                <w:sz w:val="20"/>
                <w:szCs w:val="20"/>
                <w:color w:val="auto"/>
              </w:rPr>
            </w:pPr>
            <w:r>
              <w:rPr>
                <w:rFonts w:ascii="Arial" w:cs="Arial" w:eastAsia="Arial" w:hAnsi="Arial"/>
                <w:sz w:val="10"/>
                <w:szCs w:val="10"/>
                <w:color w:val="auto"/>
              </w:rPr>
              <w:t>forfeitures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280" w:type="dxa"/>
            <w:vAlign w:val="bottom"/>
          </w:tcPr>
          <w:p>
            <w:pPr>
              <w:ind w:left="260"/>
              <w:spacing w:after="0"/>
              <w:rPr>
                <w:sz w:val="20"/>
                <w:szCs w:val="20"/>
                <w:color w:val="auto"/>
              </w:rPr>
            </w:pPr>
            <w:r>
              <w:rPr>
                <w:rFonts w:ascii="Arial" w:cs="Arial" w:eastAsia="Arial" w:hAnsi="Arial"/>
                <w:sz w:val="10"/>
                <w:szCs w:val="10"/>
                <w:color w:val="auto"/>
              </w:rPr>
              <w:t>Equity reallocation between controlling and</w:t>
            </w: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33,309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(33,991)</w:t>
            </w:r>
          </w:p>
        </w:tc>
        <w:tc>
          <w:tcPr>
            <w:tcW w:w="60" w:type="dxa"/>
            <w:vAlign w:val="bottom"/>
          </w:tcPr>
          <w:p>
            <w:pPr>
              <w:spacing w:after="0"/>
              <w:rPr>
                <w:sz w:val="9"/>
                <w:szCs w:val="9"/>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(682)</w:t>
            </w:r>
          </w:p>
        </w:tc>
        <w:tc>
          <w:tcPr>
            <w:tcW w:w="0" w:type="dxa"/>
            <w:vAlign w:val="bottom"/>
          </w:tcPr>
          <w:p>
            <w:pPr>
              <w:spacing w:after="0"/>
              <w:rPr>
                <w:sz w:val="1"/>
                <w:szCs w:val="1"/>
                <w:color w:val="auto"/>
              </w:rPr>
            </w:pPr>
          </w:p>
        </w:tc>
      </w:tr>
      <w:tr>
        <w:trPr>
          <w:trHeight w:val="130"/>
        </w:trPr>
        <w:tc>
          <w:tcPr>
            <w:tcW w:w="2280" w:type="dxa"/>
            <w:vAlign w:val="bottom"/>
          </w:tcPr>
          <w:p>
            <w:pPr>
              <w:ind w:left="260"/>
              <w:spacing w:after="0"/>
              <w:rPr>
                <w:sz w:val="20"/>
                <w:szCs w:val="20"/>
                <w:color w:val="auto"/>
              </w:rPr>
            </w:pPr>
            <w:r>
              <w:rPr>
                <w:rFonts w:ascii="Arial" w:cs="Arial" w:eastAsia="Arial" w:hAnsi="Arial"/>
                <w:sz w:val="10"/>
                <w:szCs w:val="10"/>
                <w:color w:val="auto"/>
              </w:rPr>
              <w:t>non-controlling interests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280" w:type="dxa"/>
            <w:vAlign w:val="bottom"/>
          </w:tcPr>
          <w:p>
            <w:pPr>
              <w:ind w:left="260"/>
              <w:spacing w:after="0"/>
              <w:rPr>
                <w:sz w:val="20"/>
                <w:szCs w:val="20"/>
                <w:color w:val="auto"/>
              </w:rPr>
            </w:pPr>
            <w:r>
              <w:rPr>
                <w:rFonts w:ascii="Arial" w:cs="Arial" w:eastAsia="Arial" w:hAnsi="Arial"/>
                <w:sz w:val="10"/>
                <w:szCs w:val="10"/>
                <w:color w:val="auto"/>
              </w:rPr>
              <w:t>Capital increase related to equity-based</w:t>
            </w: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1,211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tcPr>
          <w:p>
            <w:pPr>
              <w:jc w:val="right"/>
              <w:ind w:right="13"/>
              <w:spacing w:after="0"/>
              <w:rPr>
                <w:sz w:val="20"/>
                <w:szCs w:val="20"/>
                <w:color w:val="auto"/>
              </w:rPr>
            </w:pPr>
            <w:r>
              <w:rPr>
                <w:rFonts w:ascii="Arial" w:cs="Arial" w:eastAsia="Arial" w:hAnsi="Arial"/>
                <w:sz w:val="10"/>
                <w:szCs w:val="10"/>
                <w:color w:val="auto"/>
              </w:rPr>
              <w:t>741</w:t>
            </w:r>
          </w:p>
        </w:tc>
        <w:tc>
          <w:tcPr>
            <w:tcW w:w="60" w:type="dxa"/>
            <w:vAlign w:val="bottom"/>
          </w:tcPr>
          <w:p>
            <w:pPr>
              <w:spacing w:after="0"/>
              <w:rPr>
                <w:sz w:val="9"/>
                <w:szCs w:val="9"/>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1,952</w:t>
            </w:r>
          </w:p>
        </w:tc>
        <w:tc>
          <w:tcPr>
            <w:tcW w:w="0" w:type="dxa"/>
            <w:vAlign w:val="bottom"/>
          </w:tcPr>
          <w:p>
            <w:pPr>
              <w:spacing w:after="0"/>
              <w:rPr>
                <w:sz w:val="1"/>
                <w:szCs w:val="1"/>
                <w:color w:val="auto"/>
              </w:rPr>
            </w:pPr>
          </w:p>
        </w:tc>
      </w:tr>
      <w:tr>
        <w:trPr>
          <w:trHeight w:val="130"/>
        </w:trPr>
        <w:tc>
          <w:tcPr>
            <w:tcW w:w="2280" w:type="dxa"/>
            <w:vAlign w:val="bottom"/>
          </w:tcPr>
          <w:p>
            <w:pPr>
              <w:ind w:left="260"/>
              <w:spacing w:after="0"/>
              <w:rPr>
                <w:sz w:val="20"/>
                <w:szCs w:val="20"/>
                <w:color w:val="auto"/>
              </w:rPr>
            </w:pPr>
            <w:r>
              <w:rPr>
                <w:rFonts w:ascii="Arial" w:cs="Arial" w:eastAsia="Arial" w:hAnsi="Arial"/>
                <w:sz w:val="10"/>
                <w:szCs w:val="10"/>
                <w:color w:val="auto"/>
              </w:rPr>
              <w:t>compensation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260"/>
              <w:spacing w:after="0"/>
              <w:rPr>
                <w:sz w:val="20"/>
                <w:szCs w:val="20"/>
                <w:color w:val="auto"/>
              </w:rPr>
            </w:pPr>
            <w:r>
              <w:rPr>
                <w:rFonts w:ascii="Arial" w:cs="Arial" w:eastAsia="Arial" w:hAnsi="Arial"/>
                <w:sz w:val="10"/>
                <w:szCs w:val="10"/>
                <w:color w:val="auto"/>
              </w:rPr>
              <w:t>Distributions declared</w:t>
            </w: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(2,981)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(3,848)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(16,543)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(10,113)</w:t>
            </w:r>
          </w:p>
        </w:tc>
        <w:tc>
          <w:tcPr>
            <w:tcW w:w="60" w:type="dxa"/>
            <w:vAlign w:val="bottom"/>
          </w:tcPr>
          <w:p>
            <w:pPr>
              <w:spacing w:after="0"/>
              <w:rPr>
                <w:sz w:val="12"/>
                <w:szCs w:val="12"/>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(33,485)</w:t>
            </w:r>
          </w:p>
        </w:tc>
        <w:tc>
          <w:tcPr>
            <w:tcW w:w="0" w:type="dxa"/>
            <w:vAlign w:val="bottom"/>
          </w:tcPr>
          <w:p>
            <w:pPr>
              <w:spacing w:after="0"/>
              <w:rPr>
                <w:sz w:val="1"/>
                <w:szCs w:val="1"/>
                <w:color w:val="auto"/>
              </w:rPr>
            </w:pPr>
          </w:p>
        </w:tc>
      </w:tr>
      <w:tr>
        <w:trPr>
          <w:trHeight w:val="138"/>
        </w:trPr>
        <w:tc>
          <w:tcPr>
            <w:tcW w:w="2280" w:type="dxa"/>
            <w:vAlign w:val="bottom"/>
          </w:tcPr>
          <w:p>
            <w:pPr>
              <w:ind w:left="26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2,981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3,848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(21,356)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(13,151)</w:t>
            </w:r>
          </w:p>
        </w:tc>
        <w:tc>
          <w:tcPr>
            <w:tcW w:w="6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(27,678)</w:t>
            </w:r>
          </w:p>
        </w:tc>
        <w:tc>
          <w:tcPr>
            <w:tcW w:w="0" w:type="dxa"/>
            <w:vAlign w:val="bottom"/>
          </w:tcPr>
          <w:p>
            <w:pPr>
              <w:spacing w:after="0"/>
              <w:rPr>
                <w:sz w:val="1"/>
                <w:szCs w:val="1"/>
                <w:color w:val="auto"/>
              </w:rPr>
            </w:pPr>
          </w:p>
        </w:tc>
      </w:tr>
      <w:tr>
        <w:trPr>
          <w:trHeight w:val="106"/>
        </w:trPr>
        <w:tc>
          <w:tcPr>
            <w:tcW w:w="2280" w:type="dxa"/>
            <w:vAlign w:val="bottom"/>
          </w:tcPr>
          <w:p>
            <w:pPr>
              <w:ind w:left="260"/>
              <w:spacing w:after="0" w:line="106" w:lineRule="exact"/>
              <w:rPr>
                <w:sz w:val="20"/>
                <w:szCs w:val="20"/>
                <w:color w:val="auto"/>
              </w:rPr>
            </w:pPr>
            <w:r>
              <w:rPr>
                <w:rFonts w:ascii="Arial" w:cs="Arial" w:eastAsia="Arial" w:hAnsi="Arial"/>
                <w:sz w:val="10"/>
                <w:szCs w:val="10"/>
                <w:color w:val="auto"/>
              </w:rPr>
              <w:t>Foreign currency translation adjustment, net</w:t>
            </w:r>
          </w:p>
        </w:tc>
        <w:tc>
          <w:tcPr>
            <w:tcW w:w="76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tcPr>
          <w:p>
            <w:pPr>
              <w:jc w:val="right"/>
              <w:ind w:right="12"/>
              <w:spacing w:after="0" w:line="106" w:lineRule="exact"/>
              <w:rPr>
                <w:sz w:val="20"/>
                <w:szCs w:val="20"/>
                <w:color w:val="auto"/>
              </w:rPr>
            </w:pPr>
            <w:r>
              <w:rPr>
                <w:rFonts w:ascii="Arial" w:cs="Arial" w:eastAsia="Arial" w:hAnsi="Arial"/>
                <w:sz w:val="10"/>
                <w:szCs w:val="10"/>
                <w:color w:val="auto"/>
              </w:rPr>
              <w:t>5,827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ind w:right="13"/>
              <w:spacing w:after="0" w:line="106" w:lineRule="exact"/>
              <w:rPr>
                <w:sz w:val="20"/>
                <w:szCs w:val="20"/>
                <w:color w:val="auto"/>
              </w:rPr>
            </w:pPr>
            <w:r>
              <w:rPr>
                <w:rFonts w:ascii="Arial" w:cs="Arial" w:eastAsia="Arial" w:hAnsi="Arial"/>
                <w:sz w:val="10"/>
                <w:szCs w:val="10"/>
                <w:color w:val="auto"/>
              </w:rPr>
              <w:t>3,562</w:t>
            </w:r>
          </w:p>
        </w:tc>
        <w:tc>
          <w:tcPr>
            <w:tcW w:w="60" w:type="dxa"/>
            <w:vAlign w:val="bottom"/>
          </w:tcPr>
          <w:p>
            <w:pPr>
              <w:spacing w:after="0"/>
              <w:rPr>
                <w:sz w:val="9"/>
                <w:szCs w:val="9"/>
                <w:color w:val="auto"/>
              </w:rPr>
            </w:pPr>
          </w:p>
        </w:tc>
        <w:tc>
          <w:tcPr>
            <w:tcW w:w="180" w:type="dxa"/>
            <w:vAlign w:val="bottom"/>
          </w:tcPr>
          <w:p>
            <w:pPr>
              <w:jc w:val="right"/>
              <w:ind w:right="51"/>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auto"/>
              </w:rPr>
              <w:t>9,389</w:t>
            </w:r>
          </w:p>
        </w:tc>
        <w:tc>
          <w:tcPr>
            <w:tcW w:w="0" w:type="dxa"/>
            <w:vAlign w:val="bottom"/>
          </w:tcPr>
          <w:p>
            <w:pPr>
              <w:spacing w:after="0"/>
              <w:rPr>
                <w:sz w:val="1"/>
                <w:szCs w:val="1"/>
                <w:color w:val="auto"/>
              </w:rPr>
            </w:pPr>
          </w:p>
        </w:tc>
      </w:tr>
      <w:tr>
        <w:trPr>
          <w:trHeight w:val="139"/>
        </w:trPr>
        <w:tc>
          <w:tcPr>
            <w:tcW w:w="2280" w:type="dxa"/>
            <w:vAlign w:val="bottom"/>
          </w:tcPr>
          <w:p>
            <w:pPr>
              <w:ind w:left="260"/>
              <w:spacing w:after="0"/>
              <w:rPr>
                <w:sz w:val="20"/>
                <w:szCs w:val="20"/>
                <w:color w:val="auto"/>
              </w:rPr>
            </w:pPr>
            <w:r>
              <w:rPr>
                <w:rFonts w:ascii="Arial" w:cs="Arial" w:eastAsia="Arial" w:hAnsi="Arial"/>
                <w:sz w:val="10"/>
                <w:szCs w:val="10"/>
                <w:color w:val="auto"/>
              </w:rPr>
              <w:t>of tax</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20"/>
                <w:szCs w:val="20"/>
                <w:color w:val="auto"/>
              </w:rPr>
            </w:pPr>
            <w:r>
              <w:rPr>
                <w:rFonts w:ascii="Arial" w:cs="Arial" w:eastAsia="Arial" w:hAnsi="Arial"/>
                <w:sz w:val="10"/>
                <w:szCs w:val="10"/>
                <w:color w:val="auto"/>
              </w:rPr>
              <w:t>Unitholders’ capital as of June 30, 2022</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103,080</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56,822</w:t>
            </w:r>
          </w:p>
        </w:tc>
        <w:tc>
          <w:tcPr>
            <w:tcW w:w="80" w:type="dxa"/>
            <w:vAlign w:val="bottom"/>
          </w:tcPr>
          <w:p>
            <w:pPr>
              <w:spacing w:after="0"/>
              <w:rPr>
                <w:sz w:val="10"/>
                <w:szCs w:val="10"/>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173,669</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jc w:val="right"/>
              <w:ind w:right="14"/>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226,915</w:t>
            </w:r>
          </w:p>
        </w:tc>
        <w:tc>
          <w:tcPr>
            <w:tcW w:w="60" w:type="dxa"/>
            <w:vAlign w:val="bottom"/>
          </w:tcPr>
          <w:p>
            <w:pPr>
              <w:spacing w:after="0"/>
              <w:rPr>
                <w:sz w:val="10"/>
                <w:szCs w:val="10"/>
                <w:color w:val="auto"/>
              </w:rPr>
            </w:pPr>
          </w:p>
        </w:tc>
        <w:tc>
          <w:tcPr>
            <w:tcW w:w="14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1,173,557</w:t>
            </w:r>
          </w:p>
        </w:tc>
        <w:tc>
          <w:tcPr>
            <w:tcW w:w="80" w:type="dxa"/>
            <w:vAlign w:val="bottom"/>
          </w:tcPr>
          <w:p>
            <w:pPr>
              <w:spacing w:after="0"/>
              <w:rPr>
                <w:sz w:val="10"/>
                <w:szCs w:val="10"/>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128,154</w:t>
            </w:r>
          </w:p>
        </w:tc>
        <w:tc>
          <w:tcPr>
            <w:tcW w:w="8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2,126</w:t>
            </w:r>
          </w:p>
        </w:tc>
        <w:tc>
          <w:tcPr>
            <w:tcW w:w="8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485,353</w:t>
            </w:r>
          </w:p>
        </w:tc>
        <w:tc>
          <w:tcPr>
            <w:tcW w:w="60" w:type="dxa"/>
            <w:vAlign w:val="bottom"/>
          </w:tcPr>
          <w:p>
            <w:pPr>
              <w:spacing w:after="0"/>
              <w:rPr>
                <w:sz w:val="10"/>
                <w:szCs w:val="10"/>
                <w:color w:val="auto"/>
              </w:rPr>
            </w:pPr>
          </w:p>
        </w:tc>
        <w:tc>
          <w:tcPr>
            <w:tcW w:w="1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2,189,774</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2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8"/>
          </w:tcPr>
          <w:p>
            <w:pPr>
              <w:spacing w:after="0"/>
              <w:rPr>
                <w:sz w:val="20"/>
                <w:szCs w:val="20"/>
                <w:color w:val="auto"/>
              </w:rPr>
            </w:pPr>
            <w:r>
              <w:rPr>
                <w:rFonts w:ascii="Arial" w:cs="Arial" w:eastAsia="Arial" w:hAnsi="Arial"/>
                <w:sz w:val="8"/>
                <w:szCs w:val="8"/>
                <w:b w:val="1"/>
                <w:bCs w:val="1"/>
                <w:color w:val="auto"/>
              </w:rPr>
              <w:t>Oaktree Capital Group, LLC</w:t>
            </w: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Retained Earnings</w:t>
            </w: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8"/>
                <w:szCs w:val="8"/>
                <w:b w:val="1"/>
                <w:bCs w:val="1"/>
                <w:color w:val="auto"/>
              </w:rPr>
              <w:t>Accumulated Other</w:t>
            </w:r>
          </w:p>
        </w:tc>
        <w:tc>
          <w:tcPr>
            <w:tcW w:w="80" w:type="dxa"/>
            <w:vAlign w:val="bottom"/>
          </w:tcPr>
          <w:p>
            <w:pPr>
              <w:spacing w:after="0"/>
              <w:rPr>
                <w:sz w:val="9"/>
                <w:szCs w:val="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Non-controlling</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center"/>
              <w:ind w:right="51"/>
              <w:spacing w:after="0"/>
              <w:rPr>
                <w:sz w:val="20"/>
                <w:szCs w:val="20"/>
                <w:color w:val="auto"/>
              </w:rPr>
            </w:pPr>
            <w:r>
              <w:rPr>
                <w:rFonts w:ascii="Arial" w:cs="Arial" w:eastAsia="Arial" w:hAnsi="Arial"/>
                <w:sz w:val="8"/>
                <w:szCs w:val="8"/>
                <w:b w:val="1"/>
                <w:bCs w:val="1"/>
                <w:color w:val="auto"/>
              </w:rPr>
              <w:t>Series A</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rPr>
              <w:t>Series B</w:t>
            </w: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160"/>
              <w:spacing w:after="0" w:line="85" w:lineRule="exact"/>
              <w:rPr>
                <w:sz w:val="20"/>
                <w:szCs w:val="20"/>
                <w:color w:val="auto"/>
              </w:rPr>
            </w:pPr>
            <w:r>
              <w:rPr>
                <w:rFonts w:ascii="Arial" w:cs="Arial" w:eastAsia="Arial" w:hAnsi="Arial"/>
                <w:sz w:val="8"/>
                <w:szCs w:val="8"/>
                <w:b w:val="1"/>
                <w:bCs w:val="1"/>
                <w:color w:val="auto"/>
              </w:rPr>
              <w:t>Interests in</w:t>
            </w:r>
          </w:p>
        </w:tc>
        <w:tc>
          <w:tcPr>
            <w:tcW w:w="840" w:type="dxa"/>
            <w:vAlign w:val="bottom"/>
            <w:gridSpan w:val="2"/>
            <w:vMerge w:val="restart"/>
          </w:tcPr>
          <w:p>
            <w:pPr>
              <w:jc w:val="center"/>
              <w:spacing w:after="0"/>
              <w:rPr>
                <w:sz w:val="20"/>
                <w:szCs w:val="20"/>
                <w:color w:val="auto"/>
              </w:rPr>
            </w:pPr>
            <w:r>
              <w:rPr>
                <w:rFonts w:ascii="Arial" w:cs="Arial" w:eastAsia="Arial" w:hAnsi="Arial"/>
                <w:sz w:val="8"/>
                <w:szCs w:val="8"/>
                <w:b w:val="1"/>
                <w:bCs w:val="1"/>
                <w:color w:val="auto"/>
              </w:rPr>
              <w:t>Total Unitholders’</w:t>
            </w:r>
          </w:p>
        </w:tc>
        <w:tc>
          <w:tcPr>
            <w:tcW w:w="0" w:type="dxa"/>
            <w:vAlign w:val="bottom"/>
          </w:tcPr>
          <w:p>
            <w:pPr>
              <w:spacing w:after="0"/>
              <w:rPr>
                <w:sz w:val="1"/>
                <w:szCs w:val="1"/>
                <w:color w:val="auto"/>
              </w:rPr>
            </w:pPr>
          </w:p>
        </w:tc>
      </w:tr>
      <w:tr>
        <w:trPr>
          <w:trHeight w:val="85"/>
        </w:trPr>
        <w:tc>
          <w:tcPr>
            <w:tcW w:w="2280" w:type="dxa"/>
            <w:vAlign w:val="bottom"/>
          </w:tcPr>
          <w:p>
            <w:pPr>
              <w:spacing w:after="0"/>
              <w:rPr>
                <w:sz w:val="7"/>
                <w:szCs w:val="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8"/>
                <w:szCs w:val="8"/>
                <w:b w:val="1"/>
                <w:bCs w:val="1"/>
                <w:color w:val="auto"/>
              </w:rPr>
              <w:t>Class A Units</w:t>
            </w:r>
          </w:p>
        </w:tc>
        <w:tc>
          <w:tcPr>
            <w:tcW w:w="80" w:type="dxa"/>
            <w:vAlign w:val="bottom"/>
            <w:vMerge w:val="restart"/>
          </w:tcPr>
          <w:p>
            <w:pPr>
              <w:spacing w:after="0"/>
              <w:rPr>
                <w:sz w:val="7"/>
                <w:szCs w:val="7"/>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8"/>
                <w:szCs w:val="8"/>
                <w:b w:val="1"/>
                <w:bCs w:val="1"/>
                <w:color w:val="auto"/>
              </w:rPr>
              <w:t>Class B Units</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gridSpan w:val="2"/>
            <w:vMerge w:val="restart"/>
          </w:tcPr>
          <w:p>
            <w:pPr>
              <w:jc w:val="right"/>
              <w:ind w:right="11"/>
              <w:spacing w:after="0"/>
              <w:rPr>
                <w:sz w:val="20"/>
                <w:szCs w:val="20"/>
                <w:color w:val="auto"/>
              </w:rPr>
            </w:pPr>
            <w:r>
              <w:rPr>
                <w:rFonts w:ascii="Arial" w:cs="Arial" w:eastAsia="Arial" w:hAnsi="Arial"/>
                <w:sz w:val="8"/>
                <w:szCs w:val="8"/>
                <w:b w:val="1"/>
                <w:bCs w:val="1"/>
                <w:color w:val="auto"/>
              </w:rPr>
              <w:t>Paid-in Capital</w:t>
            </w:r>
          </w:p>
        </w:tc>
        <w:tc>
          <w:tcPr>
            <w:tcW w:w="8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7"/>
                <w:szCs w:val="7"/>
                <w:color w:val="auto"/>
              </w:rPr>
            </w:pPr>
          </w:p>
        </w:tc>
        <w:tc>
          <w:tcPr>
            <w:tcW w:w="84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Comprehensive</w:t>
            </w:r>
          </w:p>
        </w:tc>
        <w:tc>
          <w:tcPr>
            <w:tcW w:w="80" w:type="dxa"/>
            <w:vAlign w:val="bottom"/>
          </w:tcPr>
          <w:p>
            <w:pPr>
              <w:spacing w:after="0"/>
              <w:rPr>
                <w:sz w:val="7"/>
                <w:szCs w:val="7"/>
                <w:color w:val="auto"/>
              </w:rPr>
            </w:pPr>
          </w:p>
        </w:tc>
        <w:tc>
          <w:tcPr>
            <w:tcW w:w="820" w:type="dxa"/>
            <w:vAlign w:val="bottom"/>
            <w:gridSpan w:val="2"/>
          </w:tcPr>
          <w:p>
            <w:pPr>
              <w:jc w:val="center"/>
              <w:ind w:right="160"/>
              <w:spacing w:after="0" w:line="85" w:lineRule="exact"/>
              <w:rPr>
                <w:sz w:val="20"/>
                <w:szCs w:val="20"/>
                <w:color w:val="auto"/>
              </w:rPr>
            </w:pPr>
            <w:r>
              <w:rPr>
                <w:rFonts w:ascii="Arial" w:cs="Arial" w:eastAsia="Arial" w:hAnsi="Arial"/>
                <w:sz w:val="8"/>
                <w:szCs w:val="8"/>
                <w:b w:val="1"/>
                <w:bCs w:val="1"/>
                <w:color w:val="auto"/>
              </w:rPr>
              <w:t>Consolidated</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rPr>
              <w:t>Preferred Units</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rPr>
              <w:t>Preferred Units</w:t>
            </w:r>
          </w:p>
        </w:tc>
        <w:tc>
          <w:tcPr>
            <w:tcW w:w="60" w:type="dxa"/>
            <w:vAlign w:val="bottom"/>
          </w:tcPr>
          <w:p>
            <w:pPr>
              <w:spacing w:after="0"/>
              <w:rPr>
                <w:sz w:val="10"/>
                <w:szCs w:val="10"/>
                <w:color w:val="auto"/>
              </w:rPr>
            </w:pPr>
          </w:p>
        </w:tc>
        <w:tc>
          <w:tcPr>
            <w:tcW w:w="70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52"/>
              <w:spacing w:after="0"/>
              <w:rPr>
                <w:sz w:val="20"/>
                <w:szCs w:val="20"/>
                <w:color w:val="auto"/>
              </w:rPr>
            </w:pPr>
            <w:r>
              <w:rPr>
                <w:rFonts w:ascii="Arial" w:cs="Arial" w:eastAsia="Arial" w:hAnsi="Arial"/>
                <w:sz w:val="8"/>
                <w:szCs w:val="8"/>
                <w:b w:val="1"/>
                <w:bCs w:val="1"/>
                <w:color w:val="auto"/>
              </w:rPr>
              <w:t>Deficit)</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52"/>
              <w:spacing w:after="0"/>
              <w:rPr>
                <w:sz w:val="20"/>
                <w:szCs w:val="20"/>
                <w:color w:val="auto"/>
              </w:rPr>
            </w:pPr>
            <w:r>
              <w:rPr>
                <w:rFonts w:ascii="Arial" w:cs="Arial" w:eastAsia="Arial" w:hAnsi="Arial"/>
                <w:sz w:val="8"/>
                <w:szCs w:val="8"/>
                <w:b w:val="1"/>
                <w:bCs w:val="1"/>
                <w:color w:val="auto"/>
              </w:rPr>
              <w:t>Income (Loss)</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8"/>
                <w:szCs w:val="8"/>
                <w:b w:val="1"/>
                <w:bCs w:val="1"/>
                <w:color w:val="auto"/>
              </w:rPr>
              <w:t>Subsidiaries</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131"/>
              <w:spacing w:after="0"/>
              <w:rPr>
                <w:sz w:val="20"/>
                <w:szCs w:val="20"/>
                <w:color w:val="auto"/>
              </w:rPr>
            </w:pPr>
            <w:r>
              <w:rPr>
                <w:rFonts w:ascii="Arial" w:cs="Arial" w:eastAsia="Arial" w:hAnsi="Arial"/>
                <w:sz w:val="8"/>
                <w:szCs w:val="8"/>
                <w:b w:val="1"/>
                <w:bCs w:val="1"/>
                <w:color w:val="auto"/>
              </w:rPr>
              <w:t>Capital</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0"/>
                <w:szCs w:val="10"/>
                <w:color w:val="auto"/>
              </w:rPr>
              <w:t>Unitholders’ capital as of December 31, 2021</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99,137</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60,783</w:t>
            </w:r>
          </w:p>
        </w:tc>
        <w:tc>
          <w:tcPr>
            <w:tcW w:w="8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173,669</w:t>
            </w:r>
          </w:p>
        </w:tc>
        <w:tc>
          <w:tcPr>
            <w:tcW w:w="200" w:type="dxa"/>
            <w:vAlign w:val="bottom"/>
            <w:gridSpan w:val="3"/>
          </w:tcPr>
          <w:p>
            <w:pPr>
              <w:jc w:val="right"/>
              <w:ind w:right="14"/>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226,915</w:t>
            </w:r>
          </w:p>
        </w:tc>
        <w:tc>
          <w:tcPr>
            <w:tcW w:w="60" w:type="dxa"/>
            <w:vAlign w:val="bottom"/>
          </w:tcPr>
          <w:p>
            <w:pPr>
              <w:spacing w:after="0"/>
              <w:rPr>
                <w:sz w:val="13"/>
                <w:szCs w:val="13"/>
                <w:color w:val="auto"/>
              </w:rPr>
            </w:pPr>
          </w:p>
        </w:tc>
        <w:tc>
          <w:tcPr>
            <w:tcW w:w="140" w:type="dxa"/>
            <w:vAlign w:val="bottom"/>
          </w:tcPr>
          <w:p>
            <w:pPr>
              <w:jc w:val="right"/>
              <w:ind w:right="13"/>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1,011,333</w:t>
            </w: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251,791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(3,334)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3"/>
              <w:spacing w:after="0"/>
              <w:rPr>
                <w:sz w:val="20"/>
                <w:szCs w:val="20"/>
                <w:color w:val="auto"/>
              </w:rPr>
            </w:pPr>
            <w:r>
              <w:rPr>
                <w:rFonts w:ascii="Arial" w:cs="Arial" w:eastAsia="Arial" w:hAnsi="Arial"/>
                <w:sz w:val="10"/>
                <w:szCs w:val="10"/>
                <w:color w:val="auto"/>
              </w:rPr>
              <w:t>612,228</w:t>
            </w:r>
          </w:p>
        </w:tc>
        <w:tc>
          <w:tcPr>
            <w:tcW w:w="60" w:type="dxa"/>
            <w:vAlign w:val="bottom"/>
          </w:tcPr>
          <w:p>
            <w:pPr>
              <w:spacing w:after="0"/>
              <w:rPr>
                <w:sz w:val="13"/>
                <w:szCs w:val="13"/>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2,272,602</w:t>
            </w:r>
          </w:p>
        </w:tc>
        <w:tc>
          <w:tcPr>
            <w:tcW w:w="0" w:type="dxa"/>
            <w:vAlign w:val="bottom"/>
          </w:tcPr>
          <w:p>
            <w:pPr>
              <w:spacing w:after="0"/>
              <w:rPr>
                <w:sz w:val="1"/>
                <w:szCs w:val="1"/>
                <w:color w:val="auto"/>
              </w:rPr>
            </w:pPr>
          </w:p>
        </w:tc>
      </w:tr>
      <w:tr>
        <w:trPr>
          <w:trHeight w:val="138"/>
        </w:trPr>
        <w:tc>
          <w:tcPr>
            <w:tcW w:w="2280" w:type="dxa"/>
            <w:vAlign w:val="bottom"/>
          </w:tcPr>
          <w:p>
            <w:pPr>
              <w:spacing w:after="0"/>
              <w:rPr>
                <w:sz w:val="20"/>
                <w:szCs w:val="20"/>
                <w:color w:val="auto"/>
              </w:rPr>
            </w:pPr>
            <w:r>
              <w:rPr>
                <w:rFonts w:ascii="Arial" w:cs="Arial" w:eastAsia="Arial" w:hAnsi="Arial"/>
                <w:sz w:val="10"/>
                <w:szCs w:val="10"/>
                <w:color w:val="auto"/>
              </w:rPr>
              <w:t>Activity for the six months ended: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80" w:type="dxa"/>
            <w:vAlign w:val="bottom"/>
          </w:tcPr>
          <w:p>
            <w:pPr>
              <w:ind w:left="260"/>
              <w:spacing w:after="0"/>
              <w:rPr>
                <w:sz w:val="20"/>
                <w:szCs w:val="20"/>
                <w:color w:val="auto"/>
              </w:rPr>
            </w:pPr>
            <w:r>
              <w:rPr>
                <w:rFonts w:ascii="Arial" w:cs="Arial" w:eastAsia="Arial" w:hAnsi="Arial"/>
                <w:sz w:val="10"/>
                <w:szCs w:val="10"/>
                <w:color w:val="auto"/>
              </w:rPr>
              <w:t>Net issuance of units</w:t>
            </w: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2280" w:type="dxa"/>
            <w:vAlign w:val="bottom"/>
          </w:tcPr>
          <w:p>
            <w:pPr>
              <w:ind w:left="260"/>
              <w:spacing w:after="0"/>
              <w:rPr>
                <w:sz w:val="20"/>
                <w:szCs w:val="20"/>
                <w:color w:val="auto"/>
              </w:rPr>
            </w:pPr>
            <w:r>
              <w:rPr>
                <w:rFonts w:ascii="Arial" w:cs="Arial" w:eastAsia="Arial" w:hAnsi="Arial"/>
                <w:sz w:val="10"/>
                <w:szCs w:val="10"/>
                <w:color w:val="auto"/>
              </w:rPr>
              <w:t>Unit exchange</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3,943</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(3,943)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280" w:type="dxa"/>
            <w:vAlign w:val="bottom"/>
          </w:tcPr>
          <w:p>
            <w:pPr>
              <w:ind w:left="260"/>
              <w:spacing w:after="0" w:line="106" w:lineRule="exact"/>
              <w:rPr>
                <w:sz w:val="20"/>
                <w:szCs w:val="20"/>
                <w:color w:val="auto"/>
              </w:rPr>
            </w:pPr>
            <w:r>
              <w:rPr>
                <w:rFonts w:ascii="Arial" w:cs="Arial" w:eastAsia="Arial" w:hAnsi="Arial"/>
                <w:sz w:val="10"/>
                <w:szCs w:val="10"/>
                <w:color w:val="auto"/>
              </w:rPr>
              <w:t>Cancellation of units associated with</w:t>
            </w:r>
          </w:p>
        </w:tc>
        <w:tc>
          <w:tcPr>
            <w:tcW w:w="76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spacing w:after="0" w:line="106" w:lineRule="exact"/>
              <w:rPr>
                <w:sz w:val="20"/>
                <w:szCs w:val="20"/>
                <w:color w:val="auto"/>
              </w:rPr>
            </w:pPr>
            <w:r>
              <w:rPr>
                <w:rFonts w:ascii="Arial" w:cs="Arial" w:eastAsia="Arial" w:hAnsi="Arial"/>
                <w:sz w:val="10"/>
                <w:szCs w:val="10"/>
                <w:color w:val="auto"/>
              </w:rPr>
              <w:t>(21)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4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2280" w:type="dxa"/>
            <w:vAlign w:val="bottom"/>
          </w:tcPr>
          <w:p>
            <w:pPr>
              <w:ind w:left="260"/>
              <w:spacing w:after="0"/>
              <w:rPr>
                <w:sz w:val="20"/>
                <w:szCs w:val="20"/>
                <w:color w:val="auto"/>
              </w:rPr>
            </w:pPr>
            <w:r>
              <w:rPr>
                <w:rFonts w:ascii="Arial" w:cs="Arial" w:eastAsia="Arial" w:hAnsi="Arial"/>
                <w:sz w:val="10"/>
                <w:szCs w:val="10"/>
                <w:color w:val="auto"/>
              </w:rPr>
              <w:t>forfeitures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260"/>
              <w:spacing w:after="0"/>
              <w:rPr>
                <w:sz w:val="20"/>
                <w:szCs w:val="20"/>
                <w:color w:val="auto"/>
              </w:rPr>
            </w:pPr>
            <w:r>
              <w:rPr>
                <w:rFonts w:ascii="Arial" w:cs="Arial" w:eastAsia="Arial" w:hAnsi="Arial"/>
                <w:sz w:val="10"/>
                <w:szCs w:val="10"/>
                <w:color w:val="auto"/>
              </w:rPr>
              <w:t>Capital contributions</w:t>
            </w: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112,500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112,500</w:t>
            </w:r>
          </w:p>
        </w:tc>
        <w:tc>
          <w:tcPr>
            <w:tcW w:w="0" w:type="dxa"/>
            <w:vAlign w:val="bottom"/>
          </w:tcPr>
          <w:p>
            <w:pPr>
              <w:spacing w:after="0"/>
              <w:rPr>
                <w:sz w:val="1"/>
                <w:szCs w:val="1"/>
                <w:color w:val="auto"/>
              </w:rPr>
            </w:pPr>
          </w:p>
        </w:tc>
      </w:tr>
      <w:tr>
        <w:trPr>
          <w:trHeight w:val="106"/>
        </w:trPr>
        <w:tc>
          <w:tcPr>
            <w:tcW w:w="2280" w:type="dxa"/>
            <w:vAlign w:val="bottom"/>
          </w:tcPr>
          <w:p>
            <w:pPr>
              <w:ind w:left="260"/>
              <w:spacing w:after="0" w:line="106" w:lineRule="exact"/>
              <w:rPr>
                <w:sz w:val="20"/>
                <w:szCs w:val="20"/>
                <w:color w:val="auto"/>
              </w:rPr>
            </w:pPr>
            <w:r>
              <w:rPr>
                <w:rFonts w:ascii="Arial" w:cs="Arial" w:eastAsia="Arial" w:hAnsi="Arial"/>
                <w:sz w:val="10"/>
                <w:szCs w:val="10"/>
                <w:color w:val="auto"/>
              </w:rPr>
              <w:t>Equity reallocation between controlling and</w:t>
            </w:r>
          </w:p>
        </w:tc>
        <w:tc>
          <w:tcPr>
            <w:tcW w:w="76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47,584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4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tcPr>
          <w:p>
            <w:pPr>
              <w:jc w:val="right"/>
              <w:spacing w:after="0" w:line="106" w:lineRule="exact"/>
              <w:rPr>
                <w:sz w:val="20"/>
                <w:szCs w:val="20"/>
                <w:color w:val="auto"/>
              </w:rPr>
            </w:pPr>
            <w:r>
              <w:rPr>
                <w:rFonts w:ascii="Arial" w:cs="Arial" w:eastAsia="Arial" w:hAnsi="Arial"/>
                <w:sz w:val="10"/>
                <w:szCs w:val="10"/>
                <w:color w:val="auto"/>
              </w:rPr>
              <w:t>(49,555)</w:t>
            </w:r>
          </w:p>
        </w:tc>
        <w:tc>
          <w:tcPr>
            <w:tcW w:w="60" w:type="dxa"/>
            <w:vAlign w:val="bottom"/>
          </w:tcPr>
          <w:p>
            <w:pPr>
              <w:spacing w:after="0"/>
              <w:rPr>
                <w:sz w:val="9"/>
                <w:szCs w:val="9"/>
                <w:color w:val="auto"/>
              </w:rPr>
            </w:pPr>
          </w:p>
        </w:tc>
        <w:tc>
          <w:tcPr>
            <w:tcW w:w="180" w:type="dxa"/>
            <w:vAlign w:val="bottom"/>
          </w:tcPr>
          <w:p>
            <w:pPr>
              <w:jc w:val="right"/>
              <w:ind w:right="51"/>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auto"/>
              </w:rPr>
              <w:t>(1,971)</w:t>
            </w:r>
          </w:p>
        </w:tc>
        <w:tc>
          <w:tcPr>
            <w:tcW w:w="0" w:type="dxa"/>
            <w:vAlign w:val="bottom"/>
          </w:tcPr>
          <w:p>
            <w:pPr>
              <w:spacing w:after="0"/>
              <w:rPr>
                <w:sz w:val="1"/>
                <w:szCs w:val="1"/>
                <w:color w:val="auto"/>
              </w:rPr>
            </w:pPr>
          </w:p>
        </w:tc>
      </w:tr>
      <w:tr>
        <w:trPr>
          <w:trHeight w:val="130"/>
        </w:trPr>
        <w:tc>
          <w:tcPr>
            <w:tcW w:w="2280" w:type="dxa"/>
            <w:vAlign w:val="bottom"/>
          </w:tcPr>
          <w:p>
            <w:pPr>
              <w:ind w:left="260"/>
              <w:spacing w:after="0"/>
              <w:rPr>
                <w:sz w:val="20"/>
                <w:szCs w:val="20"/>
                <w:color w:val="auto"/>
              </w:rPr>
            </w:pPr>
            <w:r>
              <w:rPr>
                <w:rFonts w:ascii="Arial" w:cs="Arial" w:eastAsia="Arial" w:hAnsi="Arial"/>
                <w:sz w:val="10"/>
                <w:szCs w:val="10"/>
                <w:color w:val="auto"/>
              </w:rPr>
              <w:t>non-controlling interests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280" w:type="dxa"/>
            <w:vAlign w:val="bottom"/>
          </w:tcPr>
          <w:p>
            <w:pPr>
              <w:ind w:left="260"/>
              <w:spacing w:after="0"/>
              <w:rPr>
                <w:sz w:val="20"/>
                <w:szCs w:val="20"/>
                <w:color w:val="auto"/>
              </w:rPr>
            </w:pPr>
            <w:r>
              <w:rPr>
                <w:rFonts w:ascii="Arial" w:cs="Arial" w:eastAsia="Arial" w:hAnsi="Arial"/>
                <w:sz w:val="10"/>
                <w:szCs w:val="10"/>
                <w:color w:val="auto"/>
              </w:rPr>
              <w:t>Capital increase related to equity-based</w:t>
            </w: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2,140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tcPr>
          <w:p>
            <w:pPr>
              <w:jc w:val="right"/>
              <w:ind w:right="13"/>
              <w:spacing w:after="0"/>
              <w:rPr>
                <w:sz w:val="20"/>
                <w:szCs w:val="20"/>
                <w:color w:val="auto"/>
              </w:rPr>
            </w:pPr>
            <w:r>
              <w:rPr>
                <w:rFonts w:ascii="Arial" w:cs="Arial" w:eastAsia="Arial" w:hAnsi="Arial"/>
                <w:sz w:val="10"/>
                <w:szCs w:val="10"/>
                <w:color w:val="auto"/>
              </w:rPr>
              <w:t>1,310</w:t>
            </w:r>
          </w:p>
        </w:tc>
        <w:tc>
          <w:tcPr>
            <w:tcW w:w="60" w:type="dxa"/>
            <w:vAlign w:val="bottom"/>
          </w:tcPr>
          <w:p>
            <w:pPr>
              <w:spacing w:after="0"/>
              <w:rPr>
                <w:sz w:val="9"/>
                <w:szCs w:val="9"/>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3,450</w:t>
            </w:r>
          </w:p>
        </w:tc>
        <w:tc>
          <w:tcPr>
            <w:tcW w:w="0" w:type="dxa"/>
            <w:vAlign w:val="bottom"/>
          </w:tcPr>
          <w:p>
            <w:pPr>
              <w:spacing w:after="0"/>
              <w:rPr>
                <w:sz w:val="1"/>
                <w:szCs w:val="1"/>
                <w:color w:val="auto"/>
              </w:rPr>
            </w:pPr>
          </w:p>
        </w:tc>
      </w:tr>
      <w:tr>
        <w:trPr>
          <w:trHeight w:val="130"/>
        </w:trPr>
        <w:tc>
          <w:tcPr>
            <w:tcW w:w="2280" w:type="dxa"/>
            <w:vAlign w:val="bottom"/>
          </w:tcPr>
          <w:p>
            <w:pPr>
              <w:ind w:left="260"/>
              <w:spacing w:after="0"/>
              <w:rPr>
                <w:sz w:val="20"/>
                <w:szCs w:val="20"/>
                <w:color w:val="auto"/>
              </w:rPr>
            </w:pPr>
            <w:r>
              <w:rPr>
                <w:rFonts w:ascii="Arial" w:cs="Arial" w:eastAsia="Arial" w:hAnsi="Arial"/>
                <w:sz w:val="10"/>
                <w:szCs w:val="10"/>
                <w:color w:val="auto"/>
              </w:rPr>
              <w:t>compensation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260"/>
              <w:spacing w:after="0"/>
              <w:rPr>
                <w:sz w:val="20"/>
                <w:szCs w:val="20"/>
                <w:color w:val="auto"/>
              </w:rPr>
            </w:pPr>
            <w:r>
              <w:rPr>
                <w:rFonts w:ascii="Arial" w:cs="Arial" w:eastAsia="Arial" w:hAnsi="Arial"/>
                <w:sz w:val="10"/>
                <w:szCs w:val="10"/>
                <w:color w:val="auto"/>
              </w:rPr>
              <w:t>Distributions declared</w:t>
            </w: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(5,962)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(7,696)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(113,134)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(65,813)</w:t>
            </w:r>
          </w:p>
        </w:tc>
        <w:tc>
          <w:tcPr>
            <w:tcW w:w="60" w:type="dxa"/>
            <w:vAlign w:val="bottom"/>
          </w:tcPr>
          <w:p>
            <w:pPr>
              <w:spacing w:after="0"/>
              <w:rPr>
                <w:sz w:val="12"/>
                <w:szCs w:val="12"/>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(192,605)</w:t>
            </w:r>
          </w:p>
        </w:tc>
        <w:tc>
          <w:tcPr>
            <w:tcW w:w="0" w:type="dxa"/>
            <w:vAlign w:val="bottom"/>
          </w:tcPr>
          <w:p>
            <w:pPr>
              <w:spacing w:after="0"/>
              <w:rPr>
                <w:sz w:val="1"/>
                <w:szCs w:val="1"/>
                <w:color w:val="auto"/>
              </w:rPr>
            </w:pPr>
          </w:p>
        </w:tc>
      </w:tr>
      <w:tr>
        <w:trPr>
          <w:trHeight w:val="138"/>
        </w:trPr>
        <w:tc>
          <w:tcPr>
            <w:tcW w:w="2280" w:type="dxa"/>
            <w:vAlign w:val="bottom"/>
          </w:tcPr>
          <w:p>
            <w:pPr>
              <w:ind w:left="26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5,962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7,696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(10,503)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(16,153)</w:t>
            </w:r>
          </w:p>
        </w:tc>
        <w:tc>
          <w:tcPr>
            <w:tcW w:w="6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(12,998)</w:t>
            </w:r>
          </w:p>
        </w:tc>
        <w:tc>
          <w:tcPr>
            <w:tcW w:w="0" w:type="dxa"/>
            <w:vAlign w:val="bottom"/>
          </w:tcPr>
          <w:p>
            <w:pPr>
              <w:spacing w:after="0"/>
              <w:rPr>
                <w:sz w:val="1"/>
                <w:szCs w:val="1"/>
                <w:color w:val="auto"/>
              </w:rPr>
            </w:pPr>
          </w:p>
        </w:tc>
      </w:tr>
      <w:tr>
        <w:trPr>
          <w:trHeight w:val="106"/>
        </w:trPr>
        <w:tc>
          <w:tcPr>
            <w:tcW w:w="2280" w:type="dxa"/>
            <w:vAlign w:val="bottom"/>
          </w:tcPr>
          <w:p>
            <w:pPr>
              <w:ind w:left="260"/>
              <w:spacing w:after="0" w:line="106" w:lineRule="exact"/>
              <w:rPr>
                <w:sz w:val="20"/>
                <w:szCs w:val="20"/>
                <w:color w:val="auto"/>
              </w:rPr>
            </w:pPr>
            <w:r>
              <w:rPr>
                <w:rFonts w:ascii="Arial" w:cs="Arial" w:eastAsia="Arial" w:hAnsi="Arial"/>
                <w:sz w:val="10"/>
                <w:szCs w:val="10"/>
                <w:color w:val="auto"/>
              </w:rPr>
              <w:t>Foreign currency translation adjustment, net</w:t>
            </w:r>
          </w:p>
        </w:tc>
        <w:tc>
          <w:tcPr>
            <w:tcW w:w="76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8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tcPr>
          <w:p>
            <w:pPr>
              <w:jc w:val="right"/>
              <w:ind w:right="12"/>
              <w:spacing w:after="0" w:line="106" w:lineRule="exact"/>
              <w:rPr>
                <w:sz w:val="20"/>
                <w:szCs w:val="20"/>
                <w:color w:val="auto"/>
              </w:rPr>
            </w:pPr>
            <w:r>
              <w:rPr>
                <w:rFonts w:ascii="Arial" w:cs="Arial" w:eastAsia="Arial" w:hAnsi="Arial"/>
                <w:sz w:val="10"/>
                <w:szCs w:val="10"/>
                <w:color w:val="auto"/>
              </w:rPr>
              <w:t>5,460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ind w:right="13"/>
              <w:spacing w:after="0" w:line="106" w:lineRule="exact"/>
              <w:rPr>
                <w:sz w:val="20"/>
                <w:szCs w:val="20"/>
                <w:color w:val="auto"/>
              </w:rPr>
            </w:pPr>
            <w:r>
              <w:rPr>
                <w:rFonts w:ascii="Arial" w:cs="Arial" w:eastAsia="Arial" w:hAnsi="Arial"/>
                <w:sz w:val="10"/>
                <w:szCs w:val="10"/>
                <w:color w:val="auto"/>
              </w:rPr>
              <w:t>3,336</w:t>
            </w:r>
          </w:p>
        </w:tc>
        <w:tc>
          <w:tcPr>
            <w:tcW w:w="60" w:type="dxa"/>
            <w:vAlign w:val="bottom"/>
          </w:tcPr>
          <w:p>
            <w:pPr>
              <w:spacing w:after="0"/>
              <w:rPr>
                <w:sz w:val="9"/>
                <w:szCs w:val="9"/>
                <w:color w:val="auto"/>
              </w:rPr>
            </w:pPr>
          </w:p>
        </w:tc>
        <w:tc>
          <w:tcPr>
            <w:tcW w:w="180" w:type="dxa"/>
            <w:vAlign w:val="bottom"/>
          </w:tcPr>
          <w:p>
            <w:pPr>
              <w:jc w:val="right"/>
              <w:ind w:right="51"/>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auto"/>
              </w:rPr>
              <w:t>8,796</w:t>
            </w:r>
          </w:p>
        </w:tc>
        <w:tc>
          <w:tcPr>
            <w:tcW w:w="0" w:type="dxa"/>
            <w:vAlign w:val="bottom"/>
          </w:tcPr>
          <w:p>
            <w:pPr>
              <w:spacing w:after="0"/>
              <w:rPr>
                <w:sz w:val="1"/>
                <w:szCs w:val="1"/>
                <w:color w:val="auto"/>
              </w:rPr>
            </w:pPr>
          </w:p>
        </w:tc>
      </w:tr>
      <w:tr>
        <w:trPr>
          <w:trHeight w:val="139"/>
        </w:trPr>
        <w:tc>
          <w:tcPr>
            <w:tcW w:w="2280" w:type="dxa"/>
            <w:vAlign w:val="bottom"/>
          </w:tcPr>
          <w:p>
            <w:pPr>
              <w:ind w:left="260"/>
              <w:spacing w:after="0"/>
              <w:rPr>
                <w:sz w:val="20"/>
                <w:szCs w:val="20"/>
                <w:color w:val="auto"/>
              </w:rPr>
            </w:pPr>
            <w:r>
              <w:rPr>
                <w:rFonts w:ascii="Arial" w:cs="Arial" w:eastAsia="Arial" w:hAnsi="Arial"/>
                <w:sz w:val="10"/>
                <w:szCs w:val="10"/>
                <w:color w:val="auto"/>
              </w:rPr>
              <w:t>of tax</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80" w:type="dxa"/>
            <w:vAlign w:val="bottom"/>
          </w:tcPr>
          <w:p>
            <w:pPr>
              <w:spacing w:after="0"/>
              <w:rPr>
                <w:sz w:val="20"/>
                <w:szCs w:val="20"/>
                <w:color w:val="auto"/>
              </w:rPr>
            </w:pPr>
            <w:r>
              <w:rPr>
                <w:rFonts w:ascii="Arial" w:cs="Arial" w:eastAsia="Arial" w:hAnsi="Arial"/>
                <w:sz w:val="10"/>
                <w:szCs w:val="10"/>
                <w:color w:val="auto"/>
              </w:rPr>
              <w:t>Unitholders’ capital as of June 30, 2022</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103,080</w:t>
            </w:r>
          </w:p>
        </w:tc>
        <w:tc>
          <w:tcPr>
            <w:tcW w:w="8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56,822</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173,669</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ind w:right="14"/>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226,915</w:t>
            </w:r>
          </w:p>
        </w:tc>
        <w:tc>
          <w:tcPr>
            <w:tcW w:w="60" w:type="dxa"/>
            <w:vAlign w:val="bottom"/>
          </w:tcPr>
          <w:p>
            <w:pPr>
              <w:spacing w:after="0"/>
              <w:rPr>
                <w:sz w:val="11"/>
                <w:szCs w:val="11"/>
                <w:color w:val="auto"/>
              </w:rPr>
            </w:pPr>
          </w:p>
        </w:tc>
        <w:tc>
          <w:tcPr>
            <w:tcW w:w="14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1,173,557</w:t>
            </w:r>
          </w:p>
        </w:tc>
        <w:tc>
          <w:tcPr>
            <w:tcW w:w="80" w:type="dxa"/>
            <w:vAlign w:val="bottom"/>
          </w:tcPr>
          <w:p>
            <w:pPr>
              <w:spacing w:after="0"/>
              <w:rPr>
                <w:sz w:val="11"/>
                <w:szCs w:val="11"/>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128,154</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2,126</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485,353</w:t>
            </w:r>
          </w:p>
        </w:tc>
        <w:tc>
          <w:tcPr>
            <w:tcW w:w="60" w:type="dxa"/>
            <w:vAlign w:val="bottom"/>
          </w:tcPr>
          <w:p>
            <w:pPr>
              <w:spacing w:after="0"/>
              <w:rPr>
                <w:sz w:val="11"/>
                <w:szCs w:val="11"/>
                <w:color w:val="auto"/>
              </w:rPr>
            </w:pPr>
          </w:p>
        </w:tc>
        <w:tc>
          <w:tcPr>
            <w:tcW w:w="1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2,189,774</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Please 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620"/>
          </w:cols>
          <w:pgMar w:left="1140" w:top="921" w:right="11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Changes in Unitholders’ Capital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94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6"/>
          </w:tcPr>
          <w:p>
            <w:pPr>
              <w:jc w:val="right"/>
              <w:spacing w:after="0"/>
              <w:rPr>
                <w:sz w:val="20"/>
                <w:szCs w:val="20"/>
                <w:color w:val="auto"/>
              </w:rPr>
            </w:pPr>
            <w:r>
              <w:rPr>
                <w:rFonts w:ascii="Arial" w:cs="Arial" w:eastAsia="Arial" w:hAnsi="Arial"/>
                <w:sz w:val="8"/>
                <w:szCs w:val="8"/>
                <w:b w:val="1"/>
                <w:bCs w:val="1"/>
                <w:color w:val="auto"/>
              </w:rPr>
              <w:t>Oaktree Capital Group, LLC</w:t>
            </w: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rPr>
              <w:t>Retained</w:t>
            </w:r>
          </w:p>
        </w:tc>
        <w:tc>
          <w:tcPr>
            <w:tcW w:w="920" w:type="dxa"/>
            <w:vAlign w:val="bottom"/>
            <w:gridSpan w:val="3"/>
            <w:vMerge w:val="restart"/>
          </w:tcPr>
          <w:p>
            <w:pPr>
              <w:jc w:val="center"/>
              <w:ind w:right="60"/>
              <w:spacing w:after="0"/>
              <w:rPr>
                <w:sz w:val="20"/>
                <w:szCs w:val="20"/>
                <w:color w:val="auto"/>
              </w:rPr>
            </w:pPr>
            <w:r>
              <w:rPr>
                <w:rFonts w:ascii="Arial" w:cs="Arial" w:eastAsia="Arial" w:hAnsi="Arial"/>
                <w:sz w:val="8"/>
                <w:szCs w:val="8"/>
                <w:b w:val="1"/>
                <w:bCs w:val="1"/>
                <w:color w:val="auto"/>
              </w:rPr>
              <w:t>Accumulated Other</w:t>
            </w:r>
          </w:p>
        </w:tc>
        <w:tc>
          <w:tcPr>
            <w:tcW w:w="80" w:type="dxa"/>
            <w:vAlign w:val="bottom"/>
          </w:tcPr>
          <w:p>
            <w:pPr>
              <w:spacing w:after="0"/>
              <w:rPr>
                <w:sz w:val="8"/>
                <w:szCs w:val="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Non-controlling</w:t>
            </w: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3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rPr>
              <w:t>Series A</w:t>
            </w:r>
          </w:p>
        </w:tc>
        <w:tc>
          <w:tcPr>
            <w:tcW w:w="120" w:type="dxa"/>
            <w:vAlign w:val="bottom"/>
          </w:tcPr>
          <w:p>
            <w:pPr>
              <w:spacing w:after="0"/>
              <w:rPr>
                <w:sz w:val="7"/>
                <w:szCs w:val="7"/>
                <w:color w:val="auto"/>
              </w:rPr>
            </w:pP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8"/>
                <w:szCs w:val="8"/>
                <w:b w:val="1"/>
                <w:bCs w:val="1"/>
                <w:color w:val="auto"/>
              </w:rPr>
              <w:t>Series B</w:t>
            </w: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tcPr>
          <w:p>
            <w:pPr>
              <w:jc w:val="center"/>
              <w:ind w:right="140"/>
              <w:spacing w:after="0" w:line="85" w:lineRule="exact"/>
              <w:rPr>
                <w:sz w:val="20"/>
                <w:szCs w:val="20"/>
                <w:color w:val="auto"/>
              </w:rPr>
            </w:pPr>
            <w:r>
              <w:rPr>
                <w:rFonts w:ascii="Arial" w:cs="Arial" w:eastAsia="Arial" w:hAnsi="Arial"/>
                <w:sz w:val="8"/>
                <w:szCs w:val="8"/>
                <w:b w:val="1"/>
                <w:bCs w:val="1"/>
                <w:color w:val="auto"/>
              </w:rPr>
              <w:t>Earnings</w:t>
            </w: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160"/>
              <w:spacing w:after="0" w:line="85" w:lineRule="exact"/>
              <w:rPr>
                <w:sz w:val="20"/>
                <w:szCs w:val="20"/>
                <w:color w:val="auto"/>
              </w:rPr>
            </w:pPr>
            <w:r>
              <w:rPr>
                <w:rFonts w:ascii="Arial" w:cs="Arial" w:eastAsia="Arial" w:hAnsi="Arial"/>
                <w:sz w:val="8"/>
                <w:szCs w:val="8"/>
                <w:b w:val="1"/>
                <w:bCs w:val="1"/>
                <w:color w:val="auto"/>
              </w:rPr>
              <w:t>Interests in</w:t>
            </w:r>
          </w:p>
        </w:tc>
        <w:tc>
          <w:tcPr>
            <w:tcW w:w="840" w:type="dxa"/>
            <w:vAlign w:val="bottom"/>
            <w:gridSpan w:val="2"/>
            <w:vMerge w:val="restart"/>
          </w:tcPr>
          <w:p>
            <w:pPr>
              <w:jc w:val="center"/>
              <w:spacing w:after="0"/>
              <w:rPr>
                <w:sz w:val="20"/>
                <w:szCs w:val="20"/>
                <w:color w:val="auto"/>
              </w:rPr>
            </w:pPr>
            <w:r>
              <w:rPr>
                <w:rFonts w:ascii="Arial" w:cs="Arial" w:eastAsia="Arial" w:hAnsi="Arial"/>
                <w:sz w:val="8"/>
                <w:szCs w:val="8"/>
                <w:b w:val="1"/>
                <w:bCs w:val="1"/>
                <w:color w:val="auto"/>
              </w:rPr>
              <w:t>Total Unitholders’</w:t>
            </w:r>
          </w:p>
        </w:tc>
        <w:tc>
          <w:tcPr>
            <w:tcW w:w="0" w:type="dxa"/>
            <w:vAlign w:val="bottom"/>
          </w:tcPr>
          <w:p>
            <w:pPr>
              <w:spacing w:after="0"/>
              <w:rPr>
                <w:sz w:val="1"/>
                <w:szCs w:val="1"/>
                <w:color w:val="auto"/>
              </w:rPr>
            </w:pPr>
          </w:p>
        </w:tc>
      </w:tr>
      <w:tr>
        <w:trPr>
          <w:trHeight w:val="85"/>
        </w:trPr>
        <w:tc>
          <w:tcPr>
            <w:tcW w:w="3940" w:type="dxa"/>
            <w:vAlign w:val="bottom"/>
          </w:tcPr>
          <w:p>
            <w:pPr>
              <w:spacing w:after="0"/>
              <w:rPr>
                <w:sz w:val="7"/>
                <w:szCs w:val="7"/>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Class A Units</w:t>
            </w:r>
          </w:p>
        </w:tc>
        <w:tc>
          <w:tcPr>
            <w:tcW w:w="7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Class B Units</w:t>
            </w: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8"/>
                <w:szCs w:val="8"/>
                <w:b w:val="1"/>
                <w:bCs w:val="1"/>
                <w:color w:val="auto"/>
              </w:rPr>
              <w:t>Paid-in Capital</w:t>
            </w:r>
          </w:p>
        </w:tc>
        <w:tc>
          <w:tcPr>
            <w:tcW w:w="80" w:type="dxa"/>
            <w:vAlign w:val="bottom"/>
          </w:tcPr>
          <w:p>
            <w:pPr>
              <w:spacing w:after="0"/>
              <w:rPr>
                <w:sz w:val="7"/>
                <w:szCs w:val="7"/>
                <w:color w:val="auto"/>
              </w:rPr>
            </w:pPr>
          </w:p>
        </w:tc>
        <w:tc>
          <w:tcPr>
            <w:tcW w:w="740" w:type="dxa"/>
            <w:vAlign w:val="bottom"/>
            <w:gridSpan w:val="2"/>
          </w:tcPr>
          <w:p>
            <w:pPr>
              <w:jc w:val="center"/>
              <w:ind w:right="140"/>
              <w:spacing w:after="0" w:line="85" w:lineRule="exact"/>
              <w:rPr>
                <w:sz w:val="20"/>
                <w:szCs w:val="20"/>
                <w:color w:val="auto"/>
              </w:rPr>
            </w:pPr>
            <w:r>
              <w:rPr>
                <w:rFonts w:ascii="Arial" w:cs="Arial" w:eastAsia="Arial" w:hAnsi="Arial"/>
                <w:sz w:val="8"/>
                <w:szCs w:val="8"/>
                <w:b w:val="1"/>
                <w:bCs w:val="1"/>
                <w:color w:val="auto"/>
              </w:rPr>
              <w:t>(Accumulated</w:t>
            </w:r>
          </w:p>
        </w:tc>
        <w:tc>
          <w:tcPr>
            <w:tcW w:w="100" w:type="dxa"/>
            <w:vAlign w:val="bottom"/>
          </w:tcPr>
          <w:p>
            <w:pPr>
              <w:spacing w:after="0"/>
              <w:rPr>
                <w:sz w:val="7"/>
                <w:szCs w:val="7"/>
                <w:color w:val="auto"/>
              </w:rPr>
            </w:pPr>
          </w:p>
        </w:tc>
        <w:tc>
          <w:tcPr>
            <w:tcW w:w="820" w:type="dxa"/>
            <w:vAlign w:val="bottom"/>
            <w:gridSpan w:val="2"/>
          </w:tcPr>
          <w:p>
            <w:pPr>
              <w:jc w:val="center"/>
              <w:ind w:right="160"/>
              <w:spacing w:after="0" w:line="85" w:lineRule="exact"/>
              <w:rPr>
                <w:sz w:val="20"/>
                <w:szCs w:val="20"/>
                <w:color w:val="auto"/>
              </w:rPr>
            </w:pPr>
            <w:r>
              <w:rPr>
                <w:rFonts w:ascii="Arial" w:cs="Arial" w:eastAsia="Arial" w:hAnsi="Arial"/>
                <w:sz w:val="8"/>
                <w:szCs w:val="8"/>
                <w:b w:val="1"/>
                <w:bCs w:val="1"/>
                <w:color w:val="auto"/>
              </w:rPr>
              <w:t>Comprehensive</w:t>
            </w:r>
          </w:p>
        </w:tc>
        <w:tc>
          <w:tcPr>
            <w:tcW w:w="80" w:type="dxa"/>
            <w:vAlign w:val="bottom"/>
          </w:tcPr>
          <w:p>
            <w:pPr>
              <w:spacing w:after="0"/>
              <w:rPr>
                <w:sz w:val="7"/>
                <w:szCs w:val="7"/>
                <w:color w:val="auto"/>
              </w:rPr>
            </w:pPr>
          </w:p>
        </w:tc>
        <w:tc>
          <w:tcPr>
            <w:tcW w:w="840" w:type="dxa"/>
            <w:vAlign w:val="bottom"/>
            <w:gridSpan w:val="2"/>
          </w:tcPr>
          <w:p>
            <w:pPr>
              <w:jc w:val="center"/>
              <w:ind w:right="160"/>
              <w:spacing w:after="0" w:line="85" w:lineRule="exact"/>
              <w:rPr>
                <w:sz w:val="20"/>
                <w:szCs w:val="20"/>
                <w:color w:val="auto"/>
              </w:rPr>
            </w:pPr>
            <w:r>
              <w:rPr>
                <w:rFonts w:ascii="Arial" w:cs="Arial" w:eastAsia="Arial" w:hAnsi="Arial"/>
                <w:sz w:val="8"/>
                <w:szCs w:val="8"/>
                <w:b w:val="1"/>
                <w:bCs w:val="1"/>
                <w:color w:val="auto"/>
              </w:rPr>
              <w:t>Consolidated</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9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8"/>
                <w:szCs w:val="8"/>
                <w:b w:val="1"/>
                <w:bCs w:val="1"/>
                <w:color w:val="auto"/>
              </w:rPr>
              <w:t>Preferred Units</w:t>
            </w:r>
          </w:p>
        </w:tc>
        <w:tc>
          <w:tcPr>
            <w:tcW w:w="740" w:type="dxa"/>
            <w:vAlign w:val="bottom"/>
            <w:gridSpan w:val="3"/>
          </w:tcPr>
          <w:p>
            <w:pPr>
              <w:jc w:val="center"/>
              <w:ind w:right="80"/>
              <w:spacing w:after="0"/>
              <w:rPr>
                <w:sz w:val="20"/>
                <w:szCs w:val="20"/>
                <w:color w:val="auto"/>
              </w:rPr>
            </w:pPr>
            <w:r>
              <w:rPr>
                <w:rFonts w:ascii="Arial" w:cs="Arial" w:eastAsia="Arial" w:hAnsi="Arial"/>
                <w:sz w:val="8"/>
                <w:szCs w:val="8"/>
                <w:b w:val="1"/>
                <w:bCs w:val="1"/>
                <w:color w:val="auto"/>
              </w:rPr>
              <w:t>Preferred Units</w:t>
            </w:r>
          </w:p>
        </w:tc>
        <w:tc>
          <w:tcPr>
            <w:tcW w:w="7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Deficit)</w:t>
            </w:r>
          </w:p>
        </w:tc>
        <w:tc>
          <w:tcPr>
            <w:tcW w:w="10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Income (Loss)</w:t>
            </w:r>
          </w:p>
        </w:tc>
        <w:tc>
          <w:tcPr>
            <w:tcW w:w="8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Subsidiaries</w:t>
            </w:r>
          </w:p>
        </w:tc>
        <w:tc>
          <w:tcPr>
            <w:tcW w:w="160" w:type="dxa"/>
            <w:vAlign w:val="bottom"/>
          </w:tcPr>
          <w:p>
            <w:pPr>
              <w:spacing w:after="0"/>
              <w:rPr>
                <w:sz w:val="10"/>
                <w:szCs w:val="10"/>
                <w:color w:val="auto"/>
              </w:rPr>
            </w:pPr>
          </w:p>
        </w:tc>
        <w:tc>
          <w:tcPr>
            <w:tcW w:w="680" w:type="dxa"/>
            <w:vAlign w:val="bottom"/>
          </w:tcPr>
          <w:p>
            <w:pPr>
              <w:jc w:val="center"/>
              <w:ind w:right="111"/>
              <w:spacing w:after="0"/>
              <w:rPr>
                <w:sz w:val="20"/>
                <w:szCs w:val="20"/>
                <w:color w:val="auto"/>
              </w:rPr>
            </w:pPr>
            <w:r>
              <w:rPr>
                <w:rFonts w:ascii="Arial" w:cs="Arial" w:eastAsia="Arial" w:hAnsi="Arial"/>
                <w:sz w:val="8"/>
                <w:szCs w:val="8"/>
                <w:b w:val="1"/>
                <w:bCs w:val="1"/>
                <w:color w:val="auto"/>
              </w:rPr>
              <w:t>Capital</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Arial" w:cs="Arial" w:eastAsia="Arial" w:hAnsi="Arial"/>
                <w:sz w:val="10"/>
                <w:szCs w:val="10"/>
                <w:color w:val="auto"/>
              </w:rPr>
              <w:t>Unitholders’ capital as of March 31, 2021</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99,137</w:t>
            </w: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60,912</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173,669</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226,915</w:t>
            </w:r>
          </w:p>
        </w:tc>
        <w:tc>
          <w:tcPr>
            <w:tcW w:w="60" w:type="dxa"/>
            <w:vAlign w:val="bottom"/>
          </w:tcPr>
          <w:p>
            <w:pPr>
              <w:spacing w:after="0"/>
              <w:rPr>
                <w:sz w:val="13"/>
                <w:szCs w:val="13"/>
                <w:color w:val="auto"/>
              </w:rPr>
            </w:pPr>
          </w:p>
        </w:tc>
        <w:tc>
          <w:tcPr>
            <w:tcW w:w="280" w:type="dxa"/>
            <w:vAlign w:val="bottom"/>
            <w:tcBorders>
              <w:top w:val="single" w:sz="8" w:color="auto"/>
            </w:tcBorders>
          </w:tcPr>
          <w:p>
            <w:pPr>
              <w:jc w:val="right"/>
              <w:ind w:right="153"/>
              <w:spacing w:after="0"/>
              <w:rPr>
                <w:sz w:val="20"/>
                <w:szCs w:val="20"/>
                <w:color w:val="auto"/>
              </w:rPr>
            </w:pPr>
            <w:r>
              <w:rPr>
                <w:rFonts w:ascii="Arial" w:cs="Arial" w:eastAsia="Arial" w:hAnsi="Arial"/>
                <w:sz w:val="10"/>
                <w:szCs w:val="10"/>
                <w:color w:val="auto"/>
              </w:rPr>
              <w:t>$</w:t>
            </w: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93"/>
              </w:rPr>
              <w:t>863,240</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0"/>
                <w:szCs w:val="10"/>
                <w:color w:val="auto"/>
              </w:rPr>
              <w:t>293,055</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(11,606)</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638,601</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5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2,183,874</w:t>
            </w:r>
          </w:p>
        </w:tc>
        <w:tc>
          <w:tcPr>
            <w:tcW w:w="0" w:type="dxa"/>
            <w:vAlign w:val="bottom"/>
          </w:tcPr>
          <w:p>
            <w:pPr>
              <w:spacing w:after="0"/>
              <w:rPr>
                <w:sz w:val="1"/>
                <w:szCs w:val="1"/>
                <w:color w:val="auto"/>
              </w:rPr>
            </w:pPr>
          </w:p>
        </w:tc>
      </w:tr>
      <w:tr>
        <w:trPr>
          <w:trHeight w:val="138"/>
        </w:trPr>
        <w:tc>
          <w:tcPr>
            <w:tcW w:w="3940" w:type="dxa"/>
            <w:vAlign w:val="bottom"/>
          </w:tcPr>
          <w:p>
            <w:pPr>
              <w:spacing w:after="0"/>
              <w:rPr>
                <w:sz w:val="20"/>
                <w:szCs w:val="20"/>
                <w:color w:val="auto"/>
              </w:rPr>
            </w:pPr>
            <w:r>
              <w:rPr>
                <w:rFonts w:ascii="Arial" w:cs="Arial" w:eastAsia="Arial" w:hAnsi="Arial"/>
                <w:sz w:val="10"/>
                <w:szCs w:val="10"/>
                <w:color w:val="auto"/>
              </w:rPr>
              <w:t>Activity for the three months ended:</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Cancellation of units associated with forfeitures</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Capital contributions</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8,515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5,226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13,741</w:t>
            </w: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Equity reallocation between controlling and non-controlling interests</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(2,216)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1,572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(644)</w:t>
            </w: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Capital increase related to equity-based compensation</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1,587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975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2,562</w:t>
            </w: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Distributions declared</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(2,981)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(3,848)</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(231,559)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(142,150)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(380,538)</w:t>
            </w: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2,981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3,848</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tcPr>
          <w:p>
            <w:pPr>
              <w:jc w:val="right"/>
              <w:ind w:right="13"/>
              <w:spacing w:after="0"/>
              <w:rPr>
                <w:sz w:val="20"/>
                <w:szCs w:val="20"/>
                <w:color w:val="auto"/>
              </w:rPr>
            </w:pPr>
            <w:r>
              <w:rPr>
                <w:rFonts w:ascii="Arial" w:cs="Arial" w:eastAsia="Arial" w:hAnsi="Arial"/>
                <w:sz w:val="10"/>
                <w:szCs w:val="10"/>
                <w:color w:val="auto"/>
              </w:rPr>
              <w:t>102,083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52,958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161,870</w:t>
            </w:r>
          </w:p>
        </w:tc>
        <w:tc>
          <w:tcPr>
            <w:tcW w:w="0" w:type="dxa"/>
            <w:vAlign w:val="bottom"/>
          </w:tcPr>
          <w:p>
            <w:pPr>
              <w:spacing w:after="0"/>
              <w:rPr>
                <w:sz w:val="1"/>
                <w:szCs w:val="1"/>
                <w:color w:val="auto"/>
              </w:rPr>
            </w:pPr>
          </w:p>
        </w:tc>
      </w:tr>
      <w:tr>
        <w:trPr>
          <w:trHeight w:val="139"/>
        </w:trPr>
        <w:tc>
          <w:tcPr>
            <w:tcW w:w="3940" w:type="dxa"/>
            <w:vAlign w:val="bottom"/>
          </w:tcPr>
          <w:p>
            <w:pPr>
              <w:ind w:left="260"/>
              <w:spacing w:after="0"/>
              <w:rPr>
                <w:sz w:val="20"/>
                <w:szCs w:val="20"/>
                <w:color w:val="auto"/>
              </w:rPr>
            </w:pPr>
            <w:r>
              <w:rPr>
                <w:rFonts w:ascii="Arial" w:cs="Arial" w:eastAsia="Arial" w:hAnsi="Arial"/>
                <w:sz w:val="10"/>
                <w:szCs w:val="10"/>
                <w:color w:val="auto"/>
              </w:rPr>
              <w:t>Foreign currency translation adjustment, net of tax</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(4,594)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(2,819)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(7,413)</w:t>
            </w:r>
          </w:p>
        </w:tc>
        <w:tc>
          <w:tcPr>
            <w:tcW w:w="0" w:type="dxa"/>
            <w:vAlign w:val="bottom"/>
          </w:tcPr>
          <w:p>
            <w:pPr>
              <w:spacing w:after="0"/>
              <w:rPr>
                <w:sz w:val="1"/>
                <w:szCs w:val="1"/>
                <w:color w:val="auto"/>
              </w:rPr>
            </w:pPr>
          </w:p>
        </w:tc>
      </w:tr>
      <w:tr>
        <w:trPr>
          <w:trHeight w:val="134"/>
        </w:trPr>
        <w:tc>
          <w:tcPr>
            <w:tcW w:w="3940" w:type="dxa"/>
            <w:vAlign w:val="bottom"/>
          </w:tcPr>
          <w:p>
            <w:pPr>
              <w:spacing w:after="0"/>
              <w:rPr>
                <w:sz w:val="20"/>
                <w:szCs w:val="20"/>
                <w:color w:val="auto"/>
              </w:rPr>
            </w:pPr>
            <w:r>
              <w:rPr>
                <w:rFonts w:ascii="Arial" w:cs="Arial" w:eastAsia="Arial" w:hAnsi="Arial"/>
                <w:sz w:val="10"/>
                <w:szCs w:val="10"/>
                <w:color w:val="auto"/>
              </w:rPr>
              <w:t>Unitholders’ capital as of June 30, 2021</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99,137</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60,835</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173,669</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226,915</w:t>
            </w:r>
          </w:p>
        </w:tc>
        <w:tc>
          <w:tcPr>
            <w:tcW w:w="6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0"/>
                <w:szCs w:val="10"/>
                <w:color w:val="auto"/>
              </w:rPr>
              <w:t>$</w:t>
            </w:r>
          </w:p>
        </w:tc>
        <w:tc>
          <w:tcPr>
            <w:tcW w:w="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93"/>
              </w:rPr>
              <w:t>871,126</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0"/>
                <w:szCs w:val="10"/>
                <w:color w:val="auto"/>
              </w:rPr>
              <w:t>163,579</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(16,200)</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554,363</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1,973,452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39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spacing w:after="0"/>
              <w:rPr>
                <w:sz w:val="20"/>
                <w:szCs w:val="20"/>
                <w:color w:val="auto"/>
              </w:rPr>
            </w:pPr>
            <w:r>
              <w:rPr>
                <w:rFonts w:ascii="Arial" w:cs="Arial" w:eastAsia="Arial" w:hAnsi="Arial"/>
                <w:sz w:val="8"/>
                <w:szCs w:val="8"/>
                <w:b w:val="1"/>
                <w:bCs w:val="1"/>
                <w:color w:val="auto"/>
              </w:rPr>
              <w:t>Oaktree Capital Group, LLC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rPr>
              <w:t>Retained</w:t>
            </w:r>
          </w:p>
        </w:tc>
        <w:tc>
          <w:tcPr>
            <w:tcW w:w="920" w:type="dxa"/>
            <w:vAlign w:val="bottom"/>
            <w:gridSpan w:val="3"/>
            <w:vMerge w:val="restart"/>
          </w:tcPr>
          <w:p>
            <w:pPr>
              <w:jc w:val="center"/>
              <w:ind w:right="60"/>
              <w:spacing w:after="0"/>
              <w:rPr>
                <w:sz w:val="20"/>
                <w:szCs w:val="20"/>
                <w:color w:val="auto"/>
              </w:rPr>
            </w:pPr>
            <w:r>
              <w:rPr>
                <w:rFonts w:ascii="Arial" w:cs="Arial" w:eastAsia="Arial" w:hAnsi="Arial"/>
                <w:sz w:val="8"/>
                <w:szCs w:val="8"/>
                <w:b w:val="1"/>
                <w:bCs w:val="1"/>
                <w:color w:val="auto"/>
              </w:rPr>
              <w:t>Accumulated Other</w:t>
            </w:r>
          </w:p>
        </w:tc>
        <w:tc>
          <w:tcPr>
            <w:tcW w:w="80" w:type="dxa"/>
            <w:vAlign w:val="bottom"/>
          </w:tcPr>
          <w:p>
            <w:pPr>
              <w:spacing w:after="0"/>
              <w:rPr>
                <w:sz w:val="8"/>
                <w:szCs w:val="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Non-controlling</w:t>
            </w: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3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rPr>
              <w:t>Series A</w:t>
            </w:r>
          </w:p>
        </w:tc>
        <w:tc>
          <w:tcPr>
            <w:tcW w:w="120" w:type="dxa"/>
            <w:vAlign w:val="bottom"/>
          </w:tcPr>
          <w:p>
            <w:pPr>
              <w:spacing w:after="0"/>
              <w:rPr>
                <w:sz w:val="7"/>
                <w:szCs w:val="7"/>
                <w:color w:val="auto"/>
              </w:rPr>
            </w:pP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8"/>
                <w:szCs w:val="8"/>
                <w:b w:val="1"/>
                <w:bCs w:val="1"/>
                <w:color w:val="auto"/>
              </w:rPr>
              <w:t>Series B</w:t>
            </w: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tcPr>
          <w:p>
            <w:pPr>
              <w:jc w:val="center"/>
              <w:ind w:right="140"/>
              <w:spacing w:after="0" w:line="85" w:lineRule="exact"/>
              <w:rPr>
                <w:sz w:val="20"/>
                <w:szCs w:val="20"/>
                <w:color w:val="auto"/>
              </w:rPr>
            </w:pPr>
            <w:r>
              <w:rPr>
                <w:rFonts w:ascii="Arial" w:cs="Arial" w:eastAsia="Arial" w:hAnsi="Arial"/>
                <w:sz w:val="8"/>
                <w:szCs w:val="8"/>
                <w:b w:val="1"/>
                <w:bCs w:val="1"/>
                <w:color w:val="auto"/>
              </w:rPr>
              <w:t>Earnings</w:t>
            </w: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160"/>
              <w:spacing w:after="0" w:line="85" w:lineRule="exact"/>
              <w:rPr>
                <w:sz w:val="20"/>
                <w:szCs w:val="20"/>
                <w:color w:val="auto"/>
              </w:rPr>
            </w:pPr>
            <w:r>
              <w:rPr>
                <w:rFonts w:ascii="Arial" w:cs="Arial" w:eastAsia="Arial" w:hAnsi="Arial"/>
                <w:sz w:val="8"/>
                <w:szCs w:val="8"/>
                <w:b w:val="1"/>
                <w:bCs w:val="1"/>
                <w:color w:val="auto"/>
              </w:rPr>
              <w:t>Interests in</w:t>
            </w:r>
          </w:p>
        </w:tc>
        <w:tc>
          <w:tcPr>
            <w:tcW w:w="840" w:type="dxa"/>
            <w:vAlign w:val="bottom"/>
            <w:gridSpan w:val="2"/>
            <w:vMerge w:val="restart"/>
          </w:tcPr>
          <w:p>
            <w:pPr>
              <w:jc w:val="center"/>
              <w:spacing w:after="0"/>
              <w:rPr>
                <w:sz w:val="20"/>
                <w:szCs w:val="20"/>
                <w:color w:val="auto"/>
              </w:rPr>
            </w:pPr>
            <w:r>
              <w:rPr>
                <w:rFonts w:ascii="Arial" w:cs="Arial" w:eastAsia="Arial" w:hAnsi="Arial"/>
                <w:sz w:val="8"/>
                <w:szCs w:val="8"/>
                <w:b w:val="1"/>
                <w:bCs w:val="1"/>
                <w:color w:val="auto"/>
              </w:rPr>
              <w:t>Total Unitholders’</w:t>
            </w:r>
          </w:p>
        </w:tc>
        <w:tc>
          <w:tcPr>
            <w:tcW w:w="0" w:type="dxa"/>
            <w:vAlign w:val="bottom"/>
          </w:tcPr>
          <w:p>
            <w:pPr>
              <w:spacing w:after="0"/>
              <w:rPr>
                <w:sz w:val="1"/>
                <w:szCs w:val="1"/>
                <w:color w:val="auto"/>
              </w:rPr>
            </w:pPr>
          </w:p>
        </w:tc>
      </w:tr>
      <w:tr>
        <w:trPr>
          <w:trHeight w:val="85"/>
        </w:trPr>
        <w:tc>
          <w:tcPr>
            <w:tcW w:w="3940" w:type="dxa"/>
            <w:vAlign w:val="bottom"/>
          </w:tcPr>
          <w:p>
            <w:pPr>
              <w:spacing w:after="0"/>
              <w:rPr>
                <w:sz w:val="7"/>
                <w:szCs w:val="7"/>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Class A Units</w:t>
            </w:r>
          </w:p>
        </w:tc>
        <w:tc>
          <w:tcPr>
            <w:tcW w:w="7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Class B Units</w:t>
            </w: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8"/>
                <w:szCs w:val="8"/>
                <w:b w:val="1"/>
                <w:bCs w:val="1"/>
                <w:color w:val="auto"/>
              </w:rPr>
              <w:t>Paid-in Capital</w:t>
            </w:r>
          </w:p>
        </w:tc>
        <w:tc>
          <w:tcPr>
            <w:tcW w:w="80" w:type="dxa"/>
            <w:vAlign w:val="bottom"/>
          </w:tcPr>
          <w:p>
            <w:pPr>
              <w:spacing w:after="0"/>
              <w:rPr>
                <w:sz w:val="7"/>
                <w:szCs w:val="7"/>
                <w:color w:val="auto"/>
              </w:rPr>
            </w:pPr>
          </w:p>
        </w:tc>
        <w:tc>
          <w:tcPr>
            <w:tcW w:w="740" w:type="dxa"/>
            <w:vAlign w:val="bottom"/>
            <w:gridSpan w:val="2"/>
          </w:tcPr>
          <w:p>
            <w:pPr>
              <w:jc w:val="center"/>
              <w:ind w:right="140"/>
              <w:spacing w:after="0" w:line="85" w:lineRule="exact"/>
              <w:rPr>
                <w:sz w:val="20"/>
                <w:szCs w:val="20"/>
                <w:color w:val="auto"/>
              </w:rPr>
            </w:pPr>
            <w:r>
              <w:rPr>
                <w:rFonts w:ascii="Arial" w:cs="Arial" w:eastAsia="Arial" w:hAnsi="Arial"/>
                <w:sz w:val="8"/>
                <w:szCs w:val="8"/>
                <w:b w:val="1"/>
                <w:bCs w:val="1"/>
                <w:color w:val="auto"/>
              </w:rPr>
              <w:t>(Accumulated</w:t>
            </w:r>
          </w:p>
        </w:tc>
        <w:tc>
          <w:tcPr>
            <w:tcW w:w="100" w:type="dxa"/>
            <w:vAlign w:val="bottom"/>
          </w:tcPr>
          <w:p>
            <w:pPr>
              <w:spacing w:after="0"/>
              <w:rPr>
                <w:sz w:val="7"/>
                <w:szCs w:val="7"/>
                <w:color w:val="auto"/>
              </w:rPr>
            </w:pPr>
          </w:p>
        </w:tc>
        <w:tc>
          <w:tcPr>
            <w:tcW w:w="820" w:type="dxa"/>
            <w:vAlign w:val="bottom"/>
            <w:gridSpan w:val="2"/>
          </w:tcPr>
          <w:p>
            <w:pPr>
              <w:jc w:val="center"/>
              <w:ind w:right="160"/>
              <w:spacing w:after="0" w:line="85" w:lineRule="exact"/>
              <w:rPr>
                <w:sz w:val="20"/>
                <w:szCs w:val="20"/>
                <w:color w:val="auto"/>
              </w:rPr>
            </w:pPr>
            <w:r>
              <w:rPr>
                <w:rFonts w:ascii="Arial" w:cs="Arial" w:eastAsia="Arial" w:hAnsi="Arial"/>
                <w:sz w:val="8"/>
                <w:szCs w:val="8"/>
                <w:b w:val="1"/>
                <w:bCs w:val="1"/>
                <w:color w:val="auto"/>
              </w:rPr>
              <w:t>Comprehensive</w:t>
            </w:r>
          </w:p>
        </w:tc>
        <w:tc>
          <w:tcPr>
            <w:tcW w:w="80" w:type="dxa"/>
            <w:vAlign w:val="bottom"/>
          </w:tcPr>
          <w:p>
            <w:pPr>
              <w:spacing w:after="0"/>
              <w:rPr>
                <w:sz w:val="7"/>
                <w:szCs w:val="7"/>
                <w:color w:val="auto"/>
              </w:rPr>
            </w:pPr>
          </w:p>
        </w:tc>
        <w:tc>
          <w:tcPr>
            <w:tcW w:w="840" w:type="dxa"/>
            <w:vAlign w:val="bottom"/>
            <w:gridSpan w:val="2"/>
          </w:tcPr>
          <w:p>
            <w:pPr>
              <w:jc w:val="center"/>
              <w:ind w:right="160"/>
              <w:spacing w:after="0" w:line="85" w:lineRule="exact"/>
              <w:rPr>
                <w:sz w:val="20"/>
                <w:szCs w:val="20"/>
                <w:color w:val="auto"/>
              </w:rPr>
            </w:pPr>
            <w:r>
              <w:rPr>
                <w:rFonts w:ascii="Arial" w:cs="Arial" w:eastAsia="Arial" w:hAnsi="Arial"/>
                <w:sz w:val="8"/>
                <w:szCs w:val="8"/>
                <w:b w:val="1"/>
                <w:bCs w:val="1"/>
                <w:color w:val="auto"/>
              </w:rPr>
              <w:t>Consolidated</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9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8"/>
                <w:szCs w:val="8"/>
                <w:b w:val="1"/>
                <w:bCs w:val="1"/>
                <w:color w:val="auto"/>
              </w:rPr>
              <w:t>Preferred Units</w:t>
            </w:r>
          </w:p>
        </w:tc>
        <w:tc>
          <w:tcPr>
            <w:tcW w:w="740" w:type="dxa"/>
            <w:vAlign w:val="bottom"/>
            <w:gridSpan w:val="3"/>
          </w:tcPr>
          <w:p>
            <w:pPr>
              <w:jc w:val="center"/>
              <w:ind w:right="80"/>
              <w:spacing w:after="0"/>
              <w:rPr>
                <w:sz w:val="20"/>
                <w:szCs w:val="20"/>
                <w:color w:val="auto"/>
              </w:rPr>
            </w:pPr>
            <w:r>
              <w:rPr>
                <w:rFonts w:ascii="Arial" w:cs="Arial" w:eastAsia="Arial" w:hAnsi="Arial"/>
                <w:sz w:val="8"/>
                <w:szCs w:val="8"/>
                <w:b w:val="1"/>
                <w:bCs w:val="1"/>
                <w:color w:val="auto"/>
              </w:rPr>
              <w:t>Preferred Units</w:t>
            </w:r>
          </w:p>
        </w:tc>
        <w:tc>
          <w:tcPr>
            <w:tcW w:w="7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Deficit)</w:t>
            </w:r>
          </w:p>
        </w:tc>
        <w:tc>
          <w:tcPr>
            <w:tcW w:w="10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Income (Loss)</w:t>
            </w:r>
          </w:p>
        </w:tc>
        <w:tc>
          <w:tcPr>
            <w:tcW w:w="8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Subsidiaries</w:t>
            </w:r>
          </w:p>
        </w:tc>
        <w:tc>
          <w:tcPr>
            <w:tcW w:w="160" w:type="dxa"/>
            <w:vAlign w:val="bottom"/>
          </w:tcPr>
          <w:p>
            <w:pPr>
              <w:spacing w:after="0"/>
              <w:rPr>
                <w:sz w:val="10"/>
                <w:szCs w:val="10"/>
                <w:color w:val="auto"/>
              </w:rPr>
            </w:pPr>
          </w:p>
        </w:tc>
        <w:tc>
          <w:tcPr>
            <w:tcW w:w="680" w:type="dxa"/>
            <w:vAlign w:val="bottom"/>
          </w:tcPr>
          <w:p>
            <w:pPr>
              <w:jc w:val="center"/>
              <w:ind w:right="111"/>
              <w:spacing w:after="0"/>
              <w:rPr>
                <w:sz w:val="20"/>
                <w:szCs w:val="20"/>
                <w:color w:val="auto"/>
              </w:rPr>
            </w:pPr>
            <w:r>
              <w:rPr>
                <w:rFonts w:ascii="Arial" w:cs="Arial" w:eastAsia="Arial" w:hAnsi="Arial"/>
                <w:sz w:val="8"/>
                <w:szCs w:val="8"/>
                <w:b w:val="1"/>
                <w:bCs w:val="1"/>
                <w:color w:val="auto"/>
              </w:rPr>
              <w:t>Capital</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Arial" w:cs="Arial" w:eastAsia="Arial" w:hAnsi="Arial"/>
                <w:sz w:val="10"/>
                <w:szCs w:val="10"/>
                <w:color w:val="auto"/>
              </w:rPr>
              <w:t>Unitholders’ capital as of December 31, 2020</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98,677</w:t>
            </w: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61,371</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173,669</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226,915</w:t>
            </w:r>
          </w:p>
        </w:tc>
        <w:tc>
          <w:tcPr>
            <w:tcW w:w="60" w:type="dxa"/>
            <w:vAlign w:val="bottom"/>
          </w:tcPr>
          <w:p>
            <w:pPr>
              <w:spacing w:after="0"/>
              <w:rPr>
                <w:sz w:val="13"/>
                <w:szCs w:val="13"/>
                <w:color w:val="auto"/>
              </w:rPr>
            </w:pPr>
          </w:p>
        </w:tc>
        <w:tc>
          <w:tcPr>
            <w:tcW w:w="280" w:type="dxa"/>
            <w:vAlign w:val="bottom"/>
            <w:tcBorders>
              <w:top w:val="single" w:sz="8" w:color="auto"/>
            </w:tcBorders>
          </w:tcPr>
          <w:p>
            <w:pPr>
              <w:jc w:val="right"/>
              <w:ind w:right="153"/>
              <w:spacing w:after="0"/>
              <w:rPr>
                <w:sz w:val="20"/>
                <w:szCs w:val="20"/>
                <w:color w:val="auto"/>
              </w:rPr>
            </w:pPr>
            <w:r>
              <w:rPr>
                <w:rFonts w:ascii="Arial" w:cs="Arial" w:eastAsia="Arial" w:hAnsi="Arial"/>
                <w:sz w:val="10"/>
                <w:szCs w:val="10"/>
                <w:color w:val="auto"/>
              </w:rPr>
              <w:t>$</w:t>
            </w: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93"/>
              </w:rPr>
              <w:t>819,963</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0"/>
                <w:szCs w:val="10"/>
                <w:color w:val="auto"/>
              </w:rPr>
              <w:t>119,920</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(5,414)</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544,935</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5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1,879,988</w:t>
            </w:r>
          </w:p>
        </w:tc>
        <w:tc>
          <w:tcPr>
            <w:tcW w:w="0" w:type="dxa"/>
            <w:vAlign w:val="bottom"/>
          </w:tcPr>
          <w:p>
            <w:pPr>
              <w:spacing w:after="0"/>
              <w:rPr>
                <w:sz w:val="1"/>
                <w:szCs w:val="1"/>
                <w:color w:val="auto"/>
              </w:rPr>
            </w:pPr>
          </w:p>
        </w:tc>
      </w:tr>
      <w:tr>
        <w:trPr>
          <w:trHeight w:val="138"/>
        </w:trPr>
        <w:tc>
          <w:tcPr>
            <w:tcW w:w="3940" w:type="dxa"/>
            <w:vAlign w:val="bottom"/>
          </w:tcPr>
          <w:p>
            <w:pPr>
              <w:spacing w:after="0"/>
              <w:rPr>
                <w:sz w:val="20"/>
                <w:szCs w:val="20"/>
                <w:color w:val="auto"/>
              </w:rPr>
            </w:pPr>
            <w:r>
              <w:rPr>
                <w:rFonts w:ascii="Arial" w:cs="Arial" w:eastAsia="Arial" w:hAnsi="Arial"/>
                <w:sz w:val="10"/>
                <w:szCs w:val="10"/>
                <w:color w:val="auto"/>
              </w:rPr>
              <w:t>Activity for the three months ended:</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Net issuance of units</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Unit exchange</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460</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Cancellation of units associated with forfeitures</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Capital contributions</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46,015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5,226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51,241</w:t>
            </w: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Equity reallocation between controlling and non-controlling interests</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1,462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(4,089)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(2,627)</w:t>
            </w: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Capital increase related to equity-based compensation</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3,686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2,279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5,965</w:t>
            </w: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Distributions declared</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(5,962)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(7,696)</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(337,143)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(207,821)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(558,622)</w:t>
            </w:r>
          </w:p>
        </w:tc>
        <w:tc>
          <w:tcPr>
            <w:tcW w:w="0" w:type="dxa"/>
            <w:vAlign w:val="bottom"/>
          </w:tcPr>
          <w:p>
            <w:pPr>
              <w:spacing w:after="0"/>
              <w:rPr>
                <w:sz w:val="1"/>
                <w:szCs w:val="1"/>
                <w:color w:val="auto"/>
              </w:rPr>
            </w:pPr>
          </w:p>
        </w:tc>
      </w:tr>
      <w:tr>
        <w:trPr>
          <w:trHeight w:val="138"/>
        </w:trPr>
        <w:tc>
          <w:tcPr>
            <w:tcW w:w="3940" w:type="dxa"/>
            <w:vAlign w:val="bottom"/>
          </w:tcPr>
          <w:p>
            <w:pPr>
              <w:ind w:left="26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5,962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7,696</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tcPr>
          <w:p>
            <w:pPr>
              <w:jc w:val="right"/>
              <w:ind w:right="13"/>
              <w:spacing w:after="0"/>
              <w:rPr>
                <w:sz w:val="20"/>
                <w:szCs w:val="20"/>
                <w:color w:val="auto"/>
              </w:rPr>
            </w:pPr>
            <w:r>
              <w:rPr>
                <w:rFonts w:ascii="Arial" w:cs="Arial" w:eastAsia="Arial" w:hAnsi="Arial"/>
                <w:sz w:val="10"/>
                <w:szCs w:val="10"/>
                <w:color w:val="auto"/>
              </w:rPr>
              <w:t>380,802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219,386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613,846</w:t>
            </w:r>
          </w:p>
        </w:tc>
        <w:tc>
          <w:tcPr>
            <w:tcW w:w="0" w:type="dxa"/>
            <w:vAlign w:val="bottom"/>
          </w:tcPr>
          <w:p>
            <w:pPr>
              <w:spacing w:after="0"/>
              <w:rPr>
                <w:sz w:val="1"/>
                <w:szCs w:val="1"/>
                <w:color w:val="auto"/>
              </w:rPr>
            </w:pPr>
          </w:p>
        </w:tc>
      </w:tr>
      <w:tr>
        <w:trPr>
          <w:trHeight w:val="139"/>
        </w:trPr>
        <w:tc>
          <w:tcPr>
            <w:tcW w:w="3940" w:type="dxa"/>
            <w:vAlign w:val="bottom"/>
          </w:tcPr>
          <w:p>
            <w:pPr>
              <w:ind w:left="260"/>
              <w:spacing w:after="0"/>
              <w:rPr>
                <w:sz w:val="20"/>
                <w:szCs w:val="20"/>
                <w:color w:val="auto"/>
              </w:rPr>
            </w:pPr>
            <w:r>
              <w:rPr>
                <w:rFonts w:ascii="Arial" w:cs="Arial" w:eastAsia="Arial" w:hAnsi="Arial"/>
                <w:sz w:val="10"/>
                <w:szCs w:val="10"/>
                <w:color w:val="auto"/>
              </w:rPr>
              <w:t>Foreign currency translation adjustment, net of tax</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(10,786)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(5,553)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(16,339)</w:t>
            </w:r>
          </w:p>
        </w:tc>
        <w:tc>
          <w:tcPr>
            <w:tcW w:w="0" w:type="dxa"/>
            <w:vAlign w:val="bottom"/>
          </w:tcPr>
          <w:p>
            <w:pPr>
              <w:spacing w:after="0"/>
              <w:rPr>
                <w:sz w:val="1"/>
                <w:szCs w:val="1"/>
                <w:color w:val="auto"/>
              </w:rPr>
            </w:pPr>
          </w:p>
        </w:tc>
      </w:tr>
      <w:tr>
        <w:trPr>
          <w:trHeight w:val="134"/>
        </w:trPr>
        <w:tc>
          <w:tcPr>
            <w:tcW w:w="3940" w:type="dxa"/>
            <w:vAlign w:val="bottom"/>
          </w:tcPr>
          <w:p>
            <w:pPr>
              <w:spacing w:after="0"/>
              <w:rPr>
                <w:sz w:val="20"/>
                <w:szCs w:val="20"/>
                <w:color w:val="auto"/>
              </w:rPr>
            </w:pPr>
            <w:r>
              <w:rPr>
                <w:rFonts w:ascii="Arial" w:cs="Arial" w:eastAsia="Arial" w:hAnsi="Arial"/>
                <w:sz w:val="10"/>
                <w:szCs w:val="10"/>
                <w:color w:val="auto"/>
              </w:rPr>
              <w:t>Unitholders’ capital as of June 30, 2021</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99,137</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60,835</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173,669</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226,915</w:t>
            </w:r>
          </w:p>
        </w:tc>
        <w:tc>
          <w:tcPr>
            <w:tcW w:w="6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0"/>
                <w:szCs w:val="10"/>
                <w:color w:val="auto"/>
              </w:rPr>
              <w:t>$</w:t>
            </w:r>
          </w:p>
        </w:tc>
        <w:tc>
          <w:tcPr>
            <w:tcW w:w="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93"/>
              </w:rPr>
              <w:t>871,126</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0"/>
                <w:szCs w:val="10"/>
                <w:color w:val="auto"/>
              </w:rPr>
              <w:t>163,579</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(16,200)</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554,363</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1,973,452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Please 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0" w:right="3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 AND BASIS OF PRESENTATION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used in these condensed consolidated financial statements:</w:t>
      </w:r>
    </w:p>
    <w:p>
      <w:pPr>
        <w:spacing w:after="0" w:line="136" w:lineRule="exact"/>
        <w:rPr>
          <w:sz w:val="20"/>
          <w:szCs w:val="20"/>
          <w:color w:val="auto"/>
        </w:rPr>
      </w:pPr>
    </w:p>
    <w:p>
      <w:pPr>
        <w:ind w:right="220" w:firstLine="509"/>
        <w:spacing w:after="0" w:line="290" w:lineRule="auto"/>
        <w:rPr>
          <w:sz w:val="20"/>
          <w:szCs w:val="20"/>
          <w:color w:val="auto"/>
        </w:rPr>
      </w:pPr>
      <w:r>
        <w:rPr>
          <w:rFonts w:ascii="Arial" w:cs="Arial" w:eastAsia="Arial" w:hAnsi="Arial"/>
          <w:sz w:val="14"/>
          <w:szCs w:val="14"/>
          <w:color w:val="auto"/>
        </w:rPr>
        <w:t>“Oaktree” refers to (i) Oaktree Capital Group, LLC and, where applicable, its subsidiaries and affiliates prior to October 1, 2019 and (ii) the Oaktree Operating Group and, where applicable, their respective subsidiaries and affiliates after September 30, 2019; and</w:t>
      </w:r>
    </w:p>
    <w:p>
      <w:pPr>
        <w:spacing w:after="0" w:line="78" w:lineRule="exact"/>
        <w:rPr>
          <w:sz w:val="20"/>
          <w:szCs w:val="20"/>
          <w:color w:val="auto"/>
        </w:rPr>
      </w:pPr>
    </w:p>
    <w:p>
      <w:pPr>
        <w:ind w:right="280" w:firstLine="509"/>
        <w:spacing w:after="0" w:line="290" w:lineRule="auto"/>
        <w:rPr>
          <w:sz w:val="20"/>
          <w:szCs w:val="20"/>
          <w:color w:val="auto"/>
        </w:rPr>
      </w:pPr>
      <w:r>
        <w:rPr>
          <w:rFonts w:ascii="Arial" w:cs="Arial" w:eastAsia="Arial" w:hAnsi="Arial"/>
          <w:sz w:val="14"/>
          <w:szCs w:val="14"/>
          <w:color w:val="auto"/>
        </w:rPr>
        <w:t>the “Company” refers to Oaktree Capital Group, LLC and, where applicable, its subsidiaries and affiliates, including, as the context requires, affiliated Oaktree Operating Group members after September 30, 2019.</w:t>
      </w:r>
    </w:p>
    <w:p>
      <w:pPr>
        <w:spacing w:after="0" w:line="78"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Oaktree is a leader among global investment managers specializing in alternative investments. Oaktree emphasizes an opportunistic, value-oriented and risk-controlled approach to investments in credit, private equity, real assets and listed equities. Funds managed by Oaktree (the “Oaktree funds”) include commingled funds, separate accounts, collateralized loan obligation vehicles (“CLOs”) and business development companies (“BDCs”). Commingled funds include open-end and closed-end limited partnerships in which Oaktree makes an investment and for which it serves as the general partner. CLOs are structured finance vehicles in which Oaktree typically makes an investment and for which it serves as collateral manager.</w:t>
      </w:r>
    </w:p>
    <w:p>
      <w:pPr>
        <w:spacing w:after="0" w:line="97"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Oaktree Capital Group, LLC is a Delaware limited liability company that was formed on April 13, 2007. The Company is owned by (i) an affiliate of Brookfield Asset Management, Inc. (“Brookfield”) as the sole holder of the Company’s Class A common units, (ii) its Series A and Series B preferred unitholders, which units are listed on the NYSE and (iii) Oaktree Capital Group Holdings, L.P. (“OCGH”) as the sole holder of the Company’s Class B common units, which units do not represent an economic interest in the Company. OCGH is owned by Oaktree’s senior executives, current and former employees, and certain other investors (collectively, the “OCGH unitholders”). Subject to the operating agreement of the Company, to the extent the approval of any matter requires the vote of the Company’s unitholders, the Class A units are entitled to one vote per unit and the Class B units are entitled to ten votes per unit, voting together as a single class.</w:t>
      </w:r>
    </w:p>
    <w:p>
      <w:pPr>
        <w:spacing w:after="0" w:line="99"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The Oaktree business is conducted through a group of six operating entities collectively referred to as the “Oaktree Operating Group.” The interests in the Oaktree Operating Group are referred to as the “Oaktree Operating Group units.” An Oaktree Operating Group unit is not a separate legal interest but represents one limited partnership interest in each of the Oaktree Operating Group entities. OCGH has a direct economic interest in all six of the Oaktree Operating Group members. The Company’s operations, however, are conducted through an indirect economic interest in only two of these six Oaktree Operating Group entities. Accordingly, the Company’s condensed consolidated financial statements reflect its indirect economic interest in: (i) Oaktree Capital I, L.P. (“Oaktree Capital I”), which acts as or controls the general partner of certain Oaktree funds and which holds a majority of Oaktree’s investments in its funds and (ii) Oaktree Capital Management (Cayman), L.P. (“OCM Cayman”), which represents Oaktree’s non-U.S. fee</w:t>
      </w:r>
    </w:p>
    <w:p>
      <w:pPr>
        <w:spacing w:after="0" w:line="4"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business. References to “Oaktree” in these financial statements will generally refer to the collective business of the Oaktree Operating Group, of which consolidated subsidiaries of the Company are components.</w:t>
      </w:r>
    </w:p>
    <w:p>
      <w:pPr>
        <w:spacing w:after="0" w:line="78"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The Company’s current ownership and operational structure were the results of a merger with Brookfield completed on September 30, 2019 (“Merger”) and a subsequent restructuring (“Restructuring”) completed on October 1, 2019 in connection with the Merger. See audited consolidated financial statements included in the Company’s Annual Report on Form 10-K for the year ended December 31, 2019 filed with the Securities and Exchange Commission (“SEC”) for more information regarding the Merger and Restructuring.</w:t>
      </w:r>
    </w:p>
    <w:p>
      <w:pPr>
        <w:spacing w:after="0" w:line="91" w:lineRule="exact"/>
        <w:rPr>
          <w:sz w:val="20"/>
          <w:szCs w:val="20"/>
          <w:color w:val="auto"/>
        </w:rPr>
      </w:pPr>
    </w:p>
    <w:p>
      <w:pPr>
        <w:ind w:right="380" w:firstLine="509"/>
        <w:spacing w:after="0" w:line="290" w:lineRule="auto"/>
        <w:rPr>
          <w:sz w:val="20"/>
          <w:szCs w:val="20"/>
          <w:color w:val="auto"/>
        </w:rPr>
      </w:pPr>
      <w:r>
        <w:rPr>
          <w:rFonts w:ascii="Arial" w:cs="Arial" w:eastAsia="Arial" w:hAnsi="Arial"/>
          <w:sz w:val="14"/>
          <w:szCs w:val="14"/>
          <w:color w:val="auto"/>
        </w:rPr>
        <w:t>Oaktree Capital Management, L.P. (“OCM”), an affiliate of the Company, provides certain administrative and other services relating to the operations of the Company’s business pursuant to a Services Agreement between the Company and OCM (as amended from time to time, the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36" w:lineRule="exact"/>
        <w:rPr>
          <w:sz w:val="20"/>
          <w:szCs w:val="20"/>
          <w:color w:val="auto"/>
        </w:rPr>
      </w:pPr>
    </w:p>
    <w:p>
      <w:pPr>
        <w:ind w:right="140" w:firstLine="509"/>
        <w:spacing w:after="0" w:line="258" w:lineRule="auto"/>
        <w:rPr>
          <w:sz w:val="20"/>
          <w:szCs w:val="20"/>
          <w:color w:val="auto"/>
        </w:rPr>
      </w:pPr>
      <w:r>
        <w:rPr>
          <w:rFonts w:ascii="Arial" w:cs="Arial" w:eastAsia="Arial" w:hAnsi="Arial"/>
          <w:sz w:val="14"/>
          <w:szCs w:val="14"/>
          <w:color w:val="auto"/>
        </w:rPr>
        <w:t>The accompanying unaudited condensed consolidated financial statements are prepared in accordance with accounting principles generally accepted in the United States of America (“GAAP”) for interim financial information. The condensed consolidated financial statements, including these notes, are unaudited and exclude some of the disclosures required in annual financial statements. Management believes it has made all necessary adjustments (consisting of only normal recurring items) such that the condensed consolidated financial statements are presented fairly and that estimates made in preparing its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Certain of the Oaktree funds consolidated by the Company are investment companies that follow a specialized basis of accounting established by GAAP. All intercompany transactions and balances have been eliminated in consolidation.</w:t>
      </w:r>
    </w:p>
    <w:p>
      <w:pPr>
        <w:spacing w:after="0" w:line="101" w:lineRule="exact"/>
        <w:rPr>
          <w:sz w:val="20"/>
          <w:szCs w:val="20"/>
          <w:color w:val="auto"/>
        </w:rPr>
      </w:pPr>
    </w:p>
    <w:p>
      <w:pPr>
        <w:jc w:val="both"/>
        <w:ind w:right="260" w:firstLine="509"/>
        <w:spacing w:after="0" w:line="290" w:lineRule="auto"/>
        <w:rPr>
          <w:sz w:val="20"/>
          <w:szCs w:val="20"/>
          <w:color w:val="auto"/>
        </w:rPr>
      </w:pPr>
      <w:r>
        <w:rPr>
          <w:rFonts w:ascii="Arial" w:cs="Arial" w:eastAsia="Arial" w:hAnsi="Arial"/>
          <w:sz w:val="14"/>
          <w:szCs w:val="14"/>
          <w:color w:val="auto"/>
        </w:rPr>
        <w:t>These condensed consolidated financial statements should be read in conjunction with the audited consolidated financial statements of the Company for the year ended December 31, 2021 included in the Company’s Annual Report on Form 10-K filed with the SEC on March 14, 2022.</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36" w:lineRule="exact"/>
        <w:rPr>
          <w:sz w:val="20"/>
          <w:szCs w:val="20"/>
          <w:color w:val="auto"/>
        </w:rPr>
      </w:pPr>
    </w:p>
    <w:p>
      <w:pPr>
        <w:jc w:val="both"/>
        <w:ind w:right="240" w:firstLine="509"/>
        <w:spacing w:after="0" w:line="271" w:lineRule="auto"/>
        <w:rPr>
          <w:sz w:val="20"/>
          <w:szCs w:val="20"/>
          <w:color w:val="auto"/>
        </w:rPr>
      </w:pPr>
      <w:r>
        <w:rPr>
          <w:rFonts w:ascii="Arial" w:cs="Arial" w:eastAsia="Arial" w:hAnsi="Arial"/>
          <w:sz w:val="14"/>
          <w:szCs w:val="14"/>
          <w:color w:val="auto"/>
        </w:rPr>
        <w:t>The preparation of the condensed consolidated financial statements in accordance with GAAP requires the Company to make estimates and assumptions that affect the reported amounts of assets and liabilities as of the date of the condensed consolidated financial statements, as well as the reported amounts of income and expenses during the period then ended. Actual results could differ from these estimates.</w:t>
      </w:r>
    </w:p>
    <w:p>
      <w:pPr>
        <w:spacing w:after="0" w:line="134" w:lineRule="exact"/>
        <w:rPr>
          <w:sz w:val="20"/>
          <w:szCs w:val="20"/>
          <w:color w:val="auto"/>
        </w:rPr>
      </w:pPr>
    </w:p>
    <w:p>
      <w:pPr>
        <w:ind w:right="7520" w:firstLine="5"/>
        <w:spacing w:after="0" w:line="444" w:lineRule="auto"/>
        <w:tabs>
          <w:tab w:leader="none" w:pos="157"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Accounting Policies of the Company</w:t>
      </w:r>
    </w:p>
    <w:p>
      <w:pPr>
        <w:spacing w:after="0"/>
        <w:rPr>
          <w:sz w:val="20"/>
          <w:szCs w:val="20"/>
          <w:color w:val="auto"/>
        </w:rPr>
      </w:pPr>
      <w:r>
        <w:rPr>
          <w:rFonts w:ascii="Arial" w:cs="Arial" w:eastAsia="Arial" w:hAnsi="Arial"/>
          <w:sz w:val="14"/>
          <w:szCs w:val="14"/>
          <w:b w:val="1"/>
          <w:bCs w:val="1"/>
          <w:i w:val="1"/>
          <w:iCs w:val="1"/>
          <w:color w:val="auto"/>
        </w:rPr>
        <w:t>Consolidation</w:t>
      </w:r>
    </w:p>
    <w:p>
      <w:pPr>
        <w:spacing w:after="0" w:line="134"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The Company consolidates entities in which it has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it is the primary beneficiary. An entity is deemed to be the primary beneficiary if it holds a controlling financial interest. A controlling financial interest is defined as (a) the power to direct the activities of a VIE that most significantly impact the entity’s economic performance and (b) the obligation to absorb losses of the entity or the right to receive benefits from the entity that could potentially be significant to the VIE. The consolidation guidance requires an analysis to determine (a) whether an entity in which the Company holds a variable interest is a VIE and</w:t>
      </w:r>
    </w:p>
    <w:p>
      <w:pPr>
        <w:spacing w:after="0" w:line="2" w:lineRule="exact"/>
        <w:rPr>
          <w:sz w:val="20"/>
          <w:szCs w:val="20"/>
          <w:color w:val="auto"/>
        </w:rPr>
      </w:pPr>
    </w:p>
    <w:p>
      <w:pPr>
        <w:ind w:right="40" w:firstLine="5"/>
        <w:spacing w:after="0" w:line="257" w:lineRule="auto"/>
        <w:tabs>
          <w:tab w:leader="none" w:pos="212" w:val="left"/>
        </w:tabs>
        <w:numPr>
          <w:ilvl w:val="0"/>
          <w:numId w:val="4"/>
        </w:numPr>
        <w:rPr>
          <w:rFonts w:ascii="Arial" w:cs="Arial" w:eastAsia="Arial" w:hAnsi="Arial"/>
          <w:sz w:val="14"/>
          <w:szCs w:val="14"/>
          <w:color w:val="auto"/>
        </w:rPr>
      </w:pPr>
      <w:r>
        <w:rPr>
          <w:rFonts w:ascii="Arial" w:cs="Arial" w:eastAsia="Arial" w:hAnsi="Arial"/>
          <w:sz w:val="14"/>
          <w:szCs w:val="14"/>
          <w:color w:val="auto"/>
        </w:rPr>
        <w:t>whether the Company’s involvement, through holding interests directly or indirectly in the entity or contractually through other variable interests (e.g., management and performance-based fees), would give it a controlling financial interest. A decision maker’s fee arrangement is not considered a variable interest if (a) it is compensation for services provided, commensurate with the level of effort required to provide those services, and part of a compensation arrangement that includes only terms, conditions or amounts that are customarily present in arrangements for similar services negotiated at arm’s length (“at-market”), and (b) the decision maker does not hold any other variable interests that absorb more than an insignificant amount of the potential VIE’s expected residual returns.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The Company determines whether it is the primary beneficiary of a VIE at the time it becomes involved with a VIE and reconsiders that conclusion at each reporting date. In evaluating whether the Company is the primary beneficiary, the Company evaluates its economic interests in the entity held either directly by the Company or indirectly through related parties. The consolidation analysis can generally be performed qualitatively; however, if it is not readily apparent that the Company is not the primary beneficiary, a quantitative analysis may also be performed. Investments and redemptions (either by the Company, affiliates of the Company or third parties) or amendments to the governing documents of the respective Oaktree funds could affect an entity’s status as a VIE or the determination of the primary beneficiary. The Company does not consolidate most of the Oaktree funds because it is not the primary beneficiary of those funds due to the fact that its fee arrangements are considered at-market and thus not deemed to be variable interests, and it does not hold any other interests in those funds that are considered to be more than insignificant. Please see note 4 for more information regarding both consolidated and unconsolidated VIEs. For entities that are not VIEs, consolidation is evaluated through a majority voting interest model.</w:t>
      </w:r>
    </w:p>
    <w:p>
      <w:pPr>
        <w:spacing w:after="0" w:line="101"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“Consolidated funds” refers to Oaktree-managed funds and CLOs that the Company is required to consolidate. When funds or CLOs are consolidated, the Company reflects the assets, liabilities, revenues, expenses and cash flows of the funds or CLOs on a gross basis, and the majority of the economic interests in those funds or CLOs, which are held by third-party investors, are reflected as non-controlling interests in consolidated funds or debt obligations of CLOs in the condensed consolidated financial statements. All of the revenues earned by the Company as investment manager of the consolidated funds are eliminated in consolidation. However, because the eliminated amounts are earned from and funded by third-party investors, the consolidation of a fund does not impact net income or loss attributable to the Company.</w:t>
      </w:r>
    </w:p>
    <w:p>
      <w:pPr>
        <w:spacing w:after="0" w:line="97"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Certain entities in which the Company has the ability to exert significant influence, including unconsolidated Oaktree funds for which the Company acts as general partner, are accounted for under the equity method of accounting.</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Non-controlling Redeemable Interests in Consolidated Funds</w:t>
      </w:r>
    </w:p>
    <w:p>
      <w:pPr>
        <w:spacing w:after="0" w:line="134"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The Company records non-controlling interests to reflect the economic interests of the unaffiliated limited partners in Oaktree-managed funds and the class A ordinary shareholders in Oaktree sponsored SPACs. These interests are presented as non-controlling redeemable interests in consolidated funds within the condensed consolidated statements of financial condition, outside of the permanent capital section. Limited partners in open-end and evergreen funds generally have the right to withdraw their capital, subject to the terms of the respective limited partnership agreements, over periods ranging from one month to three years. While limited partners in consolidated closed-end funds generally have not been granted redemption rights, these limited partners do have withdrawal or redemption rights in certain limited circumstances that are beyond the control of the Company, such as instances in which retaining the limited partnership interest could cause the limited partner to violate a law, regulation or rule. For Oaktree sponsored SPACs, the class A ordinary shareholders have redemption rights that are considered to be outside of the Company’s control. These shares are presented as non-controlling redeemable interests on the Company’s condensed consolidated statements of financial condition.</w:t>
      </w:r>
    </w:p>
    <w:p>
      <w:pPr>
        <w:spacing w:after="0" w:line="101" w:lineRule="exact"/>
        <w:rPr>
          <w:sz w:val="20"/>
          <w:szCs w:val="20"/>
          <w:color w:val="auto"/>
        </w:rPr>
      </w:pPr>
    </w:p>
    <w:p>
      <w:pPr>
        <w:ind w:right="340" w:firstLine="509"/>
        <w:spacing w:after="0" w:line="265" w:lineRule="auto"/>
        <w:rPr>
          <w:sz w:val="20"/>
          <w:szCs w:val="20"/>
          <w:color w:val="auto"/>
        </w:rPr>
      </w:pPr>
      <w:r>
        <w:rPr>
          <w:rFonts w:ascii="Arial" w:cs="Arial" w:eastAsia="Arial" w:hAnsi="Arial"/>
          <w:sz w:val="14"/>
          <w:szCs w:val="14"/>
          <w:color w:val="auto"/>
        </w:rPr>
        <w:t>The allocation of net income or loss to non-controlling redeemable interests in consolidated funds and Oaktree sponsored SPACs is based on the relative ownership interests of the unaffiliated limited partners after the consideration of contractual arrangements that govern allocations of income or loss. At the consolidated level, potential incentives are allocated to non-controlling redeemable interests in consolidated funds until such incentives become allocable to the Company under the substantive contractual terms of the limited partnership agreements of the funds.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Non-controlling Interests in Consolidated Funds</w:t>
      </w:r>
    </w:p>
    <w:p>
      <w:pPr>
        <w:spacing w:after="0" w:line="134"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Non-controlling interests in consolidated funds represent the equity interests held by third-party investors in CLOs that had not yet priced as of the respective period end. All non-controlling interests in those CLOs are attributed a share of income or loss arising from the respective CLO based on the relative ownership interests of third-party investors after consideration of contractual arrangements that govern allocations of income or loss.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Investors in those CLOs are generally unable to redeem their interests until the respective CLO liquidates, is called or otherwise terminates.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Non-controlling Interests in Consolidated Subsidiaries</w:t>
      </w:r>
    </w:p>
    <w:p>
      <w:pPr>
        <w:spacing w:after="0" w:line="134"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Non-controlling interests in consolidated subsidiaries reflect the portion of unitholders’ capital attributable to OCGH unitholders (“OCGH non-controlling interest”) and third parties. All non-controlling interests in consolidated subsidiaries are attributed a share of income or loss in the respective consolidated subsidiary based on the relative economic interests of the OCGH unitholders or third parties after consideration of contractual arrangements that govern allocations of income or loss. Please see note 11 for more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34"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GAAP establishes a hierarchical disclosure framework that prioritizes the inputs used in measuring financial instruments at fair value into three levels based on their market observability. Market price observability is affected by a number of factors, such as the type of instrument and the characteristics specific to the instrument. Financial instruments with readily available quoted prices from an active market or for which fair value can be measured based on actively quoted prices generally will have a higher degree of market price observability and a lesser degree of judgment inherent in measuring fair value.</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Financial assets and liabilities measured and reported at fair value are classified as follows:</w:t>
      </w:r>
    </w:p>
    <w:p>
      <w:pPr>
        <w:spacing w:after="0" w:line="136" w:lineRule="exact"/>
        <w:rPr>
          <w:sz w:val="20"/>
          <w:szCs w:val="20"/>
          <w:color w:val="auto"/>
        </w:rPr>
      </w:pPr>
    </w:p>
    <w:p>
      <w:pPr>
        <w:ind w:left="520" w:right="460" w:firstLine="255"/>
        <w:spacing w:after="0" w:line="290" w:lineRule="auto"/>
        <w:rPr>
          <w:sz w:val="20"/>
          <w:szCs w:val="20"/>
          <w:color w:val="auto"/>
        </w:rPr>
      </w:pPr>
      <w:r>
        <w:rPr>
          <w:rFonts w:ascii="Arial" w:cs="Arial" w:eastAsia="Arial" w:hAnsi="Arial"/>
          <w:sz w:val="14"/>
          <w:szCs w:val="14"/>
          <w:color w:val="auto"/>
        </w:rPr>
        <w:t>• Level I – Quoted unadjusted prices for identical instruments in active markets to which the Company has access at the date of measurement. The types of investments in Level I include exchange-traded equities, debt and derivatives with quoted prices.</w:t>
      </w:r>
    </w:p>
    <w:p>
      <w:pPr>
        <w:spacing w:after="0" w:line="78" w:lineRule="exact"/>
        <w:rPr>
          <w:sz w:val="20"/>
          <w:szCs w:val="20"/>
          <w:color w:val="auto"/>
        </w:rPr>
      </w:pPr>
    </w:p>
    <w:p>
      <w:pPr>
        <w:jc w:val="both"/>
        <w:ind w:left="520" w:right="40" w:firstLine="249"/>
        <w:spacing w:after="0" w:line="265" w:lineRule="auto"/>
        <w:tabs>
          <w:tab w:leader="none" w:pos="1026"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Level II – Quoted prices for similar instruments in active markets; quoted prices for identical or similar instruments in markets that are not active; and model-derived valuations in which all significant inputs are directly or indirectly observable. Level II inputs include interest rates, yield curves, volatilities, prepayment risks, loss severities, credit risks and default rates. The types of investments in Level II generally include corporate bonds and loans, government and agency securities, less liquid and restricted equity investments, over-the-counter traded derivatives, debt obligations of consolidated CLOs, and other investments where the fair value is based on observable inputs.</w:t>
      </w:r>
    </w:p>
    <w:p>
      <w:pPr>
        <w:spacing w:after="0" w:line="95" w:lineRule="exact"/>
        <w:rPr>
          <w:rFonts w:ascii="Arial" w:cs="Arial" w:eastAsia="Arial" w:hAnsi="Arial"/>
          <w:sz w:val="14"/>
          <w:szCs w:val="14"/>
          <w:color w:val="auto"/>
        </w:rPr>
      </w:pPr>
    </w:p>
    <w:p>
      <w:pPr>
        <w:ind w:left="520" w:right="40" w:firstLine="249"/>
        <w:spacing w:after="0" w:line="265" w:lineRule="auto"/>
        <w:tabs>
          <w:tab w:leader="none" w:pos="1026"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Level III – Valuations for which one or more significant inputs are unobservable. These inputs reflect the Company’s assessment of the assumptions that market participants use to value the investment based on the best available information. Level III inputs include prices of quoted securities in markets for which there are few transactions, less public information exists or prices vary among brokered market makers. The types of investments in Level III include non-publicly traded equity, debt, real estate and derivatives.</w:t>
      </w:r>
    </w:p>
    <w:p>
      <w:pPr>
        <w:spacing w:after="0" w:line="95"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In some instances, the inputs used to value an instrument may fall into multiple levels of the fair-value hierarchy. In such instances, the instrument’s level within the fair-value hierarchy is based on the lowest of the three levels (with Level III being the lowest) that is significant to the fair-value measurement. The Company’s assessment of the significance of an input requires judgment and considers factors specific to the instrument. Transfers of assets into or out of each fair value hierarchy level as a result of changes in the observability of the inputs used in measuring fair value are accounted for as of the beginning of the reporting period. Transfers resulting from a specific event, such as a reorganization or restructuring, are accounted for as of the date of the event that caused the transfer.</w:t>
      </w:r>
    </w:p>
    <w:p>
      <w:pPr>
        <w:spacing w:after="0" w:line="97" w:lineRule="exact"/>
        <w:rPr>
          <w:sz w:val="20"/>
          <w:szCs w:val="20"/>
          <w:color w:val="auto"/>
        </w:rPr>
      </w:pPr>
    </w:p>
    <w:p>
      <w:pPr>
        <w:ind w:right="140" w:firstLine="509"/>
        <w:spacing w:after="0" w:line="260" w:lineRule="auto"/>
        <w:rPr>
          <w:sz w:val="20"/>
          <w:szCs w:val="20"/>
          <w:color w:val="auto"/>
        </w:rPr>
      </w:pPr>
      <w:r>
        <w:rPr>
          <w:rFonts w:ascii="Arial" w:cs="Arial" w:eastAsia="Arial" w:hAnsi="Arial"/>
          <w:sz w:val="14"/>
          <w:szCs w:val="14"/>
          <w:color w:val="auto"/>
        </w:rPr>
        <w:t>In the absence of observable market prices, the Company values Level III investments inclusive of the Company’s investments in unconsolidated Oaktree funds using valuation methodologies applied on a consistent basis. The quarterly valuation process for Level III investments begins with each portfolio company, property or security being valued by the investment and/or valuation teams. With the exception of open-end funds, all unquoted Level III investment values are reviewed and approved by (i) the Company’s valuation officer, who is independent of the investment teams, (ii) a designated investment professional of each strategy and (iii) for a substantial majority of unquoted Level III holdings as measured by market value, a valuation committee of the respective strategy. For open-end funds, unquoted Level III investment values are reviewed and approved by the Company’s valuation</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officer. For certain investments, the valuation process also includes a review by independent valuation parties, at least annually, to determine whether the fair values determined by management are reasonable. Results of the valuation process are evaluated each quarter, including an assessment of whether the underlying calculations should be adjusted or recalibrated. In connection with this process, the Company periodically evaluates changes in fair-value measurements for reasonableness, considering items such as industry trends, general economic and market conditions, and factors specific to the investment.</w:t>
      </w:r>
    </w:p>
    <w:p>
      <w:pPr>
        <w:spacing w:after="0" w:line="95"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Certain assets are valued using prices obtained from pricing vendors or brokers. The Company seeks to obtain prices from at least two pricing vendors for the subject or similar securities. In cases where vendor pricing is not reflective of fair value, a secondary vendor is unavailable, or no vendor pricing is available, a comparison value made up of quotes for the subject or similar securities received from broker dealers may be used. These investments may be classified as Level III because the quoted prices may be indicative in nature for securities that</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are in an inactive market, may be for similar securities, or may require adjustment for investment-specific factors or restrictions. The Company evaluates the prices obtained from brokers or pricing vendors based on available market information, including trading activity of the subject or similar securities, or by performing a comparable security analysis to ensure that fair values are reasonably estimated. The Company also performs back-testing of valuation information obtained from pricing vendors and brokers against actual prices received in transactions. In addition to ongoing monitoring and back-testing, the Company performs due diligence procedures surrounding pricing vendors to understand their methodology and controls to support their use in the valuation process.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Option</w:t>
      </w:r>
    </w:p>
    <w:p>
      <w:pPr>
        <w:spacing w:after="0" w:line="134"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The Company has elected the fair value option for the financial assets and financial liabilities of its consolidated CLOs. The assets and liabilities of CLOs are primarily reflected within the investments, at fair value and within the debt obligations of CLOs line items in the condensed consolidated statements of financial condition. The Company’s accounting for CLO assets is similar to its accounting for its funds with respect to both carrying investments held by CLOs at fair value and the valuation methods used to determine the fair value of those investments. The fair value of CLO liabilities are measured as the fair value of CLO assets less the sum of (a) the fair value of any beneficial interests held by the Company and (b) the carrying value of any beneficial interests that represent compensation for services. Realized gains or losses and changes in the fair value of CLO assets, respectively, are included in net realized gain on consolidated funds’ investments and net change in unrealized appreciation (depreciation) on consolidated funds’ investments in the condensed consolidated statements of operations. Interest income of CLOs is included in interest and dividend income, and interest expense and other expenses, respectively, are included in interest expense and consolidated fund expenses in the condensed consolidated statements of operations. Changes in the fair value of a CLO’s financial liabilities in accordance with the CLO measurement guidance are included in net change in unrealized appreciation (depreciation) on consolidated funds’ investments in the condensed consolidated statements of operations. Please see notes 6 and 8 for more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w:t>
      </w:r>
    </w:p>
    <w:p>
      <w:pPr>
        <w:spacing w:after="0" w:line="134" w:lineRule="exact"/>
        <w:rPr>
          <w:sz w:val="20"/>
          <w:szCs w:val="20"/>
          <w:color w:val="auto"/>
        </w:rPr>
      </w:pPr>
    </w:p>
    <w:p>
      <w:pPr>
        <w:ind w:right="160" w:firstLine="509"/>
        <w:spacing w:after="0" w:line="265" w:lineRule="auto"/>
        <w:rPr>
          <w:sz w:val="20"/>
          <w:szCs w:val="20"/>
          <w:color w:val="auto"/>
        </w:rPr>
      </w:pPr>
      <w:r>
        <w:rPr>
          <w:rFonts w:ascii="Arial" w:cs="Arial" w:eastAsia="Arial" w:hAnsi="Arial"/>
          <w:sz w:val="14"/>
          <w:szCs w:val="14"/>
          <w:color w:val="auto"/>
        </w:rPr>
        <w:t>The assets and liabilities of the Company’s foreign subsidiaries with non-U.S. dollar functional currencies are translated at exchange rates prevailing at the end of each reporting period. The results of foreign operations are translated at the weighted average exchange rate for each reporting period. Translation adjustments are included in other comprehensive income (loss) within the condensed consolidated statements of financial condition until realized. Gains and losses resulting from foreign-currency transactions are included in general and administrative expense.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Derivatives and Hedging</w:t>
      </w:r>
    </w:p>
    <w:p>
      <w:pPr>
        <w:spacing w:after="0" w:line="134" w:lineRule="exact"/>
        <w:rPr>
          <w:sz w:val="20"/>
          <w:szCs w:val="20"/>
          <w:color w:val="auto"/>
        </w:rPr>
      </w:pPr>
    </w:p>
    <w:p>
      <w:pPr>
        <w:ind w:right="320" w:firstLine="509"/>
        <w:spacing w:after="0" w:line="265" w:lineRule="auto"/>
        <w:rPr>
          <w:sz w:val="20"/>
          <w:szCs w:val="20"/>
          <w:color w:val="auto"/>
        </w:rPr>
      </w:pPr>
      <w:r>
        <w:rPr>
          <w:rFonts w:ascii="Arial" w:cs="Arial" w:eastAsia="Arial" w:hAnsi="Arial"/>
          <w:sz w:val="14"/>
          <w:szCs w:val="14"/>
          <w:color w:val="auto"/>
        </w:rPr>
        <w:t>A derivative is a financial instrument whose value is derived from an underlying financial instrument or index, such as interest rates, equity securities, currencies, commodities or credit spreads. Derivatives include futures, forwards, swaps or option contracts, and other financial instruments with similar characteristics. Derivative contracts often involve future commitments to exchange interest payment streams or currencies based on a notional or contractual amount (e.g., interest-rate swaps, foreign-currency forwards or cross-currency swaps).</w:t>
      </w:r>
    </w:p>
    <w:p>
      <w:pPr>
        <w:spacing w:after="0" w:line="95"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The Company enters into derivatives as part of its overall risk management strategy or to facilitate its investment management activities. The Company manages its exposure to interest rate and foreign exchange market risks, when deemed appropriate, through the use of derivatives, including foreign currency forward and option contracts, interest-rate and cross currency swaps with financial counterparties. Risks associated with fluctuations in interest rates and foreign-currency exchange rates in the normal course of business are addressed as part of the Company’s overall risk management strategy that may result in the use of derivatives to economically hedge or reduce these exposures. From time to time, the Company may enter into (a) foreign-currency option and forward contracts to reduce earnings and cash-flow volatility associated with changes in foreign-currency exchange rates, and (b) interest-rate swaps to manage all or a portion of the interest-rate risk associated with its variable -rate borrowings. As a result of the use of these or other derivative contracts, the Company is exposed to the risk that counterparties will fail to fulfill their contractual obligations. The Company attempts to mitigate this counterparty risk by entering into derivative contracts only with major financial institutions that have investment-grade credit ratings. Counterparty credit risk is evaluated in determining the fair value of derivatives.</w:t>
      </w:r>
    </w:p>
    <w:p>
      <w:pPr>
        <w:spacing w:after="0" w:line="271"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The Company recognizes all derivatives as assets or liabilities in its condensed consolidated statements of financial condition at fair value.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condensed consolidated statements of financial condition.</w:t>
      </w:r>
    </w:p>
    <w:p>
      <w:pPr>
        <w:spacing w:after="0" w:line="97"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When the Company enters into a derivative contract, it may or may not elect to designate the derivative as a hedging instrument and apply hedge accounting as part of its overall risk management strategy. In other situations, when a derivative does not qualify for hedge accounting or when the derivative and the hedged item are both recorded in current-period earnings and thus deemed to be economic hedges, hedge accounting is not applied. Freestanding derivatives are financial instruments that we enter into as part of our overall risk management strategy but do not utilize hedge accounting. These financial instruments may include foreign-currency exchange contracts, interest-rate swaps and other derivative contracts.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34" w:lineRule="exact"/>
        <w:rPr>
          <w:sz w:val="20"/>
          <w:szCs w:val="20"/>
          <w:color w:val="auto"/>
        </w:rPr>
      </w:pPr>
    </w:p>
    <w:p>
      <w:pPr>
        <w:ind w:right="4060" w:firstLine="509"/>
        <w:spacing w:after="0" w:line="257" w:lineRule="auto"/>
        <w:rPr>
          <w:sz w:val="20"/>
          <w:szCs w:val="20"/>
          <w:color w:val="auto"/>
        </w:rPr>
      </w:pPr>
      <w:r>
        <w:rPr>
          <w:rFonts w:ascii="Arial" w:cs="Arial" w:eastAsia="Arial" w:hAnsi="Arial"/>
          <w:sz w:val="14"/>
          <w:szCs w:val="14"/>
          <w:color w:val="auto"/>
        </w:rPr>
        <w:t>The Company determines whether an arrangement contains a lease at inception. A lease is a contract that provides the right to control an identified asset for a period of time in exchange for consideration. For identified leases, the Company determines whether it should be classified as an operating or finance lease. Operating leases are recorded in the consolidated statements of financial condition as separate line items: right-of-use assets and operating lease liabilities. Right-of-use assets represent the Company’s right to use an underlying asset for the</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lease term and operating lease liabilities represent the Company’s obligation to make lease payments arising from the lease. Right-of-use assets and operating lease liabilities are recognized at the commencement date of the</w:t>
      </w:r>
    </w:p>
    <w:p>
      <w:pPr>
        <w:ind w:right="4120"/>
        <w:spacing w:after="0" w:line="255" w:lineRule="auto"/>
        <w:rPr>
          <w:sz w:val="20"/>
          <w:szCs w:val="20"/>
          <w:color w:val="auto"/>
        </w:rPr>
      </w:pPr>
      <w:r>
        <w:rPr>
          <w:rFonts w:ascii="Arial" w:cs="Arial" w:eastAsia="Arial" w:hAnsi="Arial"/>
          <w:sz w:val="14"/>
          <w:szCs w:val="14"/>
          <w:color w:val="auto"/>
        </w:rPr>
        <w:t>lease and measured based on the present value of lease payments over the lease term. The right-of-use asset amount also includes deferred rent liabilities and lease incentives. The Company’s lease arrangements generally do not provide an implicit rate. As a result, in such situations the Company uses its incremental borrowing rate based on the information available at commencement date in determining the present value of lease payments. The Company may also include options to extend or terminate the lease when it is reasonably certain that it will exercise that option in the measurement of its right-of-use assets and liabilities. Lease expense for operating leases is recognized on a straight-line basis over the lease term. The Company has lease agreements with lease and non-lease components, which are generally accounted for separately. Please see note 9 for more information.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Cash-equivalents</w:t>
      </w:r>
    </w:p>
    <w:p>
      <w:pPr>
        <w:spacing w:after="0" w:line="134" w:lineRule="exact"/>
        <w:rPr>
          <w:sz w:val="20"/>
          <w:szCs w:val="20"/>
          <w:color w:val="auto"/>
        </w:rPr>
      </w:pPr>
    </w:p>
    <w:p>
      <w:pPr>
        <w:ind w:right="80" w:firstLine="509"/>
        <w:spacing w:after="0" w:line="290" w:lineRule="auto"/>
        <w:rPr>
          <w:sz w:val="20"/>
          <w:szCs w:val="20"/>
          <w:color w:val="auto"/>
        </w:rPr>
      </w:pPr>
      <w:r>
        <w:rPr>
          <w:rFonts w:ascii="Arial" w:cs="Arial" w:eastAsia="Arial" w:hAnsi="Arial"/>
          <w:sz w:val="14"/>
          <w:szCs w:val="14"/>
          <w:color w:val="auto"/>
        </w:rPr>
        <w:t>Cash and cash-equivalents include demand deposit accounts, money market funds, and other short-term investments with maturities of three months or less at the date of acquisition.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Treasury and Other Securities</w:t>
      </w:r>
    </w:p>
    <w:p>
      <w:pPr>
        <w:spacing w:after="0" w:line="134"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U.S. Treasury and other securities include holdings of U.S. Treasury bills, notes and bonds, time deposit securities, commercial paper and investment grade debt securities, including sovereign debt, domestic and international corporate fixed and floating rate debt, structured credit and debt issued or guaranteed by U.S. government-sponsored entities with maturities greater than three months from the date of acquisition. These securities are classified as trading and are recorded at fair value with changes in fair value included in investment income.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Corporate Investments</w:t>
      </w:r>
    </w:p>
    <w:p>
      <w:pPr>
        <w:spacing w:after="0" w:line="134"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Corporate investments may consist of investments in funds, companies in which the Company does not have a controlling financial interest, and non-investment grade debt securities. Investments for which the Company is deemed to exert significant influence are accounted for under the equity method of accounting and reflect Oaktree’s ownership interest in each fund or company. In the case of investments for which the Company is not deemed to exert significant influence or control, the fair value option of accounting has been elected. Investment income represents the Company’s pro-rata share of income or loss from these funds or companies, or the change in fair value of the investment, as applicable. Oaktree’s general partnership interests are generally illiquid. While investments in funds reflect each respective fund’s holdings at fair value, equity-method investments in companies are not adjusted to reflect the fair value of the underlying company. The fair value of the underlying investments in Oaktree funds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01" w:lineRule="exact"/>
        <w:rPr>
          <w:sz w:val="20"/>
          <w:szCs w:val="20"/>
          <w:color w:val="auto"/>
        </w:rPr>
      </w:pPr>
    </w:p>
    <w:p>
      <w:pPr>
        <w:ind w:right="280" w:firstLine="509"/>
        <w:spacing w:after="0" w:line="290" w:lineRule="auto"/>
        <w:rPr>
          <w:sz w:val="20"/>
          <w:szCs w:val="20"/>
          <w:color w:val="auto"/>
        </w:rPr>
      </w:pPr>
      <w:r>
        <w:rPr>
          <w:rFonts w:ascii="Arial" w:cs="Arial" w:eastAsia="Arial" w:hAnsi="Arial"/>
          <w:sz w:val="14"/>
          <w:szCs w:val="14"/>
          <w:color w:val="auto"/>
        </w:rPr>
        <w:t>Non-investment grade debt securities include domestic and international corporate fixed and floating rating debt and structured credit investments. These securities are classified as trading and are recorded at fair value with changes in fair value included in investment income.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4"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The Company earns management fees and incentive income from the investment advisory services it provides to its customers. Revenue is recognized when control of the promised services is transferred to customers in an amount that reflects the consideration the Company expects to receive in exchange for those services. The Company typically enters into contracts with investment funds to provide investment management and administrative services. These services are generally capable of being distinct and each is accounted for as separate performance obligations comprised of distinct service periods because the services are performed over time. The Company determined that for accounting purposes, based on certain facts and circumstances specific to each investment fund structure, that either the investment fund or individual investors may be considered the customer with respect to commingled funds, while the individual investors are the customers with respect to separate account and fund-of-one vehicles. The Company receives management fees and/or incentive income with respect to its investment management services, and it is reimbursed by the funds for expenses incurred or paid on behalf of the funds with respect to its investment advisory services and its administrative services. The Company evaluates whether it is the principal (i.e., report as management fees on a gross basis) or agent (i.e., report as management fees on a net basis) with respect to each performance obligation and associated reimbursement arrangements. The Company has elected to apply the variable consideration exemption for its fee arrangements with its customers. Please see note 3 for more information on revenues.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 Fees</w:t>
      </w:r>
    </w:p>
    <w:p>
      <w:pPr>
        <w:spacing w:after="0" w:line="198" w:lineRule="exact"/>
        <w:rPr>
          <w:sz w:val="20"/>
          <w:szCs w:val="20"/>
          <w:color w:val="auto"/>
        </w:rPr>
      </w:pPr>
    </w:p>
    <w:p>
      <w:pPr>
        <w:ind w:right="160" w:firstLine="509"/>
        <w:spacing w:after="0" w:line="290" w:lineRule="auto"/>
        <w:rPr>
          <w:sz w:val="20"/>
          <w:szCs w:val="20"/>
          <w:color w:val="auto"/>
        </w:rPr>
      </w:pPr>
      <w:r>
        <w:rPr>
          <w:rFonts w:ascii="Arial" w:cs="Arial" w:eastAsia="Arial" w:hAnsi="Arial"/>
          <w:sz w:val="14"/>
          <w:szCs w:val="14"/>
          <w:color w:val="auto"/>
        </w:rPr>
        <w:t>Management fees are recognized over the period in which the investment management services are performed because customers simultaneously consume and receive benefits that are satisfied over time. The</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398"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contractual terms of management fees generally vary by fund structure. For closed-end funds, the management fee rate is generally applied against committed capital, contributed capital or cost basis during the fund’s investment period and the lesser of aggregate contributed capital or cost basis of assets in the liquidation period. For closed-end funds that pay management fees based on committed capital, Oaktree may elect to delay the start of the fund’s investment period and thus its full management fees, in which case it earns management fees based on contributed capital, until Oaktree elects to start the fund’s investment period. Oaktree’s right to receive management fees typically ends after 10 or 11 years from either the initial closing date or the start of the investment period, even if assets remain in the fund. In the case of CLOs, the management fee is based on the aggregate par value of collateral assets and principal cash, as defined in the applicable CLO indentures, and a portion of the management fees is dependent on the sufficiency of the particular vehicle’s cash flow. For open-end and evergreen funds, the management fee is generally based on the NAV of the fund. For the BDCs, the management fee is based on gross assets (including assets acquired with leverage), net of cash. In the case of certain open-end fund accounts, Oaktree has the potential to earn performance-based fees, typically in reference to a relevant benchmark index or hurdle rate, which are classified as management fees. Oaktree also earns quarterly incentive fees on the investment income from certain evergreen funds, such as the BDCs and other fund accounts, which are generally recurring in nature and reflected as management fees.</w:t>
      </w:r>
    </w:p>
    <w:p>
      <w:pPr>
        <w:spacing w:after="0" w:line="101"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The ultimate amount of management fees that will be earned over the life of the contract is subject to a large number and broad range of possible outcomes due to market volatility and other factors outside of Oaktree’s control. As a result, the amount of revenue earned in any given period is generally determined at the end of each reporting period and relates to services performed during that period. Included in this amount is a gross-up for reimbursable costs incurred on behalf of the Oaktree funds in which the Company has determined it is the principal within the principal and agent relationship of the related fund. Such reimbursable costs are presented in compensation and benefits and general and administrative expenses.</w:t>
      </w:r>
    </w:p>
    <w:p>
      <w:pPr>
        <w:spacing w:after="0" w:line="97"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Our management fees consist primarily of fees earned from funds managed by OCM Cayman and sub-advisory fees for services provided to OCM. Our revenue recognition for sub-advisory fees is substantially similar to revenue recognition for management fees.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Incentive Income</w:t>
      </w:r>
    </w:p>
    <w:p>
      <w:pPr>
        <w:spacing w:after="0" w:line="134" w:lineRule="exact"/>
        <w:rPr>
          <w:sz w:val="20"/>
          <w:szCs w:val="20"/>
          <w:color w:val="auto"/>
        </w:rPr>
      </w:pPr>
    </w:p>
    <w:p>
      <w:pPr>
        <w:ind w:right="60" w:firstLine="509"/>
        <w:spacing w:after="0" w:line="257" w:lineRule="auto"/>
        <w:rPr>
          <w:sz w:val="20"/>
          <w:szCs w:val="20"/>
          <w:color w:val="auto"/>
        </w:rPr>
      </w:pPr>
      <w:r>
        <w:rPr>
          <w:rFonts w:ascii="Arial" w:cs="Arial" w:eastAsia="Arial" w:hAnsi="Arial"/>
          <w:sz w:val="14"/>
          <w:szCs w:val="14"/>
          <w:color w:val="auto"/>
        </w:rPr>
        <w:t>Incentive income generally represents 20% of each closed-end fund’s profits, subject to the return of contributed capital and a preferred return of typically 8% per annum, and up to 20% of certain evergreen fund’s annual profits, subject to high-water marks or hurdle rates. Incentive income is recognized when it is probable that a significant reversal will not occur. Revenue recognition is typically met (a) for closed-end funds, only after all contributed capital and the preferred return on that capital have been distributed to the fund’s investors, and (b) for certain evergreen funds, at the conclusion of each annual measurement period. Potential incentive income is highly susceptible to market volatility, the judgment and actions of third parties, and other factors outside of the Company’s control. The Company’s experience has demonstrated little predictive value in the amount of potential incentive income ultimately earned due to the highly uncertain nature of returns inherent in the markets and contingencies associated with many realization events. As a result, the amount of incentive income recognized in any given period is generally determined after giving consideration to a number of factors, including whether the fund is in its investment or liquidation period, and the nature and level of risk associated with changes in fair value of the remaining assets in the fund. In general, it would be unlikely that any amount of potential incentive income would be recognized until (a) the uncertainty is resolved or (b) the fund is near final liquidation, assets are under contract for sale or are at low risk of significant fluctuation in fair value, and the assets are significantly in excess of the threshold at which incentive income would be earned.</w:t>
      </w:r>
    </w:p>
    <w:p>
      <w:pPr>
        <w:spacing w:after="0" w:line="101" w:lineRule="exact"/>
        <w:rPr>
          <w:sz w:val="20"/>
          <w:szCs w:val="20"/>
          <w:color w:val="auto"/>
        </w:rPr>
      </w:pPr>
    </w:p>
    <w:p>
      <w:pPr>
        <w:ind w:right="120" w:firstLine="509"/>
        <w:spacing w:after="0" w:line="265" w:lineRule="auto"/>
        <w:rPr>
          <w:sz w:val="20"/>
          <w:szCs w:val="20"/>
          <w:color w:val="auto"/>
        </w:rPr>
      </w:pPr>
      <w:r>
        <w:rPr>
          <w:rFonts w:ascii="Arial" w:cs="Arial" w:eastAsia="Arial" w:hAnsi="Arial"/>
          <w:sz w:val="14"/>
          <w:szCs w:val="14"/>
          <w:color w:val="auto"/>
        </w:rPr>
        <w:t>Incentives received by the Company before the revenue recognition criteria have been met are deferred and recorded as a deferred incentive income liability within accounts payable, accrued expenses and other liabilities in the condensed consolidated statements of financial condition. The Company may receive tax distributions related to taxable income allocated by funds, which are treated as an advance of incentive income and subject to the same recognition criteria. Tax distributions are contractually not subject to clawback.</w:t>
      </w:r>
    </w:p>
    <w:p>
      <w:pPr>
        <w:spacing w:after="0" w:line="95" w:lineRule="exact"/>
        <w:rPr>
          <w:sz w:val="20"/>
          <w:szCs w:val="20"/>
          <w:color w:val="auto"/>
        </w:rPr>
      </w:pPr>
    </w:p>
    <w:p>
      <w:pPr>
        <w:ind w:right="360" w:firstLine="509"/>
        <w:spacing w:after="0" w:line="290" w:lineRule="auto"/>
        <w:rPr>
          <w:sz w:val="20"/>
          <w:szCs w:val="20"/>
          <w:color w:val="auto"/>
        </w:rPr>
      </w:pPr>
      <w:r>
        <w:rPr>
          <w:rFonts w:ascii="Arial" w:cs="Arial" w:eastAsia="Arial" w:hAnsi="Arial"/>
          <w:sz w:val="14"/>
          <w:szCs w:val="14"/>
          <w:color w:val="auto"/>
        </w:rPr>
        <w:t>The Company may earn incentive income upon deconsolidation of a SPAC arising from the completion of a merger with an identified target. Upon deconsolidation, the Company will derecognize the net assets of the entity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and record any gain or loss related to the remeasurement of its investments to fair value as incentive income in its condensed consolidated statements of operations. Subsequent fair value changes in the Company’s investments held in the entity will be recorded in investment income in its condensed consolidated statements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Compensation and Benefits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Compensation and Benefits</w:t>
      </w:r>
    </w:p>
    <w:p>
      <w:pPr>
        <w:spacing w:after="0" w:line="134"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Compensation and benefits expense reflects all compensation-related items not directly related to incentive income, investment income or equity-based compensation, and includes salaries, bonuses, compensation based on management fees or a definition of profits, employee benefits, payroll taxes, phantom equity awards, and long-term incentive plan. Bonuses are generally accrued over the related service period. Phantom equity awards represent liability-classified awards subject to vesting and remeasurement at the end of each reporting period. The remeasurement is based on changes in the value of Converted OCGH Units or other OCGH units, as applicable. Our consolidated operating results include compensation and benefits expense primarily related to employees of OCM Cayman.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Equity-based Compensation</w:t>
      </w:r>
    </w:p>
    <w:p>
      <w:pPr>
        <w:spacing w:after="0" w:line="134" w:lineRule="exact"/>
        <w:rPr>
          <w:sz w:val="20"/>
          <w:szCs w:val="20"/>
          <w:color w:val="auto"/>
        </w:rPr>
      </w:pPr>
    </w:p>
    <w:p>
      <w:pPr>
        <w:ind w:right="680" w:firstLine="509"/>
        <w:spacing w:after="0" w:line="290" w:lineRule="auto"/>
        <w:rPr>
          <w:sz w:val="20"/>
          <w:szCs w:val="20"/>
          <w:color w:val="auto"/>
        </w:rPr>
      </w:pPr>
      <w:r>
        <w:rPr>
          <w:rFonts w:ascii="Arial" w:cs="Arial" w:eastAsia="Arial" w:hAnsi="Arial"/>
          <w:sz w:val="14"/>
          <w:szCs w:val="14"/>
          <w:color w:val="auto"/>
        </w:rPr>
        <w:t>Equity-based compensation expense reflects the non-cash charge associated with grants of Converted OCGH Units, OCGH units, deferred equity units and other performance-based units.</w:t>
      </w:r>
    </w:p>
    <w:p>
      <w:pPr>
        <w:spacing w:after="0" w:line="78" w:lineRule="exact"/>
        <w:rPr>
          <w:sz w:val="20"/>
          <w:szCs w:val="20"/>
          <w:color w:val="auto"/>
        </w:rPr>
      </w:pPr>
    </w:p>
    <w:p>
      <w:pPr>
        <w:ind w:right="240" w:firstLine="509"/>
        <w:spacing w:after="0" w:line="271" w:lineRule="auto"/>
        <w:rPr>
          <w:sz w:val="20"/>
          <w:szCs w:val="20"/>
          <w:color w:val="auto"/>
        </w:rPr>
      </w:pPr>
      <w:r>
        <w:rPr>
          <w:rFonts w:ascii="Arial" w:cs="Arial" w:eastAsia="Arial" w:hAnsi="Arial"/>
          <w:sz w:val="14"/>
          <w:szCs w:val="14"/>
          <w:color w:val="auto"/>
        </w:rPr>
        <w:t>Equity-based awards that do not require future service (i.e., awards vested at grant) are expensed immediately. Equity-based awards that require future service are expensed on a straight-line basis over the requisite service period. Cash-settled equity-based awards are classified as liabilities and are remeasured at the end of each reporting period.</w:t>
      </w:r>
    </w:p>
    <w:p>
      <w:pPr>
        <w:spacing w:after="0" w:line="91" w:lineRule="exact"/>
        <w:rPr>
          <w:sz w:val="20"/>
          <w:szCs w:val="20"/>
          <w:color w:val="auto"/>
        </w:rPr>
      </w:pPr>
    </w:p>
    <w:p>
      <w:pPr>
        <w:ind w:right="200" w:firstLine="509"/>
        <w:spacing w:after="0" w:line="290" w:lineRule="auto"/>
        <w:rPr>
          <w:sz w:val="20"/>
          <w:szCs w:val="20"/>
          <w:color w:val="auto"/>
        </w:rPr>
      </w:pPr>
      <w:r>
        <w:rPr>
          <w:rFonts w:ascii="Arial" w:cs="Arial" w:eastAsia="Arial" w:hAnsi="Arial"/>
          <w:sz w:val="14"/>
          <w:szCs w:val="14"/>
          <w:color w:val="auto"/>
        </w:rPr>
        <w:t>With respect to forfeitures, the Company made an accounting policy election to account for forfeitures when they occur. Accordingly, no forfeitures have been assumed in the calculation of compensation expense.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Incentive Income Compensation</w:t>
      </w:r>
    </w:p>
    <w:p>
      <w:pPr>
        <w:spacing w:after="0" w:line="134"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Incentive income compensation expense primarily reflects compensation directly related to incentive income, which generally consists of percentage interests (sometimes referred to as “points” or an allocation of shares received upon the completion of a successful SPAC merger) that the Company grants to its investment professionals associated with the particular fund or SPAC that generated the incentive income, and secondarily, compensation directly related to investment income. The Company has an obligation to pay a fixed percentage of the incentive income earned from a particular fund or SPAC, including income from consolidated funds that is eliminated in consolidation, to specified investment professionals responsible for the management of the fund or SPAC. Amounts payable pursuant to these arrangements are recorded as compensation expense when they have become probable and reasonably estimable. The Company’s determination of the point at which it becomes probable and reasonably estimable that incentive income compensation expense should be recorded is based on its assessment of numerous factors, particularly those related to the profitability, realizations, distribution status, investment profile and commitments or contingencies of the individual funds that may give rise to incentive income or the completion of a merger by an Oaktree sponsored SPAC. Incentive income compensation is generally expensed in the period in which the underlying income is recognized. Payment of incentive income compensation generally occurs in the same period the related income is received or in the next period. Participation in incentive income generated by the funds or SPACs is subject to forfeiture upon departure and to vesting provisions (generally over a period of five years), in each case, under certain circumstances set forth in the applicable governing documents. These provisions are generally only applicable to incentive income compensation that has not yet been recognized as an expense by the Company or paid to the participant.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Depreciation and Amortization</w:t>
      </w:r>
    </w:p>
    <w:p>
      <w:pPr>
        <w:spacing w:after="0" w:line="134"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Depreciation and amortization expense includes costs associated with the purchase of furniture and equipment, capitalized software and office leasehold improvements. Furniture and equipment and capitalized software are depreciated using the straight-line method over the estimated useful life of the asset, generally three to five years beginning in the first full month after the asset is placed in service. Leasehold improvements are amortized using the straight-line method over the shorter of the respective estimated useful life or the lease term.</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income (expense), net represents non-operating income or expense items.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34" w:lineRule="exact"/>
        <w:rPr>
          <w:sz w:val="20"/>
          <w:szCs w:val="20"/>
          <w:color w:val="auto"/>
        </w:rPr>
      </w:pPr>
    </w:p>
    <w:p>
      <w:pPr>
        <w:ind w:right="180" w:firstLine="509"/>
        <w:spacing w:after="0" w:line="271" w:lineRule="auto"/>
        <w:rPr>
          <w:sz w:val="20"/>
          <w:szCs w:val="20"/>
          <w:color w:val="auto"/>
        </w:rPr>
      </w:pPr>
      <w:r>
        <w:rPr>
          <w:rFonts w:ascii="Arial" w:cs="Arial" w:eastAsia="Arial" w:hAnsi="Arial"/>
          <w:sz w:val="14"/>
          <w:szCs w:val="14"/>
          <w:color w:val="auto"/>
        </w:rPr>
        <w:t>The Company is a publicly traded partnership. Because it satisfies the qualifying income test, it is not required to be treated as a corporation for U.S. federal and state income tax purposes; rather it is taxed as a partnership. The Company currently holds interests in Oaktree Capital I, L.P. (a non-corporate entity that is not subject to U.S. federal corporate income tax) and Oaktree Capital Management (Cayman), L.P. (which holds subsidiaries that are taxable in non-U.S. jurisdictions).</w:t>
      </w:r>
    </w:p>
    <w:p>
      <w:pPr>
        <w:spacing w:after="0" w:line="91" w:lineRule="exact"/>
        <w:rPr>
          <w:sz w:val="20"/>
          <w:szCs w:val="20"/>
          <w:color w:val="auto"/>
        </w:rPr>
      </w:pPr>
    </w:p>
    <w:p>
      <w:pPr>
        <w:ind w:right="80" w:firstLine="509"/>
        <w:spacing w:after="0" w:line="265" w:lineRule="auto"/>
        <w:rPr>
          <w:sz w:val="20"/>
          <w:szCs w:val="20"/>
          <w:color w:val="auto"/>
        </w:rPr>
      </w:pPr>
      <w:r>
        <w:rPr>
          <w:rFonts w:ascii="Arial" w:cs="Arial" w:eastAsia="Arial" w:hAnsi="Arial"/>
          <w:sz w:val="14"/>
          <w:szCs w:val="14"/>
          <w:color w:val="auto"/>
        </w:rPr>
        <w:t>Income taxes are accounted for using the liability method of accounting. Under this method, deferred tax assets and liabilities are recognized for the expected future tax consequences of differences between the carrying amount of assets and liabilities and their respective tax bases, using currently enacted tax rates. The effect on deferred tax assets and liabilities of a change in tax rates is recognized in income in the period when the change is enacted. Deferred tax assets would be reduced by a valuation allowance if it becomes more likely than not that some portion or all of the deferred tax assets will not be realized.</w:t>
      </w:r>
    </w:p>
    <w:p>
      <w:pPr>
        <w:spacing w:after="0" w:line="95" w:lineRule="exact"/>
        <w:rPr>
          <w:sz w:val="20"/>
          <w:szCs w:val="20"/>
          <w:color w:val="auto"/>
        </w:rPr>
      </w:pPr>
    </w:p>
    <w:p>
      <w:pPr>
        <w:jc w:val="both"/>
        <w:ind w:right="160" w:firstLine="509"/>
        <w:spacing w:after="0" w:line="271" w:lineRule="auto"/>
        <w:rPr>
          <w:sz w:val="20"/>
          <w:szCs w:val="20"/>
          <w:color w:val="auto"/>
        </w:rPr>
      </w:pPr>
      <w:r>
        <w:rPr>
          <w:rFonts w:ascii="Arial" w:cs="Arial" w:eastAsia="Arial" w:hAnsi="Arial"/>
          <w:sz w:val="14"/>
          <w:szCs w:val="14"/>
          <w:color w:val="auto"/>
        </w:rPr>
        <w:t>The Company analyzes its tax filing positions for all open tax years in all of the U.S. federal, state, local and foreign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condensed consolidated statements of operations.</w:t>
      </w:r>
    </w:p>
    <w:p>
      <w:pPr>
        <w:spacing w:after="0" w:line="91"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spacing w:after="0" w:line="91" w:lineRule="exact"/>
        <w:rPr>
          <w:sz w:val="20"/>
          <w:szCs w:val="20"/>
          <w:color w:val="auto"/>
        </w:rPr>
      </w:pPr>
    </w:p>
    <w:p>
      <w:pPr>
        <w:ind w:right="440" w:firstLine="509"/>
        <w:spacing w:after="0" w:line="290" w:lineRule="auto"/>
        <w:rPr>
          <w:sz w:val="20"/>
          <w:szCs w:val="20"/>
          <w:color w:val="auto"/>
        </w:rPr>
      </w:pPr>
      <w:r>
        <w:rPr>
          <w:rFonts w:ascii="Arial" w:cs="Arial" w:eastAsia="Arial" w:hAnsi="Arial"/>
          <w:sz w:val="14"/>
          <w:szCs w:val="14"/>
          <w:color w:val="auto"/>
        </w:rPr>
        <w:t>The Oaktree funds are generally not subject to U.S. federal and state income taxes and, consequently, no income tax provision has been made in the accompanying condensed consolidated financial statements because individual partners are responsible for their proportionate share of the taxable income.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Income (Loss)</w:t>
      </w:r>
    </w:p>
    <w:p>
      <w:pPr>
        <w:spacing w:after="0" w:line="134"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Comprehensive income (loss) consists of net income (loss) and other gains and losses affecting unitholders’ capital that are excluded from net income (loss). Other gains and losses result from foreign-currency translation adjustments, net of tax.</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Policies of Consolidated Funds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Transactions and Income Recognition</w:t>
      </w:r>
    </w:p>
    <w:p>
      <w:pPr>
        <w:spacing w:after="0" w:line="13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The consolidated funds record investment transactions at cost on trade date for publicly-traded securities or when they have an enforceable right to acquire the security, which is generally on the closing date if not publicly traded. Realized gains and losses on investments are recorded on a specific-identification basis. The consolidated funds record dividend income on the ex-dividend date and interest income on an accrual basis, unless the related investment is in default or if collection of the income is otherwise considered doubtful. The consolidated funds may hold investments that provide for interest payable in-kind rather than in cash, in which case the related income is recorded at its estimated net realizable amount.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3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The consolidated funds may invest in operating entities that are treated as partnerships for U.S. federal income tax purposes which may give rise to unrelated business taxable income or income effectively connected with a U.S. trade or business. In such situations, the consolidated funds permit certain investors to elect to participate in these investments through a “blocker structure” using entities that are treated as corporations for U.S. federal income tax purposes and are generally subject to U.S. federal, state and local taxes. The consolidated funds withhold blocker expenses and tax payments from electing limited partners, which are treated as deemed distributions to such limited partners pursuant to the terms of the respective limited partnership agreement.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w:t>
      </w:r>
    </w:p>
    <w:p>
      <w:pPr>
        <w:spacing w:after="0" w:line="13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Investments denominated in non-U.S. currencies are recorded in the condensed consolidated financial statements after translation into U.S. dollars utilizing rates of exchange on the last business day of the period. Interest and dividend income is recorded net of foreign withholding taxes and calculated using the exchange rate in effect when the income is recognized. The effect of changes in exchange rates on assets and liabilities, income, and realized gains or losses is included as part of net realized gain (loss) on consolidated funds’ investments and net change in unrealized appreciation (depreciation) on consolidated funds’ investments in the condensed consolidated statements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Cash-equivalents</w:t>
      </w:r>
    </w:p>
    <w:p>
      <w:pPr>
        <w:spacing w:after="0" w:line="134" w:lineRule="exact"/>
        <w:rPr>
          <w:sz w:val="20"/>
          <w:szCs w:val="20"/>
          <w:color w:val="auto"/>
        </w:rPr>
      </w:pPr>
    </w:p>
    <w:p>
      <w:pPr>
        <w:ind w:right="200" w:firstLine="509"/>
        <w:spacing w:after="0" w:line="271" w:lineRule="auto"/>
        <w:rPr>
          <w:sz w:val="20"/>
          <w:szCs w:val="20"/>
          <w:color w:val="auto"/>
        </w:rPr>
      </w:pPr>
      <w:r>
        <w:rPr>
          <w:rFonts w:ascii="Arial" w:cs="Arial" w:eastAsia="Arial" w:hAnsi="Arial"/>
          <w:sz w:val="14"/>
          <w:szCs w:val="14"/>
          <w:color w:val="auto"/>
        </w:rPr>
        <w:t>Cash and cash-equivalents held at the consolidated funds represent cash that, although not legally restricted, is not available to support the general liquidity needs of the Company as the use of such amounts is generally limited to the investment activities of the consolidated funds. Cash-equivalents, a Level I valuation, include highly liquid investments such as money market funds, whose carrying value approximates fair value due to its short-term nature.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Receivable for Investments Sold</w:t>
      </w:r>
    </w:p>
    <w:p>
      <w:pPr>
        <w:spacing w:after="0" w:line="134" w:lineRule="exact"/>
        <w:rPr>
          <w:sz w:val="20"/>
          <w:szCs w:val="20"/>
          <w:color w:val="auto"/>
        </w:rPr>
      </w:pPr>
    </w:p>
    <w:p>
      <w:pPr>
        <w:ind w:right="620" w:firstLine="509"/>
        <w:spacing w:after="0" w:line="271" w:lineRule="auto"/>
        <w:rPr>
          <w:sz w:val="20"/>
          <w:szCs w:val="20"/>
          <w:color w:val="auto"/>
        </w:rPr>
      </w:pPr>
      <w:r>
        <w:rPr>
          <w:rFonts w:ascii="Arial" w:cs="Arial" w:eastAsia="Arial" w:hAnsi="Arial"/>
          <w:sz w:val="14"/>
          <w:szCs w:val="14"/>
          <w:color w:val="auto"/>
        </w:rPr>
        <w:t>Receivables for investments sold by the consolidated funds are recorded at net realizable value. Changes in net realizable value are reflected within net change in unrealized appreciation (depreciation) on consolidated funds’ investments and realizations are reflected within net realized gain on consolidated funds’ investments in the condensed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at Fair Value</w:t>
      </w:r>
    </w:p>
    <w:p>
      <w:pPr>
        <w:spacing w:after="0" w:line="134"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The consolidated funds include investment limited partnerships and CLOs that reflect their investments, including majority-owned and controlled investments, at fair value. The Company has retained the specialized investment company accounting guidance for investment limited partnerships with respect to consolidated investments and has elected the fair value option for the financial assets of CLOs. Thus, the consolidated investments are reflected in the condensed consolidated statements of financial condition at fair value, with unrealized gains and losses resulting from changes in fair value reflected as a component of net change in unrealized appreciation (depreciation) on consolidated funds’ investments in the condensed consolidated statements of operations. Fair value is the amount that would be received to sell an asset or paid to transfer a liability in an orderly transaction between market participants at the measurement date (i.e., the exit price).</w:t>
      </w:r>
    </w:p>
    <w:p>
      <w:pPr>
        <w:spacing w:after="0" w:line="99"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Non-publicly traded debt and equity securities and other securities or instruments for which reliable market quotations are not available are valued by management using valuation methodologies applied on a consistent basis. These securities may initially be valued at the acquisition price as the best indicator of fair value. The Company reviews the significant unobservable inputs, valuations of comparable investments and other similar transactions for investments valued at acquisition price to determine whether another valuation methodology should be utilized. Subsequent valuations will depend on the facts and circumstances known as of the valuation date and the application of valuation methodologies as further described below under “—Non-publicly Traded Equity and Real Estate Investments.” The fair value may also be based on a pending transaction expected to close after the valuation date.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Exchange-traded Investments</w:t>
      </w:r>
    </w:p>
    <w:p>
      <w:pPr>
        <w:spacing w:after="0" w:line="134"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Securities listed on one or more national securities exchanges are valued at their last reported sales price on the date of valuation. If no sale occurred on the valuation date, the security is valued at the mean of the last “bid” and “ask” prices on the valuation date. Securities that are not readily marketable due to legal restrictions that may limit or restrict transferability are generally valued at a discount from quoted market prices. The discount would reflect the amount market participants would require due to the risk relating to the inability to access a public market for the security for the specified period and would vary depending on the nature and duration of the restriction and the perceived risk and volatility of the underlying securities. Securities with longer duration restrictions or higher volatility are generally valued at a higher discount. Such discounts are generally estimated based on put option models or an analysis of market studies. Instances where the Company has applied discounts to quoted prices of restricted listed securities have been infrequent. The impact of such discounts is not material to the Company’s condensed consolidated statements of financial condition and results of operations for all periods presented.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Credit-oriented Investments (including Real Estate Loan Portfolios)</w:t>
      </w:r>
    </w:p>
    <w:p>
      <w:pPr>
        <w:spacing w:after="0" w:line="134"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Investments in corporate and government debt which are not listed or admitted to trading on any securities exchange are valued at the mean of the last bid and ask prices on the valuation date based on quotations supplied by recognized quotation services or by reputable broker-dealers.</w:t>
      </w:r>
    </w:p>
    <w:p>
      <w:pPr>
        <w:spacing w:after="0" w:line="78"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The market-yield approach is considered in the valuation of non-publicly traded debt securities, utilizing expected future cash flows and discounted using estimated current market rates. Discounted cash-flow calculations may be adjusted to reflect current market conditions and/or the perceived credit risk of the borrower. Consideration is also given to a borrower’s ability to meet principal and interest obligations; this may include an evaluation of collateral and/or the underlying value of the borrower utilizing techniques described below under “—Non-publicly Traded Equity and Real Estate Investments.”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Non-publicly Traded Equity and Real Estate Investments</w:t>
      </w:r>
    </w:p>
    <w:p>
      <w:pPr>
        <w:spacing w:after="0" w:line="134"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The fair value of equity and real estate investments is determined using a cost, market or income approach. The cost approach is based on the current cost of reproducing a real estate investment less deterioration and functional and economic obsolescence. The market approach utilizes valuations of comparable public companies and transactions, and generally seeks to establish the enterprise value of the portfolio company or investment property using a market-multiple methodology. This approach takes into account the financial measure (such as EBITDA, adjusted EBITDA, free cash flow, net operating income, net income, book value or net asset value) believed to be most relevant for the given company or investment property. Consideration also may be given to factors such as acquisition price of the security or investment property, historical and projected operational and financial results for the portfolio company, the strengths and weaknesses of the portfolio company or investment property relative to its comparable companies or properties, industry trends, general economic and market conditions, and others deemed relevant. The income approach is typically a discounted cash-flow method that incorporates expected timing and level of cash flows. It incorporates assumptions in determining growth rates, income and expense projections, discount and capitalization rates, capital structure, terminal values, and other factors. The applicability and weight assigned to market and income approaches are determined based on the availability of reliable projections and comparable companies and transactions.</w:t>
      </w:r>
    </w:p>
    <w:p>
      <w:pPr>
        <w:spacing w:after="0" w:line="101"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The valuation of securities may be impacted by expectations of investors’ receptiveness to a public offering of the securities, the size of the holding of the securities and any associated control, information with respect to transactions or offers for the securities (including the transaction pursuant to which the investment was made and the elapsed time from the date of the investment to the valuation date), and applicable restrictions on the transferability of the securities.</w:t>
      </w:r>
    </w:p>
    <w:p>
      <w:pPr>
        <w:spacing w:after="0" w:line="9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4"/>
          <w:szCs w:val="14"/>
          <w:color w:val="auto"/>
        </w:rPr>
        <w:t>These valuation methodologies involve a significant degree of management judgment. Accordingly, valuations by the Company do not necessarily represent the amounts that eventually may be realized from sales or other dispositions of investments. Fair values may differ from the values that would have been used had a ready market for the investment existed, and the differences could be material to the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Securities Sold Short</w:t>
      </w:r>
    </w:p>
    <w:p>
      <w:pPr>
        <w:spacing w:after="0" w:line="134" w:lineRule="exact"/>
        <w:rPr>
          <w:sz w:val="20"/>
          <w:szCs w:val="20"/>
          <w:color w:val="auto"/>
        </w:rPr>
      </w:pPr>
    </w:p>
    <w:p>
      <w:pPr>
        <w:ind w:right="180" w:firstLine="509"/>
        <w:spacing w:after="0" w:line="271" w:lineRule="auto"/>
        <w:rPr>
          <w:sz w:val="20"/>
          <w:szCs w:val="20"/>
          <w:color w:val="auto"/>
        </w:rPr>
      </w:pPr>
      <w:r>
        <w:rPr>
          <w:rFonts w:ascii="Arial" w:cs="Arial" w:eastAsia="Arial" w:hAnsi="Arial"/>
          <w:sz w:val="14"/>
          <w:szCs w:val="14"/>
          <w:color w:val="auto"/>
        </w:rPr>
        <w:t>Securities sold short represent obligations of the consolidated funds to make a future delivery of a specific security and, correspondingly, create an obligation to purchase the security at prevailing market prices (or deliver the security, if owned by the consolidated funds) as of the delivery date. As a result, these short sales create the risk that the funds’ obligations to satisfy the delivery requirement may exceed the amount recorded in the accompanying condensed consolidated statements of financial condition.</w:t>
      </w:r>
    </w:p>
    <w:p>
      <w:pPr>
        <w:spacing w:after="0" w:line="91" w:lineRule="exact"/>
        <w:rPr>
          <w:sz w:val="20"/>
          <w:szCs w:val="20"/>
          <w:color w:val="auto"/>
        </w:rPr>
      </w:pPr>
    </w:p>
    <w:p>
      <w:pPr>
        <w:ind w:right="260" w:firstLine="509"/>
        <w:spacing w:after="0" w:line="265" w:lineRule="auto"/>
        <w:rPr>
          <w:sz w:val="20"/>
          <w:szCs w:val="20"/>
          <w:color w:val="auto"/>
        </w:rPr>
      </w:pPr>
      <w:r>
        <w:rPr>
          <w:rFonts w:ascii="Arial" w:cs="Arial" w:eastAsia="Arial" w:hAnsi="Arial"/>
          <w:sz w:val="14"/>
          <w:szCs w:val="14"/>
          <w:color w:val="auto"/>
        </w:rPr>
        <w:t>Securities sold short are recorded at fair value, with the resulting change in value reflected as a component of net change in unrealized appreciation (depreciation) on consolidated funds’ investments in the condensed consolidated statements of operations. When the securities are delivered, any gain or loss is included in net realized gain on consolidated funds’ investments. The funds maintain cash deposits with prime brokers in order to cover their obligations on short sales. These amounts are included in due from brokers in the condensed consolidated statements of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Options</w:t>
      </w:r>
    </w:p>
    <w:p>
      <w:pPr>
        <w:spacing w:after="0" w:line="134"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The purchase price of a call option or a put option is recorded as an investment, which is carried at fair value. If a purchased option expires, a loss in the amount of the cost of the option is realized. When there is a closing sale transaction, a gain or loss is realized if the proceeds are greater or less than, respectively, the cost of the option. When a call option is exercised, the cost of the security purchased upon exercise is increased by the premium originally paid.</w:t>
      </w:r>
    </w:p>
    <w:p>
      <w:pPr>
        <w:spacing w:after="0" w:line="91"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When a consolidated fund writes an option, the premium received is recorded as a liability and is subsequently adjusted to the current fair value of the option written. If a written option expires, a gain is realized in the amount of the premium received. The difference between the premium and the amount paid on effecting a closing purchase transaction, including brokerage commissions, is also treated as a realized gain or loss. The writer of an option bears the market risk of an unfavorable change in the price of the security underlying the written option. Options written are included in accounts payable, accrued expenses and other liabilities in the condensed consolidated statements of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Total-return Swaps</w:t>
      </w:r>
    </w:p>
    <w:p>
      <w:pPr>
        <w:spacing w:after="0" w:line="134"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A total-return swap is an agreement to exchange cash flows based on an underlying asset. Pursuant to these agreements, a fund may deposit collateral with the counterparty and may pay a swap fee equal to a fixed percentage of the value of the underlying security (notional amount). A fund earns interest on cash collateral held on account with the counterparty and may be required to deposit additional collateral equal to the unrealized appreciation or depreciation on the underlying asset. Changes in the value of the swaps, which are recorded as unrealized gains or losses, are based on changes in the underlying value of the security. All amounts exchanged with the swap counterparty representing capital appreciation or depreciation, dividend income and expense, items of interest income on short proceeds, borrowing costs on short sales, and commissions are recorded as realized gains or losses. Dividend income and expense on the underlying assets are accrued as unrealized gains or losses on the ex-date.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From Brokers</w:t>
      </w:r>
    </w:p>
    <w:p>
      <w:pPr>
        <w:spacing w:after="0" w:line="134" w:lineRule="exact"/>
        <w:rPr>
          <w:sz w:val="20"/>
          <w:szCs w:val="20"/>
          <w:color w:val="auto"/>
        </w:rPr>
      </w:pPr>
    </w:p>
    <w:p>
      <w:pPr>
        <w:ind w:right="480" w:firstLine="509"/>
        <w:spacing w:after="0" w:line="290" w:lineRule="auto"/>
        <w:rPr>
          <w:sz w:val="20"/>
          <w:szCs w:val="20"/>
          <w:color w:val="auto"/>
        </w:rPr>
      </w:pPr>
      <w:r>
        <w:rPr>
          <w:rFonts w:ascii="Arial" w:cs="Arial" w:eastAsia="Arial" w:hAnsi="Arial"/>
          <w:sz w:val="14"/>
          <w:szCs w:val="14"/>
          <w:color w:val="auto"/>
        </w:rPr>
        <w:t>Due from brokers represents cash owned by the consolidated funds and cash collateral on deposit with brokers and counterparties that are used as collateral for the consolidated funds’ securities and swaps.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and Uncertainties</w:t>
      </w:r>
    </w:p>
    <w:p>
      <w:pPr>
        <w:spacing w:after="0" w:line="134"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Certain consolidated funds invest primarily in the securities of entities that are undergoing, or are considered likely to undergo, reorganization, debt restructuring, liquidation or other extraordinary transactions. Investments in such entities are considered speculative and involve substantial risk of principal loss. Certain of the consolidated funds’ investments may also consist of securities that are thinly traded, securities and other assets for which no market exists, and securities which are restricted as to their transferability. Additionally, investments are subject to concentration and industry risks, reflecting numerous factors, including political, regulatory or economic</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issues that could cause the investments and their markets to be relatively illiquid and their prices relatively volatile. Investments denominated in non-U.S. currencies or involving non-U.S. domiciled entities are subject to risks and special considerations not typically associated with U.S. investments. Such risks may include, but are not limited to, investment and repatriation restrictions; currency exchange-rate fluctuations; adverse political, social and economic developments; less liquidity; smaller capital markets; and certain local tax law considerations.</w:t>
      </w:r>
    </w:p>
    <w:p>
      <w:pPr>
        <w:spacing w:after="0" w:line="95" w:lineRule="exact"/>
        <w:rPr>
          <w:sz w:val="20"/>
          <w:szCs w:val="20"/>
          <w:color w:val="auto"/>
        </w:rPr>
      </w:pPr>
    </w:p>
    <w:p>
      <w:pPr>
        <w:ind w:right="340" w:firstLine="509"/>
        <w:spacing w:after="0" w:line="265" w:lineRule="auto"/>
        <w:rPr>
          <w:sz w:val="20"/>
          <w:szCs w:val="20"/>
          <w:color w:val="auto"/>
        </w:rPr>
      </w:pPr>
      <w:r>
        <w:rPr>
          <w:rFonts w:ascii="Arial" w:cs="Arial" w:eastAsia="Arial" w:hAnsi="Arial"/>
          <w:sz w:val="14"/>
          <w:szCs w:val="14"/>
          <w:color w:val="auto"/>
        </w:rPr>
        <w:t>Credit risk is the potential loss that may be incurred from the failure of a counterparty or an issuer to make payments according to the terms of a contract. Some consolidated funds are subject to additional credit risk due to strategies of investing in debt of financially distressed issuers or derivatives, as well as involvement in privately-negotiated structured notes and structured-credit transactions. Counterparties include custodian banks, major brokerage houses and their affiliates. The Company monitors the creditworthiness of the financial institutions with which it conducts business.</w:t>
      </w:r>
    </w:p>
    <w:p>
      <w:pPr>
        <w:spacing w:after="0" w:line="95"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Bank debt has exposure to certain types of risk, including interest rate, market, and the potential non-payment of principal and interest as a result of default or bankruptcy of the issuer. Loans are generally subject to prepayment risk, which will affect the maturity of such loans. The consolidated funds may enter into bank debt participation agreements through contractual relationships with a third-party intermediary, causing the consolidated funds to assume the credit risk of both the borrower and the intermediary.</w:t>
      </w:r>
    </w:p>
    <w:p>
      <w:pPr>
        <w:spacing w:after="0" w:line="91"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Certain consolidated funds may invest in real property and real estate-related investments, including commercial mortgage-backed securities (“CMBS”) and real estate loans, that entail substantial inherent risks. There can be no assurance that such investments will increase in value or that significant losses will not be incurred. CMBS are subject to a number of risks, including credit, interest rate, prepayment and market. These risks can be affected by a number of factors, including general economic conditions, particularly those in the area where the related mortgaged properties are located, the level of the borrowers’ equity in the mortgaged properties, and the relative timing and rate of delinquencies and prepayments of mortgage loans bearing a higher rate of interest. Real estate loans include residential or commercial loans that are non-performing at the time of their acquisition or that become non-performing following their acquisition. Non-performing real estate loans may require a substantial amount of workout negotiations or restructuring, which may entail, among other things, a substantial reduction in the interest rate and/or write-down of the principal balance. Moreover, foreclosure on collateral securing one or more real estate loans held by the consolidated funds may be necessary, which may be lengthy and expensive. Residential loans are typically subject to risks associated with the value of the underlying properties, which may be affected by a number of factors including general economic conditions, mortgage qualification standards, local market conditions such as employment levels, the supply of homes, and the safety, convenience and attractiveness of the properties and neighborhoods. Commercial loans are typically subject to risks associated with the ability of the borrower to repay, which may be impacted by general economic conditions, as well as borrower-specific factors including the quality of management, the ability to generate sufficient income to make scheduled principal and interest payments, or the ability to obtain alternative financing to repay the loan.</w:t>
      </w:r>
    </w:p>
    <w:p>
      <w:pPr>
        <w:spacing w:after="0" w:line="104" w:lineRule="exact"/>
        <w:rPr>
          <w:sz w:val="20"/>
          <w:szCs w:val="20"/>
          <w:color w:val="auto"/>
        </w:rPr>
      </w:pPr>
    </w:p>
    <w:p>
      <w:pPr>
        <w:ind w:right="200" w:firstLine="509"/>
        <w:spacing w:after="0" w:line="290" w:lineRule="auto"/>
        <w:rPr>
          <w:sz w:val="20"/>
          <w:szCs w:val="20"/>
          <w:color w:val="auto"/>
        </w:rPr>
      </w:pPr>
      <w:r>
        <w:rPr>
          <w:rFonts w:ascii="Arial" w:cs="Arial" w:eastAsia="Arial" w:hAnsi="Arial"/>
          <w:sz w:val="14"/>
          <w:szCs w:val="14"/>
          <w:color w:val="auto"/>
        </w:rPr>
        <w:t>Certain consolidated funds hold over-the-counter derivatives that may allow counterparties to terminate derivative contracts prior to maturity under certain circumstances, thereby resulting in an accelerated payment of any net liability owed to the counterparty.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Developments</w:t>
      </w:r>
    </w:p>
    <w:p>
      <w:pPr>
        <w:spacing w:after="0" w:line="136"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In March 2020, the Financial Accounting Standards Board (“FASB”) issued guidance which provides temporary optional expedients and exceptions to the U.S. GAAP guidance on contract modifications and hedge accounting to ease the financial reporting burdens of the expected market transition from LIBOR and other interbank offered rates to alternative reference rates. The guidance is effective upon issuance and generally may be elected over time through December 31, 2022. The Company has not adopted any of the optional expedients or exceptions through June 30, 2022, but will continue to evaluate the possible adoption (including potential impact) of any such expedients or exceptions during the effective period as circumstances evolve.</w:t>
      </w:r>
    </w:p>
    <w:p>
      <w:pPr>
        <w:spacing w:after="0" w:line="97"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In June 2022, the FASB issued ASU 2022-03, Fair Value Measurement (Topic 820): Fair Value Measurement of Equity Securities Subject to Contractual Sale Restrictions. The amendments in this update clarify the guidance in Topic 820 when measuring the fair value of an equity security subject to contractual sale restrictions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and introduce new disclosure requirements related to such equity securities. The amendments are effective for fiscal years beginning after December 15, 2023, with early adoption permitted. The Company is currently evaluating the impact of this guidance on its consolidated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REVENUES</w:t>
      </w:r>
    </w:p>
    <w:p>
      <w:pPr>
        <w:spacing w:after="0" w:line="179"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The Company provides investment management services through funds and separate accounts. The Company earns revenues from the management fees and incentive income generated by the funds that it manages. Additionally, for acting as a sub-investment manager, or sub-advisor, to certain Oaktree funds, the Company earns sub-advisory fees. Under certain subsidiary services agreements the Company provides certain investment and marketing related services to Oaktree affiliated entities. Revenues are affected by economic factors related to the asset class composition of the holdings and the contractual terms such as the basis for calculating the management fees and investors’ ability to redeem. For the three and six months ended June 30, 2022, the Company recorded $ 52.6 million of incentive income related to the deconsolidation of a SPAC. Substantially all of our incentive income was generated by closed-end funds for the three and six months ended June 30, 2021.</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Revenues by fund structure and sub-advisory fees are set forth below.</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28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0"/>
                <w:szCs w:val="10"/>
                <w:b w:val="1"/>
                <w:bCs w:val="1"/>
                <w:color w:val="auto"/>
              </w:rPr>
              <w:t>Three months ended June 30,</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740" w:type="dxa"/>
            <w:vAlign w:val="bottom"/>
            <w:tcBorders>
              <w:bottom w:val="single" w:sz="8" w:color="auto"/>
            </w:tcBorders>
          </w:tcPr>
          <w:p>
            <w:pPr>
              <w:spacing w:after="0"/>
              <w:rPr>
                <w:sz w:val="12"/>
                <w:szCs w:val="12"/>
                <w:color w:val="auto"/>
              </w:rPr>
            </w:pPr>
          </w:p>
        </w:tc>
      </w:tr>
      <w:tr>
        <w:trPr>
          <w:trHeight w:val="129"/>
        </w:trPr>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2022</w:t>
            </w:r>
          </w:p>
        </w:tc>
        <w:tc>
          <w:tcPr>
            <w:tcW w:w="2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460"/>
              <w:spacing w:after="0"/>
              <w:rPr>
                <w:sz w:val="20"/>
                <w:szCs w:val="20"/>
                <w:color w:val="auto"/>
              </w:rPr>
            </w:pPr>
            <w:r>
              <w:rPr>
                <w:rFonts w:ascii="Arial" w:cs="Arial" w:eastAsia="Arial" w:hAnsi="Arial"/>
                <w:sz w:val="10"/>
                <w:szCs w:val="10"/>
                <w:b w:val="1"/>
                <w:bCs w:val="1"/>
                <w:color w:val="auto"/>
                <w:w w:val="89"/>
              </w:rPr>
              <w:t>2021</w:t>
            </w:r>
          </w:p>
        </w:tc>
      </w:tr>
      <w:tr>
        <w:trPr>
          <w:trHeight w:val="110"/>
        </w:trPr>
        <w:tc>
          <w:tcPr>
            <w:tcW w:w="980" w:type="dxa"/>
            <w:vAlign w:val="bottom"/>
            <w:tcBorders>
              <w:bottom w:val="single" w:sz="8" w:color="auto"/>
            </w:tcBorders>
            <w:gridSpan w:val="2"/>
          </w:tcPr>
          <w:p>
            <w:pPr>
              <w:spacing w:after="0" w:line="110" w:lineRule="exact"/>
              <w:rPr>
                <w:sz w:val="20"/>
                <w:szCs w:val="20"/>
                <w:color w:val="auto"/>
              </w:rPr>
            </w:pPr>
            <w:r>
              <w:rPr>
                <w:rFonts w:ascii="Arial" w:cs="Arial" w:eastAsia="Arial" w:hAnsi="Arial"/>
                <w:sz w:val="11"/>
                <w:szCs w:val="11"/>
                <w:b w:val="1"/>
                <w:bCs w:val="1"/>
                <w:color w:val="auto"/>
              </w:rPr>
              <w:t>Management Fees</w:t>
            </w:r>
          </w:p>
        </w:tc>
        <w:tc>
          <w:tcPr>
            <w:tcW w:w="4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79"/>
        </w:trPr>
        <w:tc>
          <w:tcPr>
            <w:tcW w:w="5500" w:type="dxa"/>
            <w:vAlign w:val="bottom"/>
            <w:gridSpan w:val="3"/>
          </w:tcPr>
          <w:p>
            <w:pPr>
              <w:spacing w:after="0"/>
              <w:rPr>
                <w:sz w:val="20"/>
                <w:szCs w:val="20"/>
                <w:color w:val="auto"/>
              </w:rPr>
            </w:pPr>
            <w:r>
              <w:rPr>
                <w:rFonts w:ascii="Arial" w:cs="Arial" w:eastAsia="Arial" w:hAnsi="Arial"/>
                <w:sz w:val="13"/>
                <w:szCs w:val="13"/>
                <w:color w:val="auto"/>
              </w:rPr>
              <w:t>Closed-end</w:t>
            </w:r>
          </w:p>
        </w:tc>
        <w:tc>
          <w:tcPr>
            <w:tcW w:w="780" w:type="dxa"/>
            <w:vAlign w:val="bottom"/>
          </w:tcPr>
          <w:p>
            <w:pPr>
              <w:jc w:val="right"/>
              <w:ind w:right="644"/>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1,462</w:t>
            </w:r>
          </w:p>
        </w:tc>
        <w:tc>
          <w:tcPr>
            <w:tcW w:w="240" w:type="dxa"/>
            <w:vAlign w:val="bottom"/>
          </w:tcPr>
          <w:p>
            <w:pPr>
              <w:spacing w:after="0"/>
              <w:rPr>
                <w:sz w:val="15"/>
                <w:szCs w:val="15"/>
                <w:color w:val="auto"/>
              </w:rPr>
            </w:pPr>
          </w:p>
        </w:tc>
        <w:tc>
          <w:tcPr>
            <w:tcW w:w="780" w:type="dxa"/>
            <w:vAlign w:val="bottom"/>
          </w:tcPr>
          <w:p>
            <w:pPr>
              <w:jc w:val="right"/>
              <w:ind w:right="642"/>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1,389</w:t>
            </w:r>
          </w:p>
        </w:tc>
        <w:tc>
          <w:tcPr>
            <w:tcW w:w="24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
              <w:spacing w:after="0"/>
              <w:rPr>
                <w:sz w:val="20"/>
                <w:szCs w:val="20"/>
                <w:color w:val="auto"/>
              </w:rPr>
            </w:pPr>
            <w:r>
              <w:rPr>
                <w:rFonts w:ascii="Arial" w:cs="Arial" w:eastAsia="Arial" w:hAnsi="Arial"/>
                <w:sz w:val="13"/>
                <w:szCs w:val="13"/>
                <w:color w:val="auto"/>
              </w:rPr>
              <w:t>2,844</w:t>
            </w:r>
          </w:p>
        </w:tc>
        <w:tc>
          <w:tcPr>
            <w:tcW w:w="220" w:type="dxa"/>
            <w:vAlign w:val="bottom"/>
          </w:tcPr>
          <w:p>
            <w:pPr>
              <w:spacing w:after="0"/>
              <w:rPr>
                <w:sz w:val="15"/>
                <w:szCs w:val="15"/>
                <w:color w:val="auto"/>
              </w:rPr>
            </w:pPr>
          </w:p>
        </w:tc>
        <w:tc>
          <w:tcPr>
            <w:tcW w:w="54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2,406</w:t>
            </w:r>
          </w:p>
        </w:tc>
      </w:tr>
      <w:tr>
        <w:trPr>
          <w:trHeight w:val="170"/>
        </w:trPr>
        <w:tc>
          <w:tcPr>
            <w:tcW w:w="5500" w:type="dxa"/>
            <w:vAlign w:val="bottom"/>
            <w:gridSpan w:val="3"/>
          </w:tcPr>
          <w:p>
            <w:pPr>
              <w:spacing w:after="0"/>
              <w:rPr>
                <w:sz w:val="20"/>
                <w:szCs w:val="20"/>
                <w:color w:val="auto"/>
              </w:rPr>
            </w:pPr>
            <w:r>
              <w:rPr>
                <w:rFonts w:ascii="Arial" w:cs="Arial" w:eastAsia="Arial" w:hAnsi="Arial"/>
                <w:sz w:val="13"/>
                <w:szCs w:val="13"/>
                <w:color w:val="auto"/>
              </w:rPr>
              <w:t>Open-end</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1,339</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1,319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
              <w:spacing w:after="0"/>
              <w:rPr>
                <w:sz w:val="20"/>
                <w:szCs w:val="20"/>
                <w:color w:val="auto"/>
              </w:rPr>
            </w:pPr>
            <w:r>
              <w:rPr>
                <w:rFonts w:ascii="Arial" w:cs="Arial" w:eastAsia="Arial" w:hAnsi="Arial"/>
                <w:sz w:val="13"/>
                <w:szCs w:val="13"/>
                <w:color w:val="auto"/>
              </w:rPr>
              <w:t>2,709</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2,663</w:t>
            </w:r>
          </w:p>
        </w:tc>
      </w:tr>
      <w:tr>
        <w:trPr>
          <w:trHeight w:val="171"/>
        </w:trPr>
        <w:tc>
          <w:tcPr>
            <w:tcW w:w="5500" w:type="dxa"/>
            <w:vAlign w:val="bottom"/>
            <w:gridSpan w:val="3"/>
          </w:tcPr>
          <w:p>
            <w:pPr>
              <w:spacing w:after="0"/>
              <w:rPr>
                <w:sz w:val="20"/>
                <w:szCs w:val="20"/>
                <w:color w:val="auto"/>
              </w:rPr>
            </w:pPr>
            <w:r>
              <w:rPr>
                <w:rFonts w:ascii="Arial" w:cs="Arial" w:eastAsia="Arial" w:hAnsi="Arial"/>
                <w:sz w:val="13"/>
                <w:szCs w:val="13"/>
                <w:color w:val="auto"/>
              </w:rPr>
              <w:t>Sub-advisory fees</w:t>
            </w: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60,278</w:t>
            </w:r>
          </w:p>
        </w:tc>
        <w:tc>
          <w:tcPr>
            <w:tcW w:w="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55,186</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color w:val="auto"/>
              </w:rPr>
              <w:t>117,957</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109,151</w:t>
            </w:r>
          </w:p>
        </w:tc>
      </w:tr>
      <w:tr>
        <w:trPr>
          <w:trHeight w:val="162"/>
        </w:trPr>
        <w:tc>
          <w:tcPr>
            <w:tcW w:w="5500" w:type="dxa"/>
            <w:vAlign w:val="bottom"/>
            <w:gridSpan w:val="3"/>
          </w:tcPr>
          <w:p>
            <w:pPr>
              <w:ind w:left="260"/>
              <w:spacing w:after="0"/>
              <w:rPr>
                <w:sz w:val="20"/>
                <w:szCs w:val="20"/>
                <w:color w:val="auto"/>
              </w:rPr>
            </w:pPr>
            <w:r>
              <w:rPr>
                <w:rFonts w:ascii="Arial" w:cs="Arial" w:eastAsia="Arial" w:hAnsi="Arial"/>
                <w:sz w:val="13"/>
                <w:szCs w:val="13"/>
                <w:color w:val="auto"/>
              </w:rPr>
              <w:t>Total</w:t>
            </w:r>
          </w:p>
        </w:tc>
        <w:tc>
          <w:tcPr>
            <w:tcW w:w="780" w:type="dxa"/>
            <w:vAlign w:val="bottom"/>
            <w:tcBorders>
              <w:bottom w:val="single" w:sz="8" w:color="auto"/>
            </w:tcBorders>
          </w:tcPr>
          <w:p>
            <w:pPr>
              <w:jc w:val="right"/>
              <w:ind w:right="644"/>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63,079</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642"/>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57,894</w:t>
            </w:r>
          </w:p>
        </w:tc>
        <w:tc>
          <w:tcPr>
            <w:tcW w:w="24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color w:val="auto"/>
              </w:rPr>
              <w:t>123,510</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114,220</w:t>
            </w: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08"/>
        </w:trPr>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0"/>
                <w:szCs w:val="10"/>
                <w:b w:val="1"/>
                <w:bCs w:val="1"/>
                <w:color w:val="auto"/>
              </w:rPr>
              <w:t>Three months ended June 30,</w:t>
            </w: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740" w:type="dxa"/>
            <w:vAlign w:val="bottom"/>
            <w:tcBorders>
              <w:bottom w:val="single" w:sz="8" w:color="auto"/>
            </w:tcBorders>
          </w:tcPr>
          <w:p>
            <w:pPr>
              <w:spacing w:after="0"/>
              <w:rPr>
                <w:sz w:val="24"/>
                <w:szCs w:val="24"/>
                <w:color w:val="auto"/>
              </w:rPr>
            </w:pPr>
          </w:p>
        </w:tc>
      </w:tr>
      <w:tr>
        <w:trPr>
          <w:trHeight w:val="129"/>
        </w:trPr>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2022</w:t>
            </w:r>
          </w:p>
        </w:tc>
        <w:tc>
          <w:tcPr>
            <w:tcW w:w="2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460"/>
              <w:spacing w:after="0"/>
              <w:rPr>
                <w:sz w:val="20"/>
                <w:szCs w:val="20"/>
                <w:color w:val="auto"/>
              </w:rPr>
            </w:pPr>
            <w:r>
              <w:rPr>
                <w:rFonts w:ascii="Arial" w:cs="Arial" w:eastAsia="Arial" w:hAnsi="Arial"/>
                <w:sz w:val="10"/>
                <w:szCs w:val="10"/>
                <w:b w:val="1"/>
                <w:bCs w:val="1"/>
                <w:color w:val="auto"/>
                <w:w w:val="89"/>
              </w:rPr>
              <w:t>2021</w:t>
            </w:r>
          </w:p>
        </w:tc>
      </w:tr>
      <w:tr>
        <w:trPr>
          <w:trHeight w:val="110"/>
        </w:trPr>
        <w:tc>
          <w:tcPr>
            <w:tcW w:w="920" w:type="dxa"/>
            <w:vAlign w:val="bottom"/>
            <w:tcBorders>
              <w:bottom w:val="single" w:sz="8" w:color="auto"/>
            </w:tcBorders>
          </w:tcPr>
          <w:p>
            <w:pPr>
              <w:spacing w:after="0" w:line="110" w:lineRule="exact"/>
              <w:rPr>
                <w:sz w:val="20"/>
                <w:szCs w:val="20"/>
                <w:color w:val="auto"/>
              </w:rPr>
            </w:pPr>
            <w:r>
              <w:rPr>
                <w:rFonts w:ascii="Arial" w:cs="Arial" w:eastAsia="Arial" w:hAnsi="Arial"/>
                <w:sz w:val="11"/>
                <w:szCs w:val="11"/>
                <w:b w:val="1"/>
                <w:bCs w:val="1"/>
                <w:color w:val="auto"/>
              </w:rPr>
              <w:t>Incentive Income</w:t>
            </w:r>
          </w:p>
        </w:tc>
        <w:tc>
          <w:tcPr>
            <w:tcW w:w="458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79"/>
        </w:trPr>
        <w:tc>
          <w:tcPr>
            <w:tcW w:w="5500" w:type="dxa"/>
            <w:vAlign w:val="bottom"/>
            <w:gridSpan w:val="3"/>
          </w:tcPr>
          <w:p>
            <w:pPr>
              <w:spacing w:after="0"/>
              <w:rPr>
                <w:sz w:val="20"/>
                <w:szCs w:val="20"/>
                <w:color w:val="auto"/>
              </w:rPr>
            </w:pPr>
            <w:r>
              <w:rPr>
                <w:rFonts w:ascii="Arial" w:cs="Arial" w:eastAsia="Arial" w:hAnsi="Arial"/>
                <w:sz w:val="13"/>
                <w:szCs w:val="13"/>
                <w:color w:val="auto"/>
              </w:rPr>
              <w:t>Closed-end and Evergreen</w:t>
            </w:r>
          </w:p>
        </w:tc>
        <w:tc>
          <w:tcPr>
            <w:tcW w:w="780" w:type="dxa"/>
            <w:vAlign w:val="bottom"/>
          </w:tcPr>
          <w:p>
            <w:pPr>
              <w:jc w:val="right"/>
              <w:ind w:right="644"/>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53,504</w:t>
            </w:r>
          </w:p>
        </w:tc>
        <w:tc>
          <w:tcPr>
            <w:tcW w:w="240" w:type="dxa"/>
            <w:vAlign w:val="bottom"/>
          </w:tcPr>
          <w:p>
            <w:pPr>
              <w:spacing w:after="0"/>
              <w:rPr>
                <w:sz w:val="15"/>
                <w:szCs w:val="15"/>
                <w:color w:val="auto"/>
              </w:rPr>
            </w:pPr>
          </w:p>
        </w:tc>
        <w:tc>
          <w:tcPr>
            <w:tcW w:w="780" w:type="dxa"/>
            <w:vAlign w:val="bottom"/>
          </w:tcPr>
          <w:p>
            <w:pPr>
              <w:jc w:val="right"/>
              <w:ind w:right="642"/>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92,522</w:t>
            </w:r>
          </w:p>
        </w:tc>
        <w:tc>
          <w:tcPr>
            <w:tcW w:w="24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
              <w:spacing w:after="0"/>
              <w:rPr>
                <w:sz w:val="20"/>
                <w:szCs w:val="20"/>
                <w:color w:val="auto"/>
              </w:rPr>
            </w:pPr>
            <w:r>
              <w:rPr>
                <w:rFonts w:ascii="Arial" w:cs="Arial" w:eastAsia="Arial" w:hAnsi="Arial"/>
                <w:sz w:val="13"/>
                <w:szCs w:val="13"/>
                <w:color w:val="auto"/>
              </w:rPr>
              <w:t>56,103</w:t>
            </w:r>
          </w:p>
        </w:tc>
        <w:tc>
          <w:tcPr>
            <w:tcW w:w="220" w:type="dxa"/>
            <w:vAlign w:val="bottom"/>
          </w:tcPr>
          <w:p>
            <w:pPr>
              <w:spacing w:after="0"/>
              <w:rPr>
                <w:sz w:val="15"/>
                <w:szCs w:val="15"/>
                <w:color w:val="auto"/>
              </w:rPr>
            </w:pPr>
          </w:p>
        </w:tc>
        <w:tc>
          <w:tcPr>
            <w:tcW w:w="54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643,947</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Balances</w:t>
      </w:r>
    </w:p>
    <w:p>
      <w:pPr>
        <w:spacing w:after="0" w:line="136" w:lineRule="exact"/>
        <w:rPr>
          <w:sz w:val="20"/>
          <w:szCs w:val="20"/>
          <w:color w:val="auto"/>
        </w:rPr>
      </w:pPr>
    </w:p>
    <w:p>
      <w:pPr>
        <w:ind w:right="160" w:firstLine="509"/>
        <w:spacing w:after="0" w:line="262" w:lineRule="auto"/>
        <w:rPr>
          <w:sz w:val="20"/>
          <w:szCs w:val="20"/>
          <w:color w:val="auto"/>
        </w:rPr>
      </w:pPr>
      <w:r>
        <w:rPr>
          <w:rFonts w:ascii="Arial" w:cs="Arial" w:eastAsia="Arial" w:hAnsi="Arial"/>
          <w:sz w:val="14"/>
          <w:szCs w:val="14"/>
          <w:color w:val="auto"/>
        </w:rPr>
        <w:t>The Company receives management fees monthly or quarterly in accordance with its contracts with customers. Incentive income is received generally after all contributed capital and preferred return on that capital have been distributed to the fund’s investors. Contract assets relate to the Company’s conditional right to receive payment for its performance completed under the contract. Receivables are recorded when the right to consideration becomes unconditional (i.e., only requires the passage of time). Contract liabilities (i.e., deferred revenues) relate to payments received in advance of performance under the contract. Contract liabilities are recognized as revenues when the Company provides investment management services.</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table below sets forth contract balances for the periods indicated:</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8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w w:val="95"/>
              </w:rPr>
              <w:t>As of</w:t>
            </w:r>
          </w:p>
        </w:tc>
        <w:tc>
          <w:tcPr>
            <w:tcW w:w="1120" w:type="dxa"/>
            <w:vAlign w:val="bottom"/>
            <w:tcBorders>
              <w:bottom w:val="single" w:sz="8" w:color="auto"/>
            </w:tcBorders>
          </w:tcPr>
          <w:p>
            <w:pPr>
              <w:spacing w:after="0"/>
              <w:rPr>
                <w:sz w:val="12"/>
                <w:szCs w:val="12"/>
                <w:color w:val="auto"/>
              </w:rPr>
            </w:pPr>
          </w:p>
        </w:tc>
      </w:tr>
      <w:tr>
        <w:trPr>
          <w:trHeight w:val="131"/>
        </w:trPr>
        <w:tc>
          <w:tcPr>
            <w:tcW w:w="84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June 30, 2022</w:t>
            </w: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December 31, 2021</w:t>
            </w:r>
          </w:p>
        </w:tc>
      </w:tr>
      <w:tr>
        <w:trPr>
          <w:trHeight w:val="259"/>
        </w:trPr>
        <w:tc>
          <w:tcPr>
            <w:tcW w:w="8480" w:type="dxa"/>
            <w:vAlign w:val="bottom"/>
          </w:tcPr>
          <w:p>
            <w:pPr>
              <w:spacing w:after="0"/>
              <w:rPr>
                <w:sz w:val="20"/>
                <w:szCs w:val="20"/>
                <w:color w:val="auto"/>
              </w:rPr>
            </w:pPr>
            <w:r>
              <w:rPr>
                <w:rFonts w:ascii="Arial" w:cs="Arial" w:eastAsia="Arial" w:hAnsi="Arial"/>
                <w:sz w:val="13"/>
                <w:szCs w:val="13"/>
                <w:color w:val="auto"/>
              </w:rPr>
              <w:t>Receivables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64,550</w:t>
            </w:r>
          </w:p>
        </w:tc>
        <w:tc>
          <w:tcPr>
            <w:tcW w:w="4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
              <w:spacing w:after="0"/>
              <w:rPr>
                <w:sz w:val="20"/>
                <w:szCs w:val="20"/>
                <w:color w:val="auto"/>
              </w:rPr>
            </w:pPr>
            <w:r>
              <w:rPr>
                <w:rFonts w:ascii="Arial" w:cs="Arial" w:eastAsia="Arial" w:hAnsi="Arial"/>
                <w:sz w:val="13"/>
                <w:szCs w:val="13"/>
                <w:color w:val="auto"/>
              </w:rPr>
              <w:t>138,435</w:t>
            </w:r>
          </w:p>
        </w:tc>
      </w:tr>
      <w:tr>
        <w:trPr>
          <w:trHeight w:val="221"/>
        </w:trPr>
        <w:tc>
          <w:tcPr>
            <w:tcW w:w="8480" w:type="dxa"/>
            <w:vAlign w:val="bottom"/>
          </w:tcPr>
          <w:p>
            <w:pPr>
              <w:spacing w:after="0"/>
              <w:rPr>
                <w:sz w:val="20"/>
                <w:szCs w:val="20"/>
                <w:color w:val="auto"/>
              </w:rPr>
            </w:pPr>
            <w:r>
              <w:rPr>
                <w:rFonts w:ascii="Arial" w:cs="Arial" w:eastAsia="Arial" w:hAnsi="Arial"/>
                <w:sz w:val="13"/>
                <w:szCs w:val="13"/>
                <w:color w:val="auto"/>
              </w:rPr>
              <w:t xml:space="preserve">Contract assets </w:t>
            </w:r>
            <w:r>
              <w:rPr>
                <w:rFonts w:ascii="Arial" w:cs="Arial" w:eastAsia="Arial" w:hAnsi="Arial"/>
                <w:sz w:val="16"/>
                <w:szCs w:val="16"/>
                <w:color w:val="auto"/>
                <w:vertAlign w:val="superscript"/>
              </w:rPr>
              <w:t>(1)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3"/>
                <w:szCs w:val="13"/>
                <w:color w:val="auto"/>
              </w:rPr>
              <w:t>151,360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138811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1" w:lineRule="exact"/>
        <w:rPr>
          <w:sz w:val="20"/>
          <w:szCs w:val="20"/>
          <w:color w:val="auto"/>
        </w:rPr>
      </w:pPr>
    </w:p>
    <w:p>
      <w:pPr>
        <w:ind w:left="300" w:hanging="295"/>
        <w:spacing w:after="0"/>
        <w:tabs>
          <w:tab w:leader="none" w:pos="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changes in the balances primarily relate to accruals, net of payments received.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VARIABLE INTEREST ENTITIES</w:t>
      </w:r>
    </w:p>
    <w:p>
      <w:pPr>
        <w:spacing w:after="0" w:line="136"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The Company consolidates VIEs for which it is the primary beneficiary. VIEs include funds managed by Oaktree and CLOs for which Oaktree acts as collateral manager. The purpose of these VIEs is to provide investment opportunities for investors in exchange for management fees and, in certain cases, performance-based fees. While the investment strategies of the funds and CLOs differ by product, in general the fundamental risks of the funds and CLOs have similar characteristics, including loss of invested capital and reduction or absence of management and performance-based fees. As general partner or collateral manager, respectively, Oaktree generally considers itself the sponsor of the applicable fund or CLO. The Company does not provide performance guarantees and, other than capital commitments, has no financial obligation to provide funding to VIEs.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VIEs</w:t>
      </w:r>
    </w:p>
    <w:p>
      <w:pPr>
        <w:spacing w:after="0" w:line="136" w:lineRule="exact"/>
        <w:rPr>
          <w:sz w:val="20"/>
          <w:szCs w:val="20"/>
          <w:color w:val="auto"/>
        </w:rPr>
      </w:pPr>
    </w:p>
    <w:p>
      <w:pPr>
        <w:ind w:right="240" w:firstLine="509"/>
        <w:spacing w:after="0" w:line="290" w:lineRule="auto"/>
        <w:rPr>
          <w:sz w:val="20"/>
          <w:szCs w:val="20"/>
          <w:color w:val="auto"/>
        </w:rPr>
      </w:pPr>
      <w:r>
        <w:rPr>
          <w:rFonts w:ascii="Arial" w:cs="Arial" w:eastAsia="Arial" w:hAnsi="Arial"/>
          <w:sz w:val="14"/>
          <w:szCs w:val="14"/>
          <w:color w:val="auto"/>
        </w:rPr>
        <w:t>As of June 30, 2022, the Company consolidated 25 VIEs for which it was the primary beneficiary, including 9 funds managed by Oaktree and 16 CLOs for which Oaktree serves as collateral manager. As of December 31, 2021, the Company consolidated 25 VIEs.</w:t>
      </w:r>
    </w:p>
    <w:p>
      <w:pPr>
        <w:spacing w:after="0" w:line="7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4"/>
          <w:szCs w:val="14"/>
          <w:color w:val="auto"/>
        </w:rPr>
        <w:t>As of June 30, 2022, the assets and liabilities of the 25 consolidated VIEs representing funds and CLOs amounted to $12.8 billion and $9.9 billion, respectively. The assets of these consolidated VIEs primarily consisted of investments in debt and equity securities, while their liabilities primarily represented debt obligations issued by CLOs. The assets of these VIEs may be used only to settle obligations of the same VIE. In addition, there is no recourse to the Company for the VIEs’ liabilities. In exchange for managing either the funds’ or CLOs’ collateral, the Company typically earns management fees and may earn performance fees, all of which are eliminated in consolidation. As of June 30, 2022, the Company’s investments in consolidated VIEs had a carrying value of $0.9 billion, which represented its maximum risk of loss as of that date. The Company’s investments in CLOs are generally subordinated to other interests in the CLOs and entitle the Company to receive a pro-rata portion of the residual cash flows, if any, from the CLOs. Please see note 8 for more information on CLO debt obligations.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Unconsolidated VIEs</w:t>
      </w:r>
    </w:p>
    <w:p>
      <w:pPr>
        <w:spacing w:after="0" w:line="136" w:lineRule="exact"/>
        <w:rPr>
          <w:sz w:val="20"/>
          <w:szCs w:val="20"/>
          <w:color w:val="auto"/>
        </w:rPr>
      </w:pPr>
    </w:p>
    <w:p>
      <w:pPr>
        <w:ind w:right="40" w:firstLine="509"/>
        <w:spacing w:after="0" w:line="290" w:lineRule="auto"/>
        <w:rPr>
          <w:sz w:val="20"/>
          <w:szCs w:val="20"/>
          <w:color w:val="auto"/>
        </w:rPr>
      </w:pPr>
      <w:r>
        <w:rPr>
          <w:rFonts w:ascii="Arial" w:cs="Arial" w:eastAsia="Arial" w:hAnsi="Arial"/>
          <w:sz w:val="14"/>
          <w:szCs w:val="14"/>
          <w:color w:val="auto"/>
        </w:rPr>
        <w:t>The Company holds variable interests in certain VIEs in the form of direct equity interests that are not consolidated because it is not the primary beneficiary, inasmuch as its fee arrangements are considered at-market and it does not hold interests in those entities that are considered more than insignificant.</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carrying value of the Company’s investments in VIEs that were not consolidated are shown below.</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79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4"/>
          </w:tcPr>
          <w:p>
            <w:pPr>
              <w:jc w:val="right"/>
              <w:ind w:right="1120"/>
              <w:spacing w:after="0"/>
              <w:rPr>
                <w:sz w:val="20"/>
                <w:szCs w:val="20"/>
                <w:color w:val="auto"/>
              </w:rPr>
            </w:pPr>
            <w:r>
              <w:rPr>
                <w:rFonts w:ascii="Arial" w:cs="Arial" w:eastAsia="Arial" w:hAnsi="Arial"/>
                <w:sz w:val="10"/>
                <w:szCs w:val="10"/>
                <w:b w:val="1"/>
                <w:bCs w:val="1"/>
                <w:color w:val="auto"/>
              </w:rPr>
              <w:t>Carrying Value as of</w:t>
            </w:r>
          </w:p>
        </w:tc>
      </w:tr>
      <w:tr>
        <w:trPr>
          <w:trHeight w:val="131"/>
        </w:trPr>
        <w:tc>
          <w:tcPr>
            <w:tcW w:w="7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June 30, 2022</w:t>
            </w:r>
          </w:p>
        </w:tc>
        <w:tc>
          <w:tcPr>
            <w:tcW w:w="200" w:type="dxa"/>
            <w:vAlign w:val="bottom"/>
          </w:tcPr>
          <w:p>
            <w:pPr>
              <w:spacing w:after="0"/>
              <w:rPr>
                <w:sz w:val="11"/>
                <w:szCs w:val="11"/>
                <w:color w:val="auto"/>
              </w:rPr>
            </w:pPr>
          </w:p>
        </w:tc>
        <w:tc>
          <w:tcPr>
            <w:tcW w:w="1360" w:type="dxa"/>
            <w:vAlign w:val="bottom"/>
          </w:tcPr>
          <w:p>
            <w:pPr>
              <w:jc w:val="right"/>
              <w:ind w:right="280"/>
              <w:spacing w:after="0"/>
              <w:rPr>
                <w:sz w:val="20"/>
                <w:szCs w:val="20"/>
                <w:color w:val="auto"/>
              </w:rPr>
            </w:pPr>
            <w:r>
              <w:rPr>
                <w:rFonts w:ascii="Arial" w:cs="Arial" w:eastAsia="Arial" w:hAnsi="Arial"/>
                <w:sz w:val="10"/>
                <w:szCs w:val="10"/>
                <w:b w:val="1"/>
                <w:bCs w:val="1"/>
                <w:color w:val="auto"/>
              </w:rPr>
              <w:t>December 31, 2021</w:t>
            </w:r>
          </w:p>
        </w:tc>
      </w:tr>
      <w:tr>
        <w:trPr>
          <w:trHeight w:val="233"/>
        </w:trPr>
        <w:tc>
          <w:tcPr>
            <w:tcW w:w="7940" w:type="dxa"/>
            <w:vAlign w:val="bottom"/>
          </w:tcPr>
          <w:p>
            <w:pPr>
              <w:spacing w:after="0"/>
              <w:rPr>
                <w:sz w:val="20"/>
                <w:szCs w:val="20"/>
                <w:color w:val="auto"/>
              </w:rPr>
            </w:pPr>
            <w:r>
              <w:rPr>
                <w:rFonts w:ascii="Arial" w:cs="Arial" w:eastAsia="Arial" w:hAnsi="Arial"/>
                <w:sz w:val="13"/>
                <w:szCs w:val="13"/>
                <w:color w:val="auto"/>
              </w:rPr>
              <w:t>Corporate investments</w:t>
            </w:r>
          </w:p>
        </w:tc>
        <w:tc>
          <w:tcPr>
            <w:tcW w:w="280" w:type="dxa"/>
            <w:vAlign w:val="bottom"/>
            <w:tcBorders>
              <w:top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tcPr>
          <w:p>
            <w:pPr>
              <w:jc w:val="right"/>
              <w:ind w:right="2"/>
              <w:spacing w:after="0"/>
              <w:rPr>
                <w:sz w:val="20"/>
                <w:szCs w:val="20"/>
                <w:color w:val="auto"/>
              </w:rPr>
            </w:pPr>
            <w:r>
              <w:rPr>
                <w:rFonts w:ascii="Arial" w:cs="Arial" w:eastAsia="Arial" w:hAnsi="Arial"/>
                <w:sz w:val="13"/>
                <w:szCs w:val="13"/>
                <w:color w:val="auto"/>
              </w:rPr>
              <w:t>917,522</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895,116</w:t>
            </w:r>
          </w:p>
        </w:tc>
      </w:tr>
      <w:tr>
        <w:trPr>
          <w:trHeight w:val="171"/>
        </w:trPr>
        <w:tc>
          <w:tcPr>
            <w:tcW w:w="7940" w:type="dxa"/>
            <w:vAlign w:val="bottom"/>
          </w:tcPr>
          <w:p>
            <w:pPr>
              <w:spacing w:after="0"/>
              <w:rPr>
                <w:sz w:val="20"/>
                <w:szCs w:val="20"/>
                <w:color w:val="auto"/>
              </w:rPr>
            </w:pPr>
            <w:r>
              <w:rPr>
                <w:rFonts w:ascii="Arial" w:cs="Arial" w:eastAsia="Arial" w:hAnsi="Arial"/>
                <w:sz w:val="13"/>
                <w:szCs w:val="13"/>
                <w:color w:val="auto"/>
              </w:rPr>
              <w:t>Due from affiliates</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2,142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188,237</w:t>
            </w:r>
          </w:p>
        </w:tc>
      </w:tr>
      <w:tr>
        <w:trPr>
          <w:trHeight w:val="162"/>
        </w:trPr>
        <w:tc>
          <w:tcPr>
            <w:tcW w:w="7940" w:type="dxa"/>
            <w:vAlign w:val="bottom"/>
          </w:tcPr>
          <w:p>
            <w:pPr>
              <w:spacing w:after="0"/>
              <w:rPr>
                <w:sz w:val="20"/>
                <w:szCs w:val="20"/>
                <w:color w:val="auto"/>
              </w:rPr>
            </w:pPr>
            <w:r>
              <w:rPr>
                <w:rFonts w:ascii="Arial" w:cs="Arial" w:eastAsia="Arial" w:hAnsi="Arial"/>
                <w:sz w:val="13"/>
                <w:szCs w:val="13"/>
                <w:color w:val="auto"/>
              </w:rPr>
              <w:t>Maximum exposure to loss</w:t>
            </w: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919,664</w:t>
            </w:r>
          </w:p>
        </w:tc>
        <w:tc>
          <w:tcPr>
            <w:tcW w:w="2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1,083,353</w:t>
            </w:r>
          </w:p>
        </w:tc>
      </w:tr>
      <w:tr>
        <w:trPr>
          <w:trHeight w:val="20"/>
        </w:trPr>
        <w:tc>
          <w:tcPr>
            <w:tcW w:w="7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Investments</w:t>
      </w:r>
    </w:p>
    <w:p>
      <w:pPr>
        <w:spacing w:after="0" w:line="136"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Corporate investments may consist of investments in funds, companies in which the Company does not have a controlling financial interest, and non-investment grade debt securities. Investments for which the Company is deemed to exert significant influence are accounted for under the equity method of accounting and reflect the Company’s ownership interest in each fund or company. In the case of investments for which the Company is not deemed to exert significant influence or control, the fair value option of accounting has been elected. Investment income represents the Company’s pro-rata share of income or loss from these funds or companies, or the change in fair value of the investment, as applicable. The Company’s general partnership interests are substantially illiquid. While investments in funds reflect each respective fund’s holdings at fair value, equity-method investments in companies are not adjusted to reflect the fair value of the underlying company. The fair value of the underlying investments in Oaktree funds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Corporate investments consisted of the following:</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124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w w:val="95"/>
              </w:rPr>
              <w:t>As of</w:t>
            </w: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240" w:type="dxa"/>
            <w:vAlign w:val="bottom"/>
            <w:tcBorders>
              <w:bottom w:val="single" w:sz="8" w:color="auto"/>
            </w:tcBorders>
          </w:tcPr>
          <w:p>
            <w:pPr>
              <w:spacing w:after="0" w:line="114" w:lineRule="exact"/>
              <w:rPr>
                <w:sz w:val="20"/>
                <w:szCs w:val="20"/>
                <w:color w:val="auto"/>
              </w:rPr>
            </w:pPr>
            <w:r>
              <w:rPr>
                <w:rFonts w:ascii="Arial" w:cs="Arial" w:eastAsia="Arial" w:hAnsi="Arial"/>
                <w:sz w:val="11"/>
                <w:szCs w:val="11"/>
                <w:b w:val="1"/>
                <w:bCs w:val="1"/>
                <w:color w:val="auto"/>
              </w:rPr>
              <w:t>Corporate Investments</w:t>
            </w:r>
          </w:p>
        </w:tc>
        <w:tc>
          <w:tcPr>
            <w:tcW w:w="6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jc w:val="right"/>
              <w:ind w:right="359"/>
              <w:spacing w:after="0" w:line="114" w:lineRule="exact"/>
              <w:rPr>
                <w:sz w:val="20"/>
                <w:szCs w:val="20"/>
                <w:color w:val="auto"/>
              </w:rPr>
            </w:pPr>
            <w:r>
              <w:rPr>
                <w:rFonts w:ascii="Arial" w:cs="Arial" w:eastAsia="Arial" w:hAnsi="Arial"/>
                <w:sz w:val="10"/>
                <w:szCs w:val="10"/>
                <w:b w:val="1"/>
                <w:bCs w:val="1"/>
                <w:color w:val="auto"/>
              </w:rPr>
              <w:t>June 30, 2022</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ind w:right="279"/>
              <w:spacing w:after="0" w:line="114" w:lineRule="exact"/>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3"/>
                <w:szCs w:val="13"/>
                <w:color w:val="auto"/>
              </w:rPr>
              <w:t>Equity-method investments:</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94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940" w:type="dxa"/>
            <w:vAlign w:val="bottom"/>
            <w:gridSpan w:val="2"/>
          </w:tcPr>
          <w:p>
            <w:pPr>
              <w:ind w:left="120"/>
              <w:spacing w:after="0"/>
              <w:rPr>
                <w:sz w:val="20"/>
                <w:szCs w:val="20"/>
                <w:color w:val="auto"/>
              </w:rPr>
            </w:pPr>
            <w:r>
              <w:rPr>
                <w:rFonts w:ascii="Arial" w:cs="Arial" w:eastAsia="Arial" w:hAnsi="Arial"/>
                <w:sz w:val="13"/>
                <w:szCs w:val="13"/>
                <w:color w:val="auto"/>
              </w:rPr>
              <w:t>Funds</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1,024,798</w:t>
            </w:r>
          </w:p>
        </w:tc>
        <w:tc>
          <w:tcPr>
            <w:tcW w:w="4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915,185</w:t>
            </w:r>
          </w:p>
        </w:tc>
        <w:tc>
          <w:tcPr>
            <w:tcW w:w="0" w:type="dxa"/>
            <w:vAlign w:val="bottom"/>
          </w:tcPr>
          <w:p>
            <w:pPr>
              <w:spacing w:after="0"/>
              <w:rPr>
                <w:sz w:val="1"/>
                <w:szCs w:val="1"/>
                <w:color w:val="auto"/>
              </w:rPr>
            </w:pPr>
          </w:p>
        </w:tc>
      </w:tr>
      <w:tr>
        <w:trPr>
          <w:trHeight w:val="170"/>
        </w:trPr>
        <w:tc>
          <w:tcPr>
            <w:tcW w:w="7940" w:type="dxa"/>
            <w:vAlign w:val="bottom"/>
            <w:gridSpan w:val="2"/>
          </w:tcPr>
          <w:p>
            <w:pPr>
              <w:ind w:left="120"/>
              <w:spacing w:after="0"/>
              <w:rPr>
                <w:sz w:val="20"/>
                <w:szCs w:val="20"/>
                <w:color w:val="auto"/>
              </w:rPr>
            </w:pPr>
            <w:r>
              <w:rPr>
                <w:rFonts w:ascii="Arial" w:cs="Arial" w:eastAsia="Arial" w:hAnsi="Arial"/>
                <w:sz w:val="13"/>
                <w:szCs w:val="13"/>
                <w:color w:val="auto"/>
              </w:rPr>
              <w:t>Companies</w:t>
            </w: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7,140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36,225</w:t>
            </w:r>
          </w:p>
        </w:tc>
        <w:tc>
          <w:tcPr>
            <w:tcW w:w="0" w:type="dxa"/>
            <w:vAlign w:val="bottom"/>
          </w:tcPr>
          <w:p>
            <w:pPr>
              <w:spacing w:after="0"/>
              <w:rPr>
                <w:sz w:val="1"/>
                <w:szCs w:val="1"/>
                <w:color w:val="auto"/>
              </w:rPr>
            </w:pPr>
          </w:p>
        </w:tc>
      </w:tr>
      <w:tr>
        <w:trPr>
          <w:trHeight w:val="171"/>
        </w:trPr>
        <w:tc>
          <w:tcPr>
            <w:tcW w:w="7940" w:type="dxa"/>
            <w:vAlign w:val="bottom"/>
            <w:gridSpan w:val="2"/>
          </w:tcPr>
          <w:p>
            <w:pPr>
              <w:spacing w:after="0"/>
              <w:rPr>
                <w:sz w:val="20"/>
                <w:szCs w:val="20"/>
                <w:color w:val="auto"/>
              </w:rPr>
            </w:pPr>
            <w:r>
              <w:rPr>
                <w:rFonts w:ascii="Arial" w:cs="Arial" w:eastAsia="Arial" w:hAnsi="Arial"/>
                <w:sz w:val="13"/>
                <w:szCs w:val="13"/>
                <w:color w:val="auto"/>
              </w:rPr>
              <w:t>Other investments, at fair value</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101,729</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71,154</w:t>
            </w:r>
          </w:p>
        </w:tc>
        <w:tc>
          <w:tcPr>
            <w:tcW w:w="0" w:type="dxa"/>
            <w:vAlign w:val="bottom"/>
          </w:tcPr>
          <w:p>
            <w:pPr>
              <w:spacing w:after="0"/>
              <w:rPr>
                <w:sz w:val="1"/>
                <w:szCs w:val="1"/>
                <w:color w:val="auto"/>
              </w:rPr>
            </w:pPr>
          </w:p>
        </w:tc>
      </w:tr>
      <w:tr>
        <w:trPr>
          <w:trHeight w:val="162"/>
        </w:trPr>
        <w:tc>
          <w:tcPr>
            <w:tcW w:w="7940" w:type="dxa"/>
            <w:vAlign w:val="bottom"/>
            <w:gridSpan w:val="2"/>
          </w:tcPr>
          <w:p>
            <w:pPr>
              <w:spacing w:after="0"/>
              <w:rPr>
                <w:sz w:val="20"/>
                <w:szCs w:val="20"/>
                <w:color w:val="auto"/>
              </w:rPr>
            </w:pPr>
            <w:r>
              <w:rPr>
                <w:rFonts w:ascii="Arial" w:cs="Arial" w:eastAsia="Arial" w:hAnsi="Arial"/>
                <w:sz w:val="13"/>
                <w:szCs w:val="13"/>
                <w:color w:val="auto"/>
              </w:rPr>
              <w:t>Total corporate investments</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1,133,667</w:t>
            </w:r>
          </w:p>
        </w:tc>
        <w:tc>
          <w:tcPr>
            <w:tcW w:w="4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1,022,564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components of investment income (loss) are set forth below:</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14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00" w:type="dxa"/>
            <w:vAlign w:val="bottom"/>
            <w:gridSpan w:val="5"/>
          </w:tcPr>
          <w:p>
            <w:pPr>
              <w:ind w:left="400"/>
              <w:spacing w:after="0"/>
              <w:rPr>
                <w:sz w:val="20"/>
                <w:szCs w:val="20"/>
                <w:color w:val="auto"/>
              </w:rPr>
            </w:pPr>
            <w:r>
              <w:rPr>
                <w:rFonts w:ascii="Arial" w:cs="Arial" w:eastAsia="Arial" w:hAnsi="Arial"/>
                <w:sz w:val="10"/>
                <w:szCs w:val="10"/>
                <w:b w:val="1"/>
                <w:bCs w:val="1"/>
                <w:color w:val="auto"/>
              </w:rPr>
              <w:t>Three months ended June 30,</w:t>
            </w:r>
          </w:p>
        </w:tc>
        <w:tc>
          <w:tcPr>
            <w:tcW w:w="320" w:type="dxa"/>
            <w:vAlign w:val="bottom"/>
          </w:tcPr>
          <w:p>
            <w:pPr>
              <w:spacing w:after="0"/>
              <w:rPr>
                <w:sz w:val="11"/>
                <w:szCs w:val="11"/>
                <w:color w:val="auto"/>
              </w:rPr>
            </w:pPr>
          </w:p>
        </w:tc>
        <w:tc>
          <w:tcPr>
            <w:tcW w:w="174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400" w:type="dxa"/>
            <w:vAlign w:val="bottom"/>
            <w:tcBorders>
              <w:bottom w:val="single" w:sz="8" w:color="auto"/>
            </w:tcBorders>
          </w:tcPr>
          <w:p>
            <w:pPr>
              <w:spacing w:after="0" w:line="114" w:lineRule="exact"/>
              <w:rPr>
                <w:sz w:val="20"/>
                <w:szCs w:val="20"/>
                <w:color w:val="auto"/>
              </w:rPr>
            </w:pPr>
            <w:r>
              <w:rPr>
                <w:rFonts w:ascii="Arial" w:cs="Arial" w:eastAsia="Arial" w:hAnsi="Arial"/>
                <w:sz w:val="11"/>
                <w:szCs w:val="11"/>
                <w:b w:val="1"/>
                <w:bCs w:val="1"/>
                <w:color w:val="auto"/>
              </w:rPr>
              <w:t>Investment Income (Loss)</w:t>
            </w:r>
          </w:p>
        </w:tc>
        <w:tc>
          <w:tcPr>
            <w:tcW w:w="40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481"/>
              <w:spacing w:after="0" w:line="114" w:lineRule="exact"/>
              <w:rPr>
                <w:sz w:val="20"/>
                <w:szCs w:val="20"/>
                <w:color w:val="auto"/>
              </w:rPr>
            </w:pPr>
            <w:r>
              <w:rPr>
                <w:rFonts w:ascii="Arial" w:cs="Arial" w:eastAsia="Arial" w:hAnsi="Arial"/>
                <w:sz w:val="10"/>
                <w:szCs w:val="10"/>
                <w:b w:val="1"/>
                <w:bCs w:val="1"/>
                <w:color w:val="auto"/>
              </w:rPr>
              <w:t>2022</w:t>
            </w:r>
          </w:p>
        </w:tc>
        <w:tc>
          <w:tcPr>
            <w:tcW w:w="2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479"/>
              <w:spacing w:after="0" w:line="114" w:lineRule="exact"/>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501"/>
              <w:spacing w:after="0" w:line="114" w:lineRule="exact"/>
              <w:rPr>
                <w:sz w:val="20"/>
                <w:szCs w:val="20"/>
                <w:color w:val="auto"/>
              </w:rPr>
            </w:pPr>
            <w:r>
              <w:rPr>
                <w:rFonts w:ascii="Arial" w:cs="Arial" w:eastAsia="Arial" w:hAnsi="Arial"/>
                <w:sz w:val="10"/>
                <w:szCs w:val="10"/>
                <w:b w:val="1"/>
                <w:bCs w:val="1"/>
                <w:color w:val="auto"/>
              </w:rPr>
              <w:t>2022</w:t>
            </w: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ind w:right="479"/>
              <w:spacing w:after="0" w:line="114" w:lineRule="exact"/>
              <w:rPr>
                <w:sz w:val="20"/>
                <w:szCs w:val="20"/>
                <w:color w:val="auto"/>
              </w:rPr>
            </w:pPr>
            <w:r>
              <w:rPr>
                <w:rFonts w:ascii="Arial" w:cs="Arial" w:eastAsia="Arial" w:hAnsi="Arial"/>
                <w:sz w:val="10"/>
                <w:szCs w:val="10"/>
                <w:b w:val="1"/>
                <w:bCs w:val="1"/>
                <w:color w:val="auto"/>
                <w:w w:val="89"/>
              </w:rPr>
              <w:t>2021</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3"/>
                <w:szCs w:val="13"/>
                <w:color w:val="auto"/>
              </w:rPr>
              <w:t>Equity-method investments:</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42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420" w:type="dxa"/>
            <w:vAlign w:val="bottom"/>
            <w:gridSpan w:val="2"/>
          </w:tcPr>
          <w:p>
            <w:pPr>
              <w:ind w:left="120"/>
              <w:spacing w:after="0"/>
              <w:rPr>
                <w:sz w:val="20"/>
                <w:szCs w:val="20"/>
                <w:color w:val="auto"/>
              </w:rPr>
            </w:pPr>
            <w:r>
              <w:rPr>
                <w:rFonts w:ascii="Arial" w:cs="Arial" w:eastAsia="Arial" w:hAnsi="Arial"/>
                <w:sz w:val="13"/>
                <w:szCs w:val="13"/>
                <w:color w:val="auto"/>
              </w:rPr>
              <w:t>Funds</w:t>
            </w:r>
          </w:p>
        </w:tc>
        <w:tc>
          <w:tcPr>
            <w:tcW w:w="3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(34,591)</w:t>
            </w:r>
          </w:p>
        </w:tc>
        <w:tc>
          <w:tcPr>
            <w:tcW w:w="2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63,689</w:t>
            </w:r>
          </w:p>
        </w:tc>
        <w:tc>
          <w:tcPr>
            <w:tcW w:w="2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(20,338)</w:t>
            </w:r>
          </w:p>
        </w:tc>
        <w:tc>
          <w:tcPr>
            <w:tcW w:w="180" w:type="dxa"/>
            <w:vAlign w:val="bottom"/>
          </w:tcPr>
          <w:p>
            <w:pPr>
              <w:spacing w:after="0"/>
              <w:rPr>
                <w:sz w:val="14"/>
                <w:szCs w:val="14"/>
                <w:color w:val="auto"/>
              </w:rPr>
            </w:pPr>
          </w:p>
        </w:tc>
        <w:tc>
          <w:tcPr>
            <w:tcW w:w="560" w:type="dxa"/>
            <w:vAlign w:val="bottom"/>
          </w:tcPr>
          <w:p>
            <w:pPr>
              <w:jc w:val="right"/>
              <w:ind w:right="39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170,213</w:t>
            </w:r>
          </w:p>
        </w:tc>
        <w:tc>
          <w:tcPr>
            <w:tcW w:w="0" w:type="dxa"/>
            <w:vAlign w:val="bottom"/>
          </w:tcPr>
          <w:p>
            <w:pPr>
              <w:spacing w:after="0"/>
              <w:rPr>
                <w:sz w:val="1"/>
                <w:szCs w:val="1"/>
                <w:color w:val="auto"/>
              </w:rPr>
            </w:pPr>
          </w:p>
        </w:tc>
      </w:tr>
      <w:tr>
        <w:trPr>
          <w:trHeight w:val="170"/>
        </w:trPr>
        <w:tc>
          <w:tcPr>
            <w:tcW w:w="5420" w:type="dxa"/>
            <w:vAlign w:val="bottom"/>
            <w:gridSpan w:val="2"/>
          </w:tcPr>
          <w:p>
            <w:pPr>
              <w:ind w:left="120"/>
              <w:spacing w:after="0"/>
              <w:rPr>
                <w:sz w:val="20"/>
                <w:szCs w:val="20"/>
                <w:color w:val="auto"/>
              </w:rPr>
            </w:pPr>
            <w:r>
              <w:rPr>
                <w:rFonts w:ascii="Arial" w:cs="Arial" w:eastAsia="Arial" w:hAnsi="Arial"/>
                <w:sz w:val="13"/>
                <w:szCs w:val="13"/>
                <w:color w:val="auto"/>
              </w:rPr>
              <w:t>Companies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(1,236)</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1"/>
        </w:trPr>
        <w:tc>
          <w:tcPr>
            <w:tcW w:w="5420" w:type="dxa"/>
            <w:vAlign w:val="bottom"/>
            <w:gridSpan w:val="2"/>
          </w:tcPr>
          <w:p>
            <w:pPr>
              <w:spacing w:after="0"/>
              <w:rPr>
                <w:sz w:val="20"/>
                <w:szCs w:val="20"/>
                <w:color w:val="auto"/>
              </w:rPr>
            </w:pPr>
            <w:r>
              <w:rPr>
                <w:rFonts w:ascii="Arial" w:cs="Arial" w:eastAsia="Arial" w:hAnsi="Arial"/>
                <w:sz w:val="13"/>
                <w:szCs w:val="13"/>
                <w:color w:val="auto"/>
              </w:rPr>
              <w:t>Other investments, at fair value</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4,507</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(3,112)</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2,641</w:t>
            </w: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3,581</w:t>
            </w:r>
          </w:p>
        </w:tc>
        <w:tc>
          <w:tcPr>
            <w:tcW w:w="0" w:type="dxa"/>
            <w:vAlign w:val="bottom"/>
          </w:tcPr>
          <w:p>
            <w:pPr>
              <w:spacing w:after="0"/>
              <w:rPr>
                <w:sz w:val="1"/>
                <w:szCs w:val="1"/>
                <w:color w:val="auto"/>
              </w:rPr>
            </w:pPr>
          </w:p>
        </w:tc>
      </w:tr>
      <w:tr>
        <w:trPr>
          <w:trHeight w:val="162"/>
        </w:trPr>
        <w:tc>
          <w:tcPr>
            <w:tcW w:w="5420" w:type="dxa"/>
            <w:vAlign w:val="bottom"/>
            <w:gridSpan w:val="2"/>
          </w:tcPr>
          <w:p>
            <w:pPr>
              <w:spacing w:after="0"/>
              <w:rPr>
                <w:sz w:val="20"/>
                <w:szCs w:val="20"/>
                <w:color w:val="auto"/>
              </w:rPr>
            </w:pPr>
            <w:r>
              <w:rPr>
                <w:rFonts w:ascii="Arial" w:cs="Arial" w:eastAsia="Arial" w:hAnsi="Arial"/>
                <w:sz w:val="13"/>
                <w:szCs w:val="13"/>
                <w:color w:val="auto"/>
              </w:rPr>
              <w:t>Total investment income (loss)</w:t>
            </w: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(30,674)</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60,540</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(18,933)</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173,779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Equity-method Investments</w:t>
      </w:r>
    </w:p>
    <w:p>
      <w:pPr>
        <w:spacing w:after="0" w:line="134"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The Company’s equity-method investments include its investments in Oaktree funds for which it serves as general partner, and other third-party funds and companies that are not consolidated, but for which the Company is deemed to exert significant influence. The Company’s share of income or loss generated by these investments is recorded within investment income in the condensed consolidated statements of operations. The Company’s equity-method investments in Oaktree funds principally reflect the Company’s general partner interests in those funds, which typically does not exceed 2.5% in each fund. The Oaktree funds are investment companies that follow a specialized basis of accounting established by GAAP.</w:t>
      </w:r>
    </w:p>
    <w:p>
      <w:pPr>
        <w:spacing w:after="0" w:line="97" w:lineRule="exact"/>
        <w:rPr>
          <w:sz w:val="20"/>
          <w:szCs w:val="20"/>
          <w:color w:val="auto"/>
        </w:rPr>
      </w:pPr>
    </w:p>
    <w:p>
      <w:pPr>
        <w:ind w:right="360" w:firstLine="509"/>
        <w:spacing w:after="0" w:line="290" w:lineRule="auto"/>
        <w:rPr>
          <w:sz w:val="20"/>
          <w:szCs w:val="20"/>
          <w:color w:val="auto"/>
        </w:rPr>
      </w:pPr>
      <w:r>
        <w:rPr>
          <w:rFonts w:ascii="Arial" w:cs="Arial" w:eastAsia="Arial" w:hAnsi="Arial"/>
          <w:sz w:val="14"/>
          <w:szCs w:val="14"/>
          <w:color w:val="auto"/>
        </w:rPr>
        <w:t>Each reporting period, the Company evaluates each of its equity-method investments to determine if any are considered significant, as defined by the SEC. For the six months ended June 30, 2022, no individual equity-method investment met the significance criteria.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Summarized financial information of the Company’s equity-method investments is set forth below.</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13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20" w:type="dxa"/>
            <w:vAlign w:val="bottom"/>
            <w:gridSpan w:val="5"/>
          </w:tcPr>
          <w:p>
            <w:pPr>
              <w:ind w:left="440"/>
              <w:spacing w:after="0"/>
              <w:rPr>
                <w:sz w:val="20"/>
                <w:szCs w:val="20"/>
                <w:color w:val="auto"/>
              </w:rPr>
            </w:pPr>
            <w:r>
              <w:rPr>
                <w:rFonts w:ascii="Arial" w:cs="Arial" w:eastAsia="Arial" w:hAnsi="Arial"/>
                <w:sz w:val="10"/>
                <w:szCs w:val="10"/>
                <w:b w:val="1"/>
                <w:bCs w:val="1"/>
                <w:color w:val="auto"/>
              </w:rPr>
              <w:t>Three months ended June 30,</w:t>
            </w:r>
          </w:p>
        </w:tc>
        <w:tc>
          <w:tcPr>
            <w:tcW w:w="320" w:type="dxa"/>
            <w:vAlign w:val="bottom"/>
          </w:tcPr>
          <w:p>
            <w:pPr>
              <w:spacing w:after="0"/>
              <w:rPr>
                <w:sz w:val="11"/>
                <w:szCs w:val="11"/>
                <w:color w:val="auto"/>
              </w:rPr>
            </w:pPr>
          </w:p>
        </w:tc>
        <w:tc>
          <w:tcPr>
            <w:tcW w:w="182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380" w:type="dxa"/>
            <w:vAlign w:val="bottom"/>
            <w:tcBorders>
              <w:bottom w:val="single" w:sz="8" w:color="auto"/>
            </w:tcBorders>
          </w:tcPr>
          <w:p>
            <w:pPr>
              <w:spacing w:after="0" w:line="114" w:lineRule="exact"/>
              <w:rPr>
                <w:sz w:val="20"/>
                <w:szCs w:val="20"/>
                <w:color w:val="auto"/>
              </w:rPr>
            </w:pPr>
            <w:r>
              <w:rPr>
                <w:rFonts w:ascii="Arial" w:cs="Arial" w:eastAsia="Arial" w:hAnsi="Arial"/>
                <w:sz w:val="11"/>
                <w:szCs w:val="11"/>
                <w:b w:val="1"/>
                <w:bCs w:val="1"/>
                <w:color w:val="auto"/>
              </w:rPr>
              <w:t>Statements of Operations</w:t>
            </w:r>
          </w:p>
        </w:tc>
        <w:tc>
          <w:tcPr>
            <w:tcW w:w="37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right"/>
              <w:ind w:right="520"/>
              <w:spacing w:after="0" w:line="114" w:lineRule="exact"/>
              <w:rPr>
                <w:sz w:val="20"/>
                <w:szCs w:val="20"/>
                <w:color w:val="auto"/>
              </w:rPr>
            </w:pPr>
            <w:r>
              <w:rPr>
                <w:rFonts w:ascii="Arial" w:cs="Arial" w:eastAsia="Arial" w:hAnsi="Arial"/>
                <w:sz w:val="10"/>
                <w:szCs w:val="10"/>
                <w:b w:val="1"/>
                <w:bCs w:val="1"/>
                <w:color w:val="auto"/>
              </w:rPr>
              <w:t>2022</w:t>
            </w:r>
          </w:p>
        </w:tc>
        <w:tc>
          <w:tcPr>
            <w:tcW w:w="1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jc w:val="right"/>
              <w:ind w:right="519"/>
              <w:spacing w:after="0" w:line="114" w:lineRule="exact"/>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right"/>
              <w:ind w:right="520"/>
              <w:spacing w:after="0" w:line="114" w:lineRule="exact"/>
              <w:rPr>
                <w:sz w:val="20"/>
                <w:szCs w:val="20"/>
                <w:color w:val="auto"/>
              </w:rPr>
            </w:pPr>
            <w:r>
              <w:rPr>
                <w:rFonts w:ascii="Arial" w:cs="Arial" w:eastAsia="Arial" w:hAnsi="Arial"/>
                <w:sz w:val="10"/>
                <w:szCs w:val="10"/>
                <w:b w:val="1"/>
                <w:bCs w:val="1"/>
                <w:color w:val="auto"/>
              </w:rPr>
              <w:t>2022</w:t>
            </w: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right"/>
              <w:ind w:right="519"/>
              <w:spacing w:after="0" w:line="114" w:lineRule="exact"/>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3"/>
                <w:szCs w:val="13"/>
                <w:color w:val="auto"/>
              </w:rPr>
              <w:t>Revenues / investment income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60" w:type="dxa"/>
            <w:vAlign w:val="bottom"/>
            <w:gridSpan w:val="2"/>
            <w:vMerge w:val="continue"/>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789,232</w:t>
            </w:r>
          </w:p>
        </w:tc>
        <w:tc>
          <w:tcPr>
            <w:tcW w:w="180" w:type="dxa"/>
            <w:vAlign w:val="bottom"/>
          </w:tcPr>
          <w:p>
            <w:pPr>
              <w:spacing w:after="0"/>
              <w:rPr>
                <w:sz w:val="13"/>
                <w:szCs w:val="13"/>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530,517</w:t>
            </w:r>
          </w:p>
        </w:tc>
        <w:tc>
          <w:tcPr>
            <w:tcW w:w="2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1,629,837</w:t>
            </w:r>
          </w:p>
        </w:tc>
        <w:tc>
          <w:tcPr>
            <w:tcW w:w="180" w:type="dxa"/>
            <w:vAlign w:val="bottom"/>
          </w:tcPr>
          <w:p>
            <w:pPr>
              <w:spacing w:after="0"/>
              <w:rPr>
                <w:sz w:val="13"/>
                <w:szCs w:val="13"/>
                <w:color w:val="auto"/>
              </w:rPr>
            </w:pP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943,828</w:t>
            </w:r>
          </w:p>
        </w:tc>
        <w:tc>
          <w:tcPr>
            <w:tcW w:w="0" w:type="dxa"/>
            <w:vAlign w:val="bottom"/>
          </w:tcPr>
          <w:p>
            <w:pPr>
              <w:spacing w:after="0"/>
              <w:rPr>
                <w:sz w:val="1"/>
                <w:szCs w:val="1"/>
                <w:color w:val="auto"/>
              </w:rPr>
            </w:pPr>
          </w:p>
        </w:tc>
      </w:tr>
      <w:tr>
        <w:trPr>
          <w:trHeight w:val="170"/>
        </w:trPr>
        <w:tc>
          <w:tcPr>
            <w:tcW w:w="516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(70,880)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(45,063)</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(125,170)</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(84,004)</w:t>
            </w:r>
          </w:p>
        </w:tc>
        <w:tc>
          <w:tcPr>
            <w:tcW w:w="0" w:type="dxa"/>
            <w:vAlign w:val="bottom"/>
          </w:tcPr>
          <w:p>
            <w:pPr>
              <w:spacing w:after="0"/>
              <w:rPr>
                <w:sz w:val="1"/>
                <w:szCs w:val="1"/>
                <w:color w:val="auto"/>
              </w:rPr>
            </w:pPr>
          </w:p>
        </w:tc>
      </w:tr>
      <w:tr>
        <w:trPr>
          <w:trHeight w:val="170"/>
        </w:trPr>
        <w:tc>
          <w:tcPr>
            <w:tcW w:w="5160" w:type="dxa"/>
            <w:vAlign w:val="bottom"/>
            <w:gridSpan w:val="2"/>
          </w:tcPr>
          <w:p>
            <w:pPr>
              <w:spacing w:after="0"/>
              <w:rPr>
                <w:sz w:val="20"/>
                <w:szCs w:val="20"/>
                <w:color w:val="auto"/>
              </w:rPr>
            </w:pPr>
            <w:r>
              <w:rPr>
                <w:rFonts w:ascii="Arial" w:cs="Arial" w:eastAsia="Arial" w:hAnsi="Arial"/>
                <w:sz w:val="13"/>
                <w:szCs w:val="13"/>
                <w:color w:val="auto"/>
              </w:rPr>
              <w:t>Other expenses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(181,318)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(204,371)</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(402,309)</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(403,629)</w:t>
            </w:r>
          </w:p>
        </w:tc>
        <w:tc>
          <w:tcPr>
            <w:tcW w:w="0" w:type="dxa"/>
            <w:vAlign w:val="bottom"/>
          </w:tcPr>
          <w:p>
            <w:pPr>
              <w:spacing w:after="0"/>
              <w:rPr>
                <w:sz w:val="1"/>
                <w:szCs w:val="1"/>
                <w:color w:val="auto"/>
              </w:rPr>
            </w:pPr>
          </w:p>
        </w:tc>
      </w:tr>
      <w:tr>
        <w:trPr>
          <w:trHeight w:val="171"/>
        </w:trPr>
        <w:tc>
          <w:tcPr>
            <w:tcW w:w="5160" w:type="dxa"/>
            <w:vAlign w:val="bottom"/>
            <w:gridSpan w:val="2"/>
          </w:tcPr>
          <w:p>
            <w:pPr>
              <w:spacing w:after="0"/>
              <w:rPr>
                <w:sz w:val="20"/>
                <w:szCs w:val="20"/>
                <w:color w:val="auto"/>
              </w:rPr>
            </w:pPr>
            <w:r>
              <w:rPr>
                <w:rFonts w:ascii="Arial" w:cs="Arial" w:eastAsia="Arial" w:hAnsi="Arial"/>
                <w:sz w:val="13"/>
                <w:szCs w:val="13"/>
                <w:color w:val="auto"/>
              </w:rPr>
              <w:t>Net realized and unrealized gain (loss) on investments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(896,459)</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2,780,093</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90,341</w:t>
            </w: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7,116,174</w:t>
            </w: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3"/>
                <w:szCs w:val="13"/>
                <w:color w:val="auto"/>
              </w:rPr>
              <w:t>Net income (loss)</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(359,425)</w:t>
            </w:r>
          </w:p>
        </w:tc>
        <w:tc>
          <w:tcPr>
            <w:tcW w:w="1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3,061,176</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1,192,699</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7,572,369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Investments, at Fair Value</w:t>
      </w:r>
    </w:p>
    <w:p>
      <w:pPr>
        <w:spacing w:after="0" w:line="134"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Other investments, at fair value primarily consist of (a) investments in certain Oaktree and non-Oaktree funds (b) non-investment grade debt securities, and (c) derivatives utilized to economically hedge the Company’s exposure to investment income earned from its funds.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net gains (losses) attributable to the Company’s other investments: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5320" w:type="dxa"/>
            <w:vAlign w:val="bottom"/>
          </w:tcPr>
          <w:p>
            <w:pPr>
              <w:spacing w:after="0"/>
              <w:rPr>
                <w:sz w:val="12"/>
                <w:szCs w:val="12"/>
                <w:color w:val="auto"/>
              </w:rPr>
            </w:pPr>
          </w:p>
        </w:tc>
        <w:tc>
          <w:tcPr>
            <w:tcW w:w="232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0"/>
                <w:szCs w:val="10"/>
                <w:b w:val="1"/>
                <w:bCs w:val="1"/>
                <w:color w:val="auto"/>
              </w:rPr>
              <w:t>Three months ended June 30,</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9"/>
              </w:rPr>
              <w:t>Six months ended June 30,</w:t>
            </w:r>
          </w:p>
        </w:tc>
        <w:tc>
          <w:tcPr>
            <w:tcW w:w="800" w:type="dxa"/>
            <w:vAlign w:val="bottom"/>
            <w:tcBorders>
              <w:bottom w:val="single" w:sz="8" w:color="auto"/>
            </w:tcBorders>
          </w:tcPr>
          <w:p>
            <w:pPr>
              <w:spacing w:after="0"/>
              <w:rPr>
                <w:sz w:val="12"/>
                <w:szCs w:val="12"/>
                <w:color w:val="auto"/>
              </w:rPr>
            </w:pPr>
          </w:p>
        </w:tc>
      </w:tr>
      <w:tr>
        <w:trPr>
          <w:trHeight w:val="131"/>
        </w:trPr>
        <w:tc>
          <w:tcPr>
            <w:tcW w:w="5320" w:type="dxa"/>
            <w:vAlign w:val="bottom"/>
          </w:tcPr>
          <w:p>
            <w:pPr>
              <w:spacing w:after="0"/>
              <w:rPr>
                <w:sz w:val="11"/>
                <w:szCs w:val="11"/>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w w:val="89"/>
              </w:rPr>
              <w:t>2021</w:t>
            </w:r>
          </w:p>
        </w:tc>
      </w:tr>
      <w:tr>
        <w:trPr>
          <w:trHeight w:val="265"/>
        </w:trPr>
        <w:tc>
          <w:tcPr>
            <w:tcW w:w="5320" w:type="dxa"/>
            <w:vAlign w:val="bottom"/>
          </w:tcPr>
          <w:p>
            <w:pPr>
              <w:spacing w:after="0"/>
              <w:rPr>
                <w:sz w:val="20"/>
                <w:szCs w:val="20"/>
                <w:color w:val="auto"/>
              </w:rPr>
            </w:pPr>
            <w:r>
              <w:rPr>
                <w:rFonts w:ascii="Arial" w:cs="Arial" w:eastAsia="Arial" w:hAnsi="Arial"/>
                <w:sz w:val="13"/>
                <w:szCs w:val="13"/>
                <w:color w:val="auto"/>
              </w:rPr>
              <w:t>Realized gain</w:t>
            </w:r>
          </w:p>
        </w:tc>
        <w:tc>
          <w:tcPr>
            <w:tcW w:w="860" w:type="dxa"/>
            <w:vAlign w:val="bottom"/>
          </w:tcPr>
          <w:p>
            <w:pPr>
              <w:jc w:val="right"/>
              <w:ind w:right="723"/>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835</w:t>
            </w:r>
          </w:p>
        </w:tc>
        <w:tc>
          <w:tcPr>
            <w:tcW w:w="200" w:type="dxa"/>
            <w:vAlign w:val="bottom"/>
          </w:tcPr>
          <w:p>
            <w:pPr>
              <w:spacing w:after="0"/>
              <w:rPr>
                <w:sz w:val="23"/>
                <w:szCs w:val="23"/>
                <w:color w:val="auto"/>
              </w:rPr>
            </w:pPr>
          </w:p>
        </w:tc>
        <w:tc>
          <w:tcPr>
            <w:tcW w:w="800" w:type="dxa"/>
            <w:vAlign w:val="bottom"/>
          </w:tcPr>
          <w:p>
            <w:pPr>
              <w:jc w:val="right"/>
              <w:ind w:right="661"/>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16,475</w:t>
            </w:r>
          </w:p>
        </w:tc>
        <w:tc>
          <w:tcPr>
            <w:tcW w:w="180" w:type="dxa"/>
            <w:vAlign w:val="bottom"/>
          </w:tcPr>
          <w:p>
            <w:pPr>
              <w:spacing w:after="0"/>
              <w:rPr>
                <w:sz w:val="23"/>
                <w:szCs w:val="23"/>
                <w:color w:val="auto"/>
              </w:rPr>
            </w:pPr>
          </w:p>
        </w:tc>
        <w:tc>
          <w:tcPr>
            <w:tcW w:w="800" w:type="dxa"/>
            <w:vAlign w:val="bottom"/>
          </w:tcPr>
          <w:p>
            <w:pPr>
              <w:jc w:val="right"/>
              <w:ind w:right="641"/>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744</w:t>
            </w:r>
          </w:p>
        </w:tc>
        <w:tc>
          <w:tcPr>
            <w:tcW w:w="200" w:type="dxa"/>
            <w:vAlign w:val="bottom"/>
          </w:tcPr>
          <w:p>
            <w:pPr>
              <w:spacing w:after="0"/>
              <w:rPr>
                <w:sz w:val="23"/>
                <w:szCs w:val="23"/>
                <w:color w:val="auto"/>
              </w:rPr>
            </w:pPr>
          </w:p>
        </w:tc>
        <w:tc>
          <w:tcPr>
            <w:tcW w:w="560" w:type="dxa"/>
            <w:vAlign w:val="bottom"/>
          </w:tcPr>
          <w:p>
            <w:pPr>
              <w:jc w:val="right"/>
              <w:ind w:right="41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25,147</w:t>
            </w:r>
          </w:p>
        </w:tc>
      </w:tr>
      <w:tr>
        <w:trPr>
          <w:trHeight w:val="171"/>
        </w:trPr>
        <w:tc>
          <w:tcPr>
            <w:tcW w:w="5320" w:type="dxa"/>
            <w:vAlign w:val="bottom"/>
          </w:tcPr>
          <w:p>
            <w:pPr>
              <w:spacing w:after="0"/>
              <w:rPr>
                <w:sz w:val="20"/>
                <w:szCs w:val="20"/>
                <w:color w:val="auto"/>
              </w:rPr>
            </w:pPr>
            <w:r>
              <w:rPr>
                <w:rFonts w:ascii="Arial" w:cs="Arial" w:eastAsia="Arial" w:hAnsi="Arial"/>
                <w:sz w:val="13"/>
                <w:szCs w:val="13"/>
                <w:color w:val="auto"/>
              </w:rPr>
              <w:t>Net change in unrealized gain (loss)</w:t>
            </w: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3,672</w:t>
            </w: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(19,587)</w:t>
            </w: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1,897</w:t>
            </w:r>
          </w:p>
        </w:tc>
        <w:tc>
          <w:tcPr>
            <w:tcW w:w="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(21,566)</w:t>
            </w:r>
          </w:p>
        </w:tc>
      </w:tr>
      <w:tr>
        <w:trPr>
          <w:trHeight w:val="162"/>
        </w:trPr>
        <w:tc>
          <w:tcPr>
            <w:tcW w:w="5320" w:type="dxa"/>
            <w:vAlign w:val="bottom"/>
          </w:tcPr>
          <w:p>
            <w:pPr>
              <w:spacing w:after="0"/>
              <w:rPr>
                <w:sz w:val="20"/>
                <w:szCs w:val="20"/>
                <w:color w:val="auto"/>
              </w:rPr>
            </w:pPr>
            <w:r>
              <w:rPr>
                <w:rFonts w:ascii="Arial" w:cs="Arial" w:eastAsia="Arial" w:hAnsi="Arial"/>
                <w:sz w:val="13"/>
                <w:szCs w:val="13"/>
                <w:color w:val="auto"/>
              </w:rPr>
              <w:t>Total gain (loss)</w:t>
            </w:r>
          </w:p>
        </w:tc>
        <w:tc>
          <w:tcPr>
            <w:tcW w:w="860" w:type="dxa"/>
            <w:vAlign w:val="bottom"/>
            <w:tcBorders>
              <w:bottom w:val="single" w:sz="8" w:color="auto"/>
            </w:tcBorders>
          </w:tcPr>
          <w:p>
            <w:pPr>
              <w:jc w:val="right"/>
              <w:ind w:right="72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4,507</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661"/>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(3,112)</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right"/>
              <w:ind w:right="641"/>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2,641</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3,581</w:t>
            </w:r>
          </w:p>
        </w:tc>
      </w:tr>
      <w:tr>
        <w:trPr>
          <w:trHeight w:val="20"/>
        </w:trPr>
        <w:tc>
          <w:tcPr>
            <w:tcW w:w="5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 of Consolidated Funds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at Fair Value</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Investments held and securities sold short by the consolidated funds are summarized below:</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6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80" w:type="dxa"/>
            <w:vAlign w:val="bottom"/>
            <w:gridSpan w:val="4"/>
            <w:vMerge w:val="restart"/>
          </w:tcPr>
          <w:p>
            <w:pPr>
              <w:jc w:val="right"/>
              <w:ind w:right="864"/>
              <w:spacing w:after="0"/>
              <w:rPr>
                <w:sz w:val="20"/>
                <w:szCs w:val="20"/>
                <w:color w:val="auto"/>
              </w:rPr>
            </w:pPr>
            <w:r>
              <w:rPr>
                <w:rFonts w:ascii="Arial" w:cs="Arial" w:eastAsia="Arial" w:hAnsi="Arial"/>
                <w:sz w:val="10"/>
                <w:szCs w:val="10"/>
                <w:b w:val="1"/>
                <w:bCs w:val="1"/>
                <w:color w:val="auto"/>
              </w:rPr>
              <w:t>Fair Value as of</w:t>
            </w:r>
          </w:p>
        </w:tc>
        <w:tc>
          <w:tcPr>
            <w:tcW w:w="200" w:type="dxa"/>
            <w:vAlign w:val="bottom"/>
            <w:vMerge w:val="restart"/>
          </w:tcPr>
          <w:p>
            <w:pPr>
              <w:spacing w:after="0"/>
              <w:rPr>
                <w:sz w:val="10"/>
                <w:szCs w:val="10"/>
                <w:color w:val="auto"/>
              </w:rPr>
            </w:pPr>
          </w:p>
        </w:tc>
        <w:tc>
          <w:tcPr>
            <w:tcW w:w="2740" w:type="dxa"/>
            <w:vAlign w:val="bottom"/>
            <w:gridSpan w:val="3"/>
          </w:tcPr>
          <w:p>
            <w:pPr>
              <w:ind w:left="320"/>
              <w:spacing w:after="0"/>
              <w:rPr>
                <w:sz w:val="20"/>
                <w:szCs w:val="20"/>
                <w:color w:val="auto"/>
              </w:rPr>
            </w:pPr>
            <w:r>
              <w:rPr>
                <w:rFonts w:ascii="Arial" w:cs="Arial" w:eastAsia="Arial" w:hAnsi="Arial"/>
                <w:sz w:val="10"/>
                <w:szCs w:val="10"/>
                <w:b w:val="1"/>
                <w:bCs w:val="1"/>
                <w:color w:val="auto"/>
              </w:rPr>
              <w:t>Fair Value as a Percentage of Investments of</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740" w:type="dxa"/>
            <w:vAlign w:val="bottom"/>
            <w:tcBorders>
              <w:bottom w:val="single" w:sz="8" w:color="auto"/>
            </w:tcBorders>
            <w:gridSpan w:val="3"/>
          </w:tcPr>
          <w:p>
            <w:pPr>
              <w:jc w:val="right"/>
              <w:ind w:right="704"/>
              <w:spacing w:after="0"/>
              <w:rPr>
                <w:sz w:val="20"/>
                <w:szCs w:val="20"/>
                <w:color w:val="auto"/>
              </w:rPr>
            </w:pPr>
            <w:r>
              <w:rPr>
                <w:rFonts w:ascii="Arial" w:cs="Arial" w:eastAsia="Arial" w:hAnsi="Arial"/>
                <w:sz w:val="10"/>
                <w:szCs w:val="10"/>
                <w:b w:val="1"/>
                <w:bCs w:val="1"/>
                <w:color w:val="auto"/>
              </w:rPr>
              <w:t>Consolidated Funds as of</w:t>
            </w:r>
          </w:p>
        </w:tc>
        <w:tc>
          <w:tcPr>
            <w:tcW w:w="0" w:type="dxa"/>
            <w:vAlign w:val="bottom"/>
          </w:tcPr>
          <w:p>
            <w:pPr>
              <w:spacing w:after="0"/>
              <w:rPr>
                <w:sz w:val="1"/>
                <w:szCs w:val="1"/>
                <w:color w:val="auto"/>
              </w:rPr>
            </w:pPr>
          </w:p>
        </w:tc>
      </w:tr>
      <w:tr>
        <w:trPr>
          <w:trHeight w:val="114"/>
        </w:trPr>
        <w:tc>
          <w:tcPr>
            <w:tcW w:w="660" w:type="dxa"/>
            <w:vAlign w:val="bottom"/>
            <w:tcBorders>
              <w:bottom w:val="single" w:sz="8" w:color="auto"/>
            </w:tcBorders>
          </w:tcPr>
          <w:p>
            <w:pPr>
              <w:spacing w:after="0" w:line="114" w:lineRule="exact"/>
              <w:rPr>
                <w:sz w:val="20"/>
                <w:szCs w:val="20"/>
                <w:color w:val="auto"/>
              </w:rPr>
            </w:pPr>
            <w:r>
              <w:rPr>
                <w:rFonts w:ascii="Arial" w:cs="Arial" w:eastAsia="Arial" w:hAnsi="Arial"/>
                <w:sz w:val="11"/>
                <w:szCs w:val="11"/>
                <w:b w:val="1"/>
                <w:bCs w:val="1"/>
                <w:color w:val="auto"/>
                <w:w w:val="99"/>
              </w:rPr>
              <w:t>Investments</w:t>
            </w:r>
          </w:p>
        </w:tc>
        <w:tc>
          <w:tcPr>
            <w:tcW w:w="5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tcPr>
          <w:p>
            <w:pPr>
              <w:ind w:left="80"/>
              <w:spacing w:after="0" w:line="114" w:lineRule="exact"/>
              <w:rPr>
                <w:sz w:val="20"/>
                <w:szCs w:val="20"/>
                <w:color w:val="auto"/>
              </w:rPr>
            </w:pPr>
            <w:r>
              <w:rPr>
                <w:rFonts w:ascii="Arial" w:cs="Arial" w:eastAsia="Arial" w:hAnsi="Arial"/>
                <w:sz w:val="10"/>
                <w:szCs w:val="10"/>
                <w:b w:val="1"/>
                <w:bCs w:val="1"/>
                <w:color w:val="auto"/>
              </w:rPr>
              <w:t>June 30, 2022</w:t>
            </w:r>
          </w:p>
        </w:tc>
        <w:tc>
          <w:tcPr>
            <w:tcW w:w="10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December 31, 2021</w:t>
            </w:r>
          </w:p>
        </w:tc>
        <w:tc>
          <w:tcPr>
            <w:tcW w:w="1460" w:type="dxa"/>
            <w:vAlign w:val="bottom"/>
            <w:gridSpan w:val="2"/>
          </w:tcPr>
          <w:p>
            <w:pPr>
              <w:ind w:left="300"/>
              <w:spacing w:after="0" w:line="114" w:lineRule="exact"/>
              <w:rPr>
                <w:sz w:val="20"/>
                <w:szCs w:val="20"/>
                <w:color w:val="auto"/>
              </w:rPr>
            </w:pPr>
            <w:r>
              <w:rPr>
                <w:rFonts w:ascii="Arial" w:cs="Arial" w:eastAsia="Arial" w:hAnsi="Arial"/>
                <w:sz w:val="10"/>
                <w:szCs w:val="10"/>
                <w:b w:val="1"/>
                <w:bCs w:val="1"/>
                <w:color w:val="auto"/>
              </w:rPr>
              <w:t>June 30, 2022</w:t>
            </w:r>
          </w:p>
        </w:tc>
        <w:tc>
          <w:tcPr>
            <w:tcW w:w="1280" w:type="dxa"/>
            <w:vAlign w:val="bottom"/>
          </w:tcPr>
          <w:p>
            <w:pPr>
              <w:jc w:val="right"/>
              <w:ind w:right="144"/>
              <w:spacing w:after="0" w:line="114" w:lineRule="exact"/>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1"/>
                <w:szCs w:val="11"/>
                <w:color w:val="auto"/>
              </w:rPr>
              <w:t>United States:</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760" w:type="dxa"/>
            <w:vAlign w:val="bottom"/>
            <w:gridSpan w:val="2"/>
          </w:tcPr>
          <w:p>
            <w:pPr>
              <w:ind w:left="260"/>
              <w:spacing w:after="0"/>
              <w:rPr>
                <w:sz w:val="20"/>
                <w:szCs w:val="20"/>
                <w:color w:val="auto"/>
              </w:rPr>
            </w:pPr>
            <w:r>
              <w:rPr>
                <w:rFonts w:ascii="Arial" w:cs="Arial" w:eastAsia="Arial" w:hAnsi="Arial"/>
                <w:sz w:val="11"/>
                <w:szCs w:val="11"/>
                <w:color w:val="auto"/>
              </w:rPr>
              <w:t>Debt securities:</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Communication services</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553,825</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635,930</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4.8 %</w:t>
            </w: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5.6 %</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Consumer discretionary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817,711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665,405</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7.0</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Consumer staples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284,998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190,391</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Energy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340,200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354,585</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Financials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555,469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463,412</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4.8</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Health care</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379,530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459,713</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3.3</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Industrials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960,028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891,850</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8.2</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Information technology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717,465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685,959</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Materials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566,299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436,434</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Real estate</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218,468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202,131</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1.9</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Utilities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334,638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305,220</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Other</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15,961</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10,683</w:t>
            </w:r>
          </w:p>
        </w:tc>
        <w:tc>
          <w:tcPr>
            <w:tcW w:w="200" w:type="dxa"/>
            <w:vAlign w:val="bottom"/>
          </w:tcPr>
          <w:p>
            <w:pPr>
              <w:spacing w:after="0"/>
              <w:rPr>
                <w:sz w:val="13"/>
                <w:szCs w:val="13"/>
                <w:color w:val="auto"/>
              </w:rPr>
            </w:pPr>
          </w:p>
        </w:tc>
        <w:tc>
          <w:tcPr>
            <w:tcW w:w="126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0.1</w:t>
            </w:r>
          </w:p>
        </w:tc>
        <w:tc>
          <w:tcPr>
            <w:tcW w:w="200" w:type="dxa"/>
            <w:vAlign w:val="bottom"/>
          </w:tcPr>
          <w:p>
            <w:pPr>
              <w:spacing w:after="0"/>
              <w:rPr>
                <w:sz w:val="13"/>
                <w:szCs w:val="13"/>
                <w:color w:val="auto"/>
              </w:rPr>
            </w:pPr>
          </w:p>
        </w:tc>
        <w:tc>
          <w:tcPr>
            <w:tcW w:w="128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08"/>
        </w:trPr>
        <w:tc>
          <w:tcPr>
            <w:tcW w:w="5760" w:type="dxa"/>
            <w:vAlign w:val="bottom"/>
            <w:gridSpan w:val="2"/>
          </w:tcPr>
          <w:p>
            <w:pPr>
              <w:ind w:left="600"/>
              <w:spacing w:after="0" w:line="107" w:lineRule="exact"/>
              <w:rPr>
                <w:sz w:val="20"/>
                <w:szCs w:val="20"/>
                <w:color w:val="auto"/>
              </w:rPr>
            </w:pPr>
            <w:r>
              <w:rPr>
                <w:rFonts w:ascii="Arial" w:cs="Arial" w:eastAsia="Arial" w:hAnsi="Arial"/>
                <w:sz w:val="11"/>
                <w:szCs w:val="11"/>
                <w:color w:val="auto"/>
              </w:rPr>
              <w:t>Total debt securities (cost: $6,130,546 and $5,303,858 as of June 30, 2022 and December 31, 2021,</w:t>
            </w:r>
          </w:p>
        </w:tc>
        <w:tc>
          <w:tcPr>
            <w:tcW w:w="1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5,744,592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5,301,713</w:t>
            </w:r>
          </w:p>
        </w:tc>
        <w:tc>
          <w:tcPr>
            <w:tcW w:w="200" w:type="dxa"/>
            <w:vAlign w:val="bottom"/>
          </w:tcPr>
          <w:p>
            <w:pPr>
              <w:spacing w:after="0"/>
              <w:rPr>
                <w:sz w:val="9"/>
                <w:szCs w:val="9"/>
                <w:color w:val="auto"/>
              </w:rPr>
            </w:pPr>
          </w:p>
        </w:tc>
        <w:tc>
          <w:tcPr>
            <w:tcW w:w="1260" w:type="dxa"/>
            <w:vAlign w:val="bottom"/>
            <w:vMerge w:val="restart"/>
          </w:tcPr>
          <w:p>
            <w:pPr>
              <w:jc w:val="right"/>
              <w:ind w:right="84"/>
              <w:spacing w:after="0"/>
              <w:rPr>
                <w:sz w:val="20"/>
                <w:szCs w:val="20"/>
                <w:color w:val="auto"/>
              </w:rPr>
            </w:pPr>
            <w:r>
              <w:rPr>
                <w:rFonts w:ascii="Arial" w:cs="Arial" w:eastAsia="Arial" w:hAnsi="Arial"/>
                <w:sz w:val="11"/>
                <w:szCs w:val="11"/>
                <w:color w:val="auto"/>
              </w:rPr>
              <w:t>49.4</w:t>
            </w:r>
          </w:p>
        </w:tc>
        <w:tc>
          <w:tcPr>
            <w:tcW w:w="200" w:type="dxa"/>
            <w:vAlign w:val="bottom"/>
          </w:tcPr>
          <w:p>
            <w:pPr>
              <w:spacing w:after="0"/>
              <w:rPr>
                <w:sz w:val="9"/>
                <w:szCs w:val="9"/>
                <w:color w:val="auto"/>
              </w:rPr>
            </w:pPr>
          </w:p>
        </w:tc>
        <w:tc>
          <w:tcPr>
            <w:tcW w:w="1280" w:type="dxa"/>
            <w:vAlign w:val="bottom"/>
            <w:vMerge w:val="restart"/>
          </w:tcPr>
          <w:p>
            <w:pPr>
              <w:jc w:val="right"/>
              <w:ind w:right="84"/>
              <w:spacing w:after="0"/>
              <w:rPr>
                <w:sz w:val="20"/>
                <w:szCs w:val="20"/>
                <w:color w:val="auto"/>
              </w:rPr>
            </w:pPr>
            <w:r>
              <w:rPr>
                <w:rFonts w:ascii="Arial" w:cs="Arial" w:eastAsia="Arial" w:hAnsi="Arial"/>
                <w:sz w:val="11"/>
                <w:szCs w:val="11"/>
                <w:color w:val="auto"/>
              </w:rPr>
              <w:t>46.3</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5100" w:type="dxa"/>
            <w:vAlign w:val="bottom"/>
          </w:tcPr>
          <w:p>
            <w:pPr>
              <w:ind w:left="80"/>
              <w:spacing w:after="0"/>
              <w:rPr>
                <w:sz w:val="20"/>
                <w:szCs w:val="20"/>
                <w:color w:val="auto"/>
              </w:rPr>
            </w:pPr>
            <w:r>
              <w:rPr>
                <w:rFonts w:ascii="Arial" w:cs="Arial" w:eastAsia="Arial" w:hAnsi="Arial"/>
                <w:sz w:val="11"/>
                <w:szCs w:val="11"/>
                <w:color w:val="auto"/>
              </w:rPr>
              <w:t>respectively)</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760" w:type="dxa"/>
            <w:vAlign w:val="bottom"/>
            <w:gridSpan w:val="2"/>
          </w:tcPr>
          <w:p>
            <w:pPr>
              <w:ind w:left="260"/>
              <w:spacing w:after="0"/>
              <w:rPr>
                <w:sz w:val="20"/>
                <w:szCs w:val="20"/>
                <w:color w:val="auto"/>
              </w:rPr>
            </w:pPr>
            <w:r>
              <w:rPr>
                <w:rFonts w:ascii="Arial" w:cs="Arial" w:eastAsia="Arial" w:hAnsi="Arial"/>
                <w:sz w:val="11"/>
                <w:szCs w:val="11"/>
                <w:color w:val="auto"/>
              </w:rPr>
              <w:t>Equity securities:</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Communication services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76,262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54,635</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0.7</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Consumer discretionary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137,486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126,978</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Energy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425,882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369,912</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3.7</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Financials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188,473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151,501</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Health care</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31,429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33,475</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0.3</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Industrials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292,763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246,856</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2.5</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Information Technology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0.0</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Materials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874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82,273</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0.0</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Utilities</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82,581</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81,989</w:t>
            </w:r>
          </w:p>
        </w:tc>
        <w:tc>
          <w:tcPr>
            <w:tcW w:w="200" w:type="dxa"/>
            <w:vAlign w:val="bottom"/>
          </w:tcPr>
          <w:p>
            <w:pPr>
              <w:spacing w:after="0"/>
              <w:rPr>
                <w:sz w:val="13"/>
                <w:szCs w:val="13"/>
                <w:color w:val="auto"/>
              </w:rPr>
            </w:pPr>
          </w:p>
        </w:tc>
        <w:tc>
          <w:tcPr>
            <w:tcW w:w="126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0.7</w:t>
            </w:r>
          </w:p>
        </w:tc>
        <w:tc>
          <w:tcPr>
            <w:tcW w:w="200" w:type="dxa"/>
            <w:vAlign w:val="bottom"/>
          </w:tcPr>
          <w:p>
            <w:pPr>
              <w:spacing w:after="0"/>
              <w:rPr>
                <w:sz w:val="13"/>
                <w:szCs w:val="13"/>
                <w:color w:val="auto"/>
              </w:rPr>
            </w:pPr>
          </w:p>
        </w:tc>
        <w:tc>
          <w:tcPr>
            <w:tcW w:w="128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107"/>
        </w:trPr>
        <w:tc>
          <w:tcPr>
            <w:tcW w:w="5760" w:type="dxa"/>
            <w:vAlign w:val="bottom"/>
            <w:gridSpan w:val="2"/>
          </w:tcPr>
          <w:p>
            <w:pPr>
              <w:ind w:left="600"/>
              <w:spacing w:after="0" w:line="107" w:lineRule="exact"/>
              <w:rPr>
                <w:sz w:val="20"/>
                <w:szCs w:val="20"/>
                <w:color w:val="auto"/>
              </w:rPr>
            </w:pPr>
            <w:r>
              <w:rPr>
                <w:rFonts w:ascii="Arial" w:cs="Arial" w:eastAsia="Arial" w:hAnsi="Arial"/>
                <w:sz w:val="11"/>
                <w:szCs w:val="11"/>
                <w:color w:val="auto"/>
              </w:rPr>
              <w:t>Total equity securities (cost: $948,789 and $1,086,667 as of June 30, 2022 and December 31, 2021,</w:t>
            </w:r>
          </w:p>
        </w:tc>
        <w:tc>
          <w:tcPr>
            <w:tcW w:w="1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1,235,882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1,147,619</w:t>
            </w:r>
          </w:p>
        </w:tc>
        <w:tc>
          <w:tcPr>
            <w:tcW w:w="200" w:type="dxa"/>
            <w:vAlign w:val="bottom"/>
          </w:tcPr>
          <w:p>
            <w:pPr>
              <w:spacing w:after="0"/>
              <w:rPr>
                <w:sz w:val="9"/>
                <w:szCs w:val="9"/>
                <w:color w:val="auto"/>
              </w:rPr>
            </w:pPr>
          </w:p>
        </w:tc>
        <w:tc>
          <w:tcPr>
            <w:tcW w:w="1260" w:type="dxa"/>
            <w:vAlign w:val="bottom"/>
            <w:vMerge w:val="restart"/>
          </w:tcPr>
          <w:p>
            <w:pPr>
              <w:jc w:val="right"/>
              <w:ind w:right="84"/>
              <w:spacing w:after="0"/>
              <w:rPr>
                <w:sz w:val="20"/>
                <w:szCs w:val="20"/>
                <w:color w:val="auto"/>
              </w:rPr>
            </w:pPr>
            <w:r>
              <w:rPr>
                <w:rFonts w:ascii="Arial" w:cs="Arial" w:eastAsia="Arial" w:hAnsi="Arial"/>
                <w:sz w:val="11"/>
                <w:szCs w:val="11"/>
                <w:color w:val="auto"/>
              </w:rPr>
              <w:t>10.7</w:t>
            </w:r>
          </w:p>
        </w:tc>
        <w:tc>
          <w:tcPr>
            <w:tcW w:w="200" w:type="dxa"/>
            <w:vAlign w:val="bottom"/>
          </w:tcPr>
          <w:p>
            <w:pPr>
              <w:spacing w:after="0"/>
              <w:rPr>
                <w:sz w:val="9"/>
                <w:szCs w:val="9"/>
                <w:color w:val="auto"/>
              </w:rPr>
            </w:pPr>
          </w:p>
        </w:tc>
        <w:tc>
          <w:tcPr>
            <w:tcW w:w="1280" w:type="dxa"/>
            <w:vAlign w:val="bottom"/>
            <w:vMerge w:val="restart"/>
          </w:tcPr>
          <w:p>
            <w:pPr>
              <w:jc w:val="right"/>
              <w:ind w:right="84"/>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5100" w:type="dxa"/>
            <w:vAlign w:val="bottom"/>
          </w:tcPr>
          <w:p>
            <w:pPr>
              <w:ind w:left="80"/>
              <w:spacing w:after="0"/>
              <w:rPr>
                <w:sz w:val="20"/>
                <w:szCs w:val="20"/>
                <w:color w:val="auto"/>
              </w:rPr>
            </w:pPr>
            <w:r>
              <w:rPr>
                <w:rFonts w:ascii="Arial" w:cs="Arial" w:eastAsia="Arial" w:hAnsi="Arial"/>
                <w:sz w:val="11"/>
                <w:szCs w:val="11"/>
                <w:color w:val="auto"/>
              </w:rPr>
              <w:t>respectively)</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80" w:type="dxa"/>
            <w:vAlign w:val="bottom"/>
            <w:gridSpan w:val="4"/>
            <w:vMerge w:val="restart"/>
          </w:tcPr>
          <w:p>
            <w:pPr>
              <w:jc w:val="right"/>
              <w:ind w:right="864"/>
              <w:spacing w:after="0"/>
              <w:rPr>
                <w:sz w:val="20"/>
                <w:szCs w:val="20"/>
                <w:color w:val="auto"/>
              </w:rPr>
            </w:pPr>
            <w:r>
              <w:rPr>
                <w:rFonts w:ascii="Arial" w:cs="Arial" w:eastAsia="Arial" w:hAnsi="Arial"/>
                <w:sz w:val="10"/>
                <w:szCs w:val="10"/>
                <w:b w:val="1"/>
                <w:bCs w:val="1"/>
                <w:color w:val="auto"/>
              </w:rPr>
              <w:t>Fair Value as of</w:t>
            </w:r>
          </w:p>
        </w:tc>
        <w:tc>
          <w:tcPr>
            <w:tcW w:w="200" w:type="dxa"/>
            <w:vAlign w:val="bottom"/>
            <w:vMerge w:val="restart"/>
          </w:tcPr>
          <w:p>
            <w:pPr>
              <w:spacing w:after="0"/>
              <w:rPr>
                <w:sz w:val="10"/>
                <w:szCs w:val="10"/>
                <w:color w:val="auto"/>
              </w:rPr>
            </w:pPr>
          </w:p>
        </w:tc>
        <w:tc>
          <w:tcPr>
            <w:tcW w:w="2740" w:type="dxa"/>
            <w:vAlign w:val="bottom"/>
            <w:gridSpan w:val="3"/>
          </w:tcPr>
          <w:p>
            <w:pPr>
              <w:ind w:left="320"/>
              <w:spacing w:after="0"/>
              <w:rPr>
                <w:sz w:val="20"/>
                <w:szCs w:val="20"/>
                <w:color w:val="auto"/>
              </w:rPr>
            </w:pPr>
            <w:r>
              <w:rPr>
                <w:rFonts w:ascii="Arial" w:cs="Arial" w:eastAsia="Arial" w:hAnsi="Arial"/>
                <w:sz w:val="10"/>
                <w:szCs w:val="10"/>
                <w:b w:val="1"/>
                <w:bCs w:val="1"/>
                <w:color w:val="auto"/>
              </w:rPr>
              <w:t>Fair Value as a Percentage of Investments of</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740" w:type="dxa"/>
            <w:vAlign w:val="bottom"/>
            <w:tcBorders>
              <w:bottom w:val="single" w:sz="8" w:color="auto"/>
            </w:tcBorders>
            <w:gridSpan w:val="3"/>
          </w:tcPr>
          <w:p>
            <w:pPr>
              <w:jc w:val="right"/>
              <w:ind w:right="704"/>
              <w:spacing w:after="0"/>
              <w:rPr>
                <w:sz w:val="20"/>
                <w:szCs w:val="20"/>
                <w:color w:val="auto"/>
              </w:rPr>
            </w:pPr>
            <w:r>
              <w:rPr>
                <w:rFonts w:ascii="Arial" w:cs="Arial" w:eastAsia="Arial" w:hAnsi="Arial"/>
                <w:sz w:val="10"/>
                <w:szCs w:val="10"/>
                <w:b w:val="1"/>
                <w:bCs w:val="1"/>
                <w:color w:val="auto"/>
              </w:rPr>
              <w:t>Consolidated Funds as of</w:t>
            </w:r>
          </w:p>
        </w:tc>
        <w:tc>
          <w:tcPr>
            <w:tcW w:w="0" w:type="dxa"/>
            <w:vAlign w:val="bottom"/>
          </w:tcPr>
          <w:p>
            <w:pPr>
              <w:spacing w:after="0"/>
              <w:rPr>
                <w:sz w:val="1"/>
                <w:szCs w:val="1"/>
                <w:color w:val="auto"/>
              </w:rPr>
            </w:pPr>
          </w:p>
        </w:tc>
      </w:tr>
      <w:tr>
        <w:trPr>
          <w:trHeight w:val="114"/>
        </w:trPr>
        <w:tc>
          <w:tcPr>
            <w:tcW w:w="660" w:type="dxa"/>
            <w:vAlign w:val="bottom"/>
            <w:tcBorders>
              <w:bottom w:val="single" w:sz="8" w:color="auto"/>
            </w:tcBorders>
          </w:tcPr>
          <w:p>
            <w:pPr>
              <w:spacing w:after="0" w:line="114" w:lineRule="exact"/>
              <w:rPr>
                <w:sz w:val="20"/>
                <w:szCs w:val="20"/>
                <w:color w:val="auto"/>
              </w:rPr>
            </w:pPr>
            <w:r>
              <w:rPr>
                <w:rFonts w:ascii="Arial" w:cs="Arial" w:eastAsia="Arial" w:hAnsi="Arial"/>
                <w:sz w:val="11"/>
                <w:szCs w:val="11"/>
                <w:b w:val="1"/>
                <w:bCs w:val="1"/>
                <w:color w:val="auto"/>
                <w:w w:val="99"/>
              </w:rPr>
              <w:t>Investments</w:t>
            </w:r>
          </w:p>
        </w:tc>
        <w:tc>
          <w:tcPr>
            <w:tcW w:w="5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tcPr>
          <w:p>
            <w:pPr>
              <w:ind w:left="80"/>
              <w:spacing w:after="0" w:line="114" w:lineRule="exact"/>
              <w:rPr>
                <w:sz w:val="20"/>
                <w:szCs w:val="20"/>
                <w:color w:val="auto"/>
              </w:rPr>
            </w:pPr>
            <w:r>
              <w:rPr>
                <w:rFonts w:ascii="Arial" w:cs="Arial" w:eastAsia="Arial" w:hAnsi="Arial"/>
                <w:sz w:val="10"/>
                <w:szCs w:val="10"/>
                <w:b w:val="1"/>
                <w:bCs w:val="1"/>
                <w:color w:val="auto"/>
              </w:rPr>
              <w:t>June 30, 2022</w:t>
            </w:r>
          </w:p>
        </w:tc>
        <w:tc>
          <w:tcPr>
            <w:tcW w:w="10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December 31, 2021</w:t>
            </w:r>
          </w:p>
        </w:tc>
        <w:tc>
          <w:tcPr>
            <w:tcW w:w="1460" w:type="dxa"/>
            <w:vAlign w:val="bottom"/>
            <w:gridSpan w:val="2"/>
          </w:tcPr>
          <w:p>
            <w:pPr>
              <w:ind w:left="300"/>
              <w:spacing w:after="0" w:line="114" w:lineRule="exact"/>
              <w:rPr>
                <w:sz w:val="20"/>
                <w:szCs w:val="20"/>
                <w:color w:val="auto"/>
              </w:rPr>
            </w:pPr>
            <w:r>
              <w:rPr>
                <w:rFonts w:ascii="Arial" w:cs="Arial" w:eastAsia="Arial" w:hAnsi="Arial"/>
                <w:sz w:val="10"/>
                <w:szCs w:val="10"/>
                <w:b w:val="1"/>
                <w:bCs w:val="1"/>
                <w:color w:val="auto"/>
              </w:rPr>
              <w:t>June 30, 2022</w:t>
            </w:r>
          </w:p>
        </w:tc>
        <w:tc>
          <w:tcPr>
            <w:tcW w:w="1280" w:type="dxa"/>
            <w:vAlign w:val="bottom"/>
          </w:tcPr>
          <w:p>
            <w:pPr>
              <w:jc w:val="right"/>
              <w:ind w:right="144"/>
              <w:spacing w:after="0" w:line="114" w:lineRule="exact"/>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1"/>
                <w:szCs w:val="11"/>
                <w:color w:val="auto"/>
              </w:rPr>
              <w:t>Europe:</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760" w:type="dxa"/>
            <w:vAlign w:val="bottom"/>
            <w:gridSpan w:val="2"/>
          </w:tcPr>
          <w:p>
            <w:pPr>
              <w:ind w:left="260"/>
              <w:spacing w:after="0"/>
              <w:rPr>
                <w:sz w:val="20"/>
                <w:szCs w:val="20"/>
                <w:color w:val="auto"/>
              </w:rPr>
            </w:pPr>
            <w:r>
              <w:rPr>
                <w:rFonts w:ascii="Arial" w:cs="Arial" w:eastAsia="Arial" w:hAnsi="Arial"/>
                <w:sz w:val="11"/>
                <w:szCs w:val="11"/>
                <w:color w:val="auto"/>
              </w:rPr>
              <w:t>Debt securities:</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Communication services</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656,085</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756,728</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5.6 %</w:t>
            </w: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6.6 %</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Consumer discretionary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728,958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915,535</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6.3</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Consumer staples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200,253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206,590</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Energy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1,066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1,251</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0.0</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Financials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81,095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98,126</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0.7</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0.9</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Health care</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627,782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751,936</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5.4</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Industrials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526,935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656,033</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4.5</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Information technology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281,592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383,041</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Materials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416,887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466,181</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3.6</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Real estate</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29,702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34,116</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0.3</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Utilities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4,594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1,777</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0.0</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Other</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7,126</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15,049</w:t>
            </w:r>
          </w:p>
        </w:tc>
        <w:tc>
          <w:tcPr>
            <w:tcW w:w="200" w:type="dxa"/>
            <w:vAlign w:val="bottom"/>
          </w:tcPr>
          <w:p>
            <w:pPr>
              <w:spacing w:after="0"/>
              <w:rPr>
                <w:sz w:val="13"/>
                <w:szCs w:val="13"/>
                <w:color w:val="auto"/>
              </w:rPr>
            </w:pPr>
          </w:p>
        </w:tc>
        <w:tc>
          <w:tcPr>
            <w:tcW w:w="126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0.1</w:t>
            </w:r>
          </w:p>
        </w:tc>
        <w:tc>
          <w:tcPr>
            <w:tcW w:w="200" w:type="dxa"/>
            <w:vAlign w:val="bottom"/>
          </w:tcPr>
          <w:p>
            <w:pPr>
              <w:spacing w:after="0"/>
              <w:rPr>
                <w:sz w:val="13"/>
                <w:szCs w:val="13"/>
                <w:color w:val="auto"/>
              </w:rPr>
            </w:pPr>
          </w:p>
        </w:tc>
        <w:tc>
          <w:tcPr>
            <w:tcW w:w="128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07"/>
        </w:trPr>
        <w:tc>
          <w:tcPr>
            <w:tcW w:w="5760" w:type="dxa"/>
            <w:vAlign w:val="bottom"/>
            <w:gridSpan w:val="2"/>
          </w:tcPr>
          <w:p>
            <w:pPr>
              <w:ind w:left="600"/>
              <w:spacing w:after="0" w:line="107" w:lineRule="exact"/>
              <w:rPr>
                <w:sz w:val="20"/>
                <w:szCs w:val="20"/>
                <w:color w:val="auto"/>
              </w:rPr>
            </w:pPr>
            <w:r>
              <w:rPr>
                <w:rFonts w:ascii="Arial" w:cs="Arial" w:eastAsia="Arial" w:hAnsi="Arial"/>
                <w:sz w:val="11"/>
                <w:szCs w:val="11"/>
                <w:color w:val="auto"/>
              </w:rPr>
              <w:t>Total debt securities (cost: $3,948,722 and $4,289,708 as of June 30, 2022 and December 31, 2021,</w:t>
            </w:r>
          </w:p>
        </w:tc>
        <w:tc>
          <w:tcPr>
            <w:tcW w:w="1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3,562,075</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4,286,363</w:t>
            </w:r>
          </w:p>
        </w:tc>
        <w:tc>
          <w:tcPr>
            <w:tcW w:w="200" w:type="dxa"/>
            <w:vAlign w:val="bottom"/>
          </w:tcPr>
          <w:p>
            <w:pPr>
              <w:spacing w:after="0"/>
              <w:rPr>
                <w:sz w:val="9"/>
                <w:szCs w:val="9"/>
                <w:color w:val="auto"/>
              </w:rPr>
            </w:pPr>
          </w:p>
        </w:tc>
        <w:tc>
          <w:tcPr>
            <w:tcW w:w="1260" w:type="dxa"/>
            <w:vAlign w:val="bottom"/>
            <w:vMerge w:val="restart"/>
          </w:tcPr>
          <w:p>
            <w:pPr>
              <w:jc w:val="right"/>
              <w:ind w:right="84"/>
              <w:spacing w:after="0"/>
              <w:rPr>
                <w:sz w:val="20"/>
                <w:szCs w:val="20"/>
                <w:color w:val="auto"/>
              </w:rPr>
            </w:pPr>
            <w:r>
              <w:rPr>
                <w:rFonts w:ascii="Arial" w:cs="Arial" w:eastAsia="Arial" w:hAnsi="Arial"/>
                <w:sz w:val="11"/>
                <w:szCs w:val="11"/>
                <w:color w:val="auto"/>
              </w:rPr>
              <w:t>30.6</w:t>
            </w:r>
          </w:p>
        </w:tc>
        <w:tc>
          <w:tcPr>
            <w:tcW w:w="200" w:type="dxa"/>
            <w:vAlign w:val="bottom"/>
          </w:tcPr>
          <w:p>
            <w:pPr>
              <w:spacing w:after="0"/>
              <w:rPr>
                <w:sz w:val="9"/>
                <w:szCs w:val="9"/>
                <w:color w:val="auto"/>
              </w:rPr>
            </w:pPr>
          </w:p>
        </w:tc>
        <w:tc>
          <w:tcPr>
            <w:tcW w:w="1280" w:type="dxa"/>
            <w:vAlign w:val="bottom"/>
            <w:vMerge w:val="restart"/>
          </w:tcPr>
          <w:p>
            <w:pPr>
              <w:jc w:val="right"/>
              <w:ind w:right="84"/>
              <w:spacing w:after="0"/>
              <w:rPr>
                <w:sz w:val="20"/>
                <w:szCs w:val="20"/>
                <w:color w:val="auto"/>
              </w:rPr>
            </w:pPr>
            <w:r>
              <w:rPr>
                <w:rFonts w:ascii="Arial" w:cs="Arial" w:eastAsia="Arial" w:hAnsi="Arial"/>
                <w:sz w:val="11"/>
                <w:szCs w:val="11"/>
                <w:color w:val="auto"/>
              </w:rPr>
              <w:t>37.4</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5100" w:type="dxa"/>
            <w:vAlign w:val="bottom"/>
          </w:tcPr>
          <w:p>
            <w:pPr>
              <w:ind w:left="80"/>
              <w:spacing w:after="0"/>
              <w:rPr>
                <w:sz w:val="20"/>
                <w:szCs w:val="20"/>
                <w:color w:val="auto"/>
              </w:rPr>
            </w:pPr>
            <w:r>
              <w:rPr>
                <w:rFonts w:ascii="Arial" w:cs="Arial" w:eastAsia="Arial" w:hAnsi="Arial"/>
                <w:sz w:val="11"/>
                <w:szCs w:val="11"/>
                <w:color w:val="auto"/>
              </w:rPr>
              <w:t>respectively)</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760" w:type="dxa"/>
            <w:vAlign w:val="bottom"/>
            <w:gridSpan w:val="2"/>
          </w:tcPr>
          <w:p>
            <w:pPr>
              <w:ind w:left="260"/>
              <w:spacing w:after="0"/>
              <w:rPr>
                <w:sz w:val="20"/>
                <w:szCs w:val="20"/>
                <w:color w:val="auto"/>
              </w:rPr>
            </w:pPr>
            <w:r>
              <w:rPr>
                <w:rFonts w:ascii="Arial" w:cs="Arial" w:eastAsia="Arial" w:hAnsi="Arial"/>
                <w:sz w:val="11"/>
                <w:szCs w:val="11"/>
                <w:color w:val="auto"/>
              </w:rPr>
              <w:t>Equity securities:</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Consumer discretionary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121,586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102,919</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0.9</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Consumer staples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29,491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0.3</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Financials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29,829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19,987</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0.3</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Health care</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0.0</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Industrials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81,099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27,475</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0.7</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Real estate</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19,217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0.2</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7"/>
        </w:trPr>
        <w:tc>
          <w:tcPr>
            <w:tcW w:w="5760" w:type="dxa"/>
            <w:vAlign w:val="bottom"/>
            <w:gridSpan w:val="2"/>
          </w:tcPr>
          <w:p>
            <w:pPr>
              <w:ind w:left="600"/>
              <w:spacing w:after="0" w:line="107" w:lineRule="exact"/>
              <w:rPr>
                <w:sz w:val="20"/>
                <w:szCs w:val="20"/>
                <w:color w:val="auto"/>
              </w:rPr>
            </w:pPr>
            <w:r>
              <w:rPr>
                <w:rFonts w:ascii="Arial" w:cs="Arial" w:eastAsia="Arial" w:hAnsi="Arial"/>
                <w:sz w:val="11"/>
                <w:szCs w:val="11"/>
                <w:color w:val="auto"/>
              </w:rPr>
              <w:t>Total equity securities (cost: $254,561 and $119,114 as of June 30, 2022 and December 31, 2021,</w:t>
            </w:r>
          </w:p>
        </w:tc>
        <w:tc>
          <w:tcPr>
            <w:tcW w:w="1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281,222</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150,381</w:t>
            </w:r>
          </w:p>
        </w:tc>
        <w:tc>
          <w:tcPr>
            <w:tcW w:w="200" w:type="dxa"/>
            <w:vAlign w:val="bottom"/>
          </w:tcPr>
          <w:p>
            <w:pPr>
              <w:spacing w:after="0"/>
              <w:rPr>
                <w:sz w:val="9"/>
                <w:szCs w:val="9"/>
                <w:color w:val="auto"/>
              </w:rPr>
            </w:pPr>
          </w:p>
        </w:tc>
        <w:tc>
          <w:tcPr>
            <w:tcW w:w="1260" w:type="dxa"/>
            <w:vAlign w:val="bottom"/>
            <w:tcBorders>
              <w:top w:val="single" w:sz="8" w:color="auto"/>
            </w:tcBorders>
            <w:vMerge w:val="restart"/>
          </w:tcPr>
          <w:p>
            <w:pPr>
              <w:jc w:val="right"/>
              <w:ind w:right="84"/>
              <w:spacing w:after="0"/>
              <w:rPr>
                <w:sz w:val="20"/>
                <w:szCs w:val="20"/>
                <w:color w:val="auto"/>
              </w:rPr>
            </w:pPr>
            <w:r>
              <w:rPr>
                <w:rFonts w:ascii="Arial" w:cs="Arial" w:eastAsia="Arial" w:hAnsi="Arial"/>
                <w:sz w:val="11"/>
                <w:szCs w:val="11"/>
                <w:color w:val="auto"/>
              </w:rPr>
              <w:t>2.5</w:t>
            </w:r>
          </w:p>
        </w:tc>
        <w:tc>
          <w:tcPr>
            <w:tcW w:w="200" w:type="dxa"/>
            <w:vAlign w:val="bottom"/>
          </w:tcPr>
          <w:p>
            <w:pPr>
              <w:spacing w:after="0"/>
              <w:rPr>
                <w:sz w:val="9"/>
                <w:szCs w:val="9"/>
                <w:color w:val="auto"/>
              </w:rPr>
            </w:pPr>
          </w:p>
        </w:tc>
        <w:tc>
          <w:tcPr>
            <w:tcW w:w="1280" w:type="dxa"/>
            <w:vAlign w:val="bottom"/>
            <w:tcBorders>
              <w:top w:val="single" w:sz="8" w:color="auto"/>
            </w:tcBorders>
            <w:vMerge w:val="restart"/>
          </w:tcPr>
          <w:p>
            <w:pPr>
              <w:jc w:val="right"/>
              <w:ind w:right="84"/>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5100" w:type="dxa"/>
            <w:vAlign w:val="bottom"/>
          </w:tcPr>
          <w:p>
            <w:pPr>
              <w:ind w:left="80"/>
              <w:spacing w:after="0"/>
              <w:rPr>
                <w:sz w:val="20"/>
                <w:szCs w:val="20"/>
                <w:color w:val="auto"/>
              </w:rPr>
            </w:pPr>
            <w:r>
              <w:rPr>
                <w:rFonts w:ascii="Arial" w:cs="Arial" w:eastAsia="Arial" w:hAnsi="Arial"/>
                <w:sz w:val="11"/>
                <w:szCs w:val="11"/>
                <w:color w:val="auto"/>
              </w:rPr>
              <w:t>respectively)</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760" w:type="dxa"/>
            <w:vAlign w:val="bottom"/>
            <w:gridSpan w:val="2"/>
          </w:tcPr>
          <w:p>
            <w:pPr>
              <w:ind w:left="260"/>
              <w:spacing w:after="0"/>
              <w:rPr>
                <w:sz w:val="20"/>
                <w:szCs w:val="20"/>
                <w:color w:val="auto"/>
              </w:rPr>
            </w:pPr>
            <w:r>
              <w:rPr>
                <w:rFonts w:ascii="Arial" w:cs="Arial" w:eastAsia="Arial" w:hAnsi="Arial"/>
                <w:sz w:val="11"/>
                <w:szCs w:val="11"/>
                <w:color w:val="auto"/>
              </w:rPr>
              <w:t>Real estate: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Real estate</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59,141</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33,834</w:t>
            </w:r>
          </w:p>
        </w:tc>
        <w:tc>
          <w:tcPr>
            <w:tcW w:w="200" w:type="dxa"/>
            <w:vAlign w:val="bottom"/>
          </w:tcPr>
          <w:p>
            <w:pPr>
              <w:spacing w:after="0"/>
              <w:rPr>
                <w:sz w:val="13"/>
                <w:szCs w:val="13"/>
                <w:color w:val="auto"/>
              </w:rPr>
            </w:pPr>
          </w:p>
        </w:tc>
        <w:tc>
          <w:tcPr>
            <w:tcW w:w="126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0.5</w:t>
            </w:r>
          </w:p>
        </w:tc>
        <w:tc>
          <w:tcPr>
            <w:tcW w:w="200" w:type="dxa"/>
            <w:vAlign w:val="bottom"/>
          </w:tcPr>
          <w:p>
            <w:pPr>
              <w:spacing w:after="0"/>
              <w:rPr>
                <w:sz w:val="13"/>
                <w:szCs w:val="13"/>
                <w:color w:val="auto"/>
              </w:rPr>
            </w:pPr>
          </w:p>
        </w:tc>
        <w:tc>
          <w:tcPr>
            <w:tcW w:w="128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08"/>
        </w:trPr>
        <w:tc>
          <w:tcPr>
            <w:tcW w:w="5760" w:type="dxa"/>
            <w:vAlign w:val="bottom"/>
            <w:gridSpan w:val="2"/>
          </w:tcPr>
          <w:p>
            <w:pPr>
              <w:ind w:left="600"/>
              <w:spacing w:after="0" w:line="107" w:lineRule="exact"/>
              <w:rPr>
                <w:sz w:val="20"/>
                <w:szCs w:val="20"/>
                <w:color w:val="auto"/>
              </w:rPr>
            </w:pPr>
            <w:r>
              <w:rPr>
                <w:rFonts w:ascii="Arial" w:cs="Arial" w:eastAsia="Arial" w:hAnsi="Arial"/>
                <w:sz w:val="11"/>
                <w:szCs w:val="11"/>
                <w:color w:val="auto"/>
              </w:rPr>
              <w:t>Total real estate securities (cost: $58,242 and $34,927 as of June 30, 2022 and December 31, 2021,</w:t>
            </w:r>
          </w:p>
        </w:tc>
        <w:tc>
          <w:tcPr>
            <w:tcW w:w="1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59,141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33,834</w:t>
            </w:r>
          </w:p>
        </w:tc>
        <w:tc>
          <w:tcPr>
            <w:tcW w:w="200" w:type="dxa"/>
            <w:vAlign w:val="bottom"/>
          </w:tcPr>
          <w:p>
            <w:pPr>
              <w:spacing w:after="0"/>
              <w:rPr>
                <w:sz w:val="9"/>
                <w:szCs w:val="9"/>
                <w:color w:val="auto"/>
              </w:rPr>
            </w:pPr>
          </w:p>
        </w:tc>
        <w:tc>
          <w:tcPr>
            <w:tcW w:w="1260" w:type="dxa"/>
            <w:vAlign w:val="bottom"/>
            <w:vMerge w:val="restart"/>
          </w:tcPr>
          <w:p>
            <w:pPr>
              <w:jc w:val="right"/>
              <w:ind w:right="84"/>
              <w:spacing w:after="0"/>
              <w:rPr>
                <w:sz w:val="20"/>
                <w:szCs w:val="20"/>
                <w:color w:val="auto"/>
              </w:rPr>
            </w:pPr>
            <w:r>
              <w:rPr>
                <w:rFonts w:ascii="Arial" w:cs="Arial" w:eastAsia="Arial" w:hAnsi="Arial"/>
                <w:sz w:val="11"/>
                <w:szCs w:val="11"/>
                <w:color w:val="auto"/>
              </w:rPr>
              <w:t>0.5</w:t>
            </w:r>
          </w:p>
        </w:tc>
        <w:tc>
          <w:tcPr>
            <w:tcW w:w="200" w:type="dxa"/>
            <w:vAlign w:val="bottom"/>
          </w:tcPr>
          <w:p>
            <w:pPr>
              <w:spacing w:after="0"/>
              <w:rPr>
                <w:sz w:val="9"/>
                <w:szCs w:val="9"/>
                <w:color w:val="auto"/>
              </w:rPr>
            </w:pPr>
          </w:p>
        </w:tc>
        <w:tc>
          <w:tcPr>
            <w:tcW w:w="1280" w:type="dxa"/>
            <w:vAlign w:val="bottom"/>
            <w:vMerge w:val="restart"/>
          </w:tcPr>
          <w:p>
            <w:pPr>
              <w:jc w:val="right"/>
              <w:ind w:right="84"/>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5100" w:type="dxa"/>
            <w:vAlign w:val="bottom"/>
          </w:tcPr>
          <w:p>
            <w:pPr>
              <w:ind w:left="80"/>
              <w:spacing w:after="0"/>
              <w:rPr>
                <w:sz w:val="20"/>
                <w:szCs w:val="20"/>
                <w:color w:val="auto"/>
              </w:rPr>
            </w:pPr>
            <w:r>
              <w:rPr>
                <w:rFonts w:ascii="Arial" w:cs="Arial" w:eastAsia="Arial" w:hAnsi="Arial"/>
                <w:sz w:val="11"/>
                <w:szCs w:val="11"/>
                <w:color w:val="auto"/>
              </w:rPr>
              <w:t>respectively)</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760" w:type="dxa"/>
            <w:vAlign w:val="bottom"/>
            <w:gridSpan w:val="2"/>
          </w:tcPr>
          <w:p>
            <w:pPr>
              <w:spacing w:after="0"/>
              <w:rPr>
                <w:sz w:val="20"/>
                <w:szCs w:val="20"/>
                <w:color w:val="auto"/>
              </w:rPr>
            </w:pPr>
            <w:r>
              <w:rPr>
                <w:rFonts w:ascii="Arial" w:cs="Arial" w:eastAsia="Arial" w:hAnsi="Arial"/>
                <w:sz w:val="11"/>
                <w:szCs w:val="11"/>
                <w:color w:val="auto"/>
              </w:rPr>
              <w:t>Asia and other:</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760" w:type="dxa"/>
            <w:vAlign w:val="bottom"/>
            <w:gridSpan w:val="2"/>
          </w:tcPr>
          <w:p>
            <w:pPr>
              <w:ind w:left="260"/>
              <w:spacing w:after="0"/>
              <w:rPr>
                <w:sz w:val="20"/>
                <w:szCs w:val="20"/>
                <w:color w:val="auto"/>
              </w:rPr>
            </w:pPr>
            <w:r>
              <w:rPr>
                <w:rFonts w:ascii="Arial" w:cs="Arial" w:eastAsia="Arial" w:hAnsi="Arial"/>
                <w:sz w:val="11"/>
                <w:szCs w:val="11"/>
                <w:color w:val="auto"/>
              </w:rPr>
              <w:t>Debt securities:</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Communication services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7,259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6,087</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0.1</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Consumer discretionary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69,232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71,082</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0.6</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Consumer staples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10,601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13,378</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0.1</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Energy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24,826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24,325</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0.2</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Financials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7,457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14,739</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0.1</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Health care</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5,882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4,084</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0.1</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Industrials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22,178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7,084</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0.2</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Information technology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390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714</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0.0</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Materials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115,504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121,151</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Real estate</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329,023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131,155</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2.8</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Utilities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3,378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3,743</w:t>
            </w:r>
          </w:p>
        </w:tc>
        <w:tc>
          <w:tcPr>
            <w:tcW w:w="200" w:type="dxa"/>
            <w:vAlign w:val="bottom"/>
          </w:tcPr>
          <w:p>
            <w:pPr>
              <w:spacing w:after="0"/>
              <w:rPr>
                <w:sz w:val="13"/>
                <w:szCs w:val="13"/>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color w:val="auto"/>
              </w:rPr>
              <w:t>0.0</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Other</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21,194</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9,482</w:t>
            </w:r>
          </w:p>
        </w:tc>
        <w:tc>
          <w:tcPr>
            <w:tcW w:w="200" w:type="dxa"/>
            <w:vAlign w:val="bottom"/>
          </w:tcPr>
          <w:p>
            <w:pPr>
              <w:spacing w:after="0"/>
              <w:rPr>
                <w:sz w:val="13"/>
                <w:szCs w:val="13"/>
                <w:color w:val="auto"/>
              </w:rPr>
            </w:pPr>
          </w:p>
        </w:tc>
        <w:tc>
          <w:tcPr>
            <w:tcW w:w="126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0.2</w:t>
            </w:r>
          </w:p>
        </w:tc>
        <w:tc>
          <w:tcPr>
            <w:tcW w:w="200" w:type="dxa"/>
            <w:vAlign w:val="bottom"/>
          </w:tcPr>
          <w:p>
            <w:pPr>
              <w:spacing w:after="0"/>
              <w:rPr>
                <w:sz w:val="13"/>
                <w:szCs w:val="13"/>
                <w:color w:val="auto"/>
              </w:rPr>
            </w:pPr>
          </w:p>
        </w:tc>
        <w:tc>
          <w:tcPr>
            <w:tcW w:w="128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07"/>
        </w:trPr>
        <w:tc>
          <w:tcPr>
            <w:tcW w:w="5760" w:type="dxa"/>
            <w:vAlign w:val="bottom"/>
            <w:gridSpan w:val="2"/>
          </w:tcPr>
          <w:p>
            <w:pPr>
              <w:ind w:left="600"/>
              <w:spacing w:after="0" w:line="107" w:lineRule="exact"/>
              <w:rPr>
                <w:sz w:val="20"/>
                <w:szCs w:val="20"/>
                <w:color w:val="auto"/>
              </w:rPr>
            </w:pPr>
            <w:r>
              <w:rPr>
                <w:rFonts w:ascii="Arial" w:cs="Arial" w:eastAsia="Arial" w:hAnsi="Arial"/>
                <w:sz w:val="11"/>
                <w:szCs w:val="11"/>
                <w:color w:val="auto"/>
              </w:rPr>
              <w:t>Total debt securities (cost: $646,759 and $417,825 as of June 30, 2022 and December 31, 2021,</w:t>
            </w:r>
          </w:p>
        </w:tc>
        <w:tc>
          <w:tcPr>
            <w:tcW w:w="1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616,924</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407,024</w:t>
            </w:r>
          </w:p>
        </w:tc>
        <w:tc>
          <w:tcPr>
            <w:tcW w:w="200" w:type="dxa"/>
            <w:vAlign w:val="bottom"/>
          </w:tcPr>
          <w:p>
            <w:pPr>
              <w:spacing w:after="0"/>
              <w:rPr>
                <w:sz w:val="9"/>
                <w:szCs w:val="9"/>
                <w:color w:val="auto"/>
              </w:rPr>
            </w:pPr>
          </w:p>
        </w:tc>
        <w:tc>
          <w:tcPr>
            <w:tcW w:w="1260" w:type="dxa"/>
            <w:vAlign w:val="bottom"/>
            <w:vMerge w:val="restart"/>
          </w:tcPr>
          <w:p>
            <w:pPr>
              <w:jc w:val="right"/>
              <w:ind w:right="84"/>
              <w:spacing w:after="0"/>
              <w:rPr>
                <w:sz w:val="20"/>
                <w:szCs w:val="20"/>
                <w:color w:val="auto"/>
              </w:rPr>
            </w:pPr>
            <w:r>
              <w:rPr>
                <w:rFonts w:ascii="Arial" w:cs="Arial" w:eastAsia="Arial" w:hAnsi="Arial"/>
                <w:sz w:val="11"/>
                <w:szCs w:val="11"/>
                <w:color w:val="auto"/>
              </w:rPr>
              <w:t>5.3</w:t>
            </w:r>
          </w:p>
        </w:tc>
        <w:tc>
          <w:tcPr>
            <w:tcW w:w="200" w:type="dxa"/>
            <w:vAlign w:val="bottom"/>
          </w:tcPr>
          <w:p>
            <w:pPr>
              <w:spacing w:after="0"/>
              <w:rPr>
                <w:sz w:val="9"/>
                <w:szCs w:val="9"/>
                <w:color w:val="auto"/>
              </w:rPr>
            </w:pPr>
          </w:p>
        </w:tc>
        <w:tc>
          <w:tcPr>
            <w:tcW w:w="1280" w:type="dxa"/>
            <w:vAlign w:val="bottom"/>
            <w:vMerge w:val="restart"/>
          </w:tcPr>
          <w:p>
            <w:pPr>
              <w:jc w:val="right"/>
              <w:ind w:right="84"/>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5100" w:type="dxa"/>
            <w:vAlign w:val="bottom"/>
          </w:tcPr>
          <w:p>
            <w:pPr>
              <w:ind w:left="80"/>
              <w:spacing w:after="0"/>
              <w:rPr>
                <w:sz w:val="20"/>
                <w:szCs w:val="20"/>
                <w:color w:val="auto"/>
              </w:rPr>
            </w:pPr>
            <w:r>
              <w:rPr>
                <w:rFonts w:ascii="Arial" w:cs="Arial" w:eastAsia="Arial" w:hAnsi="Arial"/>
                <w:sz w:val="11"/>
                <w:szCs w:val="11"/>
                <w:color w:val="auto"/>
              </w:rPr>
              <w:t>respectively)</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80" w:type="dxa"/>
            <w:vAlign w:val="bottom"/>
            <w:gridSpan w:val="4"/>
            <w:vMerge w:val="restart"/>
          </w:tcPr>
          <w:p>
            <w:pPr>
              <w:jc w:val="right"/>
              <w:ind w:right="864"/>
              <w:spacing w:after="0"/>
              <w:rPr>
                <w:sz w:val="20"/>
                <w:szCs w:val="20"/>
                <w:color w:val="auto"/>
              </w:rPr>
            </w:pPr>
            <w:r>
              <w:rPr>
                <w:rFonts w:ascii="Arial" w:cs="Arial" w:eastAsia="Arial" w:hAnsi="Arial"/>
                <w:sz w:val="10"/>
                <w:szCs w:val="10"/>
                <w:b w:val="1"/>
                <w:bCs w:val="1"/>
                <w:color w:val="auto"/>
              </w:rPr>
              <w:t>Fair Value as of</w:t>
            </w:r>
          </w:p>
        </w:tc>
        <w:tc>
          <w:tcPr>
            <w:tcW w:w="200" w:type="dxa"/>
            <w:vAlign w:val="bottom"/>
            <w:vMerge w:val="restart"/>
          </w:tcPr>
          <w:p>
            <w:pPr>
              <w:spacing w:after="0"/>
              <w:rPr>
                <w:sz w:val="10"/>
                <w:szCs w:val="10"/>
                <w:color w:val="auto"/>
              </w:rPr>
            </w:pPr>
          </w:p>
        </w:tc>
        <w:tc>
          <w:tcPr>
            <w:tcW w:w="2740" w:type="dxa"/>
            <w:vAlign w:val="bottom"/>
            <w:gridSpan w:val="3"/>
          </w:tcPr>
          <w:p>
            <w:pPr>
              <w:ind w:left="320"/>
              <w:spacing w:after="0"/>
              <w:rPr>
                <w:sz w:val="20"/>
                <w:szCs w:val="20"/>
                <w:color w:val="auto"/>
              </w:rPr>
            </w:pPr>
            <w:r>
              <w:rPr>
                <w:rFonts w:ascii="Arial" w:cs="Arial" w:eastAsia="Arial" w:hAnsi="Arial"/>
                <w:sz w:val="10"/>
                <w:szCs w:val="10"/>
                <w:b w:val="1"/>
                <w:bCs w:val="1"/>
                <w:color w:val="auto"/>
              </w:rPr>
              <w:t>Fair Value as a Percentage of Investments of</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740" w:type="dxa"/>
            <w:vAlign w:val="bottom"/>
            <w:tcBorders>
              <w:bottom w:val="single" w:sz="8" w:color="auto"/>
            </w:tcBorders>
            <w:gridSpan w:val="3"/>
          </w:tcPr>
          <w:p>
            <w:pPr>
              <w:jc w:val="right"/>
              <w:ind w:right="704"/>
              <w:spacing w:after="0"/>
              <w:rPr>
                <w:sz w:val="20"/>
                <w:szCs w:val="20"/>
                <w:color w:val="auto"/>
              </w:rPr>
            </w:pPr>
            <w:r>
              <w:rPr>
                <w:rFonts w:ascii="Arial" w:cs="Arial" w:eastAsia="Arial" w:hAnsi="Arial"/>
                <w:sz w:val="10"/>
                <w:szCs w:val="10"/>
                <w:b w:val="1"/>
                <w:bCs w:val="1"/>
                <w:color w:val="auto"/>
              </w:rPr>
              <w:t>Consolidated Funds as of</w:t>
            </w:r>
          </w:p>
        </w:tc>
        <w:tc>
          <w:tcPr>
            <w:tcW w:w="0" w:type="dxa"/>
            <w:vAlign w:val="bottom"/>
          </w:tcPr>
          <w:p>
            <w:pPr>
              <w:spacing w:after="0"/>
              <w:rPr>
                <w:sz w:val="1"/>
                <w:szCs w:val="1"/>
                <w:color w:val="auto"/>
              </w:rPr>
            </w:pPr>
          </w:p>
        </w:tc>
      </w:tr>
      <w:tr>
        <w:trPr>
          <w:trHeight w:val="114"/>
        </w:trPr>
        <w:tc>
          <w:tcPr>
            <w:tcW w:w="660" w:type="dxa"/>
            <w:vAlign w:val="bottom"/>
            <w:tcBorders>
              <w:bottom w:val="single" w:sz="8" w:color="auto"/>
            </w:tcBorders>
          </w:tcPr>
          <w:p>
            <w:pPr>
              <w:spacing w:after="0" w:line="114" w:lineRule="exact"/>
              <w:rPr>
                <w:sz w:val="20"/>
                <w:szCs w:val="20"/>
                <w:color w:val="auto"/>
              </w:rPr>
            </w:pPr>
            <w:r>
              <w:rPr>
                <w:rFonts w:ascii="Arial" w:cs="Arial" w:eastAsia="Arial" w:hAnsi="Arial"/>
                <w:sz w:val="11"/>
                <w:szCs w:val="11"/>
                <w:b w:val="1"/>
                <w:bCs w:val="1"/>
                <w:color w:val="auto"/>
                <w:w w:val="99"/>
              </w:rPr>
              <w:t>Investments</w:t>
            </w:r>
          </w:p>
        </w:tc>
        <w:tc>
          <w:tcPr>
            <w:tcW w:w="5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tcPr>
          <w:p>
            <w:pPr>
              <w:ind w:left="80"/>
              <w:spacing w:after="0" w:line="114" w:lineRule="exact"/>
              <w:rPr>
                <w:sz w:val="20"/>
                <w:szCs w:val="20"/>
                <w:color w:val="auto"/>
              </w:rPr>
            </w:pPr>
            <w:r>
              <w:rPr>
                <w:rFonts w:ascii="Arial" w:cs="Arial" w:eastAsia="Arial" w:hAnsi="Arial"/>
                <w:sz w:val="10"/>
                <w:szCs w:val="10"/>
                <w:b w:val="1"/>
                <w:bCs w:val="1"/>
                <w:color w:val="auto"/>
              </w:rPr>
              <w:t>June 30, 2022</w:t>
            </w:r>
          </w:p>
        </w:tc>
        <w:tc>
          <w:tcPr>
            <w:tcW w:w="10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December 31, 2021</w:t>
            </w:r>
          </w:p>
        </w:tc>
        <w:tc>
          <w:tcPr>
            <w:tcW w:w="1460" w:type="dxa"/>
            <w:vAlign w:val="bottom"/>
            <w:gridSpan w:val="2"/>
          </w:tcPr>
          <w:p>
            <w:pPr>
              <w:ind w:left="300"/>
              <w:spacing w:after="0" w:line="114" w:lineRule="exact"/>
              <w:rPr>
                <w:sz w:val="20"/>
                <w:szCs w:val="20"/>
                <w:color w:val="auto"/>
              </w:rPr>
            </w:pPr>
            <w:r>
              <w:rPr>
                <w:rFonts w:ascii="Arial" w:cs="Arial" w:eastAsia="Arial" w:hAnsi="Arial"/>
                <w:sz w:val="10"/>
                <w:szCs w:val="10"/>
                <w:b w:val="1"/>
                <w:bCs w:val="1"/>
                <w:color w:val="auto"/>
              </w:rPr>
              <w:t>June 30, 2022</w:t>
            </w:r>
          </w:p>
        </w:tc>
        <w:tc>
          <w:tcPr>
            <w:tcW w:w="1280" w:type="dxa"/>
            <w:vAlign w:val="bottom"/>
          </w:tcPr>
          <w:p>
            <w:pPr>
              <w:jc w:val="right"/>
              <w:ind w:right="144"/>
              <w:spacing w:after="0" w:line="114" w:lineRule="exact"/>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1"/>
                <w:szCs w:val="11"/>
                <w:color w:val="auto"/>
              </w:rPr>
              <w:t>Asia and other:</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760" w:type="dxa"/>
            <w:vAlign w:val="bottom"/>
            <w:gridSpan w:val="2"/>
          </w:tcPr>
          <w:p>
            <w:pPr>
              <w:ind w:left="260"/>
              <w:spacing w:after="0"/>
              <w:rPr>
                <w:sz w:val="20"/>
                <w:szCs w:val="20"/>
                <w:color w:val="auto"/>
              </w:rPr>
            </w:pPr>
            <w:r>
              <w:rPr>
                <w:rFonts w:ascii="Arial" w:cs="Arial" w:eastAsia="Arial" w:hAnsi="Arial"/>
                <w:sz w:val="11"/>
                <w:szCs w:val="11"/>
                <w:color w:val="auto"/>
              </w:rPr>
              <w:t>Equity securities:</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Consumer discretionary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952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1,057</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0.0 %</w:t>
            </w: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Energy</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9,307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8,332</w:t>
            </w:r>
          </w:p>
        </w:tc>
        <w:tc>
          <w:tcPr>
            <w:tcW w:w="200" w:type="dxa"/>
            <w:vAlign w:val="bottom"/>
          </w:tcPr>
          <w:p>
            <w:pPr>
              <w:spacing w:after="0"/>
              <w:rPr>
                <w:sz w:val="13"/>
                <w:szCs w:val="13"/>
                <w:color w:val="auto"/>
              </w:rPr>
            </w:pPr>
          </w:p>
        </w:tc>
        <w:tc>
          <w:tcPr>
            <w:tcW w:w="1260" w:type="dxa"/>
            <w:vAlign w:val="bottom"/>
          </w:tcPr>
          <w:p>
            <w:pPr>
              <w:jc w:val="right"/>
              <w:ind w:right="85"/>
              <w:spacing w:after="0"/>
              <w:rPr>
                <w:sz w:val="20"/>
                <w:szCs w:val="20"/>
                <w:color w:val="auto"/>
              </w:rPr>
            </w:pPr>
            <w:r>
              <w:rPr>
                <w:rFonts w:ascii="Arial" w:cs="Arial" w:eastAsia="Arial" w:hAnsi="Arial"/>
                <w:sz w:val="11"/>
                <w:szCs w:val="11"/>
                <w:color w:val="auto"/>
              </w:rPr>
              <w:t>0.1</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Industrials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94,518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81,782</w:t>
            </w:r>
          </w:p>
        </w:tc>
        <w:tc>
          <w:tcPr>
            <w:tcW w:w="200" w:type="dxa"/>
            <w:vAlign w:val="bottom"/>
          </w:tcPr>
          <w:p>
            <w:pPr>
              <w:spacing w:after="0"/>
              <w:rPr>
                <w:sz w:val="13"/>
                <w:szCs w:val="13"/>
                <w:color w:val="auto"/>
              </w:rPr>
            </w:pPr>
          </w:p>
        </w:tc>
        <w:tc>
          <w:tcPr>
            <w:tcW w:w="1260" w:type="dxa"/>
            <w:vAlign w:val="bottom"/>
          </w:tcPr>
          <w:p>
            <w:pPr>
              <w:jc w:val="right"/>
              <w:ind w:right="85"/>
              <w:spacing w:after="0"/>
              <w:rPr>
                <w:sz w:val="20"/>
                <w:szCs w:val="20"/>
                <w:color w:val="auto"/>
              </w:rPr>
            </w:pPr>
            <w:r>
              <w:rPr>
                <w:rFonts w:ascii="Arial" w:cs="Arial" w:eastAsia="Arial" w:hAnsi="Arial"/>
                <w:sz w:val="11"/>
                <w:szCs w:val="11"/>
                <w:color w:val="auto"/>
              </w:rPr>
              <w:t>0.8</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Real estate</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32,916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38,614</w:t>
            </w:r>
          </w:p>
        </w:tc>
        <w:tc>
          <w:tcPr>
            <w:tcW w:w="200" w:type="dxa"/>
            <w:vAlign w:val="bottom"/>
          </w:tcPr>
          <w:p>
            <w:pPr>
              <w:spacing w:after="0"/>
              <w:rPr>
                <w:sz w:val="13"/>
                <w:szCs w:val="13"/>
                <w:color w:val="auto"/>
              </w:rPr>
            </w:pPr>
          </w:p>
        </w:tc>
        <w:tc>
          <w:tcPr>
            <w:tcW w:w="1260" w:type="dxa"/>
            <w:vAlign w:val="bottom"/>
          </w:tcPr>
          <w:p>
            <w:pPr>
              <w:jc w:val="right"/>
              <w:ind w:right="85"/>
              <w:spacing w:after="0"/>
              <w:rPr>
                <w:sz w:val="20"/>
                <w:szCs w:val="20"/>
                <w:color w:val="auto"/>
              </w:rPr>
            </w:pPr>
            <w:r>
              <w:rPr>
                <w:rFonts w:ascii="Arial" w:cs="Arial" w:eastAsia="Arial" w:hAnsi="Arial"/>
                <w:sz w:val="11"/>
                <w:szCs w:val="11"/>
                <w:color w:val="auto"/>
              </w:rPr>
              <w:t>0.3</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59"/>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Utilities</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w:t>
            </w:r>
          </w:p>
        </w:tc>
        <w:tc>
          <w:tcPr>
            <w:tcW w:w="200" w:type="dxa"/>
            <w:vAlign w:val="bottom"/>
          </w:tcPr>
          <w:p>
            <w:pPr>
              <w:spacing w:after="0"/>
              <w:rPr>
                <w:sz w:val="13"/>
                <w:szCs w:val="13"/>
                <w:color w:val="auto"/>
              </w:rPr>
            </w:pPr>
          </w:p>
        </w:tc>
        <w:tc>
          <w:tcPr>
            <w:tcW w:w="126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0.0</w:t>
            </w:r>
          </w:p>
        </w:tc>
        <w:tc>
          <w:tcPr>
            <w:tcW w:w="200" w:type="dxa"/>
            <w:vAlign w:val="bottom"/>
          </w:tcPr>
          <w:p>
            <w:pPr>
              <w:spacing w:after="0"/>
              <w:rPr>
                <w:sz w:val="13"/>
                <w:szCs w:val="13"/>
                <w:color w:val="auto"/>
              </w:rPr>
            </w:pPr>
          </w:p>
        </w:tc>
        <w:tc>
          <w:tcPr>
            <w:tcW w:w="128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08"/>
        </w:trPr>
        <w:tc>
          <w:tcPr>
            <w:tcW w:w="5760" w:type="dxa"/>
            <w:vAlign w:val="bottom"/>
            <w:gridSpan w:val="2"/>
          </w:tcPr>
          <w:p>
            <w:pPr>
              <w:ind w:left="600"/>
              <w:spacing w:after="0" w:line="107" w:lineRule="exact"/>
              <w:rPr>
                <w:sz w:val="20"/>
                <w:szCs w:val="20"/>
                <w:color w:val="auto"/>
              </w:rPr>
            </w:pPr>
            <w:r>
              <w:rPr>
                <w:rFonts w:ascii="Arial" w:cs="Arial" w:eastAsia="Arial" w:hAnsi="Arial"/>
                <w:sz w:val="11"/>
                <w:szCs w:val="11"/>
                <w:color w:val="auto"/>
              </w:rPr>
              <w:t>Total equity securities (cost: $120,953 and $120,308 as of June 30, 2022 and December 31, 2021,</w:t>
            </w:r>
          </w:p>
        </w:tc>
        <w:tc>
          <w:tcPr>
            <w:tcW w:w="1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137,716</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129,961</w:t>
            </w:r>
          </w:p>
        </w:tc>
        <w:tc>
          <w:tcPr>
            <w:tcW w:w="200" w:type="dxa"/>
            <w:vAlign w:val="bottom"/>
          </w:tcPr>
          <w:p>
            <w:pPr>
              <w:spacing w:after="0"/>
              <w:rPr>
                <w:sz w:val="9"/>
                <w:szCs w:val="9"/>
                <w:color w:val="auto"/>
              </w:rPr>
            </w:pPr>
          </w:p>
        </w:tc>
        <w:tc>
          <w:tcPr>
            <w:tcW w:w="1260" w:type="dxa"/>
            <w:vAlign w:val="bottom"/>
            <w:vMerge w:val="restart"/>
          </w:tcPr>
          <w:p>
            <w:pPr>
              <w:jc w:val="right"/>
              <w:ind w:right="85"/>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9"/>
                <w:szCs w:val="9"/>
                <w:color w:val="auto"/>
              </w:rPr>
            </w:pPr>
          </w:p>
        </w:tc>
        <w:tc>
          <w:tcPr>
            <w:tcW w:w="1280" w:type="dxa"/>
            <w:vAlign w:val="bottom"/>
            <w:vMerge w:val="restart"/>
          </w:tcPr>
          <w:p>
            <w:pPr>
              <w:jc w:val="right"/>
              <w:ind w:right="84"/>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5100" w:type="dxa"/>
            <w:vAlign w:val="bottom"/>
          </w:tcPr>
          <w:p>
            <w:pPr>
              <w:ind w:left="80"/>
              <w:spacing w:after="0"/>
              <w:rPr>
                <w:sz w:val="20"/>
                <w:szCs w:val="20"/>
                <w:color w:val="auto"/>
              </w:rPr>
            </w:pPr>
            <w:r>
              <w:rPr>
                <w:rFonts w:ascii="Arial" w:cs="Arial" w:eastAsia="Arial" w:hAnsi="Arial"/>
                <w:sz w:val="11"/>
                <w:szCs w:val="11"/>
                <w:color w:val="auto"/>
              </w:rPr>
              <w:t>respectively)</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9"/>
        </w:trPr>
        <w:tc>
          <w:tcPr>
            <w:tcW w:w="5760" w:type="dxa"/>
            <w:vAlign w:val="bottom"/>
            <w:gridSpan w:val="2"/>
          </w:tcPr>
          <w:p>
            <w:pPr>
              <w:ind w:left="260"/>
              <w:spacing w:after="0"/>
              <w:rPr>
                <w:sz w:val="20"/>
                <w:szCs w:val="20"/>
                <w:color w:val="auto"/>
              </w:rPr>
            </w:pPr>
            <w:r>
              <w:rPr>
                <w:rFonts w:ascii="Arial" w:cs="Arial" w:eastAsia="Arial" w:hAnsi="Arial"/>
                <w:sz w:val="11"/>
                <w:szCs w:val="11"/>
                <w:color w:val="auto"/>
              </w:rPr>
              <w:t>Total debt securities</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9,923,591</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9,995,100</w:t>
            </w:r>
          </w:p>
        </w:tc>
        <w:tc>
          <w:tcPr>
            <w:tcW w:w="200" w:type="dxa"/>
            <w:vAlign w:val="bottom"/>
          </w:tcPr>
          <w:p>
            <w:pPr>
              <w:spacing w:after="0"/>
              <w:rPr>
                <w:sz w:val="24"/>
                <w:szCs w:val="24"/>
                <w:color w:val="auto"/>
              </w:rPr>
            </w:pPr>
          </w:p>
        </w:tc>
        <w:tc>
          <w:tcPr>
            <w:tcW w:w="1260" w:type="dxa"/>
            <w:vAlign w:val="bottom"/>
          </w:tcPr>
          <w:p>
            <w:pPr>
              <w:jc w:val="right"/>
              <w:ind w:right="85"/>
              <w:spacing w:after="0"/>
              <w:rPr>
                <w:sz w:val="20"/>
                <w:szCs w:val="20"/>
                <w:color w:val="auto"/>
              </w:rPr>
            </w:pPr>
            <w:r>
              <w:rPr>
                <w:rFonts w:ascii="Arial" w:cs="Arial" w:eastAsia="Arial" w:hAnsi="Arial"/>
                <w:sz w:val="11"/>
                <w:szCs w:val="11"/>
                <w:color w:val="auto"/>
              </w:rPr>
              <w:t>85.3</w:t>
            </w:r>
          </w:p>
        </w:tc>
        <w:tc>
          <w:tcPr>
            <w:tcW w:w="200" w:type="dxa"/>
            <w:vAlign w:val="bottom"/>
          </w:tcPr>
          <w:p>
            <w:pPr>
              <w:spacing w:after="0"/>
              <w:rPr>
                <w:sz w:val="24"/>
                <w:szCs w:val="24"/>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87.2</w:t>
            </w:r>
          </w:p>
        </w:tc>
        <w:tc>
          <w:tcPr>
            <w:tcW w:w="0" w:type="dxa"/>
            <w:vAlign w:val="bottom"/>
          </w:tcPr>
          <w:p>
            <w:pPr>
              <w:spacing w:after="0"/>
              <w:rPr>
                <w:sz w:val="1"/>
                <w:szCs w:val="1"/>
                <w:color w:val="auto"/>
              </w:rPr>
            </w:pPr>
          </w:p>
        </w:tc>
      </w:tr>
      <w:tr>
        <w:trPr>
          <w:trHeight w:val="159"/>
        </w:trPr>
        <w:tc>
          <w:tcPr>
            <w:tcW w:w="5760" w:type="dxa"/>
            <w:vAlign w:val="bottom"/>
            <w:gridSpan w:val="2"/>
          </w:tcPr>
          <w:p>
            <w:pPr>
              <w:ind w:left="260"/>
              <w:spacing w:after="0"/>
              <w:rPr>
                <w:sz w:val="20"/>
                <w:szCs w:val="20"/>
                <w:color w:val="auto"/>
              </w:rPr>
            </w:pPr>
            <w:r>
              <w:rPr>
                <w:rFonts w:ascii="Arial" w:cs="Arial" w:eastAsia="Arial" w:hAnsi="Arial"/>
                <w:sz w:val="11"/>
                <w:szCs w:val="11"/>
                <w:color w:val="auto"/>
              </w:rPr>
              <w:t>Total equity securities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1,654,820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1,427,961</w:t>
            </w:r>
          </w:p>
        </w:tc>
        <w:tc>
          <w:tcPr>
            <w:tcW w:w="200" w:type="dxa"/>
            <w:vAlign w:val="bottom"/>
          </w:tcPr>
          <w:p>
            <w:pPr>
              <w:spacing w:after="0"/>
              <w:rPr>
                <w:sz w:val="13"/>
                <w:szCs w:val="13"/>
                <w:color w:val="auto"/>
              </w:rPr>
            </w:pPr>
          </w:p>
        </w:tc>
        <w:tc>
          <w:tcPr>
            <w:tcW w:w="1260" w:type="dxa"/>
            <w:vAlign w:val="bottom"/>
          </w:tcPr>
          <w:p>
            <w:pPr>
              <w:jc w:val="right"/>
              <w:ind w:right="85"/>
              <w:spacing w:after="0"/>
              <w:rPr>
                <w:sz w:val="20"/>
                <w:szCs w:val="20"/>
                <w:color w:val="auto"/>
              </w:rPr>
            </w:pPr>
            <w:r>
              <w:rPr>
                <w:rFonts w:ascii="Arial" w:cs="Arial" w:eastAsia="Arial" w:hAnsi="Arial"/>
                <w:sz w:val="11"/>
                <w:szCs w:val="11"/>
                <w:color w:val="auto"/>
              </w:rPr>
              <w:t>14.2</w:t>
            </w:r>
          </w:p>
        </w:tc>
        <w:tc>
          <w:tcPr>
            <w:tcW w:w="200" w:type="dxa"/>
            <w:vAlign w:val="bottom"/>
          </w:tcPr>
          <w:p>
            <w:pPr>
              <w:spacing w:after="0"/>
              <w:rPr>
                <w:sz w:val="13"/>
                <w:szCs w:val="13"/>
                <w:color w:val="auto"/>
              </w:rPr>
            </w:pPr>
          </w:p>
        </w:tc>
        <w:tc>
          <w:tcPr>
            <w:tcW w:w="1280" w:type="dxa"/>
            <w:vAlign w:val="bottom"/>
          </w:tcPr>
          <w:p>
            <w:pPr>
              <w:jc w:val="right"/>
              <w:ind w:right="84"/>
              <w:spacing w:after="0"/>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162"/>
        </w:trPr>
        <w:tc>
          <w:tcPr>
            <w:tcW w:w="5760" w:type="dxa"/>
            <w:vAlign w:val="bottom"/>
            <w:gridSpan w:val="2"/>
          </w:tcPr>
          <w:p>
            <w:pPr>
              <w:ind w:left="260"/>
              <w:spacing w:after="0"/>
              <w:rPr>
                <w:sz w:val="20"/>
                <w:szCs w:val="20"/>
                <w:color w:val="auto"/>
              </w:rPr>
            </w:pPr>
            <w:r>
              <w:rPr>
                <w:rFonts w:ascii="Arial" w:cs="Arial" w:eastAsia="Arial" w:hAnsi="Arial"/>
                <w:sz w:val="11"/>
                <w:szCs w:val="11"/>
                <w:color w:val="auto"/>
              </w:rPr>
              <w:t>Total real estate</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59,141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33,834</w:t>
            </w: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0.5</w:t>
            </w:r>
          </w:p>
        </w:tc>
        <w:tc>
          <w:tcPr>
            <w:tcW w:w="200" w:type="dxa"/>
            <w:vAlign w:val="bottom"/>
          </w:tcPr>
          <w:p>
            <w:pPr>
              <w:spacing w:after="0"/>
              <w:rPr>
                <w:sz w:val="14"/>
                <w:szCs w:val="14"/>
                <w:color w:val="auto"/>
              </w:rPr>
            </w:pPr>
          </w:p>
        </w:tc>
        <w:tc>
          <w:tcPr>
            <w:tcW w:w="128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53"/>
        </w:trPr>
        <w:tc>
          <w:tcPr>
            <w:tcW w:w="5760" w:type="dxa"/>
            <w:vAlign w:val="bottom"/>
            <w:gridSpan w:val="2"/>
          </w:tcPr>
          <w:p>
            <w:pPr>
              <w:ind w:left="420"/>
              <w:spacing w:after="0"/>
              <w:rPr>
                <w:sz w:val="20"/>
                <w:szCs w:val="20"/>
                <w:color w:val="auto"/>
              </w:rPr>
            </w:pPr>
            <w:r>
              <w:rPr>
                <w:rFonts w:ascii="Arial" w:cs="Arial" w:eastAsia="Arial" w:hAnsi="Arial"/>
                <w:sz w:val="11"/>
                <w:szCs w:val="11"/>
                <w:color w:val="auto"/>
              </w:rPr>
              <w:t>Total investments, at fair value</w:t>
            </w: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11,637,552</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11,456,895</w:t>
            </w:r>
          </w:p>
        </w:tc>
        <w:tc>
          <w:tcPr>
            <w:tcW w:w="20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100.0 %</w:t>
            </w:r>
          </w:p>
        </w:tc>
        <w:tc>
          <w:tcPr>
            <w:tcW w:w="200" w:type="dxa"/>
            <w:vAlign w:val="bottom"/>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100.0 %</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 of June 30, 2022 and December 31, 2021, no single issuer or investment had a fair value that exceeded 5% of Oaktree’s total consolidated net assets.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Gains (Losses) From Investment Activities of Consolidated Funds</w:t>
      </w:r>
    </w:p>
    <w:p>
      <w:pPr>
        <w:spacing w:after="0" w:line="70"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Net gains (losses) from investment activities in the condensed consolidated statements of operations consist primarily of realized and unrealized gains and losses on the consolidated funds’ investments (including foreign exchange gains and losses attributable to foreign-denominated investments and related activities) and other financial instruments. Unrealized gains or losses result from changes in the fair value of these investments and other financial instruments. Upon disposition of an investment, unrealized gains or losses are reversed and an offsetting realized gain or loss is recognized in the current period.</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net gains (losses) from investment activities: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5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0"/>
                <w:szCs w:val="10"/>
                <w:b w:val="1"/>
                <w:bCs w:val="1"/>
                <w:color w:val="auto"/>
              </w:rPr>
              <w:t>Three months ended June 30,</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0"/>
                <w:szCs w:val="10"/>
                <w:b w:val="1"/>
                <w:bCs w:val="1"/>
                <w:color w:val="auto"/>
                <w:w w:val="98"/>
              </w:rPr>
              <w:t>2022</w:t>
            </w:r>
          </w:p>
        </w:tc>
        <w:tc>
          <w:tcPr>
            <w:tcW w:w="11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0"/>
                <w:szCs w:val="10"/>
                <w:b w:val="1"/>
                <w:bCs w:val="1"/>
                <w:color w:val="auto"/>
                <w:w w:val="89"/>
              </w:rPr>
              <w:t>2021</w:t>
            </w: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5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w w:val="99"/>
              </w:rPr>
              <w:t>Net Change in Unrealized</w:t>
            </w: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w w:val="97"/>
              </w:rPr>
              <w:t>Net Change in Unrealized</w:t>
            </w:r>
          </w:p>
        </w:tc>
        <w:tc>
          <w:tcPr>
            <w:tcW w:w="0" w:type="dxa"/>
            <w:vAlign w:val="bottom"/>
          </w:tcPr>
          <w:p>
            <w:pPr>
              <w:spacing w:after="0"/>
              <w:rPr>
                <w:sz w:val="1"/>
                <w:szCs w:val="1"/>
                <w:color w:val="auto"/>
              </w:rPr>
            </w:pPr>
          </w:p>
        </w:tc>
      </w:tr>
      <w:tr>
        <w:trPr>
          <w:trHeight w:val="102"/>
        </w:trPr>
        <w:tc>
          <w:tcPr>
            <w:tcW w:w="5600" w:type="dxa"/>
            <w:vAlign w:val="bottom"/>
          </w:tcPr>
          <w:p>
            <w:pPr>
              <w:spacing w:after="0"/>
              <w:rPr>
                <w:sz w:val="8"/>
                <w:szCs w:val="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8"/>
              </w:rPr>
              <w:t>Net Realized Gain (Loss)</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tcPr>
          <w:p>
            <w:pPr>
              <w:jc w:val="center"/>
              <w:ind w:right="340"/>
              <w:spacing w:after="0" w:line="102" w:lineRule="exact"/>
              <w:rPr>
                <w:sz w:val="20"/>
                <w:szCs w:val="20"/>
                <w:color w:val="auto"/>
              </w:rPr>
            </w:pPr>
            <w:r>
              <w:rPr>
                <w:rFonts w:ascii="Arial" w:cs="Arial" w:eastAsia="Arial" w:hAnsi="Arial"/>
                <w:sz w:val="10"/>
                <w:szCs w:val="10"/>
                <w:b w:val="1"/>
                <w:bCs w:val="1"/>
                <w:color w:val="auto"/>
                <w:w w:val="98"/>
              </w:rPr>
              <w:t>Appreciation</w:t>
            </w:r>
          </w:p>
        </w:tc>
        <w:tc>
          <w:tcPr>
            <w:tcW w:w="126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8"/>
              </w:rPr>
              <w:t>Net Realized Gain (Loss)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jc w:val="center"/>
              <w:ind w:right="101"/>
              <w:spacing w:after="0" w:line="102" w:lineRule="exact"/>
              <w:rPr>
                <w:sz w:val="20"/>
                <w:szCs w:val="20"/>
                <w:color w:val="auto"/>
              </w:rPr>
            </w:pPr>
            <w:r>
              <w:rPr>
                <w:rFonts w:ascii="Arial" w:cs="Arial" w:eastAsia="Arial" w:hAnsi="Arial"/>
                <w:sz w:val="10"/>
                <w:szCs w:val="10"/>
                <w:b w:val="1"/>
                <w:bCs w:val="1"/>
                <w:color w:val="auto"/>
              </w:rPr>
              <w:t>Appreciation</w:t>
            </w:r>
          </w:p>
        </w:tc>
        <w:tc>
          <w:tcPr>
            <w:tcW w:w="0" w:type="dxa"/>
            <w:vAlign w:val="bottom"/>
          </w:tcPr>
          <w:p>
            <w:pPr>
              <w:spacing w:after="0"/>
              <w:rPr>
                <w:sz w:val="1"/>
                <w:szCs w:val="1"/>
                <w:color w:val="auto"/>
              </w:rPr>
            </w:pPr>
          </w:p>
        </w:tc>
      </w:tr>
      <w:tr>
        <w:trPr>
          <w:trHeight w:val="100"/>
        </w:trPr>
        <w:tc>
          <w:tcPr>
            <w:tcW w:w="56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tcPr>
          <w:p>
            <w:pPr>
              <w:jc w:val="center"/>
              <w:ind w:right="320"/>
              <w:spacing w:after="0" w:line="100" w:lineRule="exact"/>
              <w:rPr>
                <w:sz w:val="20"/>
                <w:szCs w:val="20"/>
                <w:color w:val="auto"/>
              </w:rPr>
            </w:pPr>
            <w:r>
              <w:rPr>
                <w:rFonts w:ascii="Arial" w:cs="Arial" w:eastAsia="Arial" w:hAnsi="Arial"/>
                <w:sz w:val="10"/>
                <w:szCs w:val="10"/>
                <w:b w:val="1"/>
                <w:bCs w:val="1"/>
                <w:color w:val="auto"/>
                <w:w w:val="99"/>
              </w:rPr>
              <w:t>(Depreciation) on</w:t>
            </w:r>
          </w:p>
        </w:tc>
        <w:tc>
          <w:tcPr>
            <w:tcW w:w="12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jc w:val="center"/>
              <w:ind w:right="101"/>
              <w:spacing w:after="0" w:line="100" w:lineRule="exact"/>
              <w:rPr>
                <w:sz w:val="20"/>
                <w:szCs w:val="20"/>
                <w:color w:val="auto"/>
              </w:rPr>
            </w:pPr>
            <w:r>
              <w:rPr>
                <w:rFonts w:ascii="Arial" w:cs="Arial" w:eastAsia="Arial" w:hAnsi="Arial"/>
                <w:sz w:val="10"/>
                <w:szCs w:val="10"/>
                <w:b w:val="1"/>
                <w:bCs w:val="1"/>
                <w:color w:val="auto"/>
                <w:w w:val="99"/>
              </w:rPr>
              <w:t>(Depreciation) on</w:t>
            </w:r>
          </w:p>
        </w:tc>
        <w:tc>
          <w:tcPr>
            <w:tcW w:w="0" w:type="dxa"/>
            <w:vAlign w:val="bottom"/>
          </w:tcPr>
          <w:p>
            <w:pPr>
              <w:spacing w:after="0"/>
              <w:rPr>
                <w:sz w:val="1"/>
                <w:szCs w:val="1"/>
                <w:color w:val="auto"/>
              </w:rPr>
            </w:pPr>
          </w:p>
        </w:tc>
      </w:tr>
      <w:tr>
        <w:trPr>
          <w:trHeight w:val="137"/>
        </w:trPr>
        <w:tc>
          <w:tcPr>
            <w:tcW w:w="5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0"/>
                <w:szCs w:val="10"/>
                <w:b w:val="1"/>
                <w:bCs w:val="1"/>
                <w:color w:val="auto"/>
              </w:rPr>
              <w:t>on Investments</w:t>
            </w: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81"/>
              <w:spacing w:after="0"/>
              <w:rPr>
                <w:sz w:val="20"/>
                <w:szCs w:val="20"/>
                <w:color w:val="auto"/>
              </w:rPr>
            </w:pPr>
            <w:r>
              <w:rPr>
                <w:rFonts w:ascii="Arial" w:cs="Arial" w:eastAsia="Arial" w:hAnsi="Arial"/>
                <w:sz w:val="10"/>
                <w:szCs w:val="10"/>
                <w:b w:val="1"/>
                <w:bCs w:val="1"/>
                <w:color w:val="auto"/>
                <w:w w:val="99"/>
              </w:rPr>
              <w:t>Investments</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0"/>
                <w:szCs w:val="10"/>
                <w:b w:val="1"/>
                <w:bCs w:val="1"/>
                <w:color w:val="auto"/>
                <w:w w:val="98"/>
              </w:rPr>
              <w:t>on Investments</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99"/>
              </w:rPr>
              <w:t>Investments</w:t>
            </w:r>
          </w:p>
        </w:tc>
        <w:tc>
          <w:tcPr>
            <w:tcW w:w="0" w:type="dxa"/>
            <w:vAlign w:val="bottom"/>
          </w:tcPr>
          <w:p>
            <w:pPr>
              <w:spacing w:after="0"/>
              <w:rPr>
                <w:sz w:val="1"/>
                <w:szCs w:val="1"/>
                <w:color w:val="auto"/>
              </w:rPr>
            </w:pPr>
          </w:p>
        </w:tc>
      </w:tr>
      <w:tr>
        <w:trPr>
          <w:trHeight w:val="361"/>
        </w:trPr>
        <w:tc>
          <w:tcPr>
            <w:tcW w:w="5600" w:type="dxa"/>
            <w:vAlign w:val="bottom"/>
          </w:tcPr>
          <w:p>
            <w:pPr>
              <w:spacing w:after="0"/>
              <w:rPr>
                <w:sz w:val="20"/>
                <w:szCs w:val="20"/>
                <w:color w:val="auto"/>
              </w:rPr>
            </w:pPr>
            <w:r>
              <w:rPr>
                <w:rFonts w:ascii="Arial" w:cs="Arial" w:eastAsia="Arial" w:hAnsi="Arial"/>
                <w:sz w:val="13"/>
                <w:szCs w:val="13"/>
                <w:color w:val="auto"/>
              </w:rPr>
              <w:t>Investments and other financial instruments</w:t>
            </w:r>
          </w:p>
        </w:tc>
        <w:tc>
          <w:tcPr>
            <w:tcW w:w="180" w:type="dxa"/>
            <w:vAlign w:val="bottom"/>
          </w:tcPr>
          <w:p>
            <w:pPr>
              <w:jc w:val="right"/>
              <w:ind w:right="41"/>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21,673</w:t>
            </w:r>
          </w:p>
        </w:tc>
        <w:tc>
          <w:tcPr>
            <w:tcW w:w="380" w:type="dxa"/>
            <w:vAlign w:val="bottom"/>
            <w:gridSpan w:val="3"/>
          </w:tcPr>
          <w:p>
            <w:pPr>
              <w:jc w:val="right"/>
              <w:ind w:right="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(124,313)</w:t>
            </w:r>
          </w:p>
        </w:tc>
        <w:tc>
          <w:tcPr>
            <w:tcW w:w="180" w:type="dxa"/>
            <w:vAlign w:val="bottom"/>
          </w:tcPr>
          <w:p>
            <w:pPr>
              <w:spacing w:after="0"/>
              <w:rPr>
                <w:sz w:val="24"/>
                <w:szCs w:val="24"/>
                <w:color w:val="auto"/>
              </w:rPr>
            </w:pPr>
          </w:p>
        </w:tc>
        <w:tc>
          <w:tcPr>
            <w:tcW w:w="18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2,268</w:t>
            </w:r>
          </w:p>
        </w:tc>
        <w:tc>
          <w:tcPr>
            <w:tcW w:w="36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
              <w:spacing w:after="0"/>
              <w:rPr>
                <w:sz w:val="20"/>
                <w:szCs w:val="20"/>
                <w:color w:val="auto"/>
              </w:rPr>
            </w:pPr>
            <w:r>
              <w:rPr>
                <w:rFonts w:ascii="Arial" w:cs="Arial" w:eastAsia="Arial" w:hAnsi="Arial"/>
                <w:sz w:val="13"/>
                <w:szCs w:val="13"/>
                <w:color w:val="auto"/>
              </w:rPr>
              <w:t>60,460</w:t>
            </w:r>
          </w:p>
        </w:tc>
        <w:tc>
          <w:tcPr>
            <w:tcW w:w="0" w:type="dxa"/>
            <w:vAlign w:val="bottom"/>
          </w:tcPr>
          <w:p>
            <w:pPr>
              <w:spacing w:after="0"/>
              <w:rPr>
                <w:sz w:val="1"/>
                <w:szCs w:val="1"/>
                <w:color w:val="auto"/>
              </w:rPr>
            </w:pPr>
          </w:p>
        </w:tc>
      </w:tr>
      <w:tr>
        <w:trPr>
          <w:trHeight w:val="172"/>
        </w:trPr>
        <w:tc>
          <w:tcPr>
            <w:tcW w:w="5600" w:type="dxa"/>
            <w:vAlign w:val="bottom"/>
          </w:tcPr>
          <w:p>
            <w:pPr>
              <w:spacing w:after="0" w:line="172" w:lineRule="exact"/>
              <w:rPr>
                <w:sz w:val="20"/>
                <w:szCs w:val="20"/>
                <w:color w:val="auto"/>
              </w:rPr>
            </w:pPr>
            <w:r>
              <w:rPr>
                <w:rFonts w:ascii="Arial" w:cs="Arial" w:eastAsia="Arial" w:hAnsi="Arial"/>
                <w:sz w:val="13"/>
                <w:szCs w:val="13"/>
                <w:color w:val="auto"/>
              </w:rPr>
              <w:t xml:space="preserve">CLO liabilities </w:t>
            </w:r>
            <w:r>
              <w:rPr>
                <w:rFonts w:ascii="Arial" w:cs="Arial" w:eastAsia="Arial" w:hAnsi="Arial"/>
                <w:sz w:val="16"/>
                <w:szCs w:val="16"/>
                <w:color w:val="auto"/>
                <w:vertAlign w:val="superscript"/>
              </w:rPr>
              <w:t>(1)</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(12,319)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(40,956)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2,602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
              <w:spacing w:after="0"/>
              <w:rPr>
                <w:sz w:val="20"/>
                <w:szCs w:val="20"/>
                <w:color w:val="auto"/>
              </w:rPr>
            </w:pPr>
            <w:r>
              <w:rPr>
                <w:rFonts w:ascii="Arial" w:cs="Arial" w:eastAsia="Arial" w:hAnsi="Arial"/>
                <w:sz w:val="13"/>
                <w:szCs w:val="13"/>
                <w:color w:val="auto"/>
              </w:rPr>
              <w:t>7,582</w:t>
            </w:r>
          </w:p>
        </w:tc>
        <w:tc>
          <w:tcPr>
            <w:tcW w:w="0" w:type="dxa"/>
            <w:vAlign w:val="bottom"/>
          </w:tcPr>
          <w:p>
            <w:pPr>
              <w:spacing w:after="0"/>
              <w:rPr>
                <w:sz w:val="1"/>
                <w:szCs w:val="1"/>
                <w:color w:val="auto"/>
              </w:rPr>
            </w:pPr>
          </w:p>
        </w:tc>
      </w:tr>
      <w:tr>
        <w:trPr>
          <w:trHeight w:val="170"/>
        </w:trPr>
        <w:tc>
          <w:tcPr>
            <w:tcW w:w="5600" w:type="dxa"/>
            <w:vAlign w:val="bottom"/>
          </w:tcPr>
          <w:p>
            <w:pPr>
              <w:spacing w:after="0" w:line="170" w:lineRule="exact"/>
              <w:rPr>
                <w:sz w:val="20"/>
                <w:szCs w:val="20"/>
                <w:color w:val="auto"/>
              </w:rPr>
            </w:pPr>
            <w:r>
              <w:rPr>
                <w:rFonts w:ascii="Arial" w:cs="Arial" w:eastAsia="Arial" w:hAnsi="Arial"/>
                <w:sz w:val="13"/>
                <w:szCs w:val="13"/>
                <w:color w:val="auto"/>
              </w:rPr>
              <w:t xml:space="preserve">Foreign-currency forward contracts </w:t>
            </w:r>
            <w:r>
              <w:rPr>
                <w:rFonts w:ascii="Arial" w:cs="Arial" w:eastAsia="Arial" w:hAnsi="Arial"/>
                <w:sz w:val="16"/>
                <w:szCs w:val="16"/>
                <w:color w:val="auto"/>
                <w:vertAlign w:val="superscript"/>
              </w:rPr>
              <w:t>(2)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14,133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Arial" w:cs="Arial" w:eastAsia="Arial" w:hAnsi="Arial"/>
                <w:sz w:val="13"/>
                <w:szCs w:val="13"/>
                <w:color w:val="auto"/>
              </w:rPr>
              <w:t>9,494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1,073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
              <w:spacing w:after="0"/>
              <w:rPr>
                <w:sz w:val="20"/>
                <w:szCs w:val="20"/>
                <w:color w:val="auto"/>
              </w:rPr>
            </w:pPr>
            <w:r>
              <w:rPr>
                <w:rFonts w:ascii="Arial" w:cs="Arial" w:eastAsia="Arial" w:hAnsi="Arial"/>
                <w:sz w:val="13"/>
                <w:szCs w:val="13"/>
                <w:color w:val="auto"/>
              </w:rPr>
              <w:t>2,116</w:t>
            </w:r>
          </w:p>
        </w:tc>
        <w:tc>
          <w:tcPr>
            <w:tcW w:w="0" w:type="dxa"/>
            <w:vAlign w:val="bottom"/>
          </w:tcPr>
          <w:p>
            <w:pPr>
              <w:spacing w:after="0"/>
              <w:rPr>
                <w:sz w:val="1"/>
                <w:szCs w:val="1"/>
                <w:color w:val="auto"/>
              </w:rPr>
            </w:pPr>
          </w:p>
        </w:tc>
      </w:tr>
      <w:tr>
        <w:trPr>
          <w:trHeight w:val="170"/>
        </w:trPr>
        <w:tc>
          <w:tcPr>
            <w:tcW w:w="5600" w:type="dxa"/>
            <w:vAlign w:val="bottom"/>
          </w:tcPr>
          <w:p>
            <w:pPr>
              <w:spacing w:after="0" w:line="170" w:lineRule="exact"/>
              <w:rPr>
                <w:sz w:val="20"/>
                <w:szCs w:val="20"/>
                <w:color w:val="auto"/>
              </w:rPr>
            </w:pPr>
            <w:r>
              <w:rPr>
                <w:rFonts w:ascii="Arial" w:cs="Arial" w:eastAsia="Arial" w:hAnsi="Arial"/>
                <w:sz w:val="13"/>
                <w:szCs w:val="13"/>
                <w:color w:val="auto"/>
              </w:rPr>
              <w:t xml:space="preserve">Total-return and interest-rate swaps </w:t>
            </w:r>
            <w:r>
              <w:rPr>
                <w:rFonts w:ascii="Arial" w:cs="Arial" w:eastAsia="Arial" w:hAnsi="Arial"/>
                <w:sz w:val="16"/>
                <w:szCs w:val="16"/>
                <w:color w:val="auto"/>
                <w:vertAlign w:val="superscript"/>
              </w:rPr>
              <w:t>(2)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4,266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Arial" w:cs="Arial" w:eastAsia="Arial" w:hAnsi="Arial"/>
                <w:sz w:val="13"/>
                <w:szCs w:val="13"/>
                <w:color w:val="auto"/>
              </w:rPr>
              <w:t>32,939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70"/>
        </w:trPr>
        <w:tc>
          <w:tcPr>
            <w:tcW w:w="5600" w:type="dxa"/>
            <w:vAlign w:val="bottom"/>
          </w:tcPr>
          <w:p>
            <w:pPr>
              <w:spacing w:after="0" w:line="170" w:lineRule="exact"/>
              <w:rPr>
                <w:sz w:val="20"/>
                <w:szCs w:val="20"/>
                <w:color w:val="auto"/>
              </w:rPr>
            </w:pPr>
            <w:r>
              <w:rPr>
                <w:rFonts w:ascii="Arial" w:cs="Arial" w:eastAsia="Arial" w:hAnsi="Arial"/>
                <w:sz w:val="13"/>
                <w:szCs w:val="13"/>
                <w:color w:val="auto"/>
              </w:rPr>
              <w:t xml:space="preserve">Options and futures </w:t>
            </w:r>
            <w:r>
              <w:rPr>
                <w:rFonts w:ascii="Arial" w:cs="Arial" w:eastAsia="Arial" w:hAnsi="Arial"/>
                <w:sz w:val="16"/>
                <w:szCs w:val="16"/>
                <w:color w:val="auto"/>
                <w:vertAlign w:val="superscript"/>
              </w:rPr>
              <w:t>(2)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4,108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(2,088)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(715)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70"/>
        </w:trPr>
        <w:tc>
          <w:tcPr>
            <w:tcW w:w="5600" w:type="dxa"/>
            <w:vAlign w:val="bottom"/>
          </w:tcPr>
          <w:p>
            <w:pPr>
              <w:spacing w:after="0" w:line="170" w:lineRule="exact"/>
              <w:rPr>
                <w:sz w:val="20"/>
                <w:szCs w:val="20"/>
                <w:color w:val="auto"/>
              </w:rPr>
            </w:pPr>
            <w:r>
              <w:rPr>
                <w:rFonts w:ascii="Arial" w:cs="Arial" w:eastAsia="Arial" w:hAnsi="Arial"/>
                <w:sz w:val="13"/>
                <w:szCs w:val="13"/>
                <w:color w:val="auto"/>
              </w:rPr>
              <w:t xml:space="preserve">Commodity swaps </w:t>
            </w:r>
            <w:r>
              <w:rPr>
                <w:rFonts w:ascii="Arial" w:cs="Arial" w:eastAsia="Arial" w:hAnsi="Arial"/>
                <w:sz w:val="16"/>
                <w:szCs w:val="16"/>
                <w:color w:val="auto"/>
                <w:vertAlign w:val="superscript"/>
              </w:rPr>
              <w:t>(2)</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(15,735)</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(30,428)</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60"/>
        </w:trPr>
        <w:tc>
          <w:tcPr>
            <w:tcW w:w="5600" w:type="dxa"/>
            <w:vAlign w:val="bottom"/>
          </w:tcPr>
          <w:p>
            <w:pPr>
              <w:ind w:left="260"/>
              <w:spacing w:after="0"/>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16,126</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(155,352)</w:t>
            </w:r>
          </w:p>
        </w:tc>
        <w:tc>
          <w:tcPr>
            <w:tcW w:w="180" w:type="dxa"/>
            <w:vAlign w:val="bottom"/>
          </w:tcPr>
          <w:p>
            <w:pPr>
              <w:spacing w:after="0"/>
              <w:rPr>
                <w:sz w:val="13"/>
                <w:szCs w:val="13"/>
                <w:color w:val="auto"/>
              </w:rPr>
            </w:pPr>
          </w:p>
        </w:tc>
        <w:tc>
          <w:tcPr>
            <w:tcW w:w="18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5,149</w:t>
            </w:r>
          </w:p>
        </w:tc>
        <w:tc>
          <w:tcPr>
            <w:tcW w:w="200" w:type="dxa"/>
            <w:vAlign w:val="bottom"/>
          </w:tcPr>
          <w:p>
            <w:pPr>
              <w:spacing w:after="0"/>
              <w:rPr>
                <w:sz w:val="13"/>
                <w:szCs w:val="13"/>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71,221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58"/>
              <w:spacing w:after="0"/>
              <w:rPr>
                <w:sz w:val="20"/>
                <w:szCs w:val="20"/>
                <w:color w:val="auto"/>
              </w:rPr>
            </w:pPr>
            <w:r>
              <w:rPr>
                <w:rFonts w:ascii="Arial" w:cs="Arial" w:eastAsia="Arial" w:hAnsi="Arial"/>
                <w:sz w:val="10"/>
                <w:szCs w:val="10"/>
                <w:b w:val="1"/>
                <w:bCs w:val="1"/>
                <w:color w:val="auto"/>
              </w:rPr>
              <w:t>Six months ended June 30,</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0"/>
                <w:szCs w:val="10"/>
                <w:b w:val="1"/>
                <w:bCs w:val="1"/>
                <w:color w:val="auto"/>
                <w:w w:val="98"/>
              </w:rPr>
              <w:t>2022</w:t>
            </w:r>
          </w:p>
        </w:tc>
        <w:tc>
          <w:tcPr>
            <w:tcW w:w="11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0"/>
                <w:szCs w:val="10"/>
                <w:b w:val="1"/>
                <w:bCs w:val="1"/>
                <w:color w:val="auto"/>
                <w:w w:val="89"/>
              </w:rPr>
              <w:t>2021</w:t>
            </w: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5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w w:val="99"/>
              </w:rPr>
              <w:t>Net Change in Unrealized</w:t>
            </w: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w w:val="97"/>
              </w:rPr>
              <w:t>Net Change in Unrealized</w:t>
            </w:r>
          </w:p>
        </w:tc>
        <w:tc>
          <w:tcPr>
            <w:tcW w:w="0" w:type="dxa"/>
            <w:vAlign w:val="bottom"/>
          </w:tcPr>
          <w:p>
            <w:pPr>
              <w:spacing w:after="0"/>
              <w:rPr>
                <w:sz w:val="1"/>
                <w:szCs w:val="1"/>
                <w:color w:val="auto"/>
              </w:rPr>
            </w:pPr>
          </w:p>
        </w:tc>
      </w:tr>
      <w:tr>
        <w:trPr>
          <w:trHeight w:val="102"/>
        </w:trPr>
        <w:tc>
          <w:tcPr>
            <w:tcW w:w="5600" w:type="dxa"/>
            <w:vAlign w:val="bottom"/>
          </w:tcPr>
          <w:p>
            <w:pPr>
              <w:spacing w:after="0"/>
              <w:rPr>
                <w:sz w:val="8"/>
                <w:szCs w:val="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8"/>
              </w:rPr>
              <w:t>Net Realized Gain (Loss)</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tcPr>
          <w:p>
            <w:pPr>
              <w:jc w:val="center"/>
              <w:ind w:right="340"/>
              <w:spacing w:after="0" w:line="102" w:lineRule="exact"/>
              <w:rPr>
                <w:sz w:val="20"/>
                <w:szCs w:val="20"/>
                <w:color w:val="auto"/>
              </w:rPr>
            </w:pPr>
            <w:r>
              <w:rPr>
                <w:rFonts w:ascii="Arial" w:cs="Arial" w:eastAsia="Arial" w:hAnsi="Arial"/>
                <w:sz w:val="10"/>
                <w:szCs w:val="10"/>
                <w:b w:val="1"/>
                <w:bCs w:val="1"/>
                <w:color w:val="auto"/>
                <w:w w:val="98"/>
              </w:rPr>
              <w:t>Appreciation</w:t>
            </w:r>
          </w:p>
        </w:tc>
        <w:tc>
          <w:tcPr>
            <w:tcW w:w="126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8"/>
              </w:rPr>
              <w:t>Net Realized Gain (Loss)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jc w:val="center"/>
              <w:ind w:right="101"/>
              <w:spacing w:after="0" w:line="102" w:lineRule="exact"/>
              <w:rPr>
                <w:sz w:val="20"/>
                <w:szCs w:val="20"/>
                <w:color w:val="auto"/>
              </w:rPr>
            </w:pPr>
            <w:r>
              <w:rPr>
                <w:rFonts w:ascii="Arial" w:cs="Arial" w:eastAsia="Arial" w:hAnsi="Arial"/>
                <w:sz w:val="10"/>
                <w:szCs w:val="10"/>
                <w:b w:val="1"/>
                <w:bCs w:val="1"/>
                <w:color w:val="auto"/>
              </w:rPr>
              <w:t>Appreciation</w:t>
            </w:r>
          </w:p>
        </w:tc>
        <w:tc>
          <w:tcPr>
            <w:tcW w:w="0" w:type="dxa"/>
            <w:vAlign w:val="bottom"/>
          </w:tcPr>
          <w:p>
            <w:pPr>
              <w:spacing w:after="0"/>
              <w:rPr>
                <w:sz w:val="1"/>
                <w:szCs w:val="1"/>
                <w:color w:val="auto"/>
              </w:rPr>
            </w:pPr>
          </w:p>
        </w:tc>
      </w:tr>
      <w:tr>
        <w:trPr>
          <w:trHeight w:val="100"/>
        </w:trPr>
        <w:tc>
          <w:tcPr>
            <w:tcW w:w="56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tcPr>
          <w:p>
            <w:pPr>
              <w:jc w:val="center"/>
              <w:ind w:right="320"/>
              <w:spacing w:after="0" w:line="100" w:lineRule="exact"/>
              <w:rPr>
                <w:sz w:val="20"/>
                <w:szCs w:val="20"/>
                <w:color w:val="auto"/>
              </w:rPr>
            </w:pPr>
            <w:r>
              <w:rPr>
                <w:rFonts w:ascii="Arial" w:cs="Arial" w:eastAsia="Arial" w:hAnsi="Arial"/>
                <w:sz w:val="10"/>
                <w:szCs w:val="10"/>
                <w:b w:val="1"/>
                <w:bCs w:val="1"/>
                <w:color w:val="auto"/>
                <w:w w:val="99"/>
              </w:rPr>
              <w:t>(Depreciation) on</w:t>
            </w:r>
          </w:p>
        </w:tc>
        <w:tc>
          <w:tcPr>
            <w:tcW w:w="12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jc w:val="center"/>
              <w:ind w:right="101"/>
              <w:spacing w:after="0" w:line="100" w:lineRule="exact"/>
              <w:rPr>
                <w:sz w:val="20"/>
                <w:szCs w:val="20"/>
                <w:color w:val="auto"/>
              </w:rPr>
            </w:pPr>
            <w:r>
              <w:rPr>
                <w:rFonts w:ascii="Arial" w:cs="Arial" w:eastAsia="Arial" w:hAnsi="Arial"/>
                <w:sz w:val="10"/>
                <w:szCs w:val="10"/>
                <w:b w:val="1"/>
                <w:bCs w:val="1"/>
                <w:color w:val="auto"/>
                <w:w w:val="99"/>
              </w:rPr>
              <w:t>(Depreciation) on</w:t>
            </w:r>
          </w:p>
        </w:tc>
        <w:tc>
          <w:tcPr>
            <w:tcW w:w="0" w:type="dxa"/>
            <w:vAlign w:val="bottom"/>
          </w:tcPr>
          <w:p>
            <w:pPr>
              <w:spacing w:after="0"/>
              <w:rPr>
                <w:sz w:val="1"/>
                <w:szCs w:val="1"/>
                <w:color w:val="auto"/>
              </w:rPr>
            </w:pPr>
          </w:p>
        </w:tc>
      </w:tr>
      <w:tr>
        <w:trPr>
          <w:trHeight w:val="137"/>
        </w:trPr>
        <w:tc>
          <w:tcPr>
            <w:tcW w:w="5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0"/>
                <w:szCs w:val="10"/>
                <w:b w:val="1"/>
                <w:bCs w:val="1"/>
                <w:color w:val="auto"/>
              </w:rPr>
              <w:t>on Investments</w:t>
            </w: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81"/>
              <w:spacing w:after="0"/>
              <w:rPr>
                <w:sz w:val="20"/>
                <w:szCs w:val="20"/>
                <w:color w:val="auto"/>
              </w:rPr>
            </w:pPr>
            <w:r>
              <w:rPr>
                <w:rFonts w:ascii="Arial" w:cs="Arial" w:eastAsia="Arial" w:hAnsi="Arial"/>
                <w:sz w:val="10"/>
                <w:szCs w:val="10"/>
                <w:b w:val="1"/>
                <w:bCs w:val="1"/>
                <w:color w:val="auto"/>
                <w:w w:val="99"/>
              </w:rPr>
              <w:t>Investments</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0"/>
                <w:szCs w:val="10"/>
                <w:b w:val="1"/>
                <w:bCs w:val="1"/>
                <w:color w:val="auto"/>
                <w:w w:val="98"/>
              </w:rPr>
              <w:t>on Investments</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99"/>
              </w:rPr>
              <w:t>Investments</w:t>
            </w:r>
          </w:p>
        </w:tc>
        <w:tc>
          <w:tcPr>
            <w:tcW w:w="0" w:type="dxa"/>
            <w:vAlign w:val="bottom"/>
          </w:tcPr>
          <w:p>
            <w:pPr>
              <w:spacing w:after="0"/>
              <w:rPr>
                <w:sz w:val="1"/>
                <w:szCs w:val="1"/>
                <w:color w:val="auto"/>
              </w:rPr>
            </w:pPr>
          </w:p>
        </w:tc>
      </w:tr>
      <w:tr>
        <w:trPr>
          <w:trHeight w:val="361"/>
        </w:trPr>
        <w:tc>
          <w:tcPr>
            <w:tcW w:w="5600" w:type="dxa"/>
            <w:vAlign w:val="bottom"/>
          </w:tcPr>
          <w:p>
            <w:pPr>
              <w:spacing w:after="0"/>
              <w:rPr>
                <w:sz w:val="20"/>
                <w:szCs w:val="20"/>
                <w:color w:val="auto"/>
              </w:rPr>
            </w:pPr>
            <w:r>
              <w:rPr>
                <w:rFonts w:ascii="Arial" w:cs="Arial" w:eastAsia="Arial" w:hAnsi="Arial"/>
                <w:sz w:val="13"/>
                <w:szCs w:val="13"/>
                <w:color w:val="auto"/>
              </w:rPr>
              <w:t>Investments and other financial instruments</w:t>
            </w:r>
          </w:p>
        </w:tc>
        <w:tc>
          <w:tcPr>
            <w:tcW w:w="180" w:type="dxa"/>
            <w:vAlign w:val="bottom"/>
          </w:tcPr>
          <w:p>
            <w:pPr>
              <w:jc w:val="right"/>
              <w:ind w:right="41"/>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(68,382)</w:t>
            </w:r>
          </w:p>
        </w:tc>
        <w:tc>
          <w:tcPr>
            <w:tcW w:w="380" w:type="dxa"/>
            <w:vAlign w:val="bottom"/>
            <w:gridSpan w:val="3"/>
          </w:tcPr>
          <w:p>
            <w:pPr>
              <w:jc w:val="right"/>
              <w:ind w:right="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
              <w:spacing w:after="0"/>
              <w:rPr>
                <w:sz w:val="20"/>
                <w:szCs w:val="20"/>
                <w:color w:val="auto"/>
              </w:rPr>
            </w:pPr>
            <w:r>
              <w:rPr>
                <w:rFonts w:ascii="Arial" w:cs="Arial" w:eastAsia="Arial" w:hAnsi="Arial"/>
                <w:sz w:val="13"/>
                <w:szCs w:val="13"/>
                <w:color w:val="auto"/>
              </w:rPr>
              <w:t>76,954</w:t>
            </w:r>
          </w:p>
        </w:tc>
        <w:tc>
          <w:tcPr>
            <w:tcW w:w="180" w:type="dxa"/>
            <w:vAlign w:val="bottom"/>
          </w:tcPr>
          <w:p>
            <w:pPr>
              <w:spacing w:after="0"/>
              <w:rPr>
                <w:sz w:val="24"/>
                <w:szCs w:val="24"/>
                <w:color w:val="auto"/>
              </w:rPr>
            </w:pPr>
          </w:p>
        </w:tc>
        <w:tc>
          <w:tcPr>
            <w:tcW w:w="18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7,235</w:t>
            </w:r>
          </w:p>
        </w:tc>
        <w:tc>
          <w:tcPr>
            <w:tcW w:w="36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
              <w:spacing w:after="0"/>
              <w:rPr>
                <w:sz w:val="20"/>
                <w:szCs w:val="20"/>
                <w:color w:val="auto"/>
              </w:rPr>
            </w:pPr>
            <w:r>
              <w:rPr>
                <w:rFonts w:ascii="Arial" w:cs="Arial" w:eastAsia="Arial" w:hAnsi="Arial"/>
                <w:sz w:val="13"/>
                <w:szCs w:val="13"/>
                <w:color w:val="auto"/>
              </w:rPr>
              <w:t>107,832</w:t>
            </w:r>
          </w:p>
        </w:tc>
        <w:tc>
          <w:tcPr>
            <w:tcW w:w="0" w:type="dxa"/>
            <w:vAlign w:val="bottom"/>
          </w:tcPr>
          <w:p>
            <w:pPr>
              <w:spacing w:after="0"/>
              <w:rPr>
                <w:sz w:val="1"/>
                <w:szCs w:val="1"/>
                <w:color w:val="auto"/>
              </w:rPr>
            </w:pPr>
          </w:p>
        </w:tc>
      </w:tr>
      <w:tr>
        <w:trPr>
          <w:trHeight w:val="172"/>
        </w:trPr>
        <w:tc>
          <w:tcPr>
            <w:tcW w:w="5600" w:type="dxa"/>
            <w:vAlign w:val="bottom"/>
          </w:tcPr>
          <w:p>
            <w:pPr>
              <w:spacing w:after="0" w:line="172" w:lineRule="exact"/>
              <w:rPr>
                <w:sz w:val="20"/>
                <w:szCs w:val="20"/>
                <w:color w:val="auto"/>
              </w:rPr>
            </w:pPr>
            <w:r>
              <w:rPr>
                <w:rFonts w:ascii="Arial" w:cs="Arial" w:eastAsia="Arial" w:hAnsi="Arial"/>
                <w:sz w:val="13"/>
                <w:szCs w:val="13"/>
                <w:color w:val="auto"/>
              </w:rPr>
              <w:t xml:space="preserve">CLO liabilities </w:t>
            </w:r>
            <w:r>
              <w:rPr>
                <w:rFonts w:ascii="Arial" w:cs="Arial" w:eastAsia="Arial" w:hAnsi="Arial"/>
                <w:sz w:val="16"/>
                <w:szCs w:val="16"/>
                <w:color w:val="auto"/>
                <w:vertAlign w:val="superscript"/>
              </w:rPr>
              <w:t>(1)</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(14,434)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(86,800)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
              <w:spacing w:after="0"/>
              <w:rPr>
                <w:sz w:val="20"/>
                <w:szCs w:val="20"/>
                <w:color w:val="auto"/>
              </w:rPr>
            </w:pPr>
            <w:r>
              <w:rPr>
                <w:rFonts w:ascii="Arial" w:cs="Arial" w:eastAsia="Arial" w:hAnsi="Arial"/>
                <w:sz w:val="13"/>
                <w:szCs w:val="13"/>
                <w:color w:val="auto"/>
              </w:rPr>
              <w:t>12,145</w:t>
            </w:r>
          </w:p>
        </w:tc>
        <w:tc>
          <w:tcPr>
            <w:tcW w:w="0" w:type="dxa"/>
            <w:vAlign w:val="bottom"/>
          </w:tcPr>
          <w:p>
            <w:pPr>
              <w:spacing w:after="0"/>
              <w:rPr>
                <w:sz w:val="1"/>
                <w:szCs w:val="1"/>
                <w:color w:val="auto"/>
              </w:rPr>
            </w:pPr>
          </w:p>
        </w:tc>
      </w:tr>
      <w:tr>
        <w:trPr>
          <w:trHeight w:val="170"/>
        </w:trPr>
        <w:tc>
          <w:tcPr>
            <w:tcW w:w="5600" w:type="dxa"/>
            <w:vAlign w:val="bottom"/>
          </w:tcPr>
          <w:p>
            <w:pPr>
              <w:spacing w:after="0" w:line="170" w:lineRule="exact"/>
              <w:rPr>
                <w:sz w:val="20"/>
                <w:szCs w:val="20"/>
                <w:color w:val="auto"/>
              </w:rPr>
            </w:pPr>
            <w:r>
              <w:rPr>
                <w:rFonts w:ascii="Arial" w:cs="Arial" w:eastAsia="Arial" w:hAnsi="Arial"/>
                <w:sz w:val="13"/>
                <w:szCs w:val="13"/>
                <w:color w:val="auto"/>
              </w:rPr>
              <w:t xml:space="preserve">Foreign-currency forward contracts </w:t>
            </w:r>
            <w:r>
              <w:rPr>
                <w:rFonts w:ascii="Arial" w:cs="Arial" w:eastAsia="Arial" w:hAnsi="Arial"/>
                <w:sz w:val="16"/>
                <w:szCs w:val="16"/>
                <w:color w:val="auto"/>
                <w:vertAlign w:val="superscript"/>
              </w:rPr>
              <w:t>(2)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15,089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Arial" w:cs="Arial" w:eastAsia="Arial" w:hAnsi="Arial"/>
                <w:sz w:val="13"/>
                <w:szCs w:val="13"/>
                <w:color w:val="auto"/>
              </w:rPr>
              <w:t>12,422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
              <w:spacing w:after="0"/>
              <w:rPr>
                <w:sz w:val="20"/>
                <w:szCs w:val="20"/>
                <w:color w:val="auto"/>
              </w:rPr>
            </w:pPr>
            <w:r>
              <w:rPr>
                <w:rFonts w:ascii="Arial" w:cs="Arial" w:eastAsia="Arial" w:hAnsi="Arial"/>
                <w:sz w:val="13"/>
                <w:szCs w:val="13"/>
                <w:color w:val="auto"/>
              </w:rPr>
              <w:t>4,822</w:t>
            </w:r>
          </w:p>
        </w:tc>
        <w:tc>
          <w:tcPr>
            <w:tcW w:w="0" w:type="dxa"/>
            <w:vAlign w:val="bottom"/>
          </w:tcPr>
          <w:p>
            <w:pPr>
              <w:spacing w:after="0"/>
              <w:rPr>
                <w:sz w:val="1"/>
                <w:szCs w:val="1"/>
                <w:color w:val="auto"/>
              </w:rPr>
            </w:pPr>
          </w:p>
        </w:tc>
      </w:tr>
      <w:tr>
        <w:trPr>
          <w:trHeight w:val="170"/>
        </w:trPr>
        <w:tc>
          <w:tcPr>
            <w:tcW w:w="5600" w:type="dxa"/>
            <w:vAlign w:val="bottom"/>
          </w:tcPr>
          <w:p>
            <w:pPr>
              <w:spacing w:after="0" w:line="170" w:lineRule="exact"/>
              <w:rPr>
                <w:sz w:val="20"/>
                <w:szCs w:val="20"/>
                <w:color w:val="auto"/>
              </w:rPr>
            </w:pPr>
            <w:r>
              <w:rPr>
                <w:rFonts w:ascii="Arial" w:cs="Arial" w:eastAsia="Arial" w:hAnsi="Arial"/>
                <w:sz w:val="13"/>
                <w:szCs w:val="13"/>
                <w:color w:val="auto"/>
              </w:rPr>
              <w:t xml:space="preserve">Total-return and interest-rate swaps </w:t>
            </w:r>
            <w:r>
              <w:rPr>
                <w:rFonts w:ascii="Arial" w:cs="Arial" w:eastAsia="Arial" w:hAnsi="Arial"/>
                <w:sz w:val="16"/>
                <w:szCs w:val="16"/>
                <w:color w:val="auto"/>
                <w:vertAlign w:val="superscript"/>
              </w:rPr>
              <w:t>(2)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Arial" w:cs="Arial" w:eastAsia="Arial" w:hAnsi="Arial"/>
                <w:sz w:val="13"/>
                <w:szCs w:val="13"/>
                <w:color w:val="auto"/>
              </w:rPr>
              <w:t>106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
              <w:spacing w:after="0"/>
              <w:rPr>
                <w:sz w:val="20"/>
                <w:szCs w:val="20"/>
                <w:color w:val="auto"/>
              </w:rPr>
            </w:pPr>
            <w:r>
              <w:rPr>
                <w:rFonts w:ascii="Arial" w:cs="Arial" w:eastAsia="Arial" w:hAnsi="Arial"/>
                <w:sz w:val="13"/>
                <w:szCs w:val="13"/>
                <w:color w:val="auto"/>
              </w:rPr>
              <w:t>984</w:t>
            </w:r>
          </w:p>
        </w:tc>
        <w:tc>
          <w:tcPr>
            <w:tcW w:w="0" w:type="dxa"/>
            <w:vAlign w:val="bottom"/>
          </w:tcPr>
          <w:p>
            <w:pPr>
              <w:spacing w:after="0"/>
              <w:rPr>
                <w:sz w:val="1"/>
                <w:szCs w:val="1"/>
                <w:color w:val="auto"/>
              </w:rPr>
            </w:pPr>
          </w:p>
        </w:tc>
      </w:tr>
      <w:tr>
        <w:trPr>
          <w:trHeight w:val="170"/>
        </w:trPr>
        <w:tc>
          <w:tcPr>
            <w:tcW w:w="5600" w:type="dxa"/>
            <w:vAlign w:val="bottom"/>
          </w:tcPr>
          <w:p>
            <w:pPr>
              <w:spacing w:after="0" w:line="170" w:lineRule="exact"/>
              <w:rPr>
                <w:sz w:val="20"/>
                <w:szCs w:val="20"/>
                <w:color w:val="auto"/>
              </w:rPr>
            </w:pPr>
            <w:r>
              <w:rPr>
                <w:rFonts w:ascii="Arial" w:cs="Arial" w:eastAsia="Arial" w:hAnsi="Arial"/>
                <w:sz w:val="13"/>
                <w:szCs w:val="13"/>
                <w:color w:val="auto"/>
              </w:rPr>
              <w:t xml:space="preserve">Options and futures </w:t>
            </w:r>
            <w:r>
              <w:rPr>
                <w:rFonts w:ascii="Arial" w:cs="Arial" w:eastAsia="Arial" w:hAnsi="Arial"/>
                <w:sz w:val="16"/>
                <w:szCs w:val="16"/>
                <w:color w:val="auto"/>
                <w:vertAlign w:val="superscript"/>
              </w:rPr>
              <w:t>(2)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10,081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70"/>
        </w:trPr>
        <w:tc>
          <w:tcPr>
            <w:tcW w:w="5600" w:type="dxa"/>
            <w:vAlign w:val="bottom"/>
          </w:tcPr>
          <w:p>
            <w:pPr>
              <w:spacing w:after="0" w:line="170" w:lineRule="exact"/>
              <w:rPr>
                <w:sz w:val="20"/>
                <w:szCs w:val="20"/>
                <w:color w:val="auto"/>
              </w:rPr>
            </w:pPr>
            <w:r>
              <w:rPr>
                <w:rFonts w:ascii="Arial" w:cs="Arial" w:eastAsia="Arial" w:hAnsi="Arial"/>
                <w:sz w:val="13"/>
                <w:szCs w:val="13"/>
                <w:color w:val="auto"/>
              </w:rPr>
              <w:t xml:space="preserve">Commodity swaps </w:t>
            </w:r>
            <w:r>
              <w:rPr>
                <w:rFonts w:ascii="Arial" w:cs="Arial" w:eastAsia="Arial" w:hAnsi="Arial"/>
                <w:sz w:val="16"/>
                <w:szCs w:val="16"/>
                <w:color w:val="auto"/>
                <w:vertAlign w:val="superscript"/>
              </w:rPr>
              <w:t>(2)</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(15,735)</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(29,570)</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(812)</w:t>
            </w:r>
          </w:p>
        </w:tc>
        <w:tc>
          <w:tcPr>
            <w:tcW w:w="0" w:type="dxa"/>
            <w:vAlign w:val="bottom"/>
          </w:tcPr>
          <w:p>
            <w:pPr>
              <w:spacing w:after="0"/>
              <w:rPr>
                <w:sz w:val="1"/>
                <w:szCs w:val="1"/>
                <w:color w:val="auto"/>
              </w:rPr>
            </w:pPr>
          </w:p>
        </w:tc>
      </w:tr>
      <w:tr>
        <w:trPr>
          <w:trHeight w:val="160"/>
        </w:trPr>
        <w:tc>
          <w:tcPr>
            <w:tcW w:w="5600" w:type="dxa"/>
            <w:vAlign w:val="bottom"/>
          </w:tcPr>
          <w:p>
            <w:pPr>
              <w:ind w:left="260"/>
              <w:spacing w:after="0"/>
              <w:rPr>
                <w:sz w:val="20"/>
                <w:szCs w:val="20"/>
                <w:color w:val="auto"/>
              </w:rPr>
            </w:pPr>
            <w:r>
              <w:rPr>
                <w:rFonts w:ascii="Arial" w:cs="Arial" w:eastAsia="Arial" w:hAnsi="Arial"/>
                <w:sz w:val="13"/>
                <w:szCs w:val="13"/>
                <w:color w:val="auto"/>
              </w:rPr>
              <w:t>Total</w:t>
            </w:r>
          </w:p>
        </w:tc>
        <w:tc>
          <w:tcPr>
            <w:tcW w:w="180" w:type="dxa"/>
            <w:vAlign w:val="bottom"/>
          </w:tcPr>
          <w:p>
            <w:pPr>
              <w:jc w:val="right"/>
              <w:ind w:right="41"/>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(73,099)</w:t>
            </w:r>
          </w:p>
        </w:tc>
        <w:tc>
          <w:tcPr>
            <w:tcW w:w="380" w:type="dxa"/>
            <w:vAlign w:val="bottom"/>
            <w:gridSpan w:val="3"/>
          </w:tcPr>
          <w:p>
            <w:pPr>
              <w:jc w:val="right"/>
              <w:ind w:right="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(26,993)</w:t>
            </w:r>
          </w:p>
        </w:tc>
        <w:tc>
          <w:tcPr>
            <w:tcW w:w="180" w:type="dxa"/>
            <w:vAlign w:val="bottom"/>
          </w:tcPr>
          <w:p>
            <w:pPr>
              <w:spacing w:after="0"/>
              <w:rPr>
                <w:sz w:val="13"/>
                <w:szCs w:val="13"/>
                <w:color w:val="auto"/>
              </w:rPr>
            </w:pPr>
          </w:p>
        </w:tc>
        <w:tc>
          <w:tcPr>
            <w:tcW w:w="18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11,193</w:t>
            </w:r>
          </w:p>
        </w:tc>
        <w:tc>
          <w:tcPr>
            <w:tcW w:w="36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
              <w:spacing w:after="0"/>
              <w:rPr>
                <w:sz w:val="20"/>
                <w:szCs w:val="20"/>
                <w:color w:val="auto"/>
              </w:rPr>
            </w:pPr>
            <w:r>
              <w:rPr>
                <w:rFonts w:ascii="Arial" w:cs="Arial" w:eastAsia="Arial" w:hAnsi="Arial"/>
                <w:sz w:val="13"/>
                <w:szCs w:val="13"/>
                <w:color w:val="auto"/>
              </w:rPr>
              <w:t>125,089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56578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 cy="6985"/>
                    </a:xfrm>
                    <a:prstGeom prst="rect">
                      <a:avLst/>
                    </a:prstGeom>
                    <a:noFill/>
                  </pic:spPr>
                </pic:pic>
              </a:graphicData>
            </a:graphic>
          </wp:anchor>
        </w:drawing>
      </w:r>
    </w:p>
    <w:p>
      <w:pPr>
        <w:spacing w:after="0" w:line="267" w:lineRule="exact"/>
        <w:rPr>
          <w:sz w:val="20"/>
          <w:szCs w:val="20"/>
          <w:color w:val="auto"/>
        </w:rPr>
      </w:pPr>
    </w:p>
    <w:p>
      <w:pPr>
        <w:ind w:left="360" w:right="100" w:hanging="323"/>
        <w:spacing w:after="0" w:line="256" w:lineRule="auto"/>
        <w:tabs>
          <w:tab w:leader="none" w:pos="339"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the net change in the fair value of CLO liabilities based on the more observable fair value of CLO assets, as measured under the CLO measurement guidance. Please see note 2 for more information.</w:t>
      </w:r>
    </w:p>
    <w:p>
      <w:pPr>
        <w:ind w:left="320" w:hanging="283"/>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Please see note 7 for additional information.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4" w:name="page35"/>
    <w:bookmarkEnd w:id="34"/>
    <w:p>
      <w:pPr>
        <w:jc w:val="center"/>
        <w:ind w:right="80"/>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FAIR VALUE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Assets and Liabilities</w:t>
      </w:r>
    </w:p>
    <w:p>
      <w:pPr>
        <w:spacing w:after="0" w:line="72" w:lineRule="exact"/>
        <w:rPr>
          <w:sz w:val="20"/>
          <w:szCs w:val="20"/>
          <w:color w:val="auto"/>
        </w:rPr>
      </w:pPr>
    </w:p>
    <w:p>
      <w:pPr>
        <w:ind w:right="100" w:firstLine="509"/>
        <w:spacing w:after="0" w:line="271" w:lineRule="auto"/>
        <w:rPr>
          <w:sz w:val="20"/>
          <w:szCs w:val="20"/>
          <w:color w:val="auto"/>
        </w:rPr>
      </w:pPr>
      <w:r>
        <w:rPr>
          <w:rFonts w:ascii="Arial" w:cs="Arial" w:eastAsia="Arial" w:hAnsi="Arial"/>
          <w:sz w:val="14"/>
          <w:szCs w:val="14"/>
          <w:color w:val="auto"/>
        </w:rPr>
        <w:t>The short-term nature of cash and cash-equivalents, receivables and accounts payable causes each of their carrying values to approximate fair value. The fair value of short-term investments included in cash and cash-equivalents is a Level I valuation. The Company’s other financial assets and financial liabilities by fair-value hierarchy level are set forth below. Please see notes 8 and 16 for the fair value of the Company’s outstanding debt obligations and amounts due from/to affiliates, respectively.</w:t>
      </w:r>
    </w:p>
    <w:p>
      <w:pPr>
        <w:spacing w:after="0" w:line="59" w:lineRule="exact"/>
        <w:rPr>
          <w:sz w:val="20"/>
          <w:szCs w:val="20"/>
          <w:color w:val="auto"/>
        </w:rPr>
      </w:pPr>
    </w:p>
    <w:tbl>
      <w:tblPr>
        <w:tblLayout w:type="fixed"/>
        <w:tblInd w:w="520" w:type="dxa"/>
        <w:tblCellMar>
          <w:top w:w="0" w:type="dxa"/>
          <w:left w:w="0" w:type="dxa"/>
          <w:bottom w:w="0" w:type="dxa"/>
          <w:right w:w="0" w:type="dxa"/>
        </w:tblCellMar>
      </w:tblPr>
      <w:tr>
        <w:trPr>
          <w:trHeight w:val="139"/>
        </w:trPr>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5"/>
          </w:tcPr>
          <w:p>
            <w:pPr>
              <w:ind w:left="380"/>
              <w:spacing w:after="0"/>
              <w:rPr>
                <w:sz w:val="20"/>
                <w:szCs w:val="20"/>
                <w:color w:val="auto"/>
              </w:rPr>
            </w:pPr>
            <w:r>
              <w:rPr>
                <w:rFonts w:ascii="Arial" w:cs="Arial" w:eastAsia="Arial" w:hAnsi="Arial"/>
                <w:sz w:val="10"/>
                <w:szCs w:val="10"/>
                <w:b w:val="1"/>
                <w:bCs w:val="1"/>
                <w:color w:val="auto"/>
              </w:rPr>
              <w:t>As of June 30, 2022</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5"/>
          </w:tcPr>
          <w:p>
            <w:pPr>
              <w:ind w:left="240"/>
              <w:spacing w:after="0"/>
              <w:rPr>
                <w:sz w:val="20"/>
                <w:szCs w:val="20"/>
                <w:color w:val="auto"/>
              </w:rPr>
            </w:pPr>
            <w:r>
              <w:rPr>
                <w:rFonts w:ascii="Arial" w:cs="Arial" w:eastAsia="Arial" w:hAnsi="Arial"/>
                <w:sz w:val="10"/>
                <w:szCs w:val="10"/>
                <w:b w:val="1"/>
                <w:bCs w:val="1"/>
                <w:color w:val="auto"/>
              </w:rPr>
              <w:t>As of December 31, 2021</w:t>
            </w: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I</w:t>
            </w:r>
          </w:p>
        </w:tc>
        <w:tc>
          <w:tcPr>
            <w:tcW w:w="200" w:type="dxa"/>
            <w:vAlign w:val="bottom"/>
          </w:tcPr>
          <w:p>
            <w:pPr>
              <w:spacing w:after="0"/>
              <w:rPr>
                <w:sz w:val="11"/>
                <w:szCs w:val="11"/>
                <w:color w:val="auto"/>
              </w:rPr>
            </w:pPr>
          </w:p>
        </w:tc>
        <w:tc>
          <w:tcPr>
            <w:tcW w:w="90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II</w:t>
            </w:r>
          </w:p>
        </w:tc>
        <w:tc>
          <w:tcPr>
            <w:tcW w:w="180" w:type="dxa"/>
            <w:vAlign w:val="bottom"/>
          </w:tcPr>
          <w:p>
            <w:pPr>
              <w:spacing w:after="0"/>
              <w:rPr>
                <w:sz w:val="11"/>
                <w:szCs w:val="11"/>
                <w:color w:val="auto"/>
              </w:rPr>
            </w:pPr>
          </w:p>
        </w:tc>
        <w:tc>
          <w:tcPr>
            <w:tcW w:w="90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III</w:t>
            </w:r>
          </w:p>
        </w:tc>
        <w:tc>
          <w:tcPr>
            <w:tcW w:w="220" w:type="dxa"/>
            <w:vAlign w:val="bottom"/>
          </w:tcPr>
          <w:p>
            <w:pPr>
              <w:spacing w:after="0"/>
              <w:rPr>
                <w:sz w:val="11"/>
                <w:szCs w:val="11"/>
                <w:color w:val="auto"/>
              </w:rPr>
            </w:pPr>
          </w:p>
        </w:tc>
        <w:tc>
          <w:tcPr>
            <w:tcW w:w="740" w:type="dxa"/>
            <w:vAlign w:val="bottom"/>
          </w:tcPr>
          <w:p>
            <w:pPr>
              <w:jc w:val="right"/>
              <w:ind w:right="304"/>
              <w:spacing w:after="0"/>
              <w:rPr>
                <w:sz w:val="20"/>
                <w:szCs w:val="20"/>
                <w:color w:val="auto"/>
              </w:rPr>
            </w:pPr>
            <w:r>
              <w:rPr>
                <w:rFonts w:ascii="Arial" w:cs="Arial" w:eastAsia="Arial" w:hAnsi="Arial"/>
                <w:sz w:val="10"/>
                <w:szCs w:val="10"/>
                <w:b w:val="1"/>
                <w:bCs w:val="1"/>
                <w:color w:val="auto"/>
              </w:rPr>
              <w:t>Total</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I</w:t>
            </w:r>
          </w:p>
        </w:tc>
        <w:tc>
          <w:tcPr>
            <w:tcW w:w="200" w:type="dxa"/>
            <w:vAlign w:val="bottom"/>
          </w:tcPr>
          <w:p>
            <w:pPr>
              <w:spacing w:after="0"/>
              <w:rPr>
                <w:sz w:val="11"/>
                <w:szCs w:val="11"/>
                <w:color w:val="auto"/>
              </w:rPr>
            </w:pPr>
          </w:p>
        </w:tc>
        <w:tc>
          <w:tcPr>
            <w:tcW w:w="90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II</w:t>
            </w:r>
          </w:p>
        </w:tc>
        <w:tc>
          <w:tcPr>
            <w:tcW w:w="180" w:type="dxa"/>
            <w:vAlign w:val="bottom"/>
          </w:tcPr>
          <w:p>
            <w:pPr>
              <w:spacing w:after="0"/>
              <w:rPr>
                <w:sz w:val="11"/>
                <w:szCs w:val="11"/>
                <w:color w:val="auto"/>
              </w:rPr>
            </w:pPr>
          </w:p>
        </w:tc>
        <w:tc>
          <w:tcPr>
            <w:tcW w:w="90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III</w:t>
            </w: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Tot</w:t>
            </w:r>
          </w:p>
        </w:tc>
        <w:tc>
          <w:tcPr>
            <w:tcW w:w="0" w:type="dxa"/>
            <w:vAlign w:val="bottom"/>
          </w:tcPr>
          <w:p>
            <w:pPr>
              <w:spacing w:after="0"/>
              <w:rPr>
                <w:sz w:val="1"/>
                <w:szCs w:val="1"/>
                <w:color w:val="auto"/>
              </w:rPr>
            </w:pPr>
          </w:p>
        </w:tc>
      </w:tr>
      <w:tr>
        <w:trPr>
          <w:trHeight w:val="110"/>
        </w:trPr>
        <w:tc>
          <w:tcPr>
            <w:tcW w:w="380" w:type="dxa"/>
            <w:vAlign w:val="bottom"/>
            <w:tcBorders>
              <w:bottom w:val="single" w:sz="8" w:color="auto"/>
            </w:tcBorders>
          </w:tcPr>
          <w:p>
            <w:pPr>
              <w:spacing w:after="0" w:line="110" w:lineRule="exact"/>
              <w:rPr>
                <w:sz w:val="20"/>
                <w:szCs w:val="20"/>
                <w:color w:val="auto"/>
              </w:rPr>
            </w:pPr>
            <w:r>
              <w:rPr>
                <w:rFonts w:ascii="Arial" w:cs="Arial" w:eastAsia="Arial" w:hAnsi="Arial"/>
                <w:sz w:val="11"/>
                <w:szCs w:val="11"/>
                <w:b w:val="1"/>
                <w:bCs w:val="1"/>
                <w:color w:val="auto"/>
                <w:w w:val="99"/>
              </w:rPr>
              <w:t>Assets</w:t>
            </w:r>
          </w:p>
        </w:tc>
        <w:tc>
          <w:tcPr>
            <w:tcW w:w="2200" w:type="dxa"/>
            <w:vAlign w:val="bottom"/>
            <w:gridSpan w:val="2"/>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580" w:type="dxa"/>
            <w:vAlign w:val="bottom"/>
            <w:gridSpan w:val="3"/>
          </w:tcPr>
          <w:p>
            <w:pPr>
              <w:spacing w:after="0"/>
              <w:rPr>
                <w:sz w:val="20"/>
                <w:szCs w:val="20"/>
                <w:color w:val="auto"/>
              </w:rPr>
            </w:pPr>
            <w:r>
              <w:rPr>
                <w:rFonts w:ascii="Arial" w:cs="Arial" w:eastAsia="Arial" w:hAnsi="Arial"/>
                <w:sz w:val="11"/>
                <w:szCs w:val="11"/>
                <w:color w:val="auto"/>
              </w:rPr>
              <w:t xml:space="preserve">U.S. Treasury and other securities </w:t>
            </w:r>
            <w:r>
              <w:rPr>
                <w:rFonts w:ascii="Arial" w:cs="Arial" w:eastAsia="Arial" w:hAnsi="Arial"/>
                <w:sz w:val="14"/>
                <w:szCs w:val="14"/>
                <w:color w:val="auto"/>
                <w:vertAlign w:val="superscript"/>
              </w:rPr>
              <w:t>(1)</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6,285</w:t>
            </w:r>
          </w:p>
        </w:tc>
        <w:tc>
          <w:tcPr>
            <w:tcW w:w="120" w:type="dxa"/>
            <w:vAlign w:val="bottom"/>
          </w:tcPr>
          <w:p>
            <w:pPr>
              <w:spacing w:after="0"/>
              <w:rPr>
                <w:sz w:val="15"/>
                <w:szCs w:val="15"/>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6,285</w:t>
            </w:r>
          </w:p>
        </w:tc>
        <w:tc>
          <w:tcPr>
            <w:tcW w:w="220" w:type="dxa"/>
            <w:vAlign w:val="bottom"/>
          </w:tcPr>
          <w:p>
            <w:pPr>
              <w:spacing w:after="0"/>
              <w:rPr>
                <w:sz w:val="15"/>
                <w:szCs w:val="15"/>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2,086</w:t>
            </w:r>
          </w:p>
        </w:tc>
        <w:tc>
          <w:tcPr>
            <w:tcW w:w="120" w:type="dxa"/>
            <w:vAlign w:val="bottom"/>
          </w:tcPr>
          <w:p>
            <w:pPr>
              <w:spacing w:after="0"/>
              <w:rPr>
                <w:sz w:val="15"/>
                <w:szCs w:val="15"/>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0" w:type="dxa"/>
            <w:vAlign w:val="bottom"/>
          </w:tcPr>
          <w:p>
            <w:pPr>
              <w:spacing w:after="0"/>
              <w:rPr>
                <w:sz w:val="1"/>
                <w:szCs w:val="1"/>
                <w:color w:val="auto"/>
              </w:rPr>
            </w:pPr>
          </w:p>
        </w:tc>
      </w:tr>
      <w:tr>
        <w:trPr>
          <w:trHeight w:val="148"/>
        </w:trPr>
        <w:tc>
          <w:tcPr>
            <w:tcW w:w="2580" w:type="dxa"/>
            <w:vAlign w:val="bottom"/>
            <w:gridSpan w:val="3"/>
          </w:tcPr>
          <w:p>
            <w:pPr>
              <w:spacing w:after="0"/>
              <w:rPr>
                <w:sz w:val="20"/>
                <w:szCs w:val="20"/>
                <w:color w:val="auto"/>
              </w:rPr>
            </w:pPr>
            <w:r>
              <w:rPr>
                <w:rFonts w:ascii="Arial" w:cs="Arial" w:eastAsia="Arial" w:hAnsi="Arial"/>
                <w:sz w:val="11"/>
                <w:szCs w:val="11"/>
                <w:color w:val="auto"/>
              </w:rPr>
              <w:t>Corporate investments</w:t>
            </w:r>
          </w:p>
        </w:tc>
        <w:tc>
          <w:tcPr>
            <w:tcW w:w="200" w:type="dxa"/>
            <w:vAlign w:val="bottom"/>
          </w:tcPr>
          <w:p>
            <w:pPr>
              <w:spacing w:after="0"/>
              <w:rPr>
                <w:sz w:val="12"/>
                <w:szCs w:val="12"/>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86,702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1,217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6,397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94,316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62,124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7,316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1,714</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80" w:type="dxa"/>
            <w:vAlign w:val="bottom"/>
            <w:gridSpan w:val="3"/>
          </w:tcPr>
          <w:p>
            <w:pPr>
              <w:spacing w:after="0"/>
              <w:rPr>
                <w:sz w:val="20"/>
                <w:szCs w:val="20"/>
                <w:color w:val="auto"/>
              </w:rPr>
            </w:pPr>
            <w:r>
              <w:rPr>
                <w:rFonts w:ascii="Arial" w:cs="Arial" w:eastAsia="Arial" w:hAnsi="Arial"/>
                <w:sz w:val="11"/>
                <w:szCs w:val="11"/>
                <w:color w:val="auto"/>
              </w:rPr>
              <w:t>Foreign-currency forward contracts - included in</w:t>
            </w:r>
          </w:p>
        </w:tc>
        <w:tc>
          <w:tcPr>
            <w:tcW w:w="20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80" w:type="dxa"/>
            <w:vAlign w:val="bottom"/>
            <w:vMerge w:val="restart"/>
          </w:tcPr>
          <w:p>
            <w:pPr>
              <w:jc w:val="right"/>
              <w:ind w:right="5"/>
              <w:spacing w:after="0"/>
              <w:rPr>
                <w:sz w:val="20"/>
                <w:szCs w:val="20"/>
                <w:color w:val="auto"/>
              </w:rPr>
            </w:pPr>
            <w:r>
              <w:rPr>
                <w:rFonts w:ascii="Arial" w:cs="Arial" w:eastAsia="Arial" w:hAnsi="Arial"/>
                <w:sz w:val="11"/>
                <w:szCs w:val="11"/>
                <w:color w:val="auto"/>
              </w:rPr>
              <w:t>7,413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7,413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6,414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80" w:type="dxa"/>
            <w:vAlign w:val="bottom"/>
            <w:gridSpan w:val="3"/>
          </w:tcPr>
          <w:p>
            <w:pPr>
              <w:spacing w:after="0"/>
              <w:rPr>
                <w:sz w:val="20"/>
                <w:szCs w:val="20"/>
                <w:color w:val="auto"/>
              </w:rPr>
            </w:pPr>
            <w:r>
              <w:rPr>
                <w:rFonts w:ascii="Arial" w:cs="Arial" w:eastAsia="Arial" w:hAnsi="Arial"/>
                <w:sz w:val="11"/>
                <w:szCs w:val="11"/>
                <w:color w:val="auto"/>
              </w:rPr>
              <w:t>corporate investments</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80" w:type="dxa"/>
            <w:vAlign w:val="bottom"/>
            <w:gridSpan w:val="3"/>
          </w:tcPr>
          <w:p>
            <w:pPr>
              <w:spacing w:after="0" w:line="117" w:lineRule="exact"/>
              <w:rPr>
                <w:sz w:val="20"/>
                <w:szCs w:val="20"/>
                <w:color w:val="auto"/>
              </w:rPr>
            </w:pPr>
            <w:r>
              <w:rPr>
                <w:rFonts w:ascii="Arial" w:cs="Arial" w:eastAsia="Arial" w:hAnsi="Arial"/>
                <w:sz w:val="11"/>
                <w:szCs w:val="11"/>
                <w:color w:val="auto"/>
              </w:rPr>
              <w:t>Foreign-currency forward contracts - included in</w:t>
            </w:r>
          </w:p>
        </w:tc>
        <w:tc>
          <w:tcPr>
            <w:tcW w:w="2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780" w:type="dxa"/>
            <w:vAlign w:val="bottom"/>
            <w:vMerge w:val="restart"/>
          </w:tcPr>
          <w:p>
            <w:pPr>
              <w:jc w:val="right"/>
              <w:ind w:right="5"/>
              <w:spacing w:after="0"/>
              <w:rPr>
                <w:sz w:val="20"/>
                <w:szCs w:val="20"/>
                <w:color w:val="auto"/>
              </w:rPr>
            </w:pPr>
            <w:r>
              <w:rPr>
                <w:rFonts w:ascii="Arial" w:cs="Arial" w:eastAsia="Arial" w:hAnsi="Arial"/>
                <w:sz w:val="11"/>
                <w:szCs w:val="11"/>
                <w:color w:val="auto"/>
              </w:rPr>
              <w:t>4,844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4,844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4,799</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80" w:type="dxa"/>
            <w:vAlign w:val="bottom"/>
            <w:gridSpan w:val="3"/>
          </w:tcPr>
          <w:p>
            <w:pPr>
              <w:spacing w:after="0"/>
              <w:rPr>
                <w:sz w:val="20"/>
                <w:szCs w:val="20"/>
                <w:color w:val="auto"/>
              </w:rPr>
            </w:pPr>
            <w:r>
              <w:rPr>
                <w:rFonts w:ascii="Arial" w:cs="Arial" w:eastAsia="Arial" w:hAnsi="Arial"/>
                <w:sz w:val="11"/>
                <w:szCs w:val="11"/>
                <w:color w:val="auto"/>
              </w:rPr>
              <w:t>other assets</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580" w:type="dxa"/>
            <w:vAlign w:val="bottom"/>
            <w:gridSpan w:val="3"/>
          </w:tcPr>
          <w:p>
            <w:pPr>
              <w:spacing w:after="0"/>
              <w:rPr>
                <w:sz w:val="20"/>
                <w:szCs w:val="20"/>
                <w:color w:val="auto"/>
              </w:rPr>
            </w:pPr>
            <w:r>
              <w:rPr>
                <w:rFonts w:ascii="Arial" w:cs="Arial" w:eastAsia="Arial" w:hAnsi="Arial"/>
                <w:sz w:val="11"/>
                <w:szCs w:val="11"/>
                <w:color w:val="auto"/>
              </w:rPr>
              <w:t>Total assets</w:t>
            </w: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92,987</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13,474</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6,397</w:t>
            </w: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112,858</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64,210</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18,529</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1,714</w:t>
            </w:r>
          </w:p>
        </w:tc>
        <w:tc>
          <w:tcPr>
            <w:tcW w:w="1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1"/>
                <w:szCs w:val="11"/>
                <w:color w:val="auto"/>
                <w:w w:val="97"/>
              </w:rPr>
              <w:t>$</w:t>
            </w:r>
          </w:p>
        </w:tc>
        <w:tc>
          <w:tcPr>
            <w:tcW w:w="0" w:type="dxa"/>
            <w:vAlign w:val="bottom"/>
          </w:tcPr>
          <w:p>
            <w:pPr>
              <w:spacing w:after="0"/>
              <w:rPr>
                <w:sz w:val="1"/>
                <w:szCs w:val="1"/>
                <w:color w:val="auto"/>
              </w:rPr>
            </w:pPr>
          </w:p>
        </w:tc>
      </w:tr>
      <w:tr>
        <w:trPr>
          <w:trHeight w:val="20"/>
        </w:trPr>
        <w:tc>
          <w:tcPr>
            <w:tcW w:w="25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5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580" w:type="dxa"/>
            <w:vAlign w:val="bottom"/>
            <w:gridSpan w:val="3"/>
          </w:tcPr>
          <w:p>
            <w:pPr>
              <w:spacing w:after="0"/>
              <w:rPr>
                <w:sz w:val="20"/>
                <w:szCs w:val="20"/>
                <w:color w:val="auto"/>
              </w:rPr>
            </w:pPr>
            <w:r>
              <w:rPr>
                <w:rFonts w:ascii="Arial" w:cs="Arial" w:eastAsia="Arial" w:hAnsi="Arial"/>
                <w:sz w:val="11"/>
                <w:szCs w:val="11"/>
                <w:color w:val="auto"/>
              </w:rPr>
              <w:t>Foreign-currency forward contracts - included in</w:t>
            </w:r>
          </w:p>
        </w:tc>
        <w:tc>
          <w:tcPr>
            <w:tcW w:w="20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(536)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80" w:type="dxa"/>
            <w:vAlign w:val="bottom"/>
            <w:gridSpan w:val="3"/>
          </w:tcPr>
          <w:p>
            <w:pPr>
              <w:spacing w:after="0"/>
              <w:rPr>
                <w:sz w:val="20"/>
                <w:szCs w:val="20"/>
                <w:color w:val="auto"/>
              </w:rPr>
            </w:pPr>
            <w:r>
              <w:rPr>
                <w:rFonts w:ascii="Arial" w:cs="Arial" w:eastAsia="Arial" w:hAnsi="Arial"/>
                <w:sz w:val="11"/>
                <w:szCs w:val="11"/>
                <w:color w:val="auto"/>
              </w:rPr>
              <w:t>other liabilities</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80" w:type="dxa"/>
            <w:vAlign w:val="bottom"/>
            <w:gridSpan w:val="3"/>
          </w:tcPr>
          <w:p>
            <w:pPr>
              <w:spacing w:after="0" w:line="117" w:lineRule="exact"/>
              <w:rPr>
                <w:sz w:val="20"/>
                <w:szCs w:val="20"/>
                <w:color w:val="auto"/>
              </w:rPr>
            </w:pPr>
            <w:r>
              <w:rPr>
                <w:rFonts w:ascii="Arial" w:cs="Arial" w:eastAsia="Arial" w:hAnsi="Arial"/>
                <w:sz w:val="11"/>
                <w:szCs w:val="11"/>
                <w:color w:val="auto"/>
              </w:rPr>
              <w:t>Foreign-currency forward contracts - included in</w:t>
            </w:r>
          </w:p>
        </w:tc>
        <w:tc>
          <w:tcPr>
            <w:tcW w:w="2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(5,327)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(5,327)</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3"/>
          </w:tcPr>
          <w:p>
            <w:pPr>
              <w:spacing w:after="0"/>
              <w:rPr>
                <w:sz w:val="20"/>
                <w:szCs w:val="20"/>
                <w:color w:val="auto"/>
              </w:rPr>
            </w:pPr>
            <w:r>
              <w:rPr>
                <w:rFonts w:ascii="Arial" w:cs="Arial" w:eastAsia="Arial" w:hAnsi="Arial"/>
                <w:sz w:val="11"/>
                <w:szCs w:val="11"/>
                <w:color w:val="auto"/>
              </w:rPr>
              <w:t>debt obligations</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56578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 cy="6985"/>
                    </a:xfrm>
                    <a:prstGeom prst="rect">
                      <a:avLst/>
                    </a:prstGeom>
                    <a:noFill/>
                  </pic:spPr>
                </pic:pic>
              </a:graphicData>
            </a:graphic>
          </wp:anchor>
        </w:drawing>
      </w:r>
    </w:p>
    <w:p>
      <w:pPr>
        <w:spacing w:after="0" w:line="220" w:lineRule="exact"/>
        <w:rPr>
          <w:sz w:val="20"/>
          <w:szCs w:val="20"/>
          <w:color w:val="auto"/>
        </w:rPr>
      </w:pPr>
    </w:p>
    <w:p>
      <w:pPr>
        <w:ind w:left="300" w:hanging="295"/>
        <w:spacing w:after="0"/>
        <w:tabs>
          <w:tab w:leader="none" w:pos="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 U.S. Treasury securities the carrying value approximates fair value due to their short-term nature and are classified as Level I investments within the fair value hierarchy detailed above.</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63" w:lineRule="exact"/>
        <w:rPr>
          <w:rFonts w:ascii="Arial" w:cs="Arial" w:eastAsia="Arial" w:hAnsi="Arial"/>
          <w:sz w:val="13"/>
          <w:szCs w:val="13"/>
          <w:color w:val="auto"/>
        </w:rPr>
      </w:pPr>
    </w:p>
    <w:p>
      <w:pPr>
        <w:ind w:left="5560"/>
        <w:spacing w:after="0"/>
        <w:rPr>
          <w:rFonts w:ascii="Arial" w:cs="Arial" w:eastAsia="Arial" w:hAnsi="Arial"/>
          <w:sz w:val="13"/>
          <w:szCs w:val="13"/>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316"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table below sets forth a summary of changes in the fair value of Level III financial instruments: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8440" w:type="dxa"/>
            <w:vAlign w:val="bottom"/>
          </w:tcPr>
          <w:p>
            <w:pPr>
              <w:spacing w:after="0"/>
              <w:rPr>
                <w:sz w:val="12"/>
                <w:szCs w:val="12"/>
                <w:color w:val="auto"/>
              </w:rPr>
            </w:pPr>
          </w:p>
        </w:tc>
        <w:tc>
          <w:tcPr>
            <w:tcW w:w="2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rPr>
              <w:t>Three months ended June 30,</w:t>
            </w:r>
          </w:p>
        </w:tc>
        <w:tc>
          <w:tcPr>
            <w:tcW w:w="520" w:type="dxa"/>
            <w:vAlign w:val="bottom"/>
            <w:tcBorders>
              <w:bottom w:val="single" w:sz="8" w:color="auto"/>
            </w:tcBorders>
          </w:tcPr>
          <w:p>
            <w:pPr>
              <w:spacing w:after="0"/>
              <w:rPr>
                <w:sz w:val="12"/>
                <w:szCs w:val="12"/>
                <w:color w:val="auto"/>
              </w:rPr>
            </w:pPr>
          </w:p>
        </w:tc>
      </w:tr>
      <w:tr>
        <w:trPr>
          <w:trHeight w:val="129"/>
        </w:trPr>
        <w:tc>
          <w:tcPr>
            <w:tcW w:w="844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r>
      <w:tr>
        <w:trPr>
          <w:trHeight w:val="235"/>
        </w:trPr>
        <w:tc>
          <w:tcPr>
            <w:tcW w:w="8440" w:type="dxa"/>
            <w:vAlign w:val="bottom"/>
          </w:tcPr>
          <w:p>
            <w:pPr>
              <w:spacing w:after="0"/>
              <w:rPr>
                <w:sz w:val="20"/>
                <w:szCs w:val="20"/>
                <w:color w:val="auto"/>
              </w:rPr>
            </w:pPr>
            <w:r>
              <w:rPr>
                <w:rFonts w:ascii="Arial" w:cs="Arial" w:eastAsia="Arial" w:hAnsi="Arial"/>
                <w:sz w:val="13"/>
                <w:szCs w:val="13"/>
                <w:color w:val="auto"/>
              </w:rPr>
              <w:t>Corporate Investments:</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70"/>
        </w:trPr>
        <w:tc>
          <w:tcPr>
            <w:tcW w:w="8440" w:type="dxa"/>
            <w:vAlign w:val="bottom"/>
          </w:tcPr>
          <w:p>
            <w:pPr>
              <w:ind w:left="120"/>
              <w:spacing w:after="0"/>
              <w:rPr>
                <w:sz w:val="20"/>
                <w:szCs w:val="20"/>
                <w:color w:val="auto"/>
              </w:rPr>
            </w:pPr>
            <w:r>
              <w:rPr>
                <w:rFonts w:ascii="Arial" w:cs="Arial" w:eastAsia="Arial" w:hAnsi="Arial"/>
                <w:sz w:val="13"/>
                <w:szCs w:val="13"/>
                <w:color w:val="auto"/>
              </w:rPr>
              <w:t>Beginning balance</w:t>
            </w:r>
          </w:p>
        </w:tc>
        <w:tc>
          <w:tcPr>
            <w:tcW w:w="780" w:type="dxa"/>
            <w:vAlign w:val="bottom"/>
          </w:tcPr>
          <w:p>
            <w:pPr>
              <w:jc w:val="right"/>
              <w:ind w:right="641"/>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6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27,924</w:t>
            </w:r>
          </w:p>
        </w:tc>
      </w:tr>
      <w:tr>
        <w:trPr>
          <w:trHeight w:val="170"/>
        </w:trPr>
        <w:tc>
          <w:tcPr>
            <w:tcW w:w="8440" w:type="dxa"/>
            <w:vAlign w:val="bottom"/>
          </w:tcPr>
          <w:p>
            <w:pPr>
              <w:ind w:left="120"/>
              <w:spacing w:after="0"/>
              <w:rPr>
                <w:sz w:val="20"/>
                <w:szCs w:val="20"/>
                <w:color w:val="auto"/>
              </w:rPr>
            </w:pPr>
            <w:r>
              <w:rPr>
                <w:rFonts w:ascii="Arial" w:cs="Arial" w:eastAsia="Arial" w:hAnsi="Arial"/>
                <w:sz w:val="13"/>
                <w:szCs w:val="13"/>
                <w:color w:val="auto"/>
              </w:rPr>
              <w:t>Contributions or additions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7,863</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10,218</w:t>
            </w:r>
          </w:p>
        </w:tc>
      </w:tr>
      <w:tr>
        <w:trPr>
          <w:trHeight w:val="170"/>
        </w:trPr>
        <w:tc>
          <w:tcPr>
            <w:tcW w:w="8440" w:type="dxa"/>
            <w:vAlign w:val="bottom"/>
          </w:tcPr>
          <w:p>
            <w:pPr>
              <w:ind w:left="120"/>
              <w:spacing w:after="0"/>
              <w:rPr>
                <w:sz w:val="20"/>
                <w:szCs w:val="20"/>
                <w:color w:val="auto"/>
              </w:rPr>
            </w:pPr>
            <w:r>
              <w:rPr>
                <w:rFonts w:ascii="Arial" w:cs="Arial" w:eastAsia="Arial" w:hAnsi="Arial"/>
                <w:sz w:val="13"/>
                <w:szCs w:val="13"/>
                <w:color w:val="auto"/>
              </w:rPr>
              <w:t>Distributions</w:t>
            </w:r>
          </w:p>
        </w:tc>
        <w:tc>
          <w:tcPr>
            <w:tcW w:w="7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(13,332)</w:t>
            </w:r>
          </w:p>
        </w:tc>
      </w:tr>
      <w:tr>
        <w:trPr>
          <w:trHeight w:val="171"/>
        </w:trPr>
        <w:tc>
          <w:tcPr>
            <w:tcW w:w="8440" w:type="dxa"/>
            <w:vAlign w:val="bottom"/>
          </w:tcPr>
          <w:p>
            <w:pPr>
              <w:ind w:left="120"/>
              <w:spacing w:after="0"/>
              <w:rPr>
                <w:sz w:val="20"/>
                <w:szCs w:val="20"/>
                <w:color w:val="auto"/>
              </w:rPr>
            </w:pPr>
            <w:r>
              <w:rPr>
                <w:rFonts w:ascii="Arial" w:cs="Arial" w:eastAsia="Arial" w:hAnsi="Arial"/>
                <w:sz w:val="13"/>
                <w:szCs w:val="13"/>
                <w:color w:val="auto"/>
              </w:rPr>
              <w:t>Net gain (loss) included in earnings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(1,466)</w:t>
            </w: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7,961</w:t>
            </w:r>
          </w:p>
        </w:tc>
      </w:tr>
      <w:tr>
        <w:trPr>
          <w:trHeight w:val="162"/>
        </w:trPr>
        <w:tc>
          <w:tcPr>
            <w:tcW w:w="8440" w:type="dxa"/>
            <w:vAlign w:val="bottom"/>
          </w:tcPr>
          <w:p>
            <w:pPr>
              <w:ind w:left="120"/>
              <w:spacing w:after="0"/>
              <w:rPr>
                <w:sz w:val="20"/>
                <w:szCs w:val="20"/>
                <w:color w:val="auto"/>
              </w:rPr>
            </w:pPr>
            <w:r>
              <w:rPr>
                <w:rFonts w:ascii="Arial" w:cs="Arial" w:eastAsia="Arial" w:hAnsi="Arial"/>
                <w:sz w:val="13"/>
                <w:szCs w:val="13"/>
                <w:color w:val="auto"/>
              </w:rPr>
              <w:t>Ending balance</w:t>
            </w:r>
          </w:p>
        </w:tc>
        <w:tc>
          <w:tcPr>
            <w:tcW w:w="780" w:type="dxa"/>
            <w:vAlign w:val="bottom"/>
            <w:tcBorders>
              <w:bottom w:val="single" w:sz="8" w:color="auto"/>
            </w:tcBorders>
          </w:tcPr>
          <w:p>
            <w:pPr>
              <w:jc w:val="right"/>
              <w:ind w:right="641"/>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6,397</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right"/>
              <w:ind w:right="6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32,771</w:t>
            </w:r>
          </w:p>
        </w:tc>
      </w:tr>
      <w:tr>
        <w:trPr>
          <w:trHeight w:val="20"/>
        </w:trPr>
        <w:tc>
          <w:tcPr>
            <w:tcW w:w="8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343"/>
        </w:trPr>
        <w:tc>
          <w:tcPr>
            <w:tcW w:w="8440" w:type="dxa"/>
            <w:vAlign w:val="bottom"/>
          </w:tcPr>
          <w:p>
            <w:pPr>
              <w:ind w:left="120"/>
              <w:spacing w:after="0"/>
              <w:rPr>
                <w:sz w:val="20"/>
                <w:szCs w:val="20"/>
                <w:color w:val="auto"/>
              </w:rPr>
            </w:pPr>
            <w:r>
              <w:rPr>
                <w:rFonts w:ascii="Arial" w:cs="Arial" w:eastAsia="Arial" w:hAnsi="Arial"/>
                <w:sz w:val="13"/>
                <w:szCs w:val="13"/>
                <w:color w:val="auto"/>
              </w:rPr>
              <w:t>Net change in unrealized gains (losses) attributable to financial instruments still held at end of period</w:t>
            </w:r>
          </w:p>
        </w:tc>
        <w:tc>
          <w:tcPr>
            <w:tcW w:w="780" w:type="dxa"/>
            <w:vAlign w:val="bottom"/>
            <w:tcBorders>
              <w:bottom w:val="single" w:sz="8" w:color="auto"/>
            </w:tcBorders>
          </w:tcPr>
          <w:p>
            <w:pPr>
              <w:jc w:val="right"/>
              <w:ind w:right="641"/>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(1,211)</w:t>
            </w:r>
          </w:p>
        </w:tc>
        <w:tc>
          <w:tcPr>
            <w:tcW w:w="180" w:type="dxa"/>
            <w:vAlign w:val="bottom"/>
          </w:tcPr>
          <w:p>
            <w:pPr>
              <w:spacing w:after="0"/>
              <w:rPr>
                <w:sz w:val="24"/>
                <w:szCs w:val="24"/>
                <w:color w:val="auto"/>
              </w:rPr>
            </w:pPr>
          </w:p>
        </w:tc>
        <w:tc>
          <w:tcPr>
            <w:tcW w:w="800" w:type="dxa"/>
            <w:vAlign w:val="bottom"/>
            <w:tcBorders>
              <w:bottom w:val="single" w:sz="8" w:color="auto"/>
            </w:tcBorders>
          </w:tcPr>
          <w:p>
            <w:pPr>
              <w:jc w:val="right"/>
              <w:ind w:right="6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(8,515)</w:t>
            </w:r>
          </w:p>
        </w:tc>
      </w:tr>
      <w:tr>
        <w:trPr>
          <w:trHeight w:val="20"/>
        </w:trPr>
        <w:tc>
          <w:tcPr>
            <w:tcW w:w="8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520"/>
        </w:trPr>
        <w:tc>
          <w:tcPr>
            <w:tcW w:w="84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w w:val="97"/>
              </w:rPr>
              <w:t>Six months ended June 30,</w:t>
            </w:r>
          </w:p>
        </w:tc>
        <w:tc>
          <w:tcPr>
            <w:tcW w:w="520" w:type="dxa"/>
            <w:vAlign w:val="bottom"/>
            <w:tcBorders>
              <w:bottom w:val="single" w:sz="8" w:color="auto"/>
            </w:tcBorders>
          </w:tcPr>
          <w:p>
            <w:pPr>
              <w:spacing w:after="0"/>
              <w:rPr>
                <w:sz w:val="24"/>
                <w:szCs w:val="24"/>
                <w:color w:val="auto"/>
              </w:rPr>
            </w:pPr>
          </w:p>
        </w:tc>
      </w:tr>
      <w:tr>
        <w:trPr>
          <w:trHeight w:val="129"/>
        </w:trPr>
        <w:tc>
          <w:tcPr>
            <w:tcW w:w="844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r>
      <w:tr>
        <w:trPr>
          <w:trHeight w:val="235"/>
        </w:trPr>
        <w:tc>
          <w:tcPr>
            <w:tcW w:w="8440" w:type="dxa"/>
            <w:vAlign w:val="bottom"/>
          </w:tcPr>
          <w:p>
            <w:pPr>
              <w:spacing w:after="0"/>
              <w:rPr>
                <w:sz w:val="20"/>
                <w:szCs w:val="20"/>
                <w:color w:val="auto"/>
              </w:rPr>
            </w:pPr>
            <w:r>
              <w:rPr>
                <w:rFonts w:ascii="Arial" w:cs="Arial" w:eastAsia="Arial" w:hAnsi="Arial"/>
                <w:sz w:val="13"/>
                <w:szCs w:val="13"/>
                <w:color w:val="auto"/>
              </w:rPr>
              <w:t>Corporate Investments:</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70"/>
        </w:trPr>
        <w:tc>
          <w:tcPr>
            <w:tcW w:w="8440" w:type="dxa"/>
            <w:vAlign w:val="bottom"/>
          </w:tcPr>
          <w:p>
            <w:pPr>
              <w:ind w:left="120"/>
              <w:spacing w:after="0"/>
              <w:rPr>
                <w:sz w:val="20"/>
                <w:szCs w:val="20"/>
                <w:color w:val="auto"/>
              </w:rPr>
            </w:pPr>
            <w:r>
              <w:rPr>
                <w:rFonts w:ascii="Arial" w:cs="Arial" w:eastAsia="Arial" w:hAnsi="Arial"/>
                <w:sz w:val="13"/>
                <w:szCs w:val="13"/>
                <w:color w:val="auto"/>
              </w:rPr>
              <w:t>Beginning balance</w:t>
            </w:r>
          </w:p>
        </w:tc>
        <w:tc>
          <w:tcPr>
            <w:tcW w:w="780" w:type="dxa"/>
            <w:vAlign w:val="bottom"/>
          </w:tcPr>
          <w:p>
            <w:pPr>
              <w:jc w:val="right"/>
              <w:ind w:right="641"/>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1,714</w:t>
            </w:r>
          </w:p>
        </w:tc>
        <w:tc>
          <w:tcPr>
            <w:tcW w:w="180" w:type="dxa"/>
            <w:vAlign w:val="bottom"/>
          </w:tcPr>
          <w:p>
            <w:pPr>
              <w:spacing w:after="0"/>
              <w:rPr>
                <w:sz w:val="14"/>
                <w:szCs w:val="14"/>
                <w:color w:val="auto"/>
              </w:rPr>
            </w:pPr>
          </w:p>
        </w:tc>
        <w:tc>
          <w:tcPr>
            <w:tcW w:w="800" w:type="dxa"/>
            <w:vAlign w:val="bottom"/>
          </w:tcPr>
          <w:p>
            <w:pPr>
              <w:jc w:val="right"/>
              <w:ind w:right="6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27,045</w:t>
            </w:r>
          </w:p>
        </w:tc>
      </w:tr>
      <w:tr>
        <w:trPr>
          <w:trHeight w:val="170"/>
        </w:trPr>
        <w:tc>
          <w:tcPr>
            <w:tcW w:w="8440" w:type="dxa"/>
            <w:vAlign w:val="bottom"/>
          </w:tcPr>
          <w:p>
            <w:pPr>
              <w:ind w:left="120"/>
              <w:spacing w:after="0"/>
              <w:rPr>
                <w:sz w:val="20"/>
                <w:szCs w:val="20"/>
                <w:color w:val="auto"/>
              </w:rPr>
            </w:pPr>
            <w:r>
              <w:rPr>
                <w:rFonts w:ascii="Arial" w:cs="Arial" w:eastAsia="Arial" w:hAnsi="Arial"/>
                <w:sz w:val="13"/>
                <w:szCs w:val="13"/>
                <w:color w:val="auto"/>
              </w:rPr>
              <w:t>Contributions or additions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7,863</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10,218</w:t>
            </w:r>
          </w:p>
        </w:tc>
      </w:tr>
      <w:tr>
        <w:trPr>
          <w:trHeight w:val="170"/>
        </w:trPr>
        <w:tc>
          <w:tcPr>
            <w:tcW w:w="8440" w:type="dxa"/>
            <w:vAlign w:val="bottom"/>
          </w:tcPr>
          <w:p>
            <w:pPr>
              <w:ind w:left="120"/>
              <w:spacing w:after="0"/>
              <w:rPr>
                <w:sz w:val="20"/>
                <w:szCs w:val="20"/>
                <w:color w:val="auto"/>
              </w:rPr>
            </w:pPr>
            <w:r>
              <w:rPr>
                <w:rFonts w:ascii="Arial" w:cs="Arial" w:eastAsia="Arial" w:hAnsi="Arial"/>
                <w:sz w:val="13"/>
                <w:szCs w:val="13"/>
                <w:color w:val="auto"/>
              </w:rPr>
              <w:t>Distributions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(1,590)</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(14,024)</w:t>
            </w:r>
          </w:p>
        </w:tc>
      </w:tr>
      <w:tr>
        <w:trPr>
          <w:trHeight w:val="171"/>
        </w:trPr>
        <w:tc>
          <w:tcPr>
            <w:tcW w:w="8440" w:type="dxa"/>
            <w:vAlign w:val="bottom"/>
          </w:tcPr>
          <w:p>
            <w:pPr>
              <w:ind w:left="120"/>
              <w:spacing w:after="0"/>
              <w:rPr>
                <w:sz w:val="20"/>
                <w:szCs w:val="20"/>
                <w:color w:val="auto"/>
              </w:rPr>
            </w:pPr>
            <w:r>
              <w:rPr>
                <w:rFonts w:ascii="Arial" w:cs="Arial" w:eastAsia="Arial" w:hAnsi="Arial"/>
                <w:sz w:val="13"/>
                <w:szCs w:val="13"/>
                <w:color w:val="auto"/>
              </w:rPr>
              <w:t>Net gain (loss) included in earnings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(1,590)</w:t>
            </w: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9,532</w:t>
            </w:r>
          </w:p>
        </w:tc>
      </w:tr>
      <w:tr>
        <w:trPr>
          <w:trHeight w:val="162"/>
        </w:trPr>
        <w:tc>
          <w:tcPr>
            <w:tcW w:w="8440" w:type="dxa"/>
            <w:vAlign w:val="bottom"/>
          </w:tcPr>
          <w:p>
            <w:pPr>
              <w:ind w:left="120"/>
              <w:spacing w:after="0"/>
              <w:rPr>
                <w:sz w:val="20"/>
                <w:szCs w:val="20"/>
                <w:color w:val="auto"/>
              </w:rPr>
            </w:pPr>
            <w:r>
              <w:rPr>
                <w:rFonts w:ascii="Arial" w:cs="Arial" w:eastAsia="Arial" w:hAnsi="Arial"/>
                <w:sz w:val="13"/>
                <w:szCs w:val="13"/>
                <w:color w:val="auto"/>
              </w:rPr>
              <w:t>Ending balance</w:t>
            </w:r>
          </w:p>
        </w:tc>
        <w:tc>
          <w:tcPr>
            <w:tcW w:w="780" w:type="dxa"/>
            <w:vAlign w:val="bottom"/>
            <w:tcBorders>
              <w:bottom w:val="single" w:sz="8" w:color="auto"/>
            </w:tcBorders>
          </w:tcPr>
          <w:p>
            <w:pPr>
              <w:jc w:val="right"/>
              <w:ind w:right="641"/>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6,397</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right"/>
              <w:ind w:right="6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32,771</w:t>
            </w:r>
          </w:p>
        </w:tc>
      </w:tr>
      <w:tr>
        <w:trPr>
          <w:trHeight w:val="20"/>
        </w:trPr>
        <w:tc>
          <w:tcPr>
            <w:tcW w:w="8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343"/>
        </w:trPr>
        <w:tc>
          <w:tcPr>
            <w:tcW w:w="8440" w:type="dxa"/>
            <w:vAlign w:val="bottom"/>
          </w:tcPr>
          <w:p>
            <w:pPr>
              <w:ind w:left="120"/>
              <w:spacing w:after="0"/>
              <w:rPr>
                <w:sz w:val="20"/>
                <w:szCs w:val="20"/>
                <w:color w:val="auto"/>
              </w:rPr>
            </w:pPr>
            <w:r>
              <w:rPr>
                <w:rFonts w:ascii="Arial" w:cs="Arial" w:eastAsia="Arial" w:hAnsi="Arial"/>
                <w:sz w:val="13"/>
                <w:szCs w:val="13"/>
                <w:color w:val="auto"/>
              </w:rPr>
              <w:t>Net change in unrealized gains (losses) attributable to financial instruments still held at end of period</w:t>
            </w:r>
          </w:p>
        </w:tc>
        <w:tc>
          <w:tcPr>
            <w:tcW w:w="780" w:type="dxa"/>
            <w:vAlign w:val="bottom"/>
            <w:tcBorders>
              <w:bottom w:val="single" w:sz="8" w:color="auto"/>
            </w:tcBorders>
          </w:tcPr>
          <w:p>
            <w:pPr>
              <w:jc w:val="right"/>
              <w:ind w:right="641"/>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(1,622)</w:t>
            </w:r>
          </w:p>
        </w:tc>
        <w:tc>
          <w:tcPr>
            <w:tcW w:w="180" w:type="dxa"/>
            <w:vAlign w:val="bottom"/>
          </w:tcPr>
          <w:p>
            <w:pPr>
              <w:spacing w:after="0"/>
              <w:rPr>
                <w:sz w:val="24"/>
                <w:szCs w:val="24"/>
                <w:color w:val="auto"/>
              </w:rPr>
            </w:pPr>
          </w:p>
        </w:tc>
        <w:tc>
          <w:tcPr>
            <w:tcW w:w="800" w:type="dxa"/>
            <w:vAlign w:val="bottom"/>
            <w:tcBorders>
              <w:bottom w:val="single" w:sz="8" w:color="auto"/>
            </w:tcBorders>
          </w:tcPr>
          <w:p>
            <w:pPr>
              <w:jc w:val="right"/>
              <w:ind w:right="6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(7,636)</w:t>
            </w:r>
          </w:p>
        </w:tc>
      </w:tr>
      <w:tr>
        <w:trPr>
          <w:trHeight w:val="20"/>
        </w:trPr>
        <w:tc>
          <w:tcPr>
            <w:tcW w:w="8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The Company’s Level III financial instrument held as of June 30, 2022 consists of sponsor earn-out shares received in connection with the deconsolidation of a SPAC during the quarter. The Company’s Level III financial instruments held as of December 31, 2021 primarily consisted of the subordinated notes of one unconsolidated CLO, which was sold during the six months ended June 30, 2022.</w:t>
      </w:r>
    </w:p>
    <w:p>
      <w:pPr>
        <w:spacing w:after="0" w:line="134" w:lineRule="exact"/>
        <w:rPr>
          <w:sz w:val="20"/>
          <w:szCs w:val="20"/>
          <w:color w:val="auto"/>
        </w:rPr>
      </w:pPr>
    </w:p>
    <w:p>
      <w:pPr>
        <w:ind w:right="420" w:firstLine="509"/>
        <w:spacing w:after="0" w:line="290" w:lineRule="auto"/>
        <w:rPr>
          <w:sz w:val="20"/>
          <w:szCs w:val="20"/>
          <w:color w:val="auto"/>
        </w:rPr>
      </w:pPr>
      <w:r>
        <w:rPr>
          <w:rFonts w:ascii="Arial" w:cs="Arial" w:eastAsia="Arial" w:hAnsi="Arial"/>
          <w:sz w:val="14"/>
          <w:szCs w:val="14"/>
          <w:color w:val="auto"/>
        </w:rPr>
        <w:t>The table below sets forth a summary of the valuation techniques and quantitative information utilized in determining the fair value of the Company’s Level III financial instruments at June 30,2022: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Fair Value as of</w:t>
            </w: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040" w:type="dxa"/>
            <w:vAlign w:val="bottom"/>
            <w:vMerge w:val="restart"/>
          </w:tcPr>
          <w:p>
            <w:pPr>
              <w:ind w:left="1400"/>
              <w:spacing w:after="0"/>
              <w:rPr>
                <w:sz w:val="20"/>
                <w:szCs w:val="20"/>
                <w:color w:val="auto"/>
              </w:rPr>
            </w:pPr>
            <w:r>
              <w:rPr>
                <w:rFonts w:ascii="Arial" w:cs="Arial" w:eastAsia="Arial" w:hAnsi="Arial"/>
                <w:sz w:val="13"/>
                <w:szCs w:val="13"/>
                <w:b w:val="1"/>
                <w:bCs w:val="1"/>
                <w:color w:val="auto"/>
              </w:rPr>
              <w:t>Financial Instrument</w:t>
            </w:r>
          </w:p>
        </w:tc>
        <w:tc>
          <w:tcPr>
            <w:tcW w:w="2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w w:val="99"/>
              </w:rPr>
              <w:t>June 30, 2022</w:t>
            </w:r>
          </w:p>
        </w:tc>
        <w:tc>
          <w:tcPr>
            <w:tcW w:w="200" w:type="dxa"/>
            <w:vAlign w:val="bottom"/>
            <w:vMerge w:val="restart"/>
          </w:tcPr>
          <w:p>
            <w:pPr>
              <w:spacing w:after="0"/>
              <w:rPr>
                <w:sz w:val="12"/>
                <w:szCs w:val="12"/>
                <w:color w:val="auto"/>
              </w:rPr>
            </w:pPr>
          </w:p>
        </w:tc>
        <w:tc>
          <w:tcPr>
            <w:tcW w:w="2840" w:type="dxa"/>
            <w:vAlign w:val="bottom"/>
            <w:vMerge w:val="restart"/>
          </w:tcPr>
          <w:p>
            <w:pPr>
              <w:ind w:left="800"/>
              <w:spacing w:after="0"/>
              <w:rPr>
                <w:sz w:val="20"/>
                <w:szCs w:val="20"/>
                <w:color w:val="auto"/>
              </w:rPr>
            </w:pPr>
            <w:r>
              <w:rPr>
                <w:rFonts w:ascii="Arial" w:cs="Arial" w:eastAsia="Arial" w:hAnsi="Arial"/>
                <w:sz w:val="13"/>
                <w:szCs w:val="13"/>
                <w:b w:val="1"/>
                <w:bCs w:val="1"/>
                <w:color w:val="auto"/>
              </w:rPr>
              <w:t>Valuation Technique</w:t>
            </w:r>
          </w:p>
        </w:tc>
        <w:tc>
          <w:tcPr>
            <w:tcW w:w="180" w:type="dxa"/>
            <w:vAlign w:val="bottom"/>
          </w:tcPr>
          <w:p>
            <w:pPr>
              <w:spacing w:after="0"/>
              <w:rPr>
                <w:sz w:val="12"/>
                <w:szCs w:val="12"/>
                <w:color w:val="auto"/>
              </w:rPr>
            </w:pPr>
          </w:p>
        </w:tc>
        <w:tc>
          <w:tcPr>
            <w:tcW w:w="176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7"/>
              </w:rPr>
              <w:t>Significant Unobservable</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Input Value</w:t>
            </w:r>
          </w:p>
        </w:tc>
        <w:tc>
          <w:tcPr>
            <w:tcW w:w="0" w:type="dxa"/>
            <w:vAlign w:val="bottom"/>
          </w:tcPr>
          <w:p>
            <w:pPr>
              <w:spacing w:after="0"/>
              <w:rPr>
                <w:sz w:val="1"/>
                <w:szCs w:val="1"/>
                <w:color w:val="auto"/>
              </w:rPr>
            </w:pPr>
          </w:p>
        </w:tc>
      </w:tr>
      <w:tr>
        <w:trPr>
          <w:trHeight w:val="170"/>
        </w:trPr>
        <w:tc>
          <w:tcPr>
            <w:tcW w:w="40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Input</w:t>
            </w:r>
          </w:p>
        </w:tc>
        <w:tc>
          <w:tcPr>
            <w:tcW w:w="20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240" w:type="dxa"/>
            <w:vAlign w:val="bottom"/>
            <w:gridSpan w:val="2"/>
          </w:tcPr>
          <w:p>
            <w:pPr>
              <w:ind w:left="20"/>
              <w:spacing w:after="0"/>
              <w:rPr>
                <w:sz w:val="20"/>
                <w:szCs w:val="20"/>
                <w:color w:val="auto"/>
              </w:rPr>
            </w:pPr>
            <w:r>
              <w:rPr>
                <w:rFonts w:ascii="Arial" w:cs="Arial" w:eastAsia="Arial" w:hAnsi="Arial"/>
                <w:sz w:val="13"/>
                <w:szCs w:val="13"/>
                <w:color w:val="auto"/>
              </w:rPr>
              <w:t>Sponsor earn-out shares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6,397</w:t>
            </w:r>
          </w:p>
        </w:tc>
        <w:tc>
          <w:tcPr>
            <w:tcW w:w="200" w:type="dxa"/>
            <w:vAlign w:val="bottom"/>
          </w:tcPr>
          <w:p>
            <w:pPr>
              <w:spacing w:after="0"/>
              <w:rPr>
                <w:sz w:val="22"/>
                <w:szCs w:val="22"/>
                <w:color w:val="auto"/>
              </w:rPr>
            </w:pPr>
          </w:p>
        </w:tc>
        <w:tc>
          <w:tcPr>
            <w:tcW w:w="2840" w:type="dxa"/>
            <w:vAlign w:val="bottom"/>
          </w:tcPr>
          <w:p>
            <w:pPr>
              <w:ind w:left="20"/>
              <w:spacing w:after="0"/>
              <w:rPr>
                <w:sz w:val="20"/>
                <w:szCs w:val="20"/>
                <w:color w:val="auto"/>
              </w:rPr>
            </w:pPr>
            <w:r>
              <w:rPr>
                <w:rFonts w:ascii="Arial" w:cs="Arial" w:eastAsia="Arial" w:hAnsi="Arial"/>
                <w:sz w:val="13"/>
                <w:szCs w:val="13"/>
                <w:color w:val="auto"/>
              </w:rPr>
              <w:t>Black-Scholes option pricing model</w:t>
            </w:r>
          </w:p>
        </w:tc>
        <w:tc>
          <w:tcPr>
            <w:tcW w:w="180" w:type="dxa"/>
            <w:vAlign w:val="bottom"/>
          </w:tcPr>
          <w:p>
            <w:pPr>
              <w:spacing w:after="0"/>
              <w:rPr>
                <w:sz w:val="22"/>
                <w:szCs w:val="22"/>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3"/>
                <w:szCs w:val="13"/>
                <w:color w:val="auto"/>
                <w:w w:val="99"/>
              </w:rPr>
              <w:t>Volatility</w:t>
            </w:r>
          </w:p>
        </w:tc>
        <w:tc>
          <w:tcPr>
            <w:tcW w:w="880" w:type="dxa"/>
            <w:vAlign w:val="bottom"/>
          </w:tcPr>
          <w:p>
            <w:pPr>
              <w:jc w:val="right"/>
              <w:ind w:right="256"/>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Instruments Held By Consolidated Funds</w:t>
      </w:r>
    </w:p>
    <w:p>
      <w:pPr>
        <w:spacing w:after="0" w:line="7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short-term nature of cash and cash-equivalents held at the consolidated funds causes their carrying value to approximate fair value. The fair value of cash-equivalents is a Level I valuation. Derivatives may relate to a mix of Level I, II or III investments, and therefore their fair-value hierarchy level may not correspond to the fair-value hierarchy level of the economically hedged investment. The table below summarizes the investments and other financial instruments of the consolidated funds by fair-value hierarchy level:</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5"/>
          </w:tcPr>
          <w:p>
            <w:pPr>
              <w:ind w:left="420"/>
              <w:spacing w:after="0"/>
              <w:rPr>
                <w:sz w:val="20"/>
                <w:szCs w:val="20"/>
                <w:color w:val="auto"/>
              </w:rPr>
            </w:pPr>
            <w:r>
              <w:rPr>
                <w:rFonts w:ascii="Arial" w:cs="Arial" w:eastAsia="Arial" w:hAnsi="Arial"/>
                <w:sz w:val="10"/>
                <w:szCs w:val="10"/>
                <w:b w:val="1"/>
                <w:bCs w:val="1"/>
                <w:color w:val="auto"/>
              </w:rPr>
              <w:t>As of June 30, 2022</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5"/>
          </w:tcPr>
          <w:p>
            <w:pPr>
              <w:ind w:left="300"/>
              <w:spacing w:after="0"/>
              <w:rPr>
                <w:sz w:val="20"/>
                <w:szCs w:val="20"/>
                <w:color w:val="auto"/>
              </w:rPr>
            </w:pPr>
            <w:r>
              <w:rPr>
                <w:rFonts w:ascii="Arial" w:cs="Arial" w:eastAsia="Arial" w:hAnsi="Arial"/>
                <w:sz w:val="10"/>
                <w:szCs w:val="10"/>
                <w:b w:val="1"/>
                <w:bCs w:val="1"/>
                <w:color w:val="auto"/>
              </w:rPr>
              <w:t>As of December 31, 2021</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ind w:left="140"/>
              <w:spacing w:after="0"/>
              <w:rPr>
                <w:sz w:val="20"/>
                <w:szCs w:val="20"/>
                <w:color w:val="auto"/>
              </w:rPr>
            </w:pPr>
            <w:r>
              <w:rPr>
                <w:rFonts w:ascii="Arial" w:cs="Arial" w:eastAsia="Arial" w:hAnsi="Arial"/>
                <w:sz w:val="10"/>
                <w:szCs w:val="10"/>
                <w:b w:val="1"/>
                <w:bCs w:val="1"/>
                <w:color w:val="auto"/>
              </w:rPr>
              <w:t>Level I</w:t>
            </w:r>
          </w:p>
        </w:tc>
        <w:tc>
          <w:tcPr>
            <w:tcW w:w="220" w:type="dxa"/>
            <w:vAlign w:val="bottom"/>
          </w:tcPr>
          <w:p>
            <w:pPr>
              <w:spacing w:after="0"/>
              <w:rPr>
                <w:sz w:val="12"/>
                <w:szCs w:val="12"/>
                <w:color w:val="auto"/>
              </w:rPr>
            </w:pPr>
          </w:p>
        </w:tc>
        <w:tc>
          <w:tcPr>
            <w:tcW w:w="920" w:type="dxa"/>
            <w:vAlign w:val="bottom"/>
            <w:gridSpan w:val="2"/>
          </w:tcPr>
          <w:p>
            <w:pPr>
              <w:ind w:left="140"/>
              <w:spacing w:after="0"/>
              <w:rPr>
                <w:sz w:val="20"/>
                <w:szCs w:val="20"/>
                <w:color w:val="auto"/>
              </w:rPr>
            </w:pPr>
            <w:r>
              <w:rPr>
                <w:rFonts w:ascii="Arial" w:cs="Arial" w:eastAsia="Arial" w:hAnsi="Arial"/>
                <w:sz w:val="10"/>
                <w:szCs w:val="10"/>
                <w:b w:val="1"/>
                <w:bCs w:val="1"/>
                <w:color w:val="auto"/>
              </w:rPr>
              <w:t>Level II</w:t>
            </w:r>
          </w:p>
        </w:tc>
        <w:tc>
          <w:tcPr>
            <w:tcW w:w="22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III</w:t>
            </w:r>
          </w:p>
        </w:tc>
        <w:tc>
          <w:tcPr>
            <w:tcW w:w="24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0"/>
                <w:szCs w:val="10"/>
                <w:b w:val="1"/>
                <w:bCs w:val="1"/>
                <w:color w:val="auto"/>
              </w:rPr>
              <w:t>Total</w:t>
            </w:r>
          </w:p>
        </w:tc>
        <w:tc>
          <w:tcPr>
            <w:tcW w:w="220" w:type="dxa"/>
            <w:vAlign w:val="bottom"/>
          </w:tcPr>
          <w:p>
            <w:pPr>
              <w:spacing w:after="0"/>
              <w:rPr>
                <w:sz w:val="12"/>
                <w:szCs w:val="12"/>
                <w:color w:val="auto"/>
              </w:rPr>
            </w:pPr>
          </w:p>
        </w:tc>
        <w:tc>
          <w:tcPr>
            <w:tcW w:w="920" w:type="dxa"/>
            <w:vAlign w:val="bottom"/>
            <w:gridSpan w:val="2"/>
          </w:tcPr>
          <w:p>
            <w:pPr>
              <w:ind w:left="140"/>
              <w:spacing w:after="0"/>
              <w:rPr>
                <w:sz w:val="20"/>
                <w:szCs w:val="20"/>
                <w:color w:val="auto"/>
              </w:rPr>
            </w:pPr>
            <w:r>
              <w:rPr>
                <w:rFonts w:ascii="Arial" w:cs="Arial" w:eastAsia="Arial" w:hAnsi="Arial"/>
                <w:sz w:val="10"/>
                <w:szCs w:val="10"/>
                <w:b w:val="1"/>
                <w:bCs w:val="1"/>
                <w:color w:val="auto"/>
              </w:rPr>
              <w:t>Level I</w:t>
            </w:r>
          </w:p>
        </w:tc>
        <w:tc>
          <w:tcPr>
            <w:tcW w:w="220" w:type="dxa"/>
            <w:vAlign w:val="bottom"/>
          </w:tcPr>
          <w:p>
            <w:pPr>
              <w:spacing w:after="0"/>
              <w:rPr>
                <w:sz w:val="12"/>
                <w:szCs w:val="12"/>
                <w:color w:val="auto"/>
              </w:rPr>
            </w:pPr>
          </w:p>
        </w:tc>
        <w:tc>
          <w:tcPr>
            <w:tcW w:w="920" w:type="dxa"/>
            <w:vAlign w:val="bottom"/>
            <w:gridSpan w:val="2"/>
          </w:tcPr>
          <w:p>
            <w:pPr>
              <w:ind w:left="140"/>
              <w:spacing w:after="0"/>
              <w:rPr>
                <w:sz w:val="20"/>
                <w:szCs w:val="20"/>
                <w:color w:val="auto"/>
              </w:rPr>
            </w:pPr>
            <w:r>
              <w:rPr>
                <w:rFonts w:ascii="Arial" w:cs="Arial" w:eastAsia="Arial" w:hAnsi="Arial"/>
                <w:sz w:val="10"/>
                <w:szCs w:val="10"/>
                <w:b w:val="1"/>
                <w:bCs w:val="1"/>
                <w:color w:val="auto"/>
              </w:rPr>
              <w:t>Level II</w:t>
            </w:r>
          </w:p>
        </w:tc>
        <w:tc>
          <w:tcPr>
            <w:tcW w:w="22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III</w:t>
            </w:r>
          </w:p>
        </w:tc>
        <w:tc>
          <w:tcPr>
            <w:tcW w:w="240" w:type="dxa"/>
            <w:vAlign w:val="bottom"/>
          </w:tcPr>
          <w:p>
            <w:pPr>
              <w:spacing w:after="0"/>
              <w:rPr>
                <w:sz w:val="12"/>
                <w:szCs w:val="12"/>
                <w:color w:val="auto"/>
              </w:rPr>
            </w:pPr>
          </w:p>
        </w:tc>
        <w:tc>
          <w:tcPr>
            <w:tcW w:w="800" w:type="dxa"/>
            <w:vAlign w:val="bottom"/>
          </w:tcPr>
          <w:p>
            <w:pPr>
              <w:jc w:val="right"/>
              <w:ind w:right="34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3"/>
        </w:trPr>
        <w:tc>
          <w:tcPr>
            <w:tcW w:w="2060" w:type="dxa"/>
            <w:vAlign w:val="bottom"/>
            <w:gridSpan w:val="3"/>
          </w:tcPr>
          <w:p>
            <w:pPr>
              <w:spacing w:after="0" w:line="103" w:lineRule="exact"/>
              <w:rPr>
                <w:sz w:val="20"/>
                <w:szCs w:val="20"/>
                <w:color w:val="auto"/>
              </w:rPr>
            </w:pPr>
            <w:r>
              <w:rPr>
                <w:rFonts w:ascii="Arial" w:cs="Arial" w:eastAsia="Arial" w:hAnsi="Arial"/>
                <w:sz w:val="11"/>
                <w:szCs w:val="11"/>
                <w:b w:val="1"/>
                <w:bCs w:val="1"/>
                <w:color w:val="auto"/>
              </w:rPr>
              <w:t>Assets</w:t>
            </w:r>
          </w:p>
        </w:tc>
        <w:tc>
          <w:tcPr>
            <w:tcW w:w="2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60" w:type="dxa"/>
            <w:vAlign w:val="bottom"/>
            <w:gridSpan w:val="3"/>
          </w:tcPr>
          <w:p>
            <w:pPr>
              <w:spacing w:after="0"/>
              <w:rPr>
                <w:sz w:val="20"/>
                <w:szCs w:val="20"/>
                <w:color w:val="auto"/>
              </w:rPr>
            </w:pPr>
            <w:r>
              <w:rPr>
                <w:rFonts w:ascii="Arial" w:cs="Arial" w:eastAsia="Arial" w:hAnsi="Arial"/>
                <w:sz w:val="11"/>
                <w:szCs w:val="11"/>
                <w:color w:val="auto"/>
              </w:rPr>
              <w:t>Investments: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Corporate debt – bank debt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7,572,054</w:t>
            </w:r>
          </w:p>
        </w:tc>
        <w:tc>
          <w:tcPr>
            <w:tcW w:w="100" w:type="dxa"/>
            <w:vAlign w:val="bottom"/>
          </w:tcPr>
          <w:p>
            <w:pPr>
              <w:spacing w:after="0"/>
              <w:rPr>
                <w:sz w:val="12"/>
                <w:szCs w:val="12"/>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850,679</w:t>
            </w:r>
          </w:p>
        </w:tc>
        <w:tc>
          <w:tcPr>
            <w:tcW w:w="10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8,422,733</w:t>
            </w:r>
          </w:p>
        </w:tc>
        <w:tc>
          <w:tcPr>
            <w:tcW w:w="22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7,867,741</w:t>
            </w:r>
          </w:p>
        </w:tc>
        <w:tc>
          <w:tcPr>
            <w:tcW w:w="100" w:type="dxa"/>
            <w:vAlign w:val="bottom"/>
          </w:tcPr>
          <w:p>
            <w:pPr>
              <w:spacing w:after="0"/>
              <w:rPr>
                <w:sz w:val="12"/>
                <w:szCs w:val="12"/>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597,188</w:t>
            </w:r>
          </w:p>
        </w:tc>
        <w:tc>
          <w:tcPr>
            <w:tcW w:w="10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8,464,929</w:t>
            </w:r>
          </w:p>
        </w:tc>
        <w:tc>
          <w:tcPr>
            <w:tcW w:w="0" w:type="dxa"/>
            <w:vAlign w:val="bottom"/>
          </w:tcPr>
          <w:p>
            <w:pPr>
              <w:spacing w:after="0"/>
              <w:rPr>
                <w:sz w:val="1"/>
                <w:szCs w:val="1"/>
                <w:color w:val="auto"/>
              </w:rPr>
            </w:pPr>
          </w:p>
        </w:tc>
      </w:tr>
      <w:tr>
        <w:trPr>
          <w:trHeight w:val="149"/>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Corporate debt – all other</w:t>
            </w:r>
          </w:p>
        </w:tc>
        <w:tc>
          <w:tcPr>
            <w:tcW w:w="220" w:type="dxa"/>
            <w:vAlign w:val="bottom"/>
          </w:tcPr>
          <w:p>
            <w:pPr>
              <w:spacing w:after="0"/>
              <w:rPr>
                <w:sz w:val="12"/>
                <w:szCs w:val="12"/>
                <w:color w:val="auto"/>
              </w:rPr>
            </w:pPr>
          </w:p>
        </w:tc>
        <w:tc>
          <w:tcPr>
            <w:tcW w:w="820" w:type="dxa"/>
            <w:vAlign w:val="bottom"/>
          </w:tcPr>
          <w:p>
            <w:pPr>
              <w:jc w:val="right"/>
              <w:ind w:right="7"/>
              <w:spacing w:after="0"/>
              <w:rPr>
                <w:sz w:val="20"/>
                <w:szCs w:val="20"/>
                <w:color w:val="auto"/>
              </w:rPr>
            </w:pPr>
            <w:r>
              <w:rPr>
                <w:rFonts w:ascii="Arial" w:cs="Arial" w:eastAsia="Arial" w:hAnsi="Arial"/>
                <w:sz w:val="11"/>
                <w:szCs w:val="11"/>
                <w:color w:val="auto"/>
              </w:rPr>
              <w:t>4,380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1,294,854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201,624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1,500,858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1,300,595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229,576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1,530,171</w:t>
            </w:r>
          </w:p>
        </w:tc>
        <w:tc>
          <w:tcPr>
            <w:tcW w:w="0" w:type="dxa"/>
            <w:vAlign w:val="bottom"/>
          </w:tcPr>
          <w:p>
            <w:pPr>
              <w:spacing w:after="0"/>
              <w:rPr>
                <w:sz w:val="1"/>
                <w:szCs w:val="1"/>
                <w:color w:val="auto"/>
              </w:rPr>
            </w:pPr>
          </w:p>
        </w:tc>
      </w:tr>
      <w:tr>
        <w:trPr>
          <w:trHeight w:val="149"/>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Equities – common stock</w:t>
            </w:r>
          </w:p>
        </w:tc>
        <w:tc>
          <w:tcPr>
            <w:tcW w:w="220" w:type="dxa"/>
            <w:vAlign w:val="bottom"/>
          </w:tcPr>
          <w:p>
            <w:pPr>
              <w:spacing w:after="0"/>
              <w:rPr>
                <w:sz w:val="12"/>
                <w:szCs w:val="12"/>
                <w:color w:val="auto"/>
              </w:rPr>
            </w:pPr>
          </w:p>
        </w:tc>
        <w:tc>
          <w:tcPr>
            <w:tcW w:w="820" w:type="dxa"/>
            <w:vAlign w:val="bottom"/>
          </w:tcPr>
          <w:p>
            <w:pPr>
              <w:jc w:val="right"/>
              <w:ind w:right="7"/>
              <w:spacing w:after="0"/>
              <w:rPr>
                <w:sz w:val="20"/>
                <w:szCs w:val="20"/>
                <w:color w:val="auto"/>
              </w:rPr>
            </w:pPr>
            <w:r>
              <w:rPr>
                <w:rFonts w:ascii="Arial" w:cs="Arial" w:eastAsia="Arial" w:hAnsi="Arial"/>
                <w:sz w:val="11"/>
                <w:szCs w:val="11"/>
                <w:color w:val="auto"/>
              </w:rPr>
              <w:t>286,958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24,015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682,462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993,435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206,133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76,751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581,748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864,632</w:t>
            </w:r>
          </w:p>
        </w:tc>
        <w:tc>
          <w:tcPr>
            <w:tcW w:w="0" w:type="dxa"/>
            <w:vAlign w:val="bottom"/>
          </w:tcPr>
          <w:p>
            <w:pPr>
              <w:spacing w:after="0"/>
              <w:rPr>
                <w:sz w:val="1"/>
                <w:szCs w:val="1"/>
                <w:color w:val="auto"/>
              </w:rPr>
            </w:pPr>
          </w:p>
        </w:tc>
      </w:tr>
      <w:tr>
        <w:trPr>
          <w:trHeight w:val="149"/>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Equities – preferred stock</w:t>
            </w:r>
          </w:p>
        </w:tc>
        <w:tc>
          <w:tcPr>
            <w:tcW w:w="220" w:type="dxa"/>
            <w:vAlign w:val="bottom"/>
          </w:tcPr>
          <w:p>
            <w:pPr>
              <w:spacing w:after="0"/>
              <w:rPr>
                <w:sz w:val="12"/>
                <w:szCs w:val="12"/>
                <w:color w:val="auto"/>
              </w:rPr>
            </w:pPr>
          </w:p>
        </w:tc>
        <w:tc>
          <w:tcPr>
            <w:tcW w:w="820" w:type="dxa"/>
            <w:vAlign w:val="bottom"/>
          </w:tcPr>
          <w:p>
            <w:pPr>
              <w:jc w:val="right"/>
              <w:ind w:right="7"/>
              <w:spacing w:after="0"/>
              <w:rPr>
                <w:sz w:val="20"/>
                <w:szCs w:val="20"/>
                <w:color w:val="auto"/>
              </w:rPr>
            </w:pPr>
            <w:r>
              <w:rPr>
                <w:rFonts w:ascii="Arial" w:cs="Arial" w:eastAsia="Arial" w:hAnsi="Arial"/>
                <w:sz w:val="11"/>
                <w:szCs w:val="11"/>
                <w:color w:val="auto"/>
              </w:rPr>
              <w:t>75,823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585,430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661,385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77,299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486,030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563,329</w:t>
            </w:r>
          </w:p>
        </w:tc>
        <w:tc>
          <w:tcPr>
            <w:tcW w:w="0" w:type="dxa"/>
            <w:vAlign w:val="bottom"/>
          </w:tcPr>
          <w:p>
            <w:pPr>
              <w:spacing w:after="0"/>
              <w:rPr>
                <w:sz w:val="1"/>
                <w:szCs w:val="1"/>
                <w:color w:val="auto"/>
              </w:rPr>
            </w:pPr>
          </w:p>
        </w:tc>
      </w:tr>
      <w:tr>
        <w:trPr>
          <w:trHeight w:val="149"/>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Real estate</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59,141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59,141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33,834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33,834</w:t>
            </w:r>
          </w:p>
        </w:tc>
        <w:tc>
          <w:tcPr>
            <w:tcW w:w="0" w:type="dxa"/>
            <w:vAlign w:val="bottom"/>
          </w:tcPr>
          <w:p>
            <w:pPr>
              <w:spacing w:after="0"/>
              <w:rPr>
                <w:sz w:val="1"/>
                <w:szCs w:val="1"/>
                <w:color w:val="auto"/>
              </w:rPr>
            </w:pPr>
          </w:p>
        </w:tc>
      </w:tr>
      <w:tr>
        <w:trPr>
          <w:trHeight w:val="139"/>
        </w:trPr>
        <w:tc>
          <w:tcPr>
            <w:tcW w:w="2060" w:type="dxa"/>
            <w:vAlign w:val="bottom"/>
            <w:gridSpan w:val="3"/>
          </w:tcPr>
          <w:p>
            <w:pPr>
              <w:ind w:left="260"/>
              <w:spacing w:after="0"/>
              <w:rPr>
                <w:sz w:val="20"/>
                <w:szCs w:val="20"/>
                <w:color w:val="auto"/>
              </w:rPr>
            </w:pPr>
            <w:r>
              <w:rPr>
                <w:rFonts w:ascii="Arial" w:cs="Arial" w:eastAsia="Arial" w:hAnsi="Arial"/>
                <w:sz w:val="11"/>
                <w:szCs w:val="11"/>
                <w:color w:val="auto"/>
              </w:rPr>
              <w:t>Total investments</w:t>
            </w: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367,161</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8,891,055</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2,379,336</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11,637,552</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283,432</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9,245,087</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1,928,376</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11,456,895</w:t>
            </w:r>
          </w:p>
        </w:tc>
        <w:tc>
          <w:tcPr>
            <w:tcW w:w="0" w:type="dxa"/>
            <w:vAlign w:val="bottom"/>
          </w:tcPr>
          <w:p>
            <w:pPr>
              <w:spacing w:after="0"/>
              <w:rPr>
                <w:sz w:val="1"/>
                <w:szCs w:val="1"/>
                <w:color w:val="auto"/>
              </w:rPr>
            </w:pPr>
          </w:p>
        </w:tc>
      </w:tr>
      <w:tr>
        <w:trPr>
          <w:trHeight w:val="129"/>
        </w:trPr>
        <w:tc>
          <w:tcPr>
            <w:tcW w:w="2060" w:type="dxa"/>
            <w:vAlign w:val="bottom"/>
            <w:gridSpan w:val="3"/>
          </w:tcPr>
          <w:p>
            <w:pPr>
              <w:spacing w:after="0"/>
              <w:rPr>
                <w:sz w:val="20"/>
                <w:szCs w:val="20"/>
                <w:color w:val="auto"/>
              </w:rPr>
            </w:pPr>
            <w:r>
              <w:rPr>
                <w:rFonts w:ascii="Arial" w:cs="Arial" w:eastAsia="Arial" w:hAnsi="Arial"/>
                <w:sz w:val="11"/>
                <w:szCs w:val="11"/>
                <w:color w:val="auto"/>
              </w:rPr>
              <w:t>Derivatives:</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Foreign-currency forward contracts</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18,768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18,768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5,062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5,062</w:t>
            </w:r>
          </w:p>
        </w:tc>
        <w:tc>
          <w:tcPr>
            <w:tcW w:w="0" w:type="dxa"/>
            <w:vAlign w:val="bottom"/>
          </w:tcPr>
          <w:p>
            <w:pPr>
              <w:spacing w:after="0"/>
              <w:rPr>
                <w:sz w:val="1"/>
                <w:szCs w:val="1"/>
                <w:color w:val="auto"/>
              </w:rPr>
            </w:pPr>
          </w:p>
        </w:tc>
      </w:tr>
      <w:tr>
        <w:trPr>
          <w:trHeight w:val="149"/>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Swaps</w:t>
            </w:r>
          </w:p>
        </w:tc>
        <w:tc>
          <w:tcPr>
            <w:tcW w:w="220" w:type="dxa"/>
            <w:vAlign w:val="bottom"/>
          </w:tcPr>
          <w:p>
            <w:pPr>
              <w:spacing w:after="0"/>
              <w:rPr>
                <w:sz w:val="12"/>
                <w:szCs w:val="12"/>
                <w:color w:val="auto"/>
              </w:rPr>
            </w:pPr>
          </w:p>
        </w:tc>
        <w:tc>
          <w:tcPr>
            <w:tcW w:w="820" w:type="dxa"/>
            <w:vAlign w:val="bottom"/>
          </w:tcPr>
          <w:p>
            <w:pPr>
              <w:jc w:val="right"/>
              <w:ind w:right="7"/>
              <w:spacing w:after="0"/>
              <w:rPr>
                <w:sz w:val="20"/>
                <w:szCs w:val="20"/>
                <w:color w:val="auto"/>
              </w:rPr>
            </w:pPr>
            <w:r>
              <w:rPr>
                <w:rFonts w:ascii="Arial" w:cs="Arial" w:eastAsia="Arial" w:hAnsi="Arial"/>
                <w:sz w:val="11"/>
                <w:szCs w:val="11"/>
                <w:color w:val="auto"/>
              </w:rPr>
              <w:t>699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734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1,162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1,162</w:t>
            </w:r>
          </w:p>
        </w:tc>
        <w:tc>
          <w:tcPr>
            <w:tcW w:w="0" w:type="dxa"/>
            <w:vAlign w:val="bottom"/>
          </w:tcPr>
          <w:p>
            <w:pPr>
              <w:spacing w:after="0"/>
              <w:rPr>
                <w:sz w:val="1"/>
                <w:szCs w:val="1"/>
                <w:color w:val="auto"/>
              </w:rPr>
            </w:pPr>
          </w:p>
        </w:tc>
      </w:tr>
      <w:tr>
        <w:trPr>
          <w:trHeight w:val="149"/>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Options and futures</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w:t>
            </w:r>
          </w:p>
        </w:tc>
        <w:tc>
          <w:tcPr>
            <w:tcW w:w="0" w:type="dxa"/>
            <w:vAlign w:val="bottom"/>
          </w:tcPr>
          <w:p>
            <w:pPr>
              <w:spacing w:after="0"/>
              <w:rPr>
                <w:sz w:val="1"/>
                <w:szCs w:val="1"/>
                <w:color w:val="auto"/>
              </w:rPr>
            </w:pPr>
          </w:p>
        </w:tc>
      </w:tr>
      <w:tr>
        <w:trPr>
          <w:trHeight w:val="148"/>
        </w:trPr>
        <w:tc>
          <w:tcPr>
            <w:tcW w:w="2060" w:type="dxa"/>
            <w:vAlign w:val="bottom"/>
            <w:gridSpan w:val="3"/>
          </w:tcPr>
          <w:p>
            <w:pPr>
              <w:ind w:left="260"/>
              <w:spacing w:after="0" w:line="148" w:lineRule="exact"/>
              <w:rPr>
                <w:sz w:val="20"/>
                <w:szCs w:val="20"/>
                <w:color w:val="auto"/>
              </w:rPr>
            </w:pPr>
            <w:r>
              <w:rPr>
                <w:rFonts w:ascii="Arial" w:cs="Arial" w:eastAsia="Arial" w:hAnsi="Arial"/>
                <w:sz w:val="11"/>
                <w:szCs w:val="11"/>
                <w:color w:val="auto"/>
              </w:rPr>
              <w:t xml:space="preserve">Total derivatives </w:t>
            </w:r>
            <w:r>
              <w:rPr>
                <w:rFonts w:ascii="Arial" w:cs="Arial" w:eastAsia="Arial" w:hAnsi="Arial"/>
                <w:sz w:val="13"/>
                <w:szCs w:val="13"/>
                <w:color w:val="auto"/>
                <w:vertAlign w:val="superscript"/>
              </w:rPr>
              <w:t>(1)</w:t>
            </w:r>
          </w:p>
        </w:tc>
        <w:tc>
          <w:tcPr>
            <w:tcW w:w="220" w:type="dxa"/>
            <w:vAlign w:val="bottom"/>
          </w:tcPr>
          <w:p>
            <w:pPr>
              <w:spacing w:after="0"/>
              <w:rPr>
                <w:sz w:val="12"/>
                <w:szCs w:val="12"/>
                <w:color w:val="auto"/>
              </w:rPr>
            </w:pPr>
          </w:p>
        </w:tc>
        <w:tc>
          <w:tcPr>
            <w:tcW w:w="820" w:type="dxa"/>
            <w:vAlign w:val="bottom"/>
          </w:tcPr>
          <w:p>
            <w:pPr>
              <w:jc w:val="right"/>
              <w:ind w:right="7"/>
              <w:spacing w:after="0"/>
              <w:rPr>
                <w:sz w:val="20"/>
                <w:szCs w:val="20"/>
                <w:color w:val="auto"/>
              </w:rPr>
            </w:pPr>
            <w:r>
              <w:rPr>
                <w:rFonts w:ascii="Arial" w:cs="Arial" w:eastAsia="Arial" w:hAnsi="Arial"/>
                <w:sz w:val="11"/>
                <w:szCs w:val="11"/>
                <w:color w:val="auto"/>
              </w:rPr>
              <w:t>708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18,803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19,511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6,224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6,733</w:t>
            </w:r>
          </w:p>
        </w:tc>
        <w:tc>
          <w:tcPr>
            <w:tcW w:w="0" w:type="dxa"/>
            <w:vAlign w:val="bottom"/>
          </w:tcPr>
          <w:p>
            <w:pPr>
              <w:spacing w:after="0"/>
              <w:rPr>
                <w:sz w:val="1"/>
                <w:szCs w:val="1"/>
                <w:color w:val="auto"/>
              </w:rPr>
            </w:pPr>
          </w:p>
        </w:tc>
      </w:tr>
      <w:tr>
        <w:trPr>
          <w:trHeight w:val="139"/>
        </w:trPr>
        <w:tc>
          <w:tcPr>
            <w:tcW w:w="2060" w:type="dxa"/>
            <w:vAlign w:val="bottom"/>
            <w:gridSpan w:val="3"/>
          </w:tcPr>
          <w:p>
            <w:pPr>
              <w:spacing w:after="0"/>
              <w:rPr>
                <w:sz w:val="20"/>
                <w:szCs w:val="20"/>
                <w:color w:val="auto"/>
              </w:rPr>
            </w:pPr>
            <w:r>
              <w:rPr>
                <w:rFonts w:ascii="Arial" w:cs="Arial" w:eastAsia="Arial" w:hAnsi="Arial"/>
                <w:sz w:val="11"/>
                <w:szCs w:val="11"/>
                <w:color w:val="auto"/>
              </w:rPr>
              <w:t>Total assets</w:t>
            </w: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367,869</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8,909,858</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2,379,336</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11,657,063</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283,941</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9,251,311</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1,928,376</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11,463,628</w:t>
            </w:r>
          </w:p>
        </w:tc>
        <w:tc>
          <w:tcPr>
            <w:tcW w:w="0" w:type="dxa"/>
            <w:vAlign w:val="bottom"/>
          </w:tcPr>
          <w:p>
            <w:pPr>
              <w:spacing w:after="0"/>
              <w:rPr>
                <w:sz w:val="1"/>
                <w:szCs w:val="1"/>
                <w:color w:val="auto"/>
              </w:rPr>
            </w:pPr>
          </w:p>
        </w:tc>
      </w:tr>
      <w:tr>
        <w:trPr>
          <w:trHeight w:val="20"/>
        </w:trPr>
        <w:tc>
          <w:tcPr>
            <w:tcW w:w="20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60" w:type="dxa"/>
            <w:vAlign w:val="bottom"/>
            <w:gridSpan w:val="3"/>
          </w:tcPr>
          <w:p>
            <w:pPr>
              <w:spacing w:after="0"/>
              <w:rPr>
                <w:sz w:val="20"/>
                <w:szCs w:val="20"/>
                <w:color w:val="auto"/>
              </w:rPr>
            </w:pPr>
            <w:r>
              <w:rPr>
                <w:rFonts w:ascii="Arial" w:cs="Arial" w:eastAsia="Arial" w:hAnsi="Arial"/>
                <w:sz w:val="11"/>
                <w:szCs w:val="11"/>
                <w:color w:val="auto"/>
              </w:rPr>
              <w:t>CLO debt obligations: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Senior secured notes</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(7,533,790)</w:t>
            </w:r>
          </w:p>
        </w:tc>
        <w:tc>
          <w:tcPr>
            <w:tcW w:w="100" w:type="dxa"/>
            <w:vAlign w:val="bottom"/>
          </w:tcPr>
          <w:p>
            <w:pPr>
              <w:spacing w:after="0"/>
              <w:rPr>
                <w:sz w:val="12"/>
                <w:szCs w:val="12"/>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(7,533,790)</w:t>
            </w:r>
          </w:p>
        </w:tc>
        <w:tc>
          <w:tcPr>
            <w:tcW w:w="22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(7,472,521)</w:t>
            </w:r>
          </w:p>
        </w:tc>
        <w:tc>
          <w:tcPr>
            <w:tcW w:w="100" w:type="dxa"/>
            <w:vAlign w:val="bottom"/>
          </w:tcPr>
          <w:p>
            <w:pPr>
              <w:spacing w:after="0"/>
              <w:rPr>
                <w:sz w:val="12"/>
                <w:szCs w:val="12"/>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(7,472,521)</w:t>
            </w:r>
          </w:p>
        </w:tc>
        <w:tc>
          <w:tcPr>
            <w:tcW w:w="0" w:type="dxa"/>
            <w:vAlign w:val="bottom"/>
          </w:tcPr>
          <w:p>
            <w:pPr>
              <w:spacing w:after="0"/>
              <w:rPr>
                <w:sz w:val="1"/>
                <w:szCs w:val="1"/>
                <w:color w:val="auto"/>
              </w:rPr>
            </w:pPr>
          </w:p>
        </w:tc>
      </w:tr>
      <w:tr>
        <w:trPr>
          <w:trHeight w:val="149"/>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Subordinated notes</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(288,087)</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(288,087)</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(333,742)</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(333,742)</w:t>
            </w:r>
          </w:p>
        </w:tc>
        <w:tc>
          <w:tcPr>
            <w:tcW w:w="0" w:type="dxa"/>
            <w:vAlign w:val="bottom"/>
          </w:tcPr>
          <w:p>
            <w:pPr>
              <w:spacing w:after="0"/>
              <w:rPr>
                <w:sz w:val="1"/>
                <w:szCs w:val="1"/>
                <w:color w:val="auto"/>
              </w:rPr>
            </w:pPr>
          </w:p>
        </w:tc>
      </w:tr>
      <w:tr>
        <w:trPr>
          <w:trHeight w:val="148"/>
        </w:trPr>
        <w:tc>
          <w:tcPr>
            <w:tcW w:w="2060" w:type="dxa"/>
            <w:vAlign w:val="bottom"/>
            <w:gridSpan w:val="3"/>
          </w:tcPr>
          <w:p>
            <w:pPr>
              <w:ind w:left="260"/>
              <w:spacing w:after="0" w:line="148" w:lineRule="exact"/>
              <w:rPr>
                <w:sz w:val="20"/>
                <w:szCs w:val="20"/>
                <w:color w:val="auto"/>
              </w:rPr>
            </w:pPr>
            <w:r>
              <w:rPr>
                <w:rFonts w:ascii="Arial" w:cs="Arial" w:eastAsia="Arial" w:hAnsi="Arial"/>
                <w:sz w:val="11"/>
                <w:szCs w:val="11"/>
                <w:color w:val="auto"/>
              </w:rPr>
              <w:t xml:space="preserve">Total CLO debt obligations </w:t>
            </w:r>
            <w:r>
              <w:rPr>
                <w:rFonts w:ascii="Arial" w:cs="Arial" w:eastAsia="Arial" w:hAnsi="Arial"/>
                <w:sz w:val="13"/>
                <w:szCs w:val="13"/>
                <w:color w:val="auto"/>
                <w:vertAlign w:val="superscript"/>
              </w:rPr>
              <w:t>(2)</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(7,821,877)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(7,821,877)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(7,806,263)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(7,806,263)</w:t>
            </w:r>
          </w:p>
        </w:tc>
        <w:tc>
          <w:tcPr>
            <w:tcW w:w="0" w:type="dxa"/>
            <w:vAlign w:val="bottom"/>
          </w:tcPr>
          <w:p>
            <w:pPr>
              <w:spacing w:after="0"/>
              <w:rPr>
                <w:sz w:val="1"/>
                <w:szCs w:val="1"/>
                <w:color w:val="auto"/>
              </w:rPr>
            </w:pPr>
          </w:p>
        </w:tc>
      </w:tr>
      <w:tr>
        <w:trPr>
          <w:trHeight w:val="120"/>
        </w:trPr>
        <w:tc>
          <w:tcPr>
            <w:tcW w:w="2060" w:type="dxa"/>
            <w:vAlign w:val="bottom"/>
            <w:gridSpan w:val="3"/>
          </w:tcPr>
          <w:p>
            <w:pPr>
              <w:spacing w:after="0" w:line="120" w:lineRule="exact"/>
              <w:rPr>
                <w:sz w:val="20"/>
                <w:szCs w:val="20"/>
                <w:color w:val="auto"/>
              </w:rPr>
            </w:pPr>
            <w:r>
              <w:rPr>
                <w:rFonts w:ascii="Arial" w:cs="Arial" w:eastAsia="Arial" w:hAnsi="Arial"/>
                <w:sz w:val="11"/>
                <w:szCs w:val="11"/>
                <w:color w:val="auto"/>
              </w:rPr>
              <w:t>Derivatives:</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Foreign-currency forward contracts</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(1,203)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(1,203)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(886)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(886)</w:t>
            </w:r>
          </w:p>
        </w:tc>
        <w:tc>
          <w:tcPr>
            <w:tcW w:w="0" w:type="dxa"/>
            <w:vAlign w:val="bottom"/>
          </w:tcPr>
          <w:p>
            <w:pPr>
              <w:spacing w:after="0"/>
              <w:rPr>
                <w:sz w:val="1"/>
                <w:szCs w:val="1"/>
                <w:color w:val="auto"/>
              </w:rPr>
            </w:pPr>
          </w:p>
        </w:tc>
      </w:tr>
      <w:tr>
        <w:trPr>
          <w:trHeight w:val="161"/>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Swaps</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(35,227)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(36,004)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(4,100)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(4,335)</w:t>
            </w:r>
          </w:p>
        </w:tc>
        <w:tc>
          <w:tcPr>
            <w:tcW w:w="0" w:type="dxa"/>
            <w:vAlign w:val="bottom"/>
          </w:tcPr>
          <w:p>
            <w:pPr>
              <w:spacing w:after="0"/>
              <w:rPr>
                <w:sz w:val="1"/>
                <w:szCs w:val="1"/>
                <w:color w:val="auto"/>
              </w:rPr>
            </w:pPr>
          </w:p>
        </w:tc>
      </w:tr>
      <w:tr>
        <w:trPr>
          <w:trHeight w:val="147"/>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Options and futures</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(234)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060" w:type="dxa"/>
            <w:vAlign w:val="bottom"/>
            <w:gridSpan w:val="3"/>
          </w:tcPr>
          <w:p>
            <w:pPr>
              <w:ind w:left="120"/>
              <w:spacing w:after="0"/>
              <w:rPr>
                <w:sz w:val="20"/>
                <w:szCs w:val="20"/>
                <w:color w:val="auto"/>
              </w:rPr>
            </w:pPr>
            <w:r>
              <w:rPr>
                <w:rFonts w:ascii="Arial" w:cs="Arial" w:eastAsia="Arial" w:hAnsi="Arial"/>
                <w:sz w:val="11"/>
                <w:szCs w:val="11"/>
                <w:color w:val="auto"/>
              </w:rPr>
              <w:t>Warrants</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(6,626)</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(6,626)</w:t>
            </w:r>
          </w:p>
        </w:tc>
        <w:tc>
          <w:tcPr>
            <w:tcW w:w="0" w:type="dxa"/>
            <w:vAlign w:val="bottom"/>
          </w:tcPr>
          <w:p>
            <w:pPr>
              <w:spacing w:after="0"/>
              <w:rPr>
                <w:sz w:val="1"/>
                <w:szCs w:val="1"/>
                <w:color w:val="auto"/>
              </w:rPr>
            </w:pPr>
          </w:p>
        </w:tc>
      </w:tr>
      <w:tr>
        <w:trPr>
          <w:trHeight w:val="148"/>
        </w:trPr>
        <w:tc>
          <w:tcPr>
            <w:tcW w:w="2060" w:type="dxa"/>
            <w:vAlign w:val="bottom"/>
            <w:gridSpan w:val="3"/>
          </w:tcPr>
          <w:p>
            <w:pPr>
              <w:ind w:left="260"/>
              <w:spacing w:after="0" w:line="148" w:lineRule="exact"/>
              <w:rPr>
                <w:sz w:val="20"/>
                <w:szCs w:val="20"/>
                <w:color w:val="auto"/>
              </w:rPr>
            </w:pPr>
            <w:r>
              <w:rPr>
                <w:rFonts w:ascii="Arial" w:cs="Arial" w:eastAsia="Arial" w:hAnsi="Arial"/>
                <w:sz w:val="11"/>
                <w:szCs w:val="11"/>
                <w:color w:val="auto"/>
              </w:rPr>
              <w:t xml:space="preserve">Total derivatives </w:t>
            </w:r>
            <w:r>
              <w:rPr>
                <w:rFonts w:ascii="Arial" w:cs="Arial" w:eastAsia="Arial" w:hAnsi="Arial"/>
                <w:sz w:val="13"/>
                <w:szCs w:val="13"/>
                <w:color w:val="auto"/>
                <w:vertAlign w:val="superscript"/>
              </w:rPr>
              <w:t>(3)</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(35,461)</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(1,980)</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(37,441)</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(4,100)</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(7,747)</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(11,847)</w:t>
            </w:r>
          </w:p>
        </w:tc>
        <w:tc>
          <w:tcPr>
            <w:tcW w:w="0" w:type="dxa"/>
            <w:vAlign w:val="bottom"/>
          </w:tcPr>
          <w:p>
            <w:pPr>
              <w:spacing w:after="0"/>
              <w:rPr>
                <w:sz w:val="1"/>
                <w:szCs w:val="1"/>
                <w:color w:val="auto"/>
              </w:rPr>
            </w:pPr>
          </w:p>
        </w:tc>
      </w:tr>
      <w:tr>
        <w:trPr>
          <w:trHeight w:val="139"/>
        </w:trPr>
        <w:tc>
          <w:tcPr>
            <w:tcW w:w="2060" w:type="dxa"/>
            <w:vAlign w:val="bottom"/>
            <w:gridSpan w:val="3"/>
          </w:tcPr>
          <w:p>
            <w:pPr>
              <w:spacing w:after="0"/>
              <w:rPr>
                <w:sz w:val="20"/>
                <w:szCs w:val="20"/>
                <w:color w:val="auto"/>
              </w:rPr>
            </w:pPr>
            <w:r>
              <w:rPr>
                <w:rFonts w:ascii="Arial" w:cs="Arial" w:eastAsia="Arial" w:hAnsi="Arial"/>
                <w:sz w:val="11"/>
                <w:szCs w:val="11"/>
                <w:color w:val="auto"/>
              </w:rPr>
              <w:t>Total liabilities</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(35,461)</w:t>
            </w:r>
          </w:p>
        </w:tc>
        <w:tc>
          <w:tcPr>
            <w:tcW w:w="80" w:type="dxa"/>
            <w:vAlign w:val="bottom"/>
          </w:tcPr>
          <w:p>
            <w:pPr>
              <w:spacing w:after="0"/>
              <w:rPr>
                <w:sz w:val="12"/>
                <w:szCs w:val="12"/>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(7,823,857)</w:t>
            </w:r>
          </w:p>
        </w:tc>
        <w:tc>
          <w:tcPr>
            <w:tcW w:w="100" w:type="dxa"/>
            <w:vAlign w:val="bottom"/>
          </w:tcPr>
          <w:p>
            <w:pPr>
              <w:spacing w:after="0"/>
              <w:rPr>
                <w:sz w:val="12"/>
                <w:szCs w:val="12"/>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(7,859,318)</w:t>
            </w:r>
          </w:p>
        </w:tc>
        <w:tc>
          <w:tcPr>
            <w:tcW w:w="22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(4,100)</w:t>
            </w:r>
          </w:p>
        </w:tc>
        <w:tc>
          <w:tcPr>
            <w:tcW w:w="100" w:type="dxa"/>
            <w:vAlign w:val="bottom"/>
          </w:tcPr>
          <w:p>
            <w:pPr>
              <w:spacing w:after="0"/>
              <w:rPr>
                <w:sz w:val="12"/>
                <w:szCs w:val="12"/>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(7,814,010)</w:t>
            </w:r>
          </w:p>
        </w:tc>
        <w:tc>
          <w:tcPr>
            <w:tcW w:w="100" w:type="dxa"/>
            <w:vAlign w:val="bottom"/>
          </w:tcPr>
          <w:p>
            <w:pPr>
              <w:spacing w:after="0"/>
              <w:rPr>
                <w:sz w:val="12"/>
                <w:szCs w:val="12"/>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(7,818,110)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56578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 cy="6985"/>
                    </a:xfrm>
                    <a:prstGeom prst="rect">
                      <a:avLst/>
                    </a:prstGeom>
                    <a:noFill/>
                  </pic:spPr>
                </pic:pic>
              </a:graphicData>
            </a:graphic>
          </wp:anchor>
        </w:drawing>
      </w:r>
    </w:p>
    <w:p>
      <w:pPr>
        <w:spacing w:after="0" w:line="351" w:lineRule="exact"/>
        <w:rPr>
          <w:sz w:val="20"/>
          <w:szCs w:val="20"/>
          <w:color w:val="auto"/>
        </w:rPr>
      </w:pPr>
    </w:p>
    <w:p>
      <w:pPr>
        <w:ind w:left="300" w:hanging="295"/>
        <w:spacing w:after="0"/>
        <w:tabs>
          <w:tab w:leader="none" w:pos="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Amounts are included in other assets under “assets of consolidated funds” in the condensed consolidated statements of financial condition.</w:t>
      </w:r>
    </w:p>
    <w:p>
      <w:pPr>
        <w:spacing w:after="0" w:line="17" w:lineRule="exact"/>
        <w:rPr>
          <w:rFonts w:ascii="Arial" w:cs="Arial" w:eastAsia="Arial" w:hAnsi="Arial"/>
          <w:sz w:val="13"/>
          <w:szCs w:val="13"/>
          <w:color w:val="auto"/>
        </w:rPr>
      </w:pPr>
    </w:p>
    <w:p>
      <w:pPr>
        <w:ind w:left="300" w:hanging="295"/>
        <w:spacing w:after="0"/>
        <w:tabs>
          <w:tab w:leader="none" w:pos="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fair value of CLO liabilities is classified based on the more observable fair value of CLO assets. Please see notes 2 and 8 for more information.</w:t>
      </w:r>
    </w:p>
    <w:p>
      <w:pPr>
        <w:spacing w:after="0" w:line="2" w:lineRule="exact"/>
        <w:rPr>
          <w:rFonts w:ascii="Arial" w:cs="Arial" w:eastAsia="Arial" w:hAnsi="Arial"/>
          <w:sz w:val="13"/>
          <w:szCs w:val="13"/>
          <w:color w:val="auto"/>
        </w:rPr>
      </w:pPr>
    </w:p>
    <w:p>
      <w:pPr>
        <w:ind w:left="300" w:hanging="295"/>
        <w:spacing w:after="0"/>
        <w:tabs>
          <w:tab w:leader="none" w:pos="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Amounts are included in accounts payable, accrued expenses and other liabilities under “liabilities of consolidated funds” in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tables set forth a summary of changes in the fair value of Level III investments: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8"/>
              </w:rPr>
              <w:t>Corporate Debt –</w:t>
            </w:r>
          </w:p>
        </w:tc>
        <w:tc>
          <w:tcPr>
            <w:tcW w:w="10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rPr>
              <w:t>Corporate Debt –</w:t>
            </w:r>
          </w:p>
        </w:tc>
        <w:tc>
          <w:tcPr>
            <w:tcW w:w="8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Equities –</w:t>
            </w:r>
          </w:p>
        </w:tc>
        <w:tc>
          <w:tcPr>
            <w:tcW w:w="140" w:type="dxa"/>
            <w:vAlign w:val="bottom"/>
          </w:tcPr>
          <w:p>
            <w:pPr>
              <w:spacing w:after="0"/>
              <w:rPr>
                <w:sz w:val="10"/>
                <w:szCs w:val="1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Equities –</w:t>
            </w:r>
          </w:p>
        </w:tc>
        <w:tc>
          <w:tcPr>
            <w:tcW w:w="12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Real Estate</w:t>
            </w:r>
          </w:p>
        </w:tc>
        <w:tc>
          <w:tcPr>
            <w:tcW w:w="220" w:type="dxa"/>
            <w:vAlign w:val="bottom"/>
          </w:tcPr>
          <w:p>
            <w:pPr>
              <w:spacing w:after="0"/>
              <w:rPr>
                <w:sz w:val="10"/>
                <w:szCs w:val="10"/>
                <w:color w:val="auto"/>
              </w:rPr>
            </w:pPr>
          </w:p>
        </w:tc>
        <w:tc>
          <w:tcPr>
            <w:tcW w:w="720" w:type="dxa"/>
            <w:vAlign w:val="bottom"/>
            <w:vMerge w:val="restart"/>
          </w:tcPr>
          <w:p>
            <w:pPr>
              <w:jc w:val="right"/>
              <w:ind w:right="28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Bank Debt</w:t>
            </w:r>
          </w:p>
        </w:tc>
        <w:tc>
          <w:tcPr>
            <w:tcW w:w="16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9"/>
              </w:rPr>
              <w:t>All Other</w:t>
            </w:r>
          </w:p>
        </w:tc>
        <w:tc>
          <w:tcPr>
            <w:tcW w:w="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Common Stock</w:t>
            </w:r>
          </w:p>
        </w:tc>
        <w:tc>
          <w:tcPr>
            <w:tcW w:w="102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9"/>
              </w:rPr>
              <w:t>Preferred Stock</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51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Three months ended June 30, 2022</w:t>
            </w: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64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Beginning balance</w:t>
            </w:r>
          </w:p>
        </w:tc>
        <w:tc>
          <w:tcPr>
            <w:tcW w:w="350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867,294</w:t>
            </w:r>
          </w:p>
        </w:tc>
        <w:tc>
          <w:tcPr>
            <w:tcW w:w="120" w:type="dxa"/>
            <w:vAlign w:val="bottom"/>
          </w:tcPr>
          <w:p>
            <w:pPr>
              <w:spacing w:after="0"/>
              <w:rPr>
                <w:sz w:val="13"/>
                <w:szCs w:val="13"/>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224,490</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690,278</w:t>
            </w:r>
          </w:p>
        </w:tc>
        <w:tc>
          <w:tcPr>
            <w:tcW w:w="1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593,752</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36,887</w:t>
            </w:r>
          </w:p>
        </w:tc>
        <w:tc>
          <w:tcPr>
            <w:tcW w:w="120" w:type="dxa"/>
            <w:vAlign w:val="bottom"/>
          </w:tcPr>
          <w:p>
            <w:pPr>
              <w:spacing w:after="0"/>
              <w:rPr>
                <w:sz w:val="13"/>
                <w:szCs w:val="13"/>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2,412,701</w:t>
            </w:r>
          </w:p>
        </w:tc>
        <w:tc>
          <w:tcPr>
            <w:tcW w:w="0" w:type="dxa"/>
            <w:vAlign w:val="bottom"/>
          </w:tcPr>
          <w:p>
            <w:pPr>
              <w:spacing w:after="0"/>
              <w:rPr>
                <w:sz w:val="1"/>
                <w:szCs w:val="1"/>
                <w:color w:val="auto"/>
              </w:rPr>
            </w:pPr>
          </w:p>
        </w:tc>
      </w:tr>
      <w:tr>
        <w:trPr>
          <w:trHeight w:val="149"/>
        </w:trPr>
        <w:tc>
          <w:tcPr>
            <w:tcW w:w="5140" w:type="dxa"/>
            <w:vAlign w:val="bottom"/>
            <w:gridSpan w:val="2"/>
          </w:tcPr>
          <w:p>
            <w:pPr>
              <w:ind w:left="380"/>
              <w:spacing w:after="0"/>
              <w:rPr>
                <w:sz w:val="20"/>
                <w:szCs w:val="20"/>
                <w:color w:val="auto"/>
              </w:rPr>
            </w:pPr>
            <w:r>
              <w:rPr>
                <w:rFonts w:ascii="Arial" w:cs="Arial" w:eastAsia="Arial" w:hAnsi="Arial"/>
                <w:sz w:val="11"/>
                <w:szCs w:val="11"/>
                <w:color w:val="auto"/>
              </w:rPr>
              <w:t>Deconsolidation of funds</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(33,428)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(456)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(33,884)</w:t>
            </w:r>
          </w:p>
        </w:tc>
        <w:tc>
          <w:tcPr>
            <w:tcW w:w="0" w:type="dxa"/>
            <w:vAlign w:val="bottom"/>
          </w:tcPr>
          <w:p>
            <w:pPr>
              <w:spacing w:after="0"/>
              <w:rPr>
                <w:sz w:val="1"/>
                <w:szCs w:val="1"/>
                <w:color w:val="auto"/>
              </w:rPr>
            </w:pPr>
          </w:p>
        </w:tc>
      </w:tr>
      <w:tr>
        <w:trPr>
          <w:trHeight w:val="149"/>
        </w:trPr>
        <w:tc>
          <w:tcPr>
            <w:tcW w:w="5140" w:type="dxa"/>
            <w:vAlign w:val="bottom"/>
            <w:gridSpan w:val="2"/>
          </w:tcPr>
          <w:p>
            <w:pPr>
              <w:ind w:left="380"/>
              <w:spacing w:after="0"/>
              <w:rPr>
                <w:sz w:val="20"/>
                <w:szCs w:val="20"/>
                <w:color w:val="auto"/>
              </w:rPr>
            </w:pPr>
            <w:r>
              <w:rPr>
                <w:rFonts w:ascii="Arial" w:cs="Arial" w:eastAsia="Arial" w:hAnsi="Arial"/>
                <w:sz w:val="11"/>
                <w:szCs w:val="11"/>
                <w:color w:val="auto"/>
              </w:rPr>
              <w:t>Transfers into Level III</w:t>
            </w:r>
          </w:p>
        </w:tc>
        <w:tc>
          <w:tcPr>
            <w:tcW w:w="14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82,845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3,942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86,787</w:t>
            </w:r>
          </w:p>
        </w:tc>
        <w:tc>
          <w:tcPr>
            <w:tcW w:w="0" w:type="dxa"/>
            <w:vAlign w:val="bottom"/>
          </w:tcPr>
          <w:p>
            <w:pPr>
              <w:spacing w:after="0"/>
              <w:rPr>
                <w:sz w:val="1"/>
                <w:szCs w:val="1"/>
                <w:color w:val="auto"/>
              </w:rPr>
            </w:pPr>
          </w:p>
        </w:tc>
      </w:tr>
      <w:tr>
        <w:trPr>
          <w:trHeight w:val="149"/>
        </w:trPr>
        <w:tc>
          <w:tcPr>
            <w:tcW w:w="5140" w:type="dxa"/>
            <w:vAlign w:val="bottom"/>
            <w:gridSpan w:val="2"/>
          </w:tcPr>
          <w:p>
            <w:pPr>
              <w:ind w:left="380"/>
              <w:spacing w:after="0"/>
              <w:rPr>
                <w:sz w:val="20"/>
                <w:szCs w:val="20"/>
                <w:color w:val="auto"/>
              </w:rPr>
            </w:pPr>
            <w:r>
              <w:rPr>
                <w:rFonts w:ascii="Arial" w:cs="Arial" w:eastAsia="Arial" w:hAnsi="Arial"/>
                <w:sz w:val="11"/>
                <w:szCs w:val="11"/>
                <w:color w:val="auto"/>
              </w:rPr>
              <w:t>Transfers out of Level III</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(20,766)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(22,241)</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Purchases</w:t>
            </w:r>
          </w:p>
        </w:tc>
        <w:tc>
          <w:tcPr>
            <w:tcW w:w="14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62,126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6,207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9,179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79,781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20,194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177,487</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Sales</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(98,436)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(24,425)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(63,306)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(91,191)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(277,358)</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Realized gain (losses), net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6,396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(827)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5,154</w:t>
            </w:r>
          </w:p>
        </w:tc>
        <w:tc>
          <w:tcPr>
            <w:tcW w:w="0" w:type="dxa"/>
            <w:vAlign w:val="bottom"/>
          </w:tcPr>
          <w:p>
            <w:pPr>
              <w:spacing w:after="0"/>
              <w:rPr>
                <w:sz w:val="1"/>
                <w:szCs w:val="1"/>
                <w:color w:val="auto"/>
              </w:rPr>
            </w:pPr>
          </w:p>
        </w:tc>
      </w:tr>
      <w:tr>
        <w:trPr>
          <w:trHeight w:val="153"/>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Unrealized appreciation (depreciation), net</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(8,534)</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(7,118)</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40,371</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3,084</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2,887</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30,690</w:t>
            </w:r>
          </w:p>
        </w:tc>
        <w:tc>
          <w:tcPr>
            <w:tcW w:w="0" w:type="dxa"/>
            <w:vAlign w:val="bottom"/>
          </w:tcPr>
          <w:p>
            <w:pPr>
              <w:spacing w:after="0"/>
              <w:rPr>
                <w:sz w:val="1"/>
                <w:szCs w:val="1"/>
                <w:color w:val="auto"/>
              </w:rPr>
            </w:pPr>
          </w:p>
        </w:tc>
      </w:tr>
      <w:tr>
        <w:trPr>
          <w:trHeight w:val="143"/>
        </w:trPr>
        <w:tc>
          <w:tcPr>
            <w:tcW w:w="5140" w:type="dxa"/>
            <w:vAlign w:val="bottom"/>
            <w:gridSpan w:val="2"/>
          </w:tcPr>
          <w:p>
            <w:pPr>
              <w:spacing w:after="0"/>
              <w:rPr>
                <w:sz w:val="20"/>
                <w:szCs w:val="20"/>
                <w:color w:val="auto"/>
              </w:rPr>
            </w:pPr>
            <w:r>
              <w:rPr>
                <w:rFonts w:ascii="Arial" w:cs="Arial" w:eastAsia="Arial" w:hAnsi="Arial"/>
                <w:sz w:val="11"/>
                <w:szCs w:val="11"/>
                <w:color w:val="auto"/>
              </w:rPr>
              <w:t>Ending balance</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850,679</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201,624</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682,462</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585,430</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59,141</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2,379,336</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140" w:type="dxa"/>
            <w:vAlign w:val="bottom"/>
            <w:gridSpan w:val="2"/>
          </w:tcPr>
          <w:p>
            <w:pPr>
              <w:spacing w:after="0"/>
              <w:rPr>
                <w:sz w:val="20"/>
                <w:szCs w:val="20"/>
                <w:color w:val="auto"/>
              </w:rPr>
            </w:pPr>
            <w:r>
              <w:rPr>
                <w:rFonts w:ascii="Arial" w:cs="Arial" w:eastAsia="Arial" w:hAnsi="Arial"/>
                <w:sz w:val="11"/>
                <w:szCs w:val="11"/>
                <w:color w:val="auto"/>
              </w:rPr>
              <w:t>Net change in unrealized appreciation (depreciation) attributable to assets still held at end of period</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(3,828)</w:t>
            </w:r>
          </w:p>
        </w:tc>
        <w:tc>
          <w:tcPr>
            <w:tcW w:w="120" w:type="dxa"/>
            <w:vAlign w:val="bottom"/>
          </w:tcPr>
          <w:p>
            <w:pPr>
              <w:spacing w:after="0"/>
              <w:rPr>
                <w:sz w:val="11"/>
                <w:szCs w:val="11"/>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(87)</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(319)</w:t>
            </w:r>
          </w:p>
        </w:tc>
        <w:tc>
          <w:tcPr>
            <w:tcW w:w="140" w:type="dxa"/>
            <w:vAlign w:val="bottom"/>
          </w:tcPr>
          <w:p>
            <w:pPr>
              <w:spacing w:after="0"/>
              <w:rPr>
                <w:sz w:val="11"/>
                <w:szCs w:val="11"/>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(4,236)</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Three months ended June 30, 2021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51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164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Beginning balance</w:t>
            </w:r>
          </w:p>
        </w:tc>
        <w:tc>
          <w:tcPr>
            <w:tcW w:w="350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429,031</w:t>
            </w:r>
          </w:p>
        </w:tc>
        <w:tc>
          <w:tcPr>
            <w:tcW w:w="120" w:type="dxa"/>
            <w:vAlign w:val="bottom"/>
          </w:tcPr>
          <w:p>
            <w:pPr>
              <w:spacing w:after="0"/>
              <w:rPr>
                <w:sz w:val="13"/>
                <w:szCs w:val="13"/>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112,547</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257,162</w:t>
            </w:r>
          </w:p>
        </w:tc>
        <w:tc>
          <w:tcPr>
            <w:tcW w:w="1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157,022</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955,762</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Transfers into Level III</w:t>
            </w:r>
          </w:p>
        </w:tc>
        <w:tc>
          <w:tcPr>
            <w:tcW w:w="14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15,261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2,655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17,916</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Transfers out of Level III</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(40,082)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(11,172)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(51,254)</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Purchases</w:t>
            </w:r>
          </w:p>
        </w:tc>
        <w:tc>
          <w:tcPr>
            <w:tcW w:w="14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79,746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73,893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95,706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32,372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46,617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328,334</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Sales</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(65,875)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(4,579)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(1,655)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(72,663)</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Realized losses, net</w:t>
            </w:r>
          </w:p>
        </w:tc>
        <w:tc>
          <w:tcPr>
            <w:tcW w:w="14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2,290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(8,272)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157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(5,771)</w:t>
            </w:r>
          </w:p>
        </w:tc>
        <w:tc>
          <w:tcPr>
            <w:tcW w:w="0" w:type="dxa"/>
            <w:vAlign w:val="bottom"/>
          </w:tcPr>
          <w:p>
            <w:pPr>
              <w:spacing w:after="0"/>
              <w:rPr>
                <w:sz w:val="1"/>
                <w:szCs w:val="1"/>
                <w:color w:val="auto"/>
              </w:rPr>
            </w:pPr>
          </w:p>
        </w:tc>
      </w:tr>
      <w:tr>
        <w:trPr>
          <w:trHeight w:val="153"/>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Unrealized appreciation (depreciation), net</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660</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(825)</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10,177</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4,289</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(951)</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13,350</w:t>
            </w:r>
          </w:p>
        </w:tc>
        <w:tc>
          <w:tcPr>
            <w:tcW w:w="0" w:type="dxa"/>
            <w:vAlign w:val="bottom"/>
          </w:tcPr>
          <w:p>
            <w:pPr>
              <w:spacing w:after="0"/>
              <w:rPr>
                <w:sz w:val="1"/>
                <w:szCs w:val="1"/>
                <w:color w:val="auto"/>
              </w:rPr>
            </w:pPr>
          </w:p>
        </w:tc>
      </w:tr>
      <w:tr>
        <w:trPr>
          <w:trHeight w:val="143"/>
        </w:trPr>
        <w:tc>
          <w:tcPr>
            <w:tcW w:w="5140" w:type="dxa"/>
            <w:vAlign w:val="bottom"/>
            <w:gridSpan w:val="2"/>
          </w:tcPr>
          <w:p>
            <w:pPr>
              <w:spacing w:after="0"/>
              <w:rPr>
                <w:sz w:val="20"/>
                <w:szCs w:val="20"/>
                <w:color w:val="auto"/>
              </w:rPr>
            </w:pPr>
            <w:r>
              <w:rPr>
                <w:rFonts w:ascii="Arial" w:cs="Arial" w:eastAsia="Arial" w:hAnsi="Arial"/>
                <w:sz w:val="11"/>
                <w:szCs w:val="11"/>
                <w:color w:val="auto"/>
              </w:rPr>
              <w:t>Ending balance</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421,031</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176,598</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350,194</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192,185</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45,666</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1,185,674</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140" w:type="dxa"/>
            <w:vAlign w:val="bottom"/>
            <w:gridSpan w:val="2"/>
          </w:tcPr>
          <w:p>
            <w:pPr>
              <w:spacing w:after="0"/>
              <w:rPr>
                <w:sz w:val="20"/>
                <w:szCs w:val="20"/>
                <w:color w:val="auto"/>
              </w:rPr>
            </w:pPr>
            <w:r>
              <w:rPr>
                <w:rFonts w:ascii="Arial" w:cs="Arial" w:eastAsia="Arial" w:hAnsi="Arial"/>
                <w:sz w:val="11"/>
                <w:szCs w:val="11"/>
                <w:color w:val="auto"/>
              </w:rPr>
              <w:t>Net change in unrealized appreciation (depreciation) attributable to assets still held at end of period</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(306)</w:t>
            </w:r>
          </w:p>
        </w:tc>
        <w:tc>
          <w:tcPr>
            <w:tcW w:w="1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1,787</w:t>
            </w:r>
          </w:p>
        </w:tc>
        <w:tc>
          <w:tcPr>
            <w:tcW w:w="140" w:type="dxa"/>
            <w:vAlign w:val="bottom"/>
          </w:tcPr>
          <w:p>
            <w:pPr>
              <w:spacing w:after="0"/>
              <w:rPr>
                <w:sz w:val="11"/>
                <w:szCs w:val="11"/>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4,290</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(950)</w:t>
            </w:r>
          </w:p>
        </w:tc>
        <w:tc>
          <w:tcPr>
            <w:tcW w:w="120" w:type="dxa"/>
            <w:vAlign w:val="bottom"/>
          </w:tcPr>
          <w:p>
            <w:pPr>
              <w:spacing w:after="0"/>
              <w:rPr>
                <w:sz w:val="11"/>
                <w:szCs w:val="11"/>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4,814</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38" w:name="page39"/>
    <w:bookmarkEnd w:id="38"/>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5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8"/>
              </w:rPr>
              <w:t>Corporate Debt –</w:t>
            </w:r>
          </w:p>
        </w:tc>
        <w:tc>
          <w:tcPr>
            <w:tcW w:w="10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rPr>
              <w:t>Corporate Debt –</w:t>
            </w:r>
          </w:p>
        </w:tc>
        <w:tc>
          <w:tcPr>
            <w:tcW w:w="8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Equities –</w:t>
            </w:r>
          </w:p>
        </w:tc>
        <w:tc>
          <w:tcPr>
            <w:tcW w:w="140" w:type="dxa"/>
            <w:vAlign w:val="bottom"/>
          </w:tcPr>
          <w:p>
            <w:pPr>
              <w:spacing w:after="0"/>
              <w:rPr>
                <w:sz w:val="10"/>
                <w:szCs w:val="1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Equities –</w:t>
            </w:r>
          </w:p>
        </w:tc>
        <w:tc>
          <w:tcPr>
            <w:tcW w:w="12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Real Estate</w:t>
            </w:r>
          </w:p>
        </w:tc>
        <w:tc>
          <w:tcPr>
            <w:tcW w:w="220" w:type="dxa"/>
            <w:vAlign w:val="bottom"/>
          </w:tcPr>
          <w:p>
            <w:pPr>
              <w:spacing w:after="0"/>
              <w:rPr>
                <w:sz w:val="10"/>
                <w:szCs w:val="10"/>
                <w:color w:val="auto"/>
              </w:rPr>
            </w:pPr>
          </w:p>
        </w:tc>
        <w:tc>
          <w:tcPr>
            <w:tcW w:w="720" w:type="dxa"/>
            <w:vAlign w:val="bottom"/>
            <w:vMerge w:val="restart"/>
          </w:tcPr>
          <w:p>
            <w:pPr>
              <w:jc w:val="right"/>
              <w:ind w:right="28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2"/>
        </w:trPr>
        <w:tc>
          <w:tcPr>
            <w:tcW w:w="15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Bank Debt</w:t>
            </w:r>
          </w:p>
        </w:tc>
        <w:tc>
          <w:tcPr>
            <w:tcW w:w="16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9"/>
              </w:rPr>
              <w:t>All Other</w:t>
            </w:r>
          </w:p>
        </w:tc>
        <w:tc>
          <w:tcPr>
            <w:tcW w:w="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Common Stock</w:t>
            </w:r>
          </w:p>
        </w:tc>
        <w:tc>
          <w:tcPr>
            <w:tcW w:w="102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9"/>
              </w:rPr>
              <w:t>Preferred Stock</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5140" w:type="dxa"/>
            <w:vAlign w:val="bottom"/>
            <w:gridSpan w:val="2"/>
          </w:tcPr>
          <w:p>
            <w:pPr>
              <w:spacing w:after="0" w:line="93" w:lineRule="exact"/>
              <w:rPr>
                <w:sz w:val="20"/>
                <w:szCs w:val="20"/>
                <w:color w:val="auto"/>
              </w:rPr>
            </w:pPr>
            <w:r>
              <w:rPr>
                <w:rFonts w:ascii="Arial" w:cs="Arial" w:eastAsia="Arial" w:hAnsi="Arial"/>
                <w:sz w:val="10"/>
                <w:szCs w:val="10"/>
                <w:b w:val="1"/>
                <w:bCs w:val="1"/>
                <w:color w:val="auto"/>
              </w:rPr>
              <w:t>Six months ended June 30, 2022</w:t>
            </w: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152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Beginning balance</w:t>
            </w:r>
          </w:p>
        </w:tc>
        <w:tc>
          <w:tcPr>
            <w:tcW w:w="362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597,188</w:t>
            </w:r>
          </w:p>
        </w:tc>
        <w:tc>
          <w:tcPr>
            <w:tcW w:w="120" w:type="dxa"/>
            <w:vAlign w:val="bottom"/>
          </w:tcPr>
          <w:p>
            <w:pPr>
              <w:spacing w:after="0"/>
              <w:rPr>
                <w:sz w:val="13"/>
                <w:szCs w:val="13"/>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229,576</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581,748</w:t>
            </w:r>
          </w:p>
        </w:tc>
        <w:tc>
          <w:tcPr>
            <w:tcW w:w="1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486,030</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33,834</w:t>
            </w:r>
          </w:p>
        </w:tc>
        <w:tc>
          <w:tcPr>
            <w:tcW w:w="120" w:type="dxa"/>
            <w:vAlign w:val="bottom"/>
          </w:tcPr>
          <w:p>
            <w:pPr>
              <w:spacing w:after="0"/>
              <w:rPr>
                <w:sz w:val="13"/>
                <w:szCs w:val="13"/>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1,928,376</w:t>
            </w:r>
          </w:p>
        </w:tc>
        <w:tc>
          <w:tcPr>
            <w:tcW w:w="0" w:type="dxa"/>
            <w:vAlign w:val="bottom"/>
          </w:tcPr>
          <w:p>
            <w:pPr>
              <w:spacing w:after="0"/>
              <w:rPr>
                <w:sz w:val="1"/>
                <w:szCs w:val="1"/>
                <w:color w:val="auto"/>
              </w:rPr>
            </w:pPr>
          </w:p>
        </w:tc>
      </w:tr>
      <w:tr>
        <w:trPr>
          <w:trHeight w:val="149"/>
        </w:trPr>
        <w:tc>
          <w:tcPr>
            <w:tcW w:w="5140" w:type="dxa"/>
            <w:vAlign w:val="bottom"/>
            <w:gridSpan w:val="2"/>
          </w:tcPr>
          <w:p>
            <w:pPr>
              <w:ind w:left="380"/>
              <w:spacing w:after="0"/>
              <w:rPr>
                <w:sz w:val="20"/>
                <w:szCs w:val="20"/>
                <w:color w:val="auto"/>
              </w:rPr>
            </w:pPr>
            <w:r>
              <w:rPr>
                <w:rFonts w:ascii="Arial" w:cs="Arial" w:eastAsia="Arial" w:hAnsi="Arial"/>
                <w:sz w:val="11"/>
                <w:szCs w:val="11"/>
                <w:color w:val="auto"/>
              </w:rPr>
              <w:t>Deconsolidation of funds</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(33,428)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(456)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(33,884)</w:t>
            </w:r>
          </w:p>
        </w:tc>
        <w:tc>
          <w:tcPr>
            <w:tcW w:w="0" w:type="dxa"/>
            <w:vAlign w:val="bottom"/>
          </w:tcPr>
          <w:p>
            <w:pPr>
              <w:spacing w:after="0"/>
              <w:rPr>
                <w:sz w:val="1"/>
                <w:szCs w:val="1"/>
                <w:color w:val="auto"/>
              </w:rPr>
            </w:pPr>
          </w:p>
        </w:tc>
      </w:tr>
      <w:tr>
        <w:trPr>
          <w:trHeight w:val="149"/>
        </w:trPr>
        <w:tc>
          <w:tcPr>
            <w:tcW w:w="5140" w:type="dxa"/>
            <w:vAlign w:val="bottom"/>
            <w:gridSpan w:val="2"/>
          </w:tcPr>
          <w:p>
            <w:pPr>
              <w:ind w:left="380"/>
              <w:spacing w:after="0"/>
              <w:rPr>
                <w:sz w:val="20"/>
                <w:szCs w:val="20"/>
                <w:color w:val="auto"/>
              </w:rPr>
            </w:pPr>
            <w:r>
              <w:rPr>
                <w:rFonts w:ascii="Arial" w:cs="Arial" w:eastAsia="Arial" w:hAnsi="Arial"/>
                <w:sz w:val="11"/>
                <w:szCs w:val="11"/>
                <w:color w:val="auto"/>
              </w:rPr>
              <w:t>Transfers into Level III</w:t>
            </w:r>
          </w:p>
        </w:tc>
        <w:tc>
          <w:tcPr>
            <w:tcW w:w="14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87,252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5,354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92,606</w:t>
            </w:r>
          </w:p>
        </w:tc>
        <w:tc>
          <w:tcPr>
            <w:tcW w:w="0" w:type="dxa"/>
            <w:vAlign w:val="bottom"/>
          </w:tcPr>
          <w:p>
            <w:pPr>
              <w:spacing w:after="0"/>
              <w:rPr>
                <w:sz w:val="1"/>
                <w:szCs w:val="1"/>
                <w:color w:val="auto"/>
              </w:rPr>
            </w:pPr>
          </w:p>
        </w:tc>
      </w:tr>
      <w:tr>
        <w:trPr>
          <w:trHeight w:val="149"/>
        </w:trPr>
        <w:tc>
          <w:tcPr>
            <w:tcW w:w="5140" w:type="dxa"/>
            <w:vAlign w:val="bottom"/>
            <w:gridSpan w:val="2"/>
          </w:tcPr>
          <w:p>
            <w:pPr>
              <w:ind w:left="380"/>
              <w:spacing w:after="0"/>
              <w:rPr>
                <w:sz w:val="20"/>
                <w:szCs w:val="20"/>
                <w:color w:val="auto"/>
              </w:rPr>
            </w:pPr>
            <w:r>
              <w:rPr>
                <w:rFonts w:ascii="Arial" w:cs="Arial" w:eastAsia="Arial" w:hAnsi="Arial"/>
                <w:sz w:val="11"/>
                <w:szCs w:val="11"/>
                <w:color w:val="auto"/>
              </w:rPr>
              <w:t>Transfers out of Level III</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(41,449)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(3,950)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(45,405)</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Purchases</w:t>
            </w:r>
          </w:p>
        </w:tc>
        <w:tc>
          <w:tcPr>
            <w:tcW w:w="14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413,281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8,169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109,641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171,159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24,141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726,391</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Sales</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(164,240)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(24,432)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(106,369)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(91,191)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(386,232)</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Realized gain, net</w:t>
            </w:r>
          </w:p>
        </w:tc>
        <w:tc>
          <w:tcPr>
            <w:tcW w:w="14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2,466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(121,983)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(827)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(120,359)</w:t>
            </w:r>
          </w:p>
        </w:tc>
        <w:tc>
          <w:tcPr>
            <w:tcW w:w="0" w:type="dxa"/>
            <w:vAlign w:val="bottom"/>
          </w:tcPr>
          <w:p>
            <w:pPr>
              <w:spacing w:after="0"/>
              <w:rPr>
                <w:sz w:val="1"/>
                <w:szCs w:val="1"/>
                <w:color w:val="auto"/>
              </w:rPr>
            </w:pPr>
          </w:p>
        </w:tc>
      </w:tr>
      <w:tr>
        <w:trPr>
          <w:trHeight w:val="153"/>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Unrealized appreciation (depreciation), net</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(10,391)</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(13,074)</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219,887</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19,428</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1,993</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217,843</w:t>
            </w:r>
          </w:p>
        </w:tc>
        <w:tc>
          <w:tcPr>
            <w:tcW w:w="0" w:type="dxa"/>
            <w:vAlign w:val="bottom"/>
          </w:tcPr>
          <w:p>
            <w:pPr>
              <w:spacing w:after="0"/>
              <w:rPr>
                <w:sz w:val="1"/>
                <w:szCs w:val="1"/>
                <w:color w:val="auto"/>
              </w:rPr>
            </w:pPr>
          </w:p>
        </w:tc>
      </w:tr>
      <w:tr>
        <w:trPr>
          <w:trHeight w:val="143"/>
        </w:trPr>
        <w:tc>
          <w:tcPr>
            <w:tcW w:w="5140" w:type="dxa"/>
            <w:vAlign w:val="bottom"/>
            <w:gridSpan w:val="2"/>
          </w:tcPr>
          <w:p>
            <w:pPr>
              <w:spacing w:after="0"/>
              <w:rPr>
                <w:sz w:val="20"/>
                <w:szCs w:val="20"/>
                <w:color w:val="auto"/>
              </w:rPr>
            </w:pPr>
            <w:r>
              <w:rPr>
                <w:rFonts w:ascii="Arial" w:cs="Arial" w:eastAsia="Arial" w:hAnsi="Arial"/>
                <w:sz w:val="11"/>
                <w:szCs w:val="11"/>
                <w:color w:val="auto"/>
              </w:rPr>
              <w:t>Ending balance</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850,679</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201,624</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682,462</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585,430</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59,141</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2,379,336</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140" w:type="dxa"/>
            <w:vAlign w:val="bottom"/>
            <w:gridSpan w:val="2"/>
          </w:tcPr>
          <w:p>
            <w:pPr>
              <w:spacing w:after="0"/>
              <w:rPr>
                <w:sz w:val="20"/>
                <w:szCs w:val="20"/>
                <w:color w:val="auto"/>
              </w:rPr>
            </w:pPr>
            <w:r>
              <w:rPr>
                <w:rFonts w:ascii="Arial" w:cs="Arial" w:eastAsia="Arial" w:hAnsi="Arial"/>
                <w:sz w:val="11"/>
                <w:szCs w:val="11"/>
                <w:color w:val="auto"/>
              </w:rPr>
              <w:t>Net change in unrealized appreciation attributable to assets still held at end of period</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(4,314)</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w:t>
            </w:r>
          </w:p>
        </w:tc>
        <w:tc>
          <w:tcPr>
            <w:tcW w:w="1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w:t>
            </w:r>
          </w:p>
        </w:tc>
        <w:tc>
          <w:tcPr>
            <w:tcW w:w="140" w:type="dxa"/>
            <w:vAlign w:val="bottom"/>
          </w:tcPr>
          <w:p>
            <w:pPr>
              <w:spacing w:after="0"/>
              <w:rPr>
                <w:sz w:val="11"/>
                <w:szCs w:val="11"/>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(4,757)</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line="107" w:lineRule="exact"/>
              <w:rPr>
                <w:sz w:val="20"/>
                <w:szCs w:val="20"/>
                <w:color w:val="auto"/>
              </w:rPr>
            </w:pPr>
            <w:r>
              <w:rPr>
                <w:rFonts w:ascii="Arial" w:cs="Arial" w:eastAsia="Arial" w:hAnsi="Arial"/>
                <w:sz w:val="10"/>
                <w:szCs w:val="10"/>
                <w:b w:val="1"/>
                <w:bCs w:val="1"/>
                <w:color w:val="auto"/>
              </w:rPr>
              <w:t>Six months ended June 30, 2021</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5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52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Beginning balance</w:t>
            </w:r>
          </w:p>
        </w:tc>
        <w:tc>
          <w:tcPr>
            <w:tcW w:w="362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255,283</w:t>
            </w:r>
          </w:p>
        </w:tc>
        <w:tc>
          <w:tcPr>
            <w:tcW w:w="120" w:type="dxa"/>
            <w:vAlign w:val="bottom"/>
          </w:tcPr>
          <w:p>
            <w:pPr>
              <w:spacing w:after="0"/>
              <w:rPr>
                <w:sz w:val="13"/>
                <w:szCs w:val="13"/>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79,085</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187,370</w:t>
            </w:r>
          </w:p>
        </w:tc>
        <w:tc>
          <w:tcPr>
            <w:tcW w:w="1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23,219</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544,957</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Deconsolidation of funds</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(3,065)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(3,065)</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Transfers into Level III</w:t>
            </w:r>
          </w:p>
        </w:tc>
        <w:tc>
          <w:tcPr>
            <w:tcW w:w="14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51,283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2,960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54,248</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Transfers out of Level III</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(66,400)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(15,216)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(81,616)</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Purchases</w:t>
            </w:r>
          </w:p>
        </w:tc>
        <w:tc>
          <w:tcPr>
            <w:tcW w:w="14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257,025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108,964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165,500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160,862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46,617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738,968</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Sales</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(79,880)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(4,486)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(4,794)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(1,655)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(90,815)</w:t>
            </w:r>
          </w:p>
        </w:tc>
        <w:tc>
          <w:tcPr>
            <w:tcW w:w="0" w:type="dxa"/>
            <w:vAlign w:val="bottom"/>
          </w:tcPr>
          <w:p>
            <w:pPr>
              <w:spacing w:after="0"/>
              <w:rPr>
                <w:sz w:val="1"/>
                <w:szCs w:val="1"/>
                <w:color w:val="auto"/>
              </w:rPr>
            </w:pPr>
          </w:p>
        </w:tc>
      </w:tr>
      <w:tr>
        <w:trPr>
          <w:trHeight w:val="149"/>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Realized losses, net</w:t>
            </w:r>
          </w:p>
        </w:tc>
        <w:tc>
          <w:tcPr>
            <w:tcW w:w="14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3,421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440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(8,272)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157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(4,254)</w:t>
            </w:r>
          </w:p>
        </w:tc>
        <w:tc>
          <w:tcPr>
            <w:tcW w:w="0" w:type="dxa"/>
            <w:vAlign w:val="bottom"/>
          </w:tcPr>
          <w:p>
            <w:pPr>
              <w:spacing w:after="0"/>
              <w:rPr>
                <w:sz w:val="1"/>
                <w:szCs w:val="1"/>
                <w:color w:val="auto"/>
              </w:rPr>
            </w:pPr>
          </w:p>
        </w:tc>
      </w:tr>
      <w:tr>
        <w:trPr>
          <w:trHeight w:val="153"/>
        </w:trPr>
        <w:tc>
          <w:tcPr>
            <w:tcW w:w="5140" w:type="dxa"/>
            <w:vAlign w:val="bottom"/>
            <w:gridSpan w:val="2"/>
          </w:tcPr>
          <w:p>
            <w:pPr>
              <w:ind w:left="260"/>
              <w:spacing w:after="0"/>
              <w:rPr>
                <w:sz w:val="20"/>
                <w:szCs w:val="20"/>
                <w:color w:val="auto"/>
              </w:rPr>
            </w:pPr>
            <w:r>
              <w:rPr>
                <w:rFonts w:ascii="Arial" w:cs="Arial" w:eastAsia="Arial" w:hAnsi="Arial"/>
                <w:sz w:val="11"/>
                <w:szCs w:val="11"/>
                <w:color w:val="auto"/>
              </w:rPr>
              <w:t>Unrealized depreciation, net</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3,364</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4,851</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10,385</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9,602</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(951)</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27,251</w:t>
            </w:r>
          </w:p>
        </w:tc>
        <w:tc>
          <w:tcPr>
            <w:tcW w:w="0" w:type="dxa"/>
            <w:vAlign w:val="bottom"/>
          </w:tcPr>
          <w:p>
            <w:pPr>
              <w:spacing w:after="0"/>
              <w:rPr>
                <w:sz w:val="1"/>
                <w:szCs w:val="1"/>
                <w:color w:val="auto"/>
              </w:rPr>
            </w:pPr>
          </w:p>
        </w:tc>
      </w:tr>
      <w:tr>
        <w:trPr>
          <w:trHeight w:val="143"/>
        </w:trPr>
        <w:tc>
          <w:tcPr>
            <w:tcW w:w="5140" w:type="dxa"/>
            <w:vAlign w:val="bottom"/>
            <w:gridSpan w:val="2"/>
          </w:tcPr>
          <w:p>
            <w:pPr>
              <w:spacing w:after="0"/>
              <w:rPr>
                <w:sz w:val="20"/>
                <w:szCs w:val="20"/>
                <w:color w:val="auto"/>
              </w:rPr>
            </w:pPr>
            <w:r>
              <w:rPr>
                <w:rFonts w:ascii="Arial" w:cs="Arial" w:eastAsia="Arial" w:hAnsi="Arial"/>
                <w:sz w:val="11"/>
                <w:szCs w:val="11"/>
                <w:color w:val="auto"/>
              </w:rPr>
              <w:t>Ending balance</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421,031</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176,598</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350,194</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192,185</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45,666</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1,185,674</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140" w:type="dxa"/>
            <w:vAlign w:val="bottom"/>
            <w:gridSpan w:val="2"/>
          </w:tcPr>
          <w:p>
            <w:pPr>
              <w:spacing w:after="0"/>
              <w:rPr>
                <w:sz w:val="20"/>
                <w:szCs w:val="20"/>
                <w:color w:val="auto"/>
              </w:rPr>
            </w:pPr>
            <w:r>
              <w:rPr>
                <w:rFonts w:ascii="Arial" w:cs="Arial" w:eastAsia="Arial" w:hAnsi="Arial"/>
                <w:sz w:val="11"/>
                <w:szCs w:val="11"/>
                <w:color w:val="auto"/>
              </w:rPr>
              <w:t>Net change in unrealized appreciation (depreciation) attributable to assets still held at end of period</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2,965</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5,411</w:t>
            </w:r>
          </w:p>
        </w:tc>
        <w:tc>
          <w:tcPr>
            <w:tcW w:w="1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2,006</w:t>
            </w:r>
          </w:p>
        </w:tc>
        <w:tc>
          <w:tcPr>
            <w:tcW w:w="140" w:type="dxa"/>
            <w:vAlign w:val="bottom"/>
          </w:tcPr>
          <w:p>
            <w:pPr>
              <w:spacing w:after="0"/>
              <w:rPr>
                <w:sz w:val="11"/>
                <w:szCs w:val="11"/>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9,602</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(950)</w:t>
            </w:r>
          </w:p>
        </w:tc>
        <w:tc>
          <w:tcPr>
            <w:tcW w:w="120" w:type="dxa"/>
            <w:vAlign w:val="bottom"/>
          </w:tcPr>
          <w:p>
            <w:pPr>
              <w:spacing w:after="0"/>
              <w:rPr>
                <w:sz w:val="11"/>
                <w:szCs w:val="11"/>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19,034</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right="420" w:firstLine="509"/>
        <w:spacing w:after="0" w:line="290" w:lineRule="auto"/>
        <w:rPr>
          <w:sz w:val="20"/>
          <w:szCs w:val="20"/>
          <w:color w:val="auto"/>
        </w:rPr>
      </w:pPr>
      <w:r>
        <w:rPr>
          <w:rFonts w:ascii="Arial" w:cs="Arial" w:eastAsia="Arial" w:hAnsi="Arial"/>
          <w:sz w:val="14"/>
          <w:szCs w:val="14"/>
          <w:color w:val="auto"/>
        </w:rPr>
        <w:t>Total realized and unrealized gains and losses recorded for Level III investments are included in net realized gain on consolidated funds’ investments or net change in unrealized appreciation (depreciation) on consolidated funds’ investments in the condensed consolidated statements of operations.</w:t>
      </w:r>
    </w:p>
    <w:p>
      <w:pPr>
        <w:spacing w:after="0" w:line="120" w:lineRule="exact"/>
        <w:rPr>
          <w:sz w:val="20"/>
          <w:szCs w:val="20"/>
          <w:color w:val="auto"/>
        </w:rPr>
      </w:pPr>
    </w:p>
    <w:p>
      <w:pPr>
        <w:ind w:right="100" w:firstLine="509"/>
        <w:spacing w:after="0" w:line="265" w:lineRule="auto"/>
        <w:rPr>
          <w:sz w:val="20"/>
          <w:szCs w:val="20"/>
          <w:color w:val="auto"/>
        </w:rPr>
      </w:pPr>
      <w:r>
        <w:rPr>
          <w:rFonts w:ascii="Arial" w:cs="Arial" w:eastAsia="Arial" w:hAnsi="Arial"/>
          <w:sz w:val="14"/>
          <w:szCs w:val="14"/>
          <w:color w:val="auto"/>
        </w:rPr>
        <w:t>Transfers out of Level III are generally attributable to certain investments that experienced a more significant level of market trading activity or completed an initial public offering during the respective period and thus were valued using observable inputs. Transfers into Level III typically reflect either investments that experienced a less significant level of market trading activity during the period or portfolio companies that undertook restructurings or bankruptcy proceedings and thus were valued in the absence of observable inputs.</w:t>
      </w:r>
    </w:p>
    <w:p>
      <w:pPr>
        <w:spacing w:after="0" w:line="180" w:lineRule="exact"/>
        <w:rPr>
          <w:sz w:val="20"/>
          <w:szCs w:val="20"/>
          <w:color w:val="auto"/>
        </w:rPr>
      </w:pPr>
    </w:p>
    <w:p>
      <w:pPr>
        <w:ind w:right="300" w:firstLine="509"/>
        <w:spacing w:after="0" w:line="283" w:lineRule="auto"/>
        <w:rPr>
          <w:sz w:val="20"/>
          <w:szCs w:val="20"/>
          <w:color w:val="auto"/>
        </w:rPr>
      </w:pPr>
      <w:r>
        <w:rPr>
          <w:rFonts w:ascii="Arial" w:cs="Arial" w:eastAsia="Arial" w:hAnsi="Arial"/>
          <w:sz w:val="14"/>
          <w:szCs w:val="14"/>
          <w:color w:val="auto"/>
        </w:rPr>
        <w:t>The following table sets forth a summary of the valuation techniques and quantitative information utilized in determining the fair value of the consolidated funds’ Level III investments as of June 30, 2022:</w:t>
      </w:r>
    </w:p>
    <w:tbl>
      <w:tblPr>
        <w:tblLayout w:type="fixed"/>
        <w:tblInd w:w="0" w:type="dxa"/>
        <w:tblCellMar>
          <w:top w:w="0" w:type="dxa"/>
          <w:left w:w="0" w:type="dxa"/>
          <w:bottom w:w="0" w:type="dxa"/>
          <w:right w:w="0" w:type="dxa"/>
        </w:tblCellMar>
      </w:tblPr>
      <w:tr>
        <w:trPr>
          <w:trHeight w:val="91"/>
        </w:trPr>
        <w:tc>
          <w:tcPr>
            <w:tcW w:w="1880" w:type="dxa"/>
            <w:vAlign w:val="bottom"/>
            <w:vMerge w:val="restart"/>
          </w:tcPr>
          <w:p>
            <w:pPr>
              <w:ind w:left="580"/>
              <w:spacing w:after="0"/>
              <w:rPr>
                <w:sz w:val="20"/>
                <w:szCs w:val="20"/>
                <w:color w:val="auto"/>
              </w:rPr>
            </w:pPr>
            <w:r>
              <w:rPr>
                <w:rFonts w:ascii="Arial" w:cs="Arial" w:eastAsia="Arial" w:hAnsi="Arial"/>
                <w:sz w:val="9"/>
                <w:szCs w:val="9"/>
                <w:b w:val="1"/>
                <w:bCs w:val="1"/>
                <w:color w:val="auto"/>
              </w:rPr>
              <w:t>Investment Type</w:t>
            </w:r>
          </w:p>
        </w:tc>
        <w:tc>
          <w:tcPr>
            <w:tcW w:w="20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restart"/>
          </w:tcPr>
          <w:p>
            <w:pPr>
              <w:jc w:val="right"/>
              <w:ind w:right="251"/>
              <w:spacing w:after="0"/>
              <w:rPr>
                <w:sz w:val="20"/>
                <w:szCs w:val="20"/>
                <w:color w:val="auto"/>
              </w:rPr>
            </w:pPr>
            <w:r>
              <w:rPr>
                <w:rFonts w:ascii="Arial" w:cs="Arial" w:eastAsia="Arial" w:hAnsi="Arial"/>
                <w:sz w:val="9"/>
                <w:szCs w:val="9"/>
                <w:b w:val="1"/>
                <w:bCs w:val="1"/>
                <w:color w:val="auto"/>
              </w:rPr>
              <w:t>Fair Value</w:t>
            </w:r>
          </w:p>
        </w:tc>
        <w:tc>
          <w:tcPr>
            <w:tcW w:w="200" w:type="dxa"/>
            <w:vAlign w:val="bottom"/>
            <w:vMerge w:val="restart"/>
          </w:tcPr>
          <w:p>
            <w:pPr>
              <w:spacing w:after="0"/>
              <w:rPr>
                <w:sz w:val="7"/>
                <w:szCs w:val="7"/>
                <w:color w:val="auto"/>
              </w:rPr>
            </w:pPr>
          </w:p>
        </w:tc>
        <w:tc>
          <w:tcPr>
            <w:tcW w:w="2460" w:type="dxa"/>
            <w:vAlign w:val="bottom"/>
            <w:vMerge w:val="restart"/>
          </w:tcPr>
          <w:p>
            <w:pPr>
              <w:ind w:left="780"/>
              <w:spacing w:after="0"/>
              <w:rPr>
                <w:sz w:val="20"/>
                <w:szCs w:val="20"/>
                <w:color w:val="auto"/>
              </w:rPr>
            </w:pPr>
            <w:r>
              <w:rPr>
                <w:rFonts w:ascii="Arial" w:cs="Arial" w:eastAsia="Arial" w:hAnsi="Arial"/>
                <w:sz w:val="9"/>
                <w:szCs w:val="9"/>
                <w:b w:val="1"/>
                <w:bCs w:val="1"/>
                <w:color w:val="auto"/>
              </w:rPr>
              <w:t>Valuation Technique</w:t>
            </w:r>
          </w:p>
        </w:tc>
        <w:tc>
          <w:tcPr>
            <w:tcW w:w="180" w:type="dxa"/>
            <w:vAlign w:val="bottom"/>
            <w:vMerge w:val="restart"/>
          </w:tcPr>
          <w:p>
            <w:pPr>
              <w:spacing w:after="0"/>
              <w:rPr>
                <w:sz w:val="7"/>
                <w:szCs w:val="7"/>
                <w:color w:val="auto"/>
              </w:rPr>
            </w:pPr>
          </w:p>
        </w:tc>
        <w:tc>
          <w:tcPr>
            <w:tcW w:w="2660" w:type="dxa"/>
            <w:vAlign w:val="bottom"/>
            <w:gridSpan w:val="2"/>
          </w:tcPr>
          <w:p>
            <w:pPr>
              <w:ind w:left="700"/>
              <w:spacing w:after="0" w:line="91" w:lineRule="exact"/>
              <w:rPr>
                <w:sz w:val="20"/>
                <w:szCs w:val="20"/>
                <w:color w:val="auto"/>
              </w:rPr>
            </w:pPr>
            <w:r>
              <w:rPr>
                <w:rFonts w:ascii="Arial" w:cs="Arial" w:eastAsia="Arial" w:hAnsi="Arial"/>
                <w:sz w:val="9"/>
                <w:szCs w:val="9"/>
                <w:b w:val="1"/>
                <w:bCs w:val="1"/>
                <w:color w:val="auto"/>
              </w:rPr>
              <w:t>Significant Unobservable</w:t>
            </w:r>
          </w:p>
        </w:tc>
        <w:tc>
          <w:tcPr>
            <w:tcW w:w="1260" w:type="dxa"/>
            <w:vAlign w:val="bottom"/>
            <w:gridSpan w:val="2"/>
            <w:vMerge w:val="restart"/>
          </w:tcPr>
          <w:p>
            <w:pPr>
              <w:jc w:val="center"/>
              <w:spacing w:after="0"/>
              <w:rPr>
                <w:sz w:val="20"/>
                <w:szCs w:val="20"/>
                <w:color w:val="auto"/>
              </w:rPr>
            </w:pPr>
            <w:r>
              <w:rPr>
                <w:rFonts w:ascii="Arial" w:cs="Arial" w:eastAsia="Arial" w:hAnsi="Arial"/>
                <w:sz w:val="9"/>
                <w:szCs w:val="9"/>
                <w:b w:val="1"/>
                <w:bCs w:val="1"/>
                <w:color w:val="auto"/>
              </w:rPr>
              <w:t>Range</w:t>
            </w:r>
          </w:p>
        </w:tc>
        <w:tc>
          <w:tcPr>
            <w:tcW w:w="180" w:type="dxa"/>
            <w:vAlign w:val="bottom"/>
            <w:vMerge w:val="restart"/>
          </w:tcPr>
          <w:p>
            <w:pPr>
              <w:spacing w:after="0"/>
              <w:rPr>
                <w:sz w:val="7"/>
                <w:szCs w:val="7"/>
                <w:color w:val="auto"/>
              </w:rPr>
            </w:pPr>
          </w:p>
        </w:tc>
        <w:tc>
          <w:tcPr>
            <w:tcW w:w="124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 xml:space="preserve">Weighted Average </w:t>
            </w:r>
            <w:r>
              <w:rPr>
                <w:rFonts w:ascii="Arial" w:cs="Arial" w:eastAsia="Arial" w:hAnsi="Arial"/>
                <w:sz w:val="11"/>
                <w:szCs w:val="11"/>
                <w:b w:val="1"/>
                <w:bCs w:val="1"/>
                <w:color w:val="auto"/>
                <w:w w:val="97"/>
                <w:vertAlign w:val="superscript"/>
              </w:rPr>
              <w:t>(3)</w:t>
            </w:r>
          </w:p>
        </w:tc>
        <w:tc>
          <w:tcPr>
            <w:tcW w:w="0" w:type="dxa"/>
            <w:vAlign w:val="bottom"/>
          </w:tcPr>
          <w:p>
            <w:pPr>
              <w:spacing w:after="0"/>
              <w:rPr>
                <w:sz w:val="1"/>
                <w:szCs w:val="1"/>
                <w:color w:val="auto"/>
              </w:rPr>
            </w:pPr>
          </w:p>
        </w:tc>
      </w:tr>
      <w:tr>
        <w:trPr>
          <w:trHeight w:val="127"/>
        </w:trPr>
        <w:tc>
          <w:tcPr>
            <w:tcW w:w="188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2460" w:type="dxa"/>
            <w:vAlign w:val="bottom"/>
            <w:tcBorders>
              <w:bottom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480" w:type="dxa"/>
            <w:vAlign w:val="bottom"/>
            <w:tcBorders>
              <w:bottom w:val="single" w:sz="8" w:color="auto"/>
            </w:tcBorders>
          </w:tcPr>
          <w:p>
            <w:pPr>
              <w:ind w:left="1020"/>
              <w:spacing w:after="0"/>
              <w:rPr>
                <w:sz w:val="20"/>
                <w:szCs w:val="20"/>
                <w:color w:val="auto"/>
              </w:rPr>
            </w:pPr>
            <w:r>
              <w:rPr>
                <w:rFonts w:ascii="Arial" w:cs="Arial" w:eastAsia="Arial" w:hAnsi="Arial"/>
                <w:sz w:val="9"/>
                <w:szCs w:val="9"/>
                <w:b w:val="1"/>
                <w:bCs w:val="1"/>
                <w:color w:val="auto"/>
              </w:rPr>
              <w:t xml:space="preserve">Inputs </w:t>
            </w:r>
            <w:r>
              <w:rPr>
                <w:rFonts w:ascii="Arial" w:cs="Arial" w:eastAsia="Arial" w:hAnsi="Arial"/>
                <w:sz w:val="11"/>
                <w:szCs w:val="11"/>
                <w:b w:val="1"/>
                <w:bCs w:val="1"/>
                <w:color w:val="auto"/>
                <w:vertAlign w:val="superscript"/>
              </w:rPr>
              <w:t>(1)(2)</w:t>
            </w:r>
          </w:p>
        </w:tc>
        <w:tc>
          <w:tcPr>
            <w:tcW w:w="180" w:type="dxa"/>
            <w:vAlign w:val="bottom"/>
          </w:tcPr>
          <w:p>
            <w:pPr>
              <w:spacing w:after="0"/>
              <w:rPr>
                <w:sz w:val="11"/>
                <w:szCs w:val="11"/>
                <w:color w:val="auto"/>
              </w:rPr>
            </w:pPr>
          </w:p>
        </w:tc>
        <w:tc>
          <w:tcPr>
            <w:tcW w:w="1260" w:type="dxa"/>
            <w:vAlign w:val="bottom"/>
            <w:tcBorders>
              <w:bottom w:val="single" w:sz="8" w:color="auto"/>
            </w:tcBorders>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080" w:type="dxa"/>
            <w:vAlign w:val="bottom"/>
            <w:gridSpan w:val="2"/>
          </w:tcPr>
          <w:p>
            <w:pPr>
              <w:ind w:left="20"/>
              <w:spacing w:after="0"/>
              <w:rPr>
                <w:sz w:val="20"/>
                <w:szCs w:val="20"/>
                <w:color w:val="auto"/>
              </w:rPr>
            </w:pPr>
            <w:r>
              <w:rPr>
                <w:rFonts w:ascii="Arial" w:cs="Arial" w:eastAsia="Arial" w:hAnsi="Arial"/>
                <w:sz w:val="10"/>
                <w:szCs w:val="10"/>
                <w:color w:val="auto"/>
              </w:rPr>
              <w:t>Credit-oriented investments: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2"/>
            <w:vMerge w:val="restart"/>
          </w:tcPr>
          <w:p>
            <w:pPr>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12"/>
                <w:szCs w:val="12"/>
                <w:color w:val="auto"/>
                <w:vertAlign w:val="superscript"/>
              </w:rPr>
              <w:t>(4)</w:t>
            </w: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080" w:type="dxa"/>
            <w:vAlign w:val="bottom"/>
            <w:gridSpan w:val="2"/>
          </w:tcPr>
          <w:p>
            <w:pPr>
              <w:ind w:left="140"/>
              <w:spacing w:after="0"/>
              <w:rPr>
                <w:sz w:val="20"/>
                <w:szCs w:val="20"/>
                <w:color w:val="auto"/>
              </w:rPr>
            </w:pPr>
            <w:r>
              <w:rPr>
                <w:rFonts w:ascii="Arial" w:cs="Arial" w:eastAsia="Arial" w:hAnsi="Arial"/>
                <w:sz w:val="10"/>
                <w:szCs w:val="10"/>
                <w:color w:val="auto"/>
              </w:rPr>
              <w:t>Communication services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97,538</w:t>
            </w:r>
          </w:p>
        </w:tc>
        <w:tc>
          <w:tcPr>
            <w:tcW w:w="200" w:type="dxa"/>
            <w:vAlign w:val="bottom"/>
          </w:tcPr>
          <w:p>
            <w:pPr>
              <w:spacing w:after="0"/>
              <w:rPr>
                <w:sz w:val="11"/>
                <w:szCs w:val="11"/>
                <w:color w:val="auto"/>
              </w:rPr>
            </w:pPr>
          </w:p>
        </w:tc>
        <w:tc>
          <w:tcPr>
            <w:tcW w:w="2640" w:type="dxa"/>
            <w:vAlign w:val="bottom"/>
            <w:gridSpan w:val="2"/>
            <w:vMerge w:val="continue"/>
          </w:tcPr>
          <w:p>
            <w:pPr>
              <w:spacing w:after="0"/>
              <w:rPr>
                <w:sz w:val="11"/>
                <w:szCs w:val="11"/>
                <w:color w:val="auto"/>
              </w:rPr>
            </w:pP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Discount rate</w:t>
            </w:r>
          </w:p>
        </w:tc>
        <w:tc>
          <w:tcPr>
            <w:tcW w:w="600" w:type="dxa"/>
            <w:vAlign w:val="bottom"/>
          </w:tcPr>
          <w:p>
            <w:pPr>
              <w:jc w:val="right"/>
              <w:spacing w:after="0"/>
              <w:rPr>
                <w:sz w:val="20"/>
                <w:szCs w:val="20"/>
                <w:color w:val="auto"/>
              </w:rPr>
            </w:pPr>
            <w:r>
              <w:rPr>
                <w:rFonts w:ascii="Arial" w:cs="Arial" w:eastAsia="Arial" w:hAnsi="Arial"/>
                <w:sz w:val="10"/>
                <w:szCs w:val="10"/>
                <w:color w:val="auto"/>
              </w:rPr>
              <w:t>12%</w:t>
            </w:r>
          </w:p>
        </w:tc>
        <w:tc>
          <w:tcPr>
            <w:tcW w:w="660" w:type="dxa"/>
            <w:vAlign w:val="bottom"/>
          </w:tcPr>
          <w:p>
            <w:pPr>
              <w:ind w:left="20"/>
              <w:spacing w:after="0"/>
              <w:rPr>
                <w:sz w:val="20"/>
                <w:szCs w:val="20"/>
                <w:color w:val="auto"/>
              </w:rPr>
            </w:pPr>
            <w:r>
              <w:rPr>
                <w:rFonts w:ascii="Arial" w:cs="Arial" w:eastAsia="Arial" w:hAnsi="Arial"/>
                <w:sz w:val="10"/>
                <w:szCs w:val="10"/>
                <w:color w:val="auto"/>
              </w:rPr>
              <w:t>- 19%</w:t>
            </w:r>
          </w:p>
        </w:tc>
        <w:tc>
          <w:tcPr>
            <w:tcW w:w="18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99"/>
              </w:rPr>
              <w:t>15%</w:t>
            </w: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3"/>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47"/>
        </w:trPr>
        <w:tc>
          <w:tcPr>
            <w:tcW w:w="2080" w:type="dxa"/>
            <w:vAlign w:val="bottom"/>
            <w:gridSpan w:val="2"/>
          </w:tcPr>
          <w:p>
            <w:pPr>
              <w:ind w:left="180"/>
              <w:spacing w:after="0"/>
              <w:rPr>
                <w:sz w:val="20"/>
                <w:szCs w:val="20"/>
                <w:color w:val="auto"/>
              </w:rPr>
            </w:pPr>
            <w:r>
              <w:rPr>
                <w:rFonts w:ascii="Arial" w:cs="Arial" w:eastAsia="Arial" w:hAnsi="Arial"/>
                <w:sz w:val="10"/>
                <w:szCs w:val="10"/>
                <w:color w:val="auto"/>
              </w:rPr>
              <w:t>Energy</w:t>
            </w:r>
          </w:p>
        </w:tc>
        <w:tc>
          <w:tcPr>
            <w:tcW w:w="18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3"/>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272</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6"/>
                <w:szCs w:val="6"/>
                <w:color w:val="auto"/>
              </w:rPr>
              <w:t>(5)</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3"/>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86,336</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12"/>
                <w:szCs w:val="12"/>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Discount rate</w:t>
            </w:r>
          </w:p>
        </w:tc>
        <w:tc>
          <w:tcPr>
            <w:tcW w:w="600" w:type="dxa"/>
            <w:vAlign w:val="bottom"/>
          </w:tcPr>
          <w:p>
            <w:pPr>
              <w:jc w:val="right"/>
              <w:spacing w:after="0"/>
              <w:rPr>
                <w:sz w:val="20"/>
                <w:szCs w:val="20"/>
                <w:color w:val="auto"/>
              </w:rPr>
            </w:pPr>
            <w:r>
              <w:rPr>
                <w:rFonts w:ascii="Arial" w:cs="Arial" w:eastAsia="Arial" w:hAnsi="Arial"/>
                <w:sz w:val="10"/>
                <w:szCs w:val="10"/>
                <w:color w:val="auto"/>
              </w:rPr>
              <w:t>13%</w:t>
            </w:r>
          </w:p>
        </w:tc>
        <w:tc>
          <w:tcPr>
            <w:tcW w:w="660" w:type="dxa"/>
            <w:vAlign w:val="bottom"/>
          </w:tcPr>
          <w:p>
            <w:pPr>
              <w:ind w:left="20"/>
              <w:spacing w:after="0"/>
              <w:rPr>
                <w:sz w:val="20"/>
                <w:szCs w:val="20"/>
                <w:color w:val="auto"/>
              </w:rPr>
            </w:pPr>
            <w:r>
              <w:rPr>
                <w:rFonts w:ascii="Arial" w:cs="Arial" w:eastAsia="Arial" w:hAnsi="Arial"/>
                <w:sz w:val="10"/>
                <w:szCs w:val="10"/>
                <w:color w:val="auto"/>
              </w:rPr>
              <w:t>- 23%</w:t>
            </w:r>
          </w:p>
        </w:tc>
        <w:tc>
          <w:tcPr>
            <w:tcW w:w="18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99"/>
              </w:rPr>
              <w:t>15%</w:t>
            </w:r>
          </w:p>
        </w:tc>
        <w:tc>
          <w:tcPr>
            <w:tcW w:w="0" w:type="dxa"/>
            <w:vAlign w:val="bottom"/>
          </w:tcPr>
          <w:p>
            <w:pPr>
              <w:spacing w:after="0"/>
              <w:rPr>
                <w:sz w:val="1"/>
                <w:szCs w:val="1"/>
                <w:color w:val="auto"/>
              </w:rPr>
            </w:pPr>
          </w:p>
        </w:tc>
      </w:tr>
      <w:tr>
        <w:trPr>
          <w:trHeight w:val="107"/>
        </w:trPr>
        <w:tc>
          <w:tcPr>
            <w:tcW w:w="2080" w:type="dxa"/>
            <w:vAlign w:val="bottom"/>
            <w:gridSpan w:val="2"/>
          </w:tcPr>
          <w:p>
            <w:pPr>
              <w:ind w:left="180"/>
              <w:spacing w:after="0" w:line="107" w:lineRule="exact"/>
              <w:rPr>
                <w:sz w:val="20"/>
                <w:szCs w:val="20"/>
                <w:color w:val="auto"/>
              </w:rPr>
            </w:pPr>
            <w:r>
              <w:rPr>
                <w:rFonts w:ascii="Arial" w:cs="Arial" w:eastAsia="Arial" w:hAnsi="Arial"/>
                <w:sz w:val="10"/>
                <w:szCs w:val="10"/>
                <w:color w:val="auto"/>
              </w:rPr>
              <w:t>Financials</w:t>
            </w:r>
          </w:p>
        </w:tc>
        <w:tc>
          <w:tcPr>
            <w:tcW w:w="180" w:type="dxa"/>
            <w:vAlign w:val="bottom"/>
          </w:tcPr>
          <w:p>
            <w:pPr>
              <w:spacing w:after="0"/>
              <w:rPr>
                <w:sz w:val="9"/>
                <w:szCs w:val="9"/>
                <w:color w:val="auto"/>
              </w:rPr>
            </w:pPr>
          </w:p>
        </w:tc>
        <w:tc>
          <w:tcPr>
            <w:tcW w:w="1040" w:type="dxa"/>
            <w:vAlign w:val="bottom"/>
            <w:gridSpan w:val="2"/>
          </w:tcPr>
          <w:p>
            <w:pPr>
              <w:jc w:val="right"/>
              <w:ind w:right="240"/>
              <w:spacing w:after="0" w:line="107" w:lineRule="exact"/>
              <w:rPr>
                <w:sz w:val="20"/>
                <w:szCs w:val="20"/>
                <w:color w:val="auto"/>
              </w:rPr>
            </w:pPr>
            <w:r>
              <w:rPr>
                <w:rFonts w:ascii="Arial" w:cs="Arial" w:eastAsia="Arial" w:hAnsi="Arial"/>
                <w:sz w:val="10"/>
                <w:szCs w:val="10"/>
                <w:color w:val="auto"/>
              </w:rPr>
              <w:t>—</w:t>
            </w:r>
          </w:p>
        </w:tc>
        <w:tc>
          <w:tcPr>
            <w:tcW w:w="2640" w:type="dxa"/>
            <w:vAlign w:val="bottom"/>
            <w:gridSpan w:val="2"/>
          </w:tcPr>
          <w:p>
            <w:pPr>
              <w:spacing w:after="0" w:line="107" w:lineRule="exact"/>
              <w:rPr>
                <w:sz w:val="20"/>
                <w:szCs w:val="20"/>
                <w:color w:val="auto"/>
              </w:rPr>
            </w:pPr>
            <w:r>
              <w:rPr>
                <w:rFonts w:ascii="Arial" w:cs="Arial" w:eastAsia="Arial" w:hAnsi="Arial"/>
                <w:sz w:val="10"/>
                <w:szCs w:val="10"/>
                <w:color w:val="auto"/>
              </w:rPr>
              <w:t>Market approach</w:t>
            </w:r>
          </w:p>
        </w:tc>
        <w:tc>
          <w:tcPr>
            <w:tcW w:w="2660" w:type="dxa"/>
            <w:vAlign w:val="bottom"/>
            <w:gridSpan w:val="2"/>
          </w:tcPr>
          <w:p>
            <w:pPr>
              <w:ind w:left="20"/>
              <w:spacing w:after="0" w:line="107" w:lineRule="exact"/>
              <w:rPr>
                <w:sz w:val="20"/>
                <w:szCs w:val="20"/>
                <w:color w:val="auto"/>
              </w:rPr>
            </w:pPr>
            <w:r>
              <w:rPr>
                <w:rFonts w:ascii="Arial" w:cs="Arial" w:eastAsia="Arial" w:hAnsi="Arial"/>
                <w:sz w:val="10"/>
                <w:szCs w:val="10"/>
                <w:color w:val="auto"/>
              </w:rPr>
              <w:t xml:space="preserve">Multiple of underlying assets </w:t>
            </w:r>
            <w:r>
              <w:rPr>
                <w:rFonts w:ascii="Arial" w:cs="Arial" w:eastAsia="Arial" w:hAnsi="Arial"/>
                <w:sz w:val="12"/>
                <w:szCs w:val="12"/>
                <w:color w:val="auto"/>
                <w:vertAlign w:val="superscript"/>
              </w:rPr>
              <w:t>(8)</w:t>
            </w:r>
          </w:p>
        </w:tc>
        <w:tc>
          <w:tcPr>
            <w:tcW w:w="600" w:type="dxa"/>
            <w:vAlign w:val="bottom"/>
          </w:tcPr>
          <w:p>
            <w:pPr>
              <w:jc w:val="right"/>
              <w:spacing w:after="0" w:line="107" w:lineRule="exact"/>
              <w:rPr>
                <w:sz w:val="20"/>
                <w:szCs w:val="20"/>
                <w:color w:val="auto"/>
              </w:rPr>
            </w:pPr>
            <w:r>
              <w:rPr>
                <w:rFonts w:ascii="Arial" w:cs="Arial" w:eastAsia="Arial" w:hAnsi="Arial"/>
                <w:sz w:val="10"/>
                <w:szCs w:val="10"/>
                <w:color w:val="auto"/>
              </w:rPr>
              <w:t>0.9x</w:t>
            </w:r>
          </w:p>
        </w:tc>
        <w:tc>
          <w:tcPr>
            <w:tcW w:w="840" w:type="dxa"/>
            <w:vAlign w:val="bottom"/>
            <w:gridSpan w:val="2"/>
          </w:tcPr>
          <w:p>
            <w:pPr>
              <w:ind w:left="20"/>
              <w:spacing w:after="0" w:line="107" w:lineRule="exact"/>
              <w:rPr>
                <w:sz w:val="20"/>
                <w:szCs w:val="20"/>
                <w:color w:val="auto"/>
              </w:rPr>
            </w:pPr>
            <w:r>
              <w:rPr>
                <w:rFonts w:ascii="Arial" w:cs="Arial" w:eastAsia="Arial" w:hAnsi="Arial"/>
                <w:sz w:val="10"/>
                <w:szCs w:val="10"/>
                <w:color w:val="auto"/>
              </w:rPr>
              <w:t>- 1.1x</w:t>
            </w:r>
          </w:p>
        </w:tc>
        <w:tc>
          <w:tcPr>
            <w:tcW w:w="1240" w:type="dxa"/>
            <w:vAlign w:val="bottom"/>
          </w:tcPr>
          <w:p>
            <w:pPr>
              <w:jc w:val="center"/>
              <w:spacing w:after="0" w:line="107" w:lineRule="exact"/>
              <w:rPr>
                <w:sz w:val="20"/>
                <w:szCs w:val="20"/>
                <w:color w:val="auto"/>
              </w:rPr>
            </w:pPr>
            <w:r>
              <w:rPr>
                <w:rFonts w:ascii="Arial" w:cs="Arial" w:eastAsia="Arial" w:hAnsi="Arial"/>
                <w:sz w:val="10"/>
                <w:szCs w:val="10"/>
                <w:color w:val="auto"/>
              </w:rPr>
              <w:t>1.1x</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(comparable companies) </w:t>
            </w:r>
            <w:r>
              <w:rPr>
                <w:rFonts w:ascii="Arial" w:cs="Arial" w:eastAsia="Arial" w:hAnsi="Arial"/>
                <w:sz w:val="12"/>
                <w:szCs w:val="12"/>
                <w:color w:val="auto"/>
                <w:vertAlign w:val="superscript"/>
              </w:rPr>
              <w:t>(7)</w:t>
            </w: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9" w:name="page40"/>
    <w:bookmarkEnd w:id="39"/>
    <w:p>
      <w:pPr>
        <w:jc w:val="center"/>
        <w:ind w:right="600"/>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41,921</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12"/>
                <w:szCs w:val="12"/>
                <w:color w:val="auto"/>
                <w:vertAlign w:val="superscript"/>
              </w:rPr>
              <w:t>(4)</w:t>
            </w:r>
          </w:p>
        </w:tc>
        <w:tc>
          <w:tcPr>
            <w:tcW w:w="2500" w:type="dxa"/>
            <w:vAlign w:val="bottom"/>
          </w:tcPr>
          <w:p>
            <w:pPr>
              <w:ind w:left="340"/>
              <w:spacing w:after="0"/>
              <w:rPr>
                <w:sz w:val="20"/>
                <w:szCs w:val="20"/>
                <w:color w:val="auto"/>
              </w:rPr>
            </w:pPr>
            <w:r>
              <w:rPr>
                <w:rFonts w:ascii="Arial" w:cs="Arial" w:eastAsia="Arial" w:hAnsi="Arial"/>
                <w:sz w:val="10"/>
                <w:szCs w:val="10"/>
                <w:color w:val="auto"/>
              </w:rPr>
              <w:t>Discount rate</w:t>
            </w:r>
          </w:p>
        </w:tc>
        <w:tc>
          <w:tcPr>
            <w:tcW w:w="1080" w:type="dxa"/>
            <w:vAlign w:val="bottom"/>
          </w:tcPr>
          <w:p>
            <w:pPr>
              <w:jc w:val="right"/>
              <w:spacing w:after="0"/>
              <w:rPr>
                <w:sz w:val="20"/>
                <w:szCs w:val="20"/>
                <w:color w:val="auto"/>
              </w:rPr>
            </w:pPr>
            <w:r>
              <w:rPr>
                <w:rFonts w:ascii="Arial" w:cs="Arial" w:eastAsia="Arial" w:hAnsi="Arial"/>
                <w:sz w:val="10"/>
                <w:szCs w:val="10"/>
                <w:color w:val="auto"/>
              </w:rPr>
              <w:t>14%</w:t>
            </w:r>
          </w:p>
        </w:tc>
        <w:tc>
          <w:tcPr>
            <w:tcW w:w="760" w:type="dxa"/>
            <w:vAlign w:val="bottom"/>
          </w:tcPr>
          <w:p>
            <w:pPr>
              <w:ind w:left="20"/>
              <w:spacing w:after="0"/>
              <w:rPr>
                <w:sz w:val="20"/>
                <w:szCs w:val="20"/>
                <w:color w:val="auto"/>
              </w:rPr>
            </w:pPr>
            <w:r>
              <w:rPr>
                <w:rFonts w:ascii="Arial" w:cs="Arial" w:eastAsia="Arial" w:hAnsi="Arial"/>
                <w:sz w:val="10"/>
                <w:szCs w:val="10"/>
                <w:color w:val="auto"/>
              </w:rPr>
              <w:t>- 17%</w:t>
            </w:r>
          </w:p>
        </w:tc>
        <w:tc>
          <w:tcPr>
            <w:tcW w:w="900" w:type="dxa"/>
            <w:vAlign w:val="bottom"/>
          </w:tcPr>
          <w:p>
            <w:pPr>
              <w:jc w:val="center"/>
              <w:ind w:left="491"/>
              <w:spacing w:after="0"/>
              <w:rPr>
                <w:sz w:val="20"/>
                <w:szCs w:val="20"/>
                <w:color w:val="auto"/>
              </w:rPr>
            </w:pPr>
            <w:r>
              <w:rPr>
                <w:rFonts w:ascii="Arial" w:cs="Arial" w:eastAsia="Arial" w:hAnsi="Arial"/>
                <w:sz w:val="10"/>
                <w:szCs w:val="10"/>
                <w:color w:val="auto"/>
                <w:w w:val="99"/>
              </w:rPr>
              <w:t>15%</w:t>
            </w: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26,154</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(5)</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11,463</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(6)</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30"/>
        </w:trPr>
        <w:tc>
          <w:tcPr>
            <w:tcW w:w="2060" w:type="dxa"/>
            <w:vAlign w:val="bottom"/>
          </w:tcPr>
          <w:p>
            <w:pPr>
              <w:ind w:left="180"/>
              <w:spacing w:after="0"/>
              <w:rPr>
                <w:sz w:val="20"/>
                <w:szCs w:val="20"/>
                <w:color w:val="auto"/>
              </w:rPr>
            </w:pPr>
            <w:r>
              <w:rPr>
                <w:rFonts w:ascii="Arial" w:cs="Arial" w:eastAsia="Arial" w:hAnsi="Arial"/>
                <w:sz w:val="10"/>
                <w:szCs w:val="10"/>
                <w:color w:val="auto"/>
              </w:rPr>
              <w:t>Health care</w:t>
            </w: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21,092</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6"/>
                <w:szCs w:val="6"/>
                <w:color w:val="auto"/>
              </w:rPr>
              <w:t>(4)</w:t>
            </w:r>
          </w:p>
        </w:tc>
        <w:tc>
          <w:tcPr>
            <w:tcW w:w="2500" w:type="dxa"/>
            <w:vAlign w:val="bottom"/>
          </w:tcPr>
          <w:p>
            <w:pPr>
              <w:ind w:left="340"/>
              <w:spacing w:after="0"/>
              <w:rPr>
                <w:sz w:val="20"/>
                <w:szCs w:val="20"/>
                <w:color w:val="auto"/>
              </w:rPr>
            </w:pPr>
            <w:r>
              <w:rPr>
                <w:rFonts w:ascii="Arial" w:cs="Arial" w:eastAsia="Arial" w:hAnsi="Arial"/>
                <w:sz w:val="10"/>
                <w:szCs w:val="10"/>
                <w:color w:val="auto"/>
              </w:rPr>
              <w:t>Discount rate</w:t>
            </w:r>
          </w:p>
        </w:tc>
        <w:tc>
          <w:tcPr>
            <w:tcW w:w="1840" w:type="dxa"/>
            <w:vAlign w:val="bottom"/>
            <w:gridSpan w:val="2"/>
          </w:tcPr>
          <w:p>
            <w:pPr>
              <w:jc w:val="right"/>
              <w:ind w:right="431"/>
              <w:spacing w:after="0"/>
              <w:rPr>
                <w:sz w:val="20"/>
                <w:szCs w:val="20"/>
                <w:color w:val="auto"/>
              </w:rPr>
            </w:pPr>
            <w:r>
              <w:rPr>
                <w:rFonts w:ascii="Arial" w:cs="Arial" w:eastAsia="Arial" w:hAnsi="Arial"/>
                <w:sz w:val="10"/>
                <w:szCs w:val="10"/>
                <w:color w:val="auto"/>
              </w:rPr>
              <w:t>11% - 16%</w:t>
            </w:r>
          </w:p>
        </w:tc>
        <w:tc>
          <w:tcPr>
            <w:tcW w:w="900" w:type="dxa"/>
            <w:vAlign w:val="bottom"/>
          </w:tcPr>
          <w:p>
            <w:pPr>
              <w:jc w:val="center"/>
              <w:ind w:left="491"/>
              <w:spacing w:after="0"/>
              <w:rPr>
                <w:sz w:val="20"/>
                <w:szCs w:val="20"/>
                <w:color w:val="auto"/>
              </w:rPr>
            </w:pPr>
            <w:r>
              <w:rPr>
                <w:rFonts w:ascii="Arial" w:cs="Arial" w:eastAsia="Arial" w:hAnsi="Arial"/>
                <w:sz w:val="10"/>
                <w:szCs w:val="10"/>
                <w:color w:val="auto"/>
                <w:w w:val="99"/>
              </w:rPr>
              <w:t>13%</w:t>
            </w: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43,701</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6"/>
                <w:szCs w:val="6"/>
                <w:color w:val="auto"/>
              </w:rPr>
              <w:t>(5)</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6"/>
                <w:szCs w:val="6"/>
                <w:color w:val="auto"/>
              </w:rPr>
              <w:t>(8)</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46"/>
        </w:trPr>
        <w:tc>
          <w:tcPr>
            <w:tcW w:w="2060" w:type="dxa"/>
            <w:vAlign w:val="bottom"/>
          </w:tcPr>
          <w:p>
            <w:pPr>
              <w:ind w:left="160"/>
              <w:spacing w:after="0"/>
              <w:rPr>
                <w:sz w:val="20"/>
                <w:szCs w:val="20"/>
                <w:color w:val="auto"/>
              </w:rPr>
            </w:pPr>
            <w:r>
              <w:rPr>
                <w:rFonts w:ascii="Arial" w:cs="Arial" w:eastAsia="Arial" w:hAnsi="Arial"/>
                <w:sz w:val="10"/>
                <w:szCs w:val="10"/>
                <w:color w:val="auto"/>
              </w:rPr>
              <w:t>Industrials</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5,215</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12"/>
                <w:szCs w:val="12"/>
                <w:color w:val="auto"/>
                <w:vertAlign w:val="superscript"/>
              </w:rPr>
              <w:t>(6)</w:t>
            </w:r>
          </w:p>
        </w:tc>
        <w:tc>
          <w:tcPr>
            <w:tcW w:w="2500" w:type="dxa"/>
            <w:vAlign w:val="bottom"/>
          </w:tcPr>
          <w:p>
            <w:pPr>
              <w:ind w:left="340"/>
              <w:spacing w:after="0"/>
              <w:rPr>
                <w:sz w:val="20"/>
                <w:szCs w:val="20"/>
                <w:color w:val="auto"/>
              </w:rPr>
            </w:pPr>
            <w:r>
              <w:rPr>
                <w:rFonts w:ascii="Arial" w:cs="Arial" w:eastAsia="Arial" w:hAnsi="Arial"/>
                <w:sz w:val="10"/>
                <w:szCs w:val="10"/>
                <w:color w:val="auto"/>
              </w:rPr>
              <w:t>Discount rate</w:t>
            </w:r>
          </w:p>
        </w:tc>
        <w:tc>
          <w:tcPr>
            <w:tcW w:w="1840" w:type="dxa"/>
            <w:vAlign w:val="bottom"/>
            <w:gridSpan w:val="2"/>
          </w:tcPr>
          <w:p>
            <w:pPr>
              <w:jc w:val="right"/>
              <w:ind w:right="431"/>
              <w:spacing w:after="0"/>
              <w:rPr>
                <w:sz w:val="20"/>
                <w:szCs w:val="20"/>
                <w:color w:val="auto"/>
              </w:rPr>
            </w:pPr>
            <w:r>
              <w:rPr>
                <w:rFonts w:ascii="Arial" w:cs="Arial" w:eastAsia="Arial" w:hAnsi="Arial"/>
                <w:sz w:val="10"/>
                <w:szCs w:val="10"/>
                <w:color w:val="auto"/>
              </w:rPr>
              <w:t>11% - 15%</w:t>
            </w:r>
          </w:p>
        </w:tc>
        <w:tc>
          <w:tcPr>
            <w:tcW w:w="900" w:type="dxa"/>
            <w:vAlign w:val="bottom"/>
          </w:tcPr>
          <w:p>
            <w:pPr>
              <w:jc w:val="center"/>
              <w:ind w:left="491"/>
              <w:spacing w:after="0"/>
              <w:rPr>
                <w:sz w:val="20"/>
                <w:szCs w:val="20"/>
                <w:color w:val="auto"/>
              </w:rPr>
            </w:pPr>
            <w:r>
              <w:rPr>
                <w:rFonts w:ascii="Arial" w:cs="Arial" w:eastAsia="Arial" w:hAnsi="Arial"/>
                <w:sz w:val="10"/>
                <w:szCs w:val="10"/>
                <w:color w:val="auto"/>
                <w:w w:val="99"/>
              </w:rPr>
              <w:t>12%</w:t>
            </w:r>
          </w:p>
        </w:tc>
        <w:tc>
          <w:tcPr>
            <w:tcW w:w="0" w:type="dxa"/>
            <w:vAlign w:val="bottom"/>
          </w:tcPr>
          <w:p>
            <w:pPr>
              <w:spacing w:after="0"/>
              <w:rPr>
                <w:sz w:val="1"/>
                <w:szCs w:val="1"/>
                <w:color w:val="auto"/>
              </w:rPr>
            </w:pPr>
          </w:p>
        </w:tc>
      </w:tr>
      <w:tr>
        <w:trPr>
          <w:trHeight w:val="130"/>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976</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6"/>
                <w:szCs w:val="6"/>
                <w:color w:val="auto"/>
              </w:rPr>
              <w:t>(5)</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6,260</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6"/>
                <w:szCs w:val="6"/>
                <w:color w:val="auto"/>
              </w:rPr>
              <w:t>(8)</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32,032</w:t>
            </w:r>
          </w:p>
        </w:tc>
        <w:tc>
          <w:tcPr>
            <w:tcW w:w="2520" w:type="dxa"/>
            <w:vAlign w:val="bottom"/>
          </w:tcPr>
          <w:p>
            <w:pPr>
              <w:ind w:left="200"/>
              <w:spacing w:after="0"/>
              <w:rPr>
                <w:sz w:val="20"/>
                <w:szCs w:val="20"/>
                <w:color w:val="auto"/>
              </w:rPr>
            </w:pPr>
            <w:r>
              <w:rPr>
                <w:rFonts w:ascii="Arial" w:cs="Arial" w:eastAsia="Arial" w:hAnsi="Arial"/>
                <w:sz w:val="10"/>
                <w:szCs w:val="10"/>
                <w:color w:val="auto"/>
              </w:rPr>
              <w:t>Market approach (value of underlying assets)</w:t>
            </w:r>
          </w:p>
        </w:tc>
        <w:tc>
          <w:tcPr>
            <w:tcW w:w="2500" w:type="dxa"/>
            <w:vAlign w:val="bottom"/>
          </w:tcPr>
          <w:p>
            <w:pPr>
              <w:ind w:left="340"/>
              <w:spacing w:after="0"/>
              <w:rPr>
                <w:sz w:val="20"/>
                <w:szCs w:val="20"/>
                <w:color w:val="auto"/>
              </w:rPr>
            </w:pPr>
            <w:r>
              <w:rPr>
                <w:rFonts w:ascii="Arial" w:cs="Arial" w:eastAsia="Arial" w:hAnsi="Arial"/>
                <w:sz w:val="10"/>
                <w:szCs w:val="10"/>
                <w:color w:val="auto"/>
              </w:rPr>
              <w:t>Multiple of underlying assets</w:t>
            </w:r>
          </w:p>
        </w:tc>
        <w:tc>
          <w:tcPr>
            <w:tcW w:w="1080" w:type="dxa"/>
            <w:vAlign w:val="bottom"/>
          </w:tcPr>
          <w:p>
            <w:pPr>
              <w:jc w:val="right"/>
              <w:spacing w:after="0"/>
              <w:rPr>
                <w:sz w:val="20"/>
                <w:szCs w:val="20"/>
                <w:color w:val="auto"/>
              </w:rPr>
            </w:pPr>
            <w:r>
              <w:rPr>
                <w:rFonts w:ascii="Arial" w:cs="Arial" w:eastAsia="Arial" w:hAnsi="Arial"/>
                <w:sz w:val="10"/>
                <w:szCs w:val="10"/>
                <w:color w:val="auto"/>
              </w:rPr>
              <w:t>0.9x</w:t>
            </w:r>
          </w:p>
        </w:tc>
        <w:tc>
          <w:tcPr>
            <w:tcW w:w="760" w:type="dxa"/>
            <w:vAlign w:val="bottom"/>
          </w:tcPr>
          <w:p>
            <w:pPr>
              <w:ind w:left="20"/>
              <w:spacing w:after="0"/>
              <w:rPr>
                <w:sz w:val="20"/>
                <w:szCs w:val="20"/>
                <w:color w:val="auto"/>
              </w:rPr>
            </w:pPr>
            <w:r>
              <w:rPr>
                <w:rFonts w:ascii="Arial" w:cs="Arial" w:eastAsia="Arial" w:hAnsi="Arial"/>
                <w:sz w:val="10"/>
                <w:szCs w:val="10"/>
                <w:color w:val="auto"/>
              </w:rPr>
              <w:t>- 1.1x</w:t>
            </w:r>
          </w:p>
        </w:tc>
        <w:tc>
          <w:tcPr>
            <w:tcW w:w="900" w:type="dxa"/>
            <w:vAlign w:val="bottom"/>
          </w:tcPr>
          <w:p>
            <w:pPr>
              <w:jc w:val="center"/>
              <w:ind w:left="471"/>
              <w:spacing w:after="0"/>
              <w:rPr>
                <w:sz w:val="20"/>
                <w:szCs w:val="20"/>
                <w:color w:val="auto"/>
              </w:rPr>
            </w:pPr>
            <w:r>
              <w:rPr>
                <w:rFonts w:ascii="Arial" w:cs="Arial" w:eastAsia="Arial" w:hAnsi="Arial"/>
                <w:sz w:val="10"/>
                <w:szCs w:val="10"/>
                <w:color w:val="auto"/>
                <w:w w:val="94"/>
              </w:rPr>
              <w:t>1.0x</w:t>
            </w:r>
          </w:p>
        </w:tc>
        <w:tc>
          <w:tcPr>
            <w:tcW w:w="0" w:type="dxa"/>
            <w:vAlign w:val="bottom"/>
          </w:tcPr>
          <w:p>
            <w:pPr>
              <w:spacing w:after="0"/>
              <w:rPr>
                <w:sz w:val="1"/>
                <w:szCs w:val="1"/>
                <w:color w:val="auto"/>
              </w:rPr>
            </w:pPr>
          </w:p>
        </w:tc>
      </w:tr>
      <w:tr>
        <w:trPr>
          <w:trHeight w:val="138"/>
        </w:trPr>
        <w:tc>
          <w:tcPr>
            <w:tcW w:w="2060" w:type="dxa"/>
            <w:vAlign w:val="bottom"/>
          </w:tcPr>
          <w:p>
            <w:pPr>
              <w:ind w:left="160"/>
              <w:spacing w:after="0"/>
              <w:rPr>
                <w:sz w:val="20"/>
                <w:szCs w:val="20"/>
                <w:color w:val="auto"/>
              </w:rPr>
            </w:pPr>
            <w:r>
              <w:rPr>
                <w:rFonts w:ascii="Arial" w:cs="Arial" w:eastAsia="Arial" w:hAnsi="Arial"/>
                <w:sz w:val="10"/>
                <w:szCs w:val="10"/>
                <w:color w:val="auto"/>
              </w:rPr>
              <w:t>Materials</w:t>
            </w: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128,041</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6"/>
                <w:szCs w:val="6"/>
                <w:color w:val="auto"/>
              </w:rPr>
              <w:t>(4)</w:t>
            </w:r>
          </w:p>
        </w:tc>
        <w:tc>
          <w:tcPr>
            <w:tcW w:w="2500" w:type="dxa"/>
            <w:vAlign w:val="bottom"/>
          </w:tcPr>
          <w:p>
            <w:pPr>
              <w:ind w:left="340"/>
              <w:spacing w:after="0"/>
              <w:rPr>
                <w:sz w:val="20"/>
                <w:szCs w:val="20"/>
                <w:color w:val="auto"/>
              </w:rPr>
            </w:pPr>
            <w:r>
              <w:rPr>
                <w:rFonts w:ascii="Arial" w:cs="Arial" w:eastAsia="Arial" w:hAnsi="Arial"/>
                <w:sz w:val="10"/>
                <w:szCs w:val="10"/>
                <w:color w:val="auto"/>
              </w:rPr>
              <w:t>Discount rate</w:t>
            </w:r>
          </w:p>
        </w:tc>
        <w:tc>
          <w:tcPr>
            <w:tcW w:w="1840" w:type="dxa"/>
            <w:vAlign w:val="bottom"/>
            <w:gridSpan w:val="2"/>
          </w:tcPr>
          <w:p>
            <w:pPr>
              <w:jc w:val="right"/>
              <w:ind w:right="431"/>
              <w:spacing w:after="0"/>
              <w:rPr>
                <w:sz w:val="20"/>
                <w:szCs w:val="20"/>
                <w:color w:val="auto"/>
              </w:rPr>
            </w:pPr>
            <w:r>
              <w:rPr>
                <w:rFonts w:ascii="Arial" w:cs="Arial" w:eastAsia="Arial" w:hAnsi="Arial"/>
                <w:sz w:val="10"/>
                <w:szCs w:val="10"/>
                <w:color w:val="auto"/>
              </w:rPr>
              <w:t>11% - 15%</w:t>
            </w:r>
          </w:p>
        </w:tc>
        <w:tc>
          <w:tcPr>
            <w:tcW w:w="900" w:type="dxa"/>
            <w:vAlign w:val="bottom"/>
          </w:tcPr>
          <w:p>
            <w:pPr>
              <w:jc w:val="center"/>
              <w:ind w:left="491"/>
              <w:spacing w:after="0"/>
              <w:rPr>
                <w:sz w:val="20"/>
                <w:szCs w:val="20"/>
                <w:color w:val="auto"/>
              </w:rPr>
            </w:pPr>
            <w:r>
              <w:rPr>
                <w:rFonts w:ascii="Arial" w:cs="Arial" w:eastAsia="Arial" w:hAnsi="Arial"/>
                <w:sz w:val="10"/>
                <w:szCs w:val="10"/>
                <w:color w:val="auto"/>
                <w:w w:val="99"/>
              </w:rPr>
              <w:t>13%</w:t>
            </w: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14,634</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6"/>
                <w:szCs w:val="6"/>
                <w:color w:val="auto"/>
              </w:rPr>
              <w:t>(5)</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86,459</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6"/>
                <w:szCs w:val="6"/>
                <w:color w:val="auto"/>
              </w:rPr>
              <w:t>(8)</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46"/>
        </w:trPr>
        <w:tc>
          <w:tcPr>
            <w:tcW w:w="2060" w:type="dxa"/>
            <w:vAlign w:val="bottom"/>
          </w:tcPr>
          <w:p>
            <w:pPr>
              <w:ind w:left="140"/>
              <w:spacing w:after="0"/>
              <w:rPr>
                <w:sz w:val="20"/>
                <w:szCs w:val="20"/>
                <w:color w:val="auto"/>
              </w:rPr>
            </w:pPr>
            <w:r>
              <w:rPr>
                <w:rFonts w:ascii="Arial" w:cs="Arial" w:eastAsia="Arial" w:hAnsi="Arial"/>
                <w:sz w:val="10"/>
                <w:szCs w:val="10"/>
                <w:color w:val="auto"/>
              </w:rPr>
              <w:t>Real estate</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41,186</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(7)</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272,568</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(8)</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30"/>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60,644</w:t>
            </w:r>
          </w:p>
        </w:tc>
        <w:tc>
          <w:tcPr>
            <w:tcW w:w="2520" w:type="dxa"/>
            <w:vAlign w:val="bottom"/>
          </w:tcPr>
          <w:p>
            <w:pPr>
              <w:ind w:left="200"/>
              <w:spacing w:after="0"/>
              <w:rPr>
                <w:sz w:val="20"/>
                <w:szCs w:val="20"/>
                <w:color w:val="auto"/>
              </w:rPr>
            </w:pPr>
            <w:r>
              <w:rPr>
                <w:rFonts w:ascii="Arial" w:cs="Arial" w:eastAsia="Arial" w:hAnsi="Arial"/>
                <w:sz w:val="10"/>
                <w:szCs w:val="10"/>
                <w:color w:val="auto"/>
              </w:rPr>
              <w:t>Market approach (value of underlying assets)</w:t>
            </w:r>
          </w:p>
        </w:tc>
        <w:tc>
          <w:tcPr>
            <w:tcW w:w="2500" w:type="dxa"/>
            <w:vAlign w:val="bottom"/>
          </w:tcPr>
          <w:p>
            <w:pPr>
              <w:ind w:left="340"/>
              <w:spacing w:after="0"/>
              <w:rPr>
                <w:sz w:val="20"/>
                <w:szCs w:val="20"/>
                <w:color w:val="auto"/>
              </w:rPr>
            </w:pPr>
            <w:r>
              <w:rPr>
                <w:rFonts w:ascii="Arial" w:cs="Arial" w:eastAsia="Arial" w:hAnsi="Arial"/>
                <w:sz w:val="10"/>
                <w:szCs w:val="10"/>
                <w:color w:val="auto"/>
              </w:rPr>
              <w:t>Multiple of underlying assets</w:t>
            </w:r>
          </w:p>
        </w:tc>
        <w:tc>
          <w:tcPr>
            <w:tcW w:w="1080" w:type="dxa"/>
            <w:vAlign w:val="bottom"/>
          </w:tcPr>
          <w:p>
            <w:pPr>
              <w:jc w:val="right"/>
              <w:spacing w:after="0"/>
              <w:rPr>
                <w:sz w:val="20"/>
                <w:szCs w:val="20"/>
                <w:color w:val="auto"/>
              </w:rPr>
            </w:pPr>
            <w:r>
              <w:rPr>
                <w:rFonts w:ascii="Arial" w:cs="Arial" w:eastAsia="Arial" w:hAnsi="Arial"/>
                <w:sz w:val="10"/>
                <w:szCs w:val="10"/>
                <w:color w:val="auto"/>
              </w:rPr>
              <w:t>0.7x</w:t>
            </w:r>
          </w:p>
        </w:tc>
        <w:tc>
          <w:tcPr>
            <w:tcW w:w="760" w:type="dxa"/>
            <w:vAlign w:val="bottom"/>
          </w:tcPr>
          <w:p>
            <w:pPr>
              <w:ind w:left="20"/>
              <w:spacing w:after="0"/>
              <w:rPr>
                <w:sz w:val="20"/>
                <w:szCs w:val="20"/>
                <w:color w:val="auto"/>
              </w:rPr>
            </w:pPr>
            <w:r>
              <w:rPr>
                <w:rFonts w:ascii="Arial" w:cs="Arial" w:eastAsia="Arial" w:hAnsi="Arial"/>
                <w:sz w:val="10"/>
                <w:szCs w:val="10"/>
                <w:color w:val="auto"/>
              </w:rPr>
              <w:t>- 0.9x</w:t>
            </w:r>
          </w:p>
        </w:tc>
        <w:tc>
          <w:tcPr>
            <w:tcW w:w="900" w:type="dxa"/>
            <w:vAlign w:val="bottom"/>
          </w:tcPr>
          <w:p>
            <w:pPr>
              <w:jc w:val="center"/>
              <w:ind w:left="471"/>
              <w:spacing w:after="0"/>
              <w:rPr>
                <w:sz w:val="20"/>
                <w:szCs w:val="20"/>
                <w:color w:val="auto"/>
              </w:rPr>
            </w:pPr>
            <w:r>
              <w:rPr>
                <w:rFonts w:ascii="Arial" w:cs="Arial" w:eastAsia="Arial" w:hAnsi="Arial"/>
                <w:sz w:val="10"/>
                <w:szCs w:val="10"/>
                <w:color w:val="auto"/>
                <w:w w:val="94"/>
              </w:rPr>
              <w:t>0.8x</w:t>
            </w:r>
          </w:p>
        </w:tc>
        <w:tc>
          <w:tcPr>
            <w:tcW w:w="0" w:type="dxa"/>
            <w:vAlign w:val="bottom"/>
          </w:tcPr>
          <w:p>
            <w:pPr>
              <w:spacing w:after="0"/>
              <w:rPr>
                <w:sz w:val="1"/>
                <w:szCs w:val="1"/>
                <w:color w:val="auto"/>
              </w:rPr>
            </w:pPr>
          </w:p>
        </w:tc>
      </w:tr>
      <w:tr>
        <w:trPr>
          <w:trHeight w:val="146"/>
        </w:trPr>
        <w:tc>
          <w:tcPr>
            <w:tcW w:w="2060" w:type="dxa"/>
            <w:vAlign w:val="bottom"/>
          </w:tcPr>
          <w:p>
            <w:pPr>
              <w:ind w:left="160"/>
              <w:spacing w:after="0"/>
              <w:rPr>
                <w:sz w:val="20"/>
                <w:szCs w:val="20"/>
                <w:color w:val="auto"/>
              </w:rPr>
            </w:pPr>
            <w:r>
              <w:rPr>
                <w:rFonts w:ascii="Arial" w:cs="Arial" w:eastAsia="Arial" w:hAnsi="Arial"/>
                <w:sz w:val="10"/>
                <w:szCs w:val="10"/>
                <w:color w:val="auto"/>
              </w:rPr>
              <w:t>Utilities</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(7)</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38"/>
        </w:trPr>
        <w:tc>
          <w:tcPr>
            <w:tcW w:w="2060" w:type="dxa"/>
            <w:vAlign w:val="bottom"/>
          </w:tcPr>
          <w:p>
            <w:pPr>
              <w:ind w:left="180"/>
              <w:spacing w:after="0"/>
              <w:rPr>
                <w:sz w:val="20"/>
                <w:szCs w:val="20"/>
                <w:color w:val="auto"/>
              </w:rPr>
            </w:pPr>
            <w:r>
              <w:rPr>
                <w:rFonts w:ascii="Arial" w:cs="Arial" w:eastAsia="Arial" w:hAnsi="Arial"/>
                <w:sz w:val="10"/>
                <w:szCs w:val="10"/>
                <w:color w:val="auto"/>
              </w:rPr>
              <w:t>Other</w:t>
            </w: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57,097</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(5)</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30"/>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17,008</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6"/>
                <w:szCs w:val="6"/>
                <w:color w:val="auto"/>
              </w:rPr>
              <w:t>(4)</w:t>
            </w:r>
          </w:p>
        </w:tc>
        <w:tc>
          <w:tcPr>
            <w:tcW w:w="2500" w:type="dxa"/>
            <w:vAlign w:val="bottom"/>
          </w:tcPr>
          <w:p>
            <w:pPr>
              <w:ind w:left="340"/>
              <w:spacing w:after="0"/>
              <w:rPr>
                <w:sz w:val="20"/>
                <w:szCs w:val="20"/>
                <w:color w:val="auto"/>
              </w:rPr>
            </w:pPr>
            <w:r>
              <w:rPr>
                <w:rFonts w:ascii="Arial" w:cs="Arial" w:eastAsia="Arial" w:hAnsi="Arial"/>
                <w:sz w:val="10"/>
                <w:szCs w:val="10"/>
                <w:color w:val="auto"/>
              </w:rPr>
              <w:t>Discount rate</w:t>
            </w:r>
          </w:p>
        </w:tc>
        <w:tc>
          <w:tcPr>
            <w:tcW w:w="1080" w:type="dxa"/>
            <w:vAlign w:val="bottom"/>
          </w:tcPr>
          <w:p>
            <w:pPr>
              <w:jc w:val="right"/>
              <w:spacing w:after="0"/>
              <w:rPr>
                <w:sz w:val="20"/>
                <w:szCs w:val="20"/>
                <w:color w:val="auto"/>
              </w:rPr>
            </w:pPr>
            <w:r>
              <w:rPr>
                <w:rFonts w:ascii="Arial" w:cs="Arial" w:eastAsia="Arial" w:hAnsi="Arial"/>
                <w:sz w:val="10"/>
                <w:szCs w:val="10"/>
                <w:color w:val="auto"/>
              </w:rPr>
              <w:t>12%</w:t>
            </w:r>
          </w:p>
        </w:tc>
        <w:tc>
          <w:tcPr>
            <w:tcW w:w="760" w:type="dxa"/>
            <w:vAlign w:val="bottom"/>
          </w:tcPr>
          <w:p>
            <w:pPr>
              <w:ind w:left="20"/>
              <w:spacing w:after="0"/>
              <w:rPr>
                <w:sz w:val="20"/>
                <w:szCs w:val="20"/>
                <w:color w:val="auto"/>
              </w:rPr>
            </w:pPr>
            <w:r>
              <w:rPr>
                <w:rFonts w:ascii="Arial" w:cs="Arial" w:eastAsia="Arial" w:hAnsi="Arial"/>
                <w:sz w:val="10"/>
                <w:szCs w:val="10"/>
                <w:color w:val="auto"/>
              </w:rPr>
              <w:t>- 13%</w:t>
            </w:r>
          </w:p>
        </w:tc>
        <w:tc>
          <w:tcPr>
            <w:tcW w:w="900" w:type="dxa"/>
            <w:vAlign w:val="bottom"/>
          </w:tcPr>
          <w:p>
            <w:pPr>
              <w:jc w:val="center"/>
              <w:ind w:left="491"/>
              <w:spacing w:after="0"/>
              <w:rPr>
                <w:sz w:val="20"/>
                <w:szCs w:val="20"/>
                <w:color w:val="auto"/>
              </w:rPr>
            </w:pPr>
            <w:r>
              <w:rPr>
                <w:rFonts w:ascii="Arial" w:cs="Arial" w:eastAsia="Arial" w:hAnsi="Arial"/>
                <w:sz w:val="10"/>
                <w:szCs w:val="10"/>
                <w:color w:val="auto"/>
                <w:w w:val="99"/>
              </w:rPr>
              <w:t>12%</w:t>
            </w: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1,708</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(6)</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30"/>
        </w:trPr>
        <w:tc>
          <w:tcPr>
            <w:tcW w:w="2060" w:type="dxa"/>
            <w:vAlign w:val="bottom"/>
          </w:tcPr>
          <w:p>
            <w:pPr>
              <w:spacing w:after="0"/>
              <w:rPr>
                <w:sz w:val="20"/>
                <w:szCs w:val="20"/>
                <w:color w:val="auto"/>
              </w:rPr>
            </w:pPr>
            <w:r>
              <w:rPr>
                <w:rFonts w:ascii="Arial" w:cs="Arial" w:eastAsia="Arial" w:hAnsi="Arial"/>
                <w:sz w:val="10"/>
                <w:szCs w:val="10"/>
                <w:color w:val="auto"/>
              </w:rPr>
              <w:t>Equity investments:</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219,433</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(6)</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109,450</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(5)</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133,551</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12"/>
                <w:szCs w:val="12"/>
                <w:color w:val="auto"/>
                <w:vertAlign w:val="superscript"/>
              </w:rPr>
              <w:t>(4)</w:t>
            </w:r>
          </w:p>
        </w:tc>
        <w:tc>
          <w:tcPr>
            <w:tcW w:w="2500" w:type="dxa"/>
            <w:vAlign w:val="bottom"/>
          </w:tcPr>
          <w:p>
            <w:pPr>
              <w:ind w:left="340"/>
              <w:spacing w:after="0"/>
              <w:rPr>
                <w:sz w:val="20"/>
                <w:szCs w:val="20"/>
                <w:color w:val="auto"/>
              </w:rPr>
            </w:pPr>
            <w:r>
              <w:rPr>
                <w:rFonts w:ascii="Arial" w:cs="Arial" w:eastAsia="Arial" w:hAnsi="Arial"/>
                <w:sz w:val="10"/>
                <w:szCs w:val="10"/>
                <w:color w:val="auto"/>
              </w:rPr>
              <w:t>Discount rate</w:t>
            </w:r>
          </w:p>
        </w:tc>
        <w:tc>
          <w:tcPr>
            <w:tcW w:w="1080" w:type="dxa"/>
            <w:vAlign w:val="bottom"/>
          </w:tcPr>
          <w:p>
            <w:pPr>
              <w:jc w:val="right"/>
              <w:spacing w:after="0"/>
              <w:rPr>
                <w:sz w:val="20"/>
                <w:szCs w:val="20"/>
                <w:color w:val="auto"/>
              </w:rPr>
            </w:pPr>
            <w:r>
              <w:rPr>
                <w:rFonts w:ascii="Arial" w:cs="Arial" w:eastAsia="Arial" w:hAnsi="Arial"/>
                <w:sz w:val="10"/>
                <w:szCs w:val="10"/>
                <w:color w:val="auto"/>
              </w:rPr>
              <w:t>13%</w:t>
            </w:r>
          </w:p>
        </w:tc>
        <w:tc>
          <w:tcPr>
            <w:tcW w:w="760" w:type="dxa"/>
            <w:vAlign w:val="bottom"/>
          </w:tcPr>
          <w:p>
            <w:pPr>
              <w:ind w:left="20"/>
              <w:spacing w:after="0"/>
              <w:rPr>
                <w:sz w:val="20"/>
                <w:szCs w:val="20"/>
                <w:color w:val="auto"/>
              </w:rPr>
            </w:pPr>
            <w:r>
              <w:rPr>
                <w:rFonts w:ascii="Arial" w:cs="Arial" w:eastAsia="Arial" w:hAnsi="Arial"/>
                <w:sz w:val="10"/>
                <w:szCs w:val="10"/>
                <w:color w:val="auto"/>
              </w:rPr>
              <w:t>- 20%</w:t>
            </w:r>
          </w:p>
        </w:tc>
        <w:tc>
          <w:tcPr>
            <w:tcW w:w="900" w:type="dxa"/>
            <w:vAlign w:val="bottom"/>
          </w:tcPr>
          <w:p>
            <w:pPr>
              <w:jc w:val="center"/>
              <w:ind w:left="491"/>
              <w:spacing w:after="0"/>
              <w:rPr>
                <w:sz w:val="20"/>
                <w:szCs w:val="20"/>
                <w:color w:val="auto"/>
              </w:rPr>
            </w:pPr>
            <w:r>
              <w:rPr>
                <w:rFonts w:ascii="Arial" w:cs="Arial" w:eastAsia="Arial" w:hAnsi="Arial"/>
                <w:sz w:val="10"/>
                <w:szCs w:val="10"/>
                <w:color w:val="auto"/>
                <w:w w:val="99"/>
              </w:rPr>
              <w:t>19%</w:t>
            </w:r>
          </w:p>
        </w:tc>
        <w:tc>
          <w:tcPr>
            <w:tcW w:w="0" w:type="dxa"/>
            <w:vAlign w:val="bottom"/>
          </w:tcPr>
          <w:p>
            <w:pPr>
              <w:spacing w:after="0"/>
              <w:rPr>
                <w:sz w:val="1"/>
                <w:szCs w:val="1"/>
                <w:color w:val="auto"/>
              </w:rPr>
            </w:pPr>
          </w:p>
        </w:tc>
      </w:tr>
      <w:tr>
        <w:trPr>
          <w:trHeight w:val="98"/>
        </w:trPr>
        <w:tc>
          <w:tcPr>
            <w:tcW w:w="2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jc w:val="right"/>
              <w:spacing w:after="0" w:line="98" w:lineRule="exact"/>
              <w:rPr>
                <w:sz w:val="20"/>
                <w:szCs w:val="20"/>
                <w:color w:val="auto"/>
              </w:rPr>
            </w:pPr>
            <w:r>
              <w:rPr>
                <w:rFonts w:ascii="Arial" w:cs="Arial" w:eastAsia="Arial" w:hAnsi="Arial"/>
                <w:sz w:val="10"/>
                <w:szCs w:val="10"/>
                <w:color w:val="auto"/>
              </w:rPr>
              <w:t>99,589</w:t>
            </w:r>
          </w:p>
        </w:tc>
        <w:tc>
          <w:tcPr>
            <w:tcW w:w="2520" w:type="dxa"/>
            <w:vAlign w:val="bottom"/>
          </w:tcPr>
          <w:p>
            <w:pPr>
              <w:ind w:left="200"/>
              <w:spacing w:after="0" w:line="98" w:lineRule="exact"/>
              <w:rPr>
                <w:sz w:val="20"/>
                <w:szCs w:val="20"/>
                <w:color w:val="auto"/>
              </w:rPr>
            </w:pPr>
            <w:r>
              <w:rPr>
                <w:rFonts w:ascii="Arial" w:cs="Arial" w:eastAsia="Arial" w:hAnsi="Arial"/>
                <w:sz w:val="10"/>
                <w:szCs w:val="10"/>
                <w:color w:val="auto"/>
              </w:rPr>
              <w:t>Market approach</w:t>
            </w:r>
          </w:p>
        </w:tc>
        <w:tc>
          <w:tcPr>
            <w:tcW w:w="2500" w:type="dxa"/>
            <w:vAlign w:val="bottom"/>
          </w:tcPr>
          <w:p>
            <w:pPr>
              <w:ind w:left="340"/>
              <w:spacing w:after="0" w:line="98" w:lineRule="exact"/>
              <w:rPr>
                <w:sz w:val="20"/>
                <w:szCs w:val="20"/>
                <w:color w:val="auto"/>
              </w:rPr>
            </w:pPr>
            <w:r>
              <w:rPr>
                <w:rFonts w:ascii="Arial" w:cs="Arial" w:eastAsia="Arial" w:hAnsi="Arial"/>
                <w:sz w:val="9"/>
                <w:szCs w:val="9"/>
                <w:color w:val="auto"/>
              </w:rPr>
              <w:t xml:space="preserve">Revenue multiple </w:t>
            </w:r>
            <w:r>
              <w:rPr>
                <w:rFonts w:ascii="Arial" w:cs="Arial" w:eastAsia="Arial" w:hAnsi="Arial"/>
                <w:sz w:val="11"/>
                <w:szCs w:val="11"/>
                <w:color w:val="auto"/>
                <w:vertAlign w:val="superscript"/>
              </w:rPr>
              <w:t>(9)</w:t>
            </w:r>
          </w:p>
        </w:tc>
        <w:tc>
          <w:tcPr>
            <w:tcW w:w="1080" w:type="dxa"/>
            <w:vAlign w:val="bottom"/>
          </w:tcPr>
          <w:p>
            <w:pPr>
              <w:jc w:val="right"/>
              <w:spacing w:after="0" w:line="98" w:lineRule="exact"/>
              <w:rPr>
                <w:sz w:val="20"/>
                <w:szCs w:val="20"/>
                <w:color w:val="auto"/>
              </w:rPr>
            </w:pPr>
            <w:r>
              <w:rPr>
                <w:rFonts w:ascii="Arial" w:cs="Arial" w:eastAsia="Arial" w:hAnsi="Arial"/>
                <w:sz w:val="10"/>
                <w:szCs w:val="10"/>
                <w:color w:val="auto"/>
              </w:rPr>
              <w:t>0.3x</w:t>
            </w:r>
          </w:p>
        </w:tc>
        <w:tc>
          <w:tcPr>
            <w:tcW w:w="760" w:type="dxa"/>
            <w:vAlign w:val="bottom"/>
          </w:tcPr>
          <w:p>
            <w:pPr>
              <w:ind w:left="20"/>
              <w:spacing w:after="0" w:line="98" w:lineRule="exact"/>
              <w:rPr>
                <w:sz w:val="20"/>
                <w:szCs w:val="20"/>
                <w:color w:val="auto"/>
              </w:rPr>
            </w:pPr>
            <w:r>
              <w:rPr>
                <w:rFonts w:ascii="Arial" w:cs="Arial" w:eastAsia="Arial" w:hAnsi="Arial"/>
                <w:sz w:val="10"/>
                <w:szCs w:val="10"/>
                <w:color w:val="auto"/>
              </w:rPr>
              <w:t>- 4.0x</w:t>
            </w:r>
          </w:p>
        </w:tc>
        <w:tc>
          <w:tcPr>
            <w:tcW w:w="900" w:type="dxa"/>
            <w:vAlign w:val="bottom"/>
          </w:tcPr>
          <w:p>
            <w:pPr>
              <w:jc w:val="center"/>
              <w:ind w:left="471"/>
              <w:spacing w:after="0" w:line="98" w:lineRule="exact"/>
              <w:rPr>
                <w:sz w:val="20"/>
                <w:szCs w:val="20"/>
                <w:color w:val="auto"/>
              </w:rPr>
            </w:pPr>
            <w:r>
              <w:rPr>
                <w:rFonts w:ascii="Arial" w:cs="Arial" w:eastAsia="Arial" w:hAnsi="Arial"/>
                <w:sz w:val="10"/>
                <w:szCs w:val="10"/>
                <w:color w:val="auto"/>
                <w:w w:val="94"/>
              </w:rPr>
              <w:t>0.9x</w:t>
            </w: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(comparable companies) </w:t>
            </w:r>
            <w:r>
              <w:rPr>
                <w:rFonts w:ascii="Arial" w:cs="Arial" w:eastAsia="Arial" w:hAnsi="Arial"/>
                <w:sz w:val="12"/>
                <w:szCs w:val="12"/>
                <w:color w:val="auto"/>
                <w:vertAlign w:val="superscript"/>
              </w:rPr>
              <w:t>(7)</w:t>
            </w:r>
          </w:p>
        </w:tc>
        <w:tc>
          <w:tcPr>
            <w:tcW w:w="2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jc w:val="right"/>
              <w:spacing w:after="0" w:line="98" w:lineRule="exact"/>
              <w:rPr>
                <w:sz w:val="20"/>
                <w:szCs w:val="20"/>
                <w:color w:val="auto"/>
              </w:rPr>
            </w:pPr>
            <w:r>
              <w:rPr>
                <w:rFonts w:ascii="Arial" w:cs="Arial" w:eastAsia="Arial" w:hAnsi="Arial"/>
                <w:sz w:val="10"/>
                <w:szCs w:val="10"/>
                <w:color w:val="auto"/>
              </w:rPr>
              <w:t>252,393</w:t>
            </w:r>
          </w:p>
        </w:tc>
        <w:tc>
          <w:tcPr>
            <w:tcW w:w="2520" w:type="dxa"/>
            <w:vAlign w:val="bottom"/>
          </w:tcPr>
          <w:p>
            <w:pPr>
              <w:ind w:left="200"/>
              <w:spacing w:after="0" w:line="98" w:lineRule="exact"/>
              <w:rPr>
                <w:sz w:val="20"/>
                <w:szCs w:val="20"/>
                <w:color w:val="auto"/>
              </w:rPr>
            </w:pPr>
            <w:r>
              <w:rPr>
                <w:rFonts w:ascii="Arial" w:cs="Arial" w:eastAsia="Arial" w:hAnsi="Arial"/>
                <w:sz w:val="10"/>
                <w:szCs w:val="10"/>
                <w:color w:val="auto"/>
              </w:rPr>
              <w:t>Market approach</w:t>
            </w:r>
          </w:p>
        </w:tc>
        <w:tc>
          <w:tcPr>
            <w:tcW w:w="2500" w:type="dxa"/>
            <w:vAlign w:val="bottom"/>
          </w:tcPr>
          <w:p>
            <w:pPr>
              <w:ind w:left="340"/>
              <w:spacing w:after="0" w:line="98" w:lineRule="exact"/>
              <w:rPr>
                <w:sz w:val="20"/>
                <w:szCs w:val="20"/>
                <w:color w:val="auto"/>
              </w:rPr>
            </w:pPr>
            <w:r>
              <w:rPr>
                <w:rFonts w:ascii="Arial" w:cs="Arial" w:eastAsia="Arial" w:hAnsi="Arial"/>
                <w:sz w:val="9"/>
                <w:szCs w:val="9"/>
                <w:color w:val="auto"/>
              </w:rPr>
              <w:t xml:space="preserve">Earnings multiple </w:t>
            </w:r>
            <w:r>
              <w:rPr>
                <w:rFonts w:ascii="Arial" w:cs="Arial" w:eastAsia="Arial" w:hAnsi="Arial"/>
                <w:sz w:val="11"/>
                <w:szCs w:val="11"/>
                <w:color w:val="auto"/>
                <w:vertAlign w:val="superscript"/>
              </w:rPr>
              <w:t>(10)</w:t>
            </w:r>
          </w:p>
        </w:tc>
        <w:tc>
          <w:tcPr>
            <w:tcW w:w="1840" w:type="dxa"/>
            <w:vAlign w:val="bottom"/>
            <w:gridSpan w:val="2"/>
          </w:tcPr>
          <w:p>
            <w:pPr>
              <w:jc w:val="center"/>
              <w:ind w:left="351"/>
              <w:spacing w:after="0" w:line="98" w:lineRule="exact"/>
              <w:rPr>
                <w:sz w:val="20"/>
                <w:szCs w:val="20"/>
                <w:color w:val="auto"/>
              </w:rPr>
            </w:pPr>
            <w:r>
              <w:rPr>
                <w:rFonts w:ascii="Arial" w:cs="Arial" w:eastAsia="Arial" w:hAnsi="Arial"/>
                <w:sz w:val="10"/>
                <w:szCs w:val="10"/>
                <w:color w:val="auto"/>
                <w:w w:val="99"/>
              </w:rPr>
              <w:t>5.0x - 54.0x</w:t>
            </w:r>
          </w:p>
        </w:tc>
        <w:tc>
          <w:tcPr>
            <w:tcW w:w="900" w:type="dxa"/>
            <w:vAlign w:val="bottom"/>
          </w:tcPr>
          <w:p>
            <w:pPr>
              <w:jc w:val="center"/>
              <w:ind w:left="471"/>
              <w:spacing w:after="0" w:line="98" w:lineRule="exact"/>
              <w:rPr>
                <w:sz w:val="20"/>
                <w:szCs w:val="20"/>
                <w:color w:val="auto"/>
              </w:rPr>
            </w:pPr>
            <w:r>
              <w:rPr>
                <w:rFonts w:ascii="Arial" w:cs="Arial" w:eastAsia="Arial" w:hAnsi="Arial"/>
                <w:sz w:val="10"/>
                <w:szCs w:val="10"/>
                <w:color w:val="auto"/>
                <w:w w:val="94"/>
              </w:rPr>
              <w:t>7.7x</w:t>
            </w: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(comparable companies) </w:t>
            </w:r>
            <w:r>
              <w:rPr>
                <w:rFonts w:ascii="Arial" w:cs="Arial" w:eastAsia="Arial" w:hAnsi="Arial"/>
                <w:sz w:val="12"/>
                <w:szCs w:val="12"/>
                <w:color w:val="auto"/>
                <w:vertAlign w:val="superscript"/>
              </w:rPr>
              <w:t>(7)</w:t>
            </w:r>
          </w:p>
        </w:tc>
        <w:tc>
          <w:tcPr>
            <w:tcW w:w="2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jc w:val="right"/>
              <w:spacing w:after="0" w:line="98" w:lineRule="exact"/>
              <w:rPr>
                <w:sz w:val="20"/>
                <w:szCs w:val="20"/>
                <w:color w:val="auto"/>
              </w:rPr>
            </w:pPr>
            <w:r>
              <w:rPr>
                <w:rFonts w:ascii="Arial" w:cs="Arial" w:eastAsia="Arial" w:hAnsi="Arial"/>
                <w:sz w:val="10"/>
                <w:szCs w:val="10"/>
                <w:color w:val="auto"/>
              </w:rPr>
              <w:t>453,476</w:t>
            </w:r>
          </w:p>
        </w:tc>
        <w:tc>
          <w:tcPr>
            <w:tcW w:w="2520" w:type="dxa"/>
            <w:vAlign w:val="bottom"/>
          </w:tcPr>
          <w:p>
            <w:pPr>
              <w:ind w:left="200"/>
              <w:spacing w:after="0" w:line="98" w:lineRule="exact"/>
              <w:rPr>
                <w:sz w:val="20"/>
                <w:szCs w:val="20"/>
                <w:color w:val="auto"/>
              </w:rPr>
            </w:pPr>
            <w:r>
              <w:rPr>
                <w:rFonts w:ascii="Arial" w:cs="Arial" w:eastAsia="Arial" w:hAnsi="Arial"/>
                <w:sz w:val="10"/>
                <w:szCs w:val="10"/>
                <w:color w:val="auto"/>
              </w:rPr>
              <w:t>Market approach</w:t>
            </w:r>
          </w:p>
        </w:tc>
        <w:tc>
          <w:tcPr>
            <w:tcW w:w="2500" w:type="dxa"/>
            <w:vAlign w:val="bottom"/>
          </w:tcPr>
          <w:p>
            <w:pPr>
              <w:ind w:left="340"/>
              <w:spacing w:after="0" w:line="98" w:lineRule="exact"/>
              <w:rPr>
                <w:sz w:val="20"/>
                <w:szCs w:val="20"/>
                <w:color w:val="auto"/>
              </w:rPr>
            </w:pPr>
            <w:r>
              <w:rPr>
                <w:rFonts w:ascii="Arial" w:cs="Arial" w:eastAsia="Arial" w:hAnsi="Arial"/>
                <w:sz w:val="9"/>
                <w:szCs w:val="9"/>
                <w:color w:val="auto"/>
              </w:rPr>
              <w:t xml:space="preserve">Multiple of underlying assets </w:t>
            </w:r>
            <w:r>
              <w:rPr>
                <w:rFonts w:ascii="Arial" w:cs="Arial" w:eastAsia="Arial" w:hAnsi="Arial"/>
                <w:sz w:val="11"/>
                <w:szCs w:val="11"/>
                <w:color w:val="auto"/>
                <w:vertAlign w:val="superscript"/>
              </w:rPr>
              <w:t>(8)</w:t>
            </w:r>
          </w:p>
        </w:tc>
        <w:tc>
          <w:tcPr>
            <w:tcW w:w="1080" w:type="dxa"/>
            <w:vAlign w:val="bottom"/>
          </w:tcPr>
          <w:p>
            <w:pPr>
              <w:jc w:val="right"/>
              <w:spacing w:after="0" w:line="98" w:lineRule="exact"/>
              <w:rPr>
                <w:sz w:val="20"/>
                <w:szCs w:val="20"/>
                <w:color w:val="auto"/>
              </w:rPr>
            </w:pPr>
            <w:r>
              <w:rPr>
                <w:rFonts w:ascii="Arial" w:cs="Arial" w:eastAsia="Arial" w:hAnsi="Arial"/>
                <w:sz w:val="10"/>
                <w:szCs w:val="10"/>
                <w:color w:val="auto"/>
              </w:rPr>
              <w:t>1.0x</w:t>
            </w:r>
          </w:p>
        </w:tc>
        <w:tc>
          <w:tcPr>
            <w:tcW w:w="760" w:type="dxa"/>
            <w:vAlign w:val="bottom"/>
          </w:tcPr>
          <w:p>
            <w:pPr>
              <w:ind w:left="20"/>
              <w:spacing w:after="0" w:line="98" w:lineRule="exact"/>
              <w:rPr>
                <w:sz w:val="20"/>
                <w:szCs w:val="20"/>
                <w:color w:val="auto"/>
              </w:rPr>
            </w:pPr>
            <w:r>
              <w:rPr>
                <w:rFonts w:ascii="Arial" w:cs="Arial" w:eastAsia="Arial" w:hAnsi="Arial"/>
                <w:sz w:val="10"/>
                <w:szCs w:val="10"/>
                <w:color w:val="auto"/>
              </w:rPr>
              <w:t>- 1.5x</w:t>
            </w:r>
          </w:p>
        </w:tc>
        <w:tc>
          <w:tcPr>
            <w:tcW w:w="900" w:type="dxa"/>
            <w:vAlign w:val="bottom"/>
          </w:tcPr>
          <w:p>
            <w:pPr>
              <w:jc w:val="center"/>
              <w:ind w:left="471"/>
              <w:spacing w:after="0" w:line="98" w:lineRule="exact"/>
              <w:rPr>
                <w:sz w:val="20"/>
                <w:szCs w:val="20"/>
                <w:color w:val="auto"/>
              </w:rPr>
            </w:pPr>
            <w:r>
              <w:rPr>
                <w:rFonts w:ascii="Arial" w:cs="Arial" w:eastAsia="Arial" w:hAnsi="Arial"/>
                <w:sz w:val="10"/>
                <w:szCs w:val="10"/>
                <w:color w:val="auto"/>
                <w:w w:val="94"/>
              </w:rPr>
              <w:t>1.0x</w:t>
            </w: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(comparable companies) </w:t>
            </w:r>
            <w:r>
              <w:rPr>
                <w:rFonts w:ascii="Arial" w:cs="Arial" w:eastAsia="Arial" w:hAnsi="Arial"/>
                <w:sz w:val="12"/>
                <w:szCs w:val="12"/>
                <w:color w:val="auto"/>
                <w:vertAlign w:val="superscript"/>
              </w:rPr>
              <w:t>(7)</w:t>
            </w:r>
          </w:p>
        </w:tc>
        <w:tc>
          <w:tcPr>
            <w:tcW w:w="2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60" w:type="dxa"/>
            <w:vAlign w:val="bottom"/>
          </w:tcPr>
          <w:p>
            <w:pPr>
              <w:spacing w:after="0"/>
              <w:rPr>
                <w:sz w:val="20"/>
                <w:szCs w:val="20"/>
                <w:color w:val="auto"/>
              </w:rPr>
            </w:pPr>
            <w:r>
              <w:rPr>
                <w:rFonts w:ascii="Arial" w:cs="Arial" w:eastAsia="Arial" w:hAnsi="Arial"/>
                <w:sz w:val="10"/>
                <w:szCs w:val="10"/>
                <w:color w:val="auto"/>
              </w:rPr>
              <w:t>Real estate-oriented investments:</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55,139</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6"/>
                <w:szCs w:val="6"/>
                <w:color w:val="auto"/>
              </w:rPr>
              <w:t>(4)</w:t>
            </w:r>
          </w:p>
        </w:tc>
        <w:tc>
          <w:tcPr>
            <w:tcW w:w="2500" w:type="dxa"/>
            <w:vAlign w:val="bottom"/>
          </w:tcPr>
          <w:p>
            <w:pPr>
              <w:ind w:left="340"/>
              <w:spacing w:after="0"/>
              <w:rPr>
                <w:sz w:val="20"/>
                <w:szCs w:val="20"/>
                <w:color w:val="auto"/>
              </w:rPr>
            </w:pPr>
            <w:r>
              <w:rPr>
                <w:rFonts w:ascii="Arial" w:cs="Arial" w:eastAsia="Arial" w:hAnsi="Arial"/>
                <w:sz w:val="10"/>
                <w:szCs w:val="10"/>
                <w:color w:val="auto"/>
              </w:rPr>
              <w:t>Discount rate</w:t>
            </w:r>
          </w:p>
        </w:tc>
        <w:tc>
          <w:tcPr>
            <w:tcW w:w="1080" w:type="dxa"/>
            <w:vAlign w:val="bottom"/>
          </w:tcPr>
          <w:p>
            <w:pPr>
              <w:jc w:val="right"/>
              <w:spacing w:after="0"/>
              <w:rPr>
                <w:sz w:val="20"/>
                <w:szCs w:val="20"/>
                <w:color w:val="auto"/>
              </w:rPr>
            </w:pPr>
            <w:r>
              <w:rPr>
                <w:rFonts w:ascii="Arial" w:cs="Arial" w:eastAsia="Arial" w:hAnsi="Arial"/>
                <w:sz w:val="10"/>
                <w:szCs w:val="10"/>
                <w:color w:val="auto"/>
              </w:rPr>
              <w:t>13%</w:t>
            </w:r>
          </w:p>
        </w:tc>
        <w:tc>
          <w:tcPr>
            <w:tcW w:w="760" w:type="dxa"/>
            <w:vAlign w:val="bottom"/>
          </w:tcPr>
          <w:p>
            <w:pPr>
              <w:ind w:left="20"/>
              <w:spacing w:after="0"/>
              <w:rPr>
                <w:sz w:val="20"/>
                <w:szCs w:val="20"/>
                <w:color w:val="auto"/>
              </w:rPr>
            </w:pPr>
            <w:r>
              <w:rPr>
                <w:rFonts w:ascii="Arial" w:cs="Arial" w:eastAsia="Arial" w:hAnsi="Arial"/>
                <w:sz w:val="10"/>
                <w:szCs w:val="10"/>
                <w:color w:val="auto"/>
              </w:rPr>
              <w:t>- 20%</w:t>
            </w:r>
          </w:p>
        </w:tc>
        <w:tc>
          <w:tcPr>
            <w:tcW w:w="900" w:type="dxa"/>
            <w:vAlign w:val="bottom"/>
          </w:tcPr>
          <w:p>
            <w:pPr>
              <w:jc w:val="center"/>
              <w:ind w:left="491"/>
              <w:spacing w:after="0"/>
              <w:rPr>
                <w:sz w:val="20"/>
                <w:szCs w:val="20"/>
                <w:color w:val="auto"/>
              </w:rPr>
            </w:pPr>
            <w:r>
              <w:rPr>
                <w:rFonts w:ascii="Arial" w:cs="Arial" w:eastAsia="Arial" w:hAnsi="Arial"/>
                <w:sz w:val="10"/>
                <w:szCs w:val="10"/>
                <w:color w:val="auto"/>
                <w:w w:val="99"/>
              </w:rPr>
              <w:t>17%</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4,000</w:t>
            </w:r>
          </w:p>
        </w:tc>
        <w:tc>
          <w:tcPr>
            <w:tcW w:w="2520" w:type="dxa"/>
            <w:vAlign w:val="bottom"/>
          </w:tcPr>
          <w:p>
            <w:pPr>
              <w:ind w:left="200"/>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(6)</w:t>
            </w:r>
          </w:p>
        </w:tc>
        <w:tc>
          <w:tcPr>
            <w:tcW w:w="2500" w:type="dxa"/>
            <w:vAlign w:val="bottom"/>
          </w:tcPr>
          <w:p>
            <w:pPr>
              <w:ind w:left="340"/>
              <w:spacing w:after="0"/>
              <w:rPr>
                <w:sz w:val="20"/>
                <w:szCs w:val="20"/>
                <w:color w:val="auto"/>
              </w:rPr>
            </w:pPr>
            <w:r>
              <w:rPr>
                <w:rFonts w:ascii="Arial" w:cs="Arial" w:eastAsia="Arial" w:hAnsi="Arial"/>
                <w:sz w:val="10"/>
                <w:szCs w:val="10"/>
                <w:color w:val="auto"/>
              </w:rPr>
              <w:t>Quoted prices</w:t>
            </w:r>
          </w:p>
        </w:tc>
        <w:tc>
          <w:tcPr>
            <w:tcW w:w="1840" w:type="dxa"/>
            <w:vAlign w:val="bottom"/>
            <w:gridSpan w:val="2"/>
          </w:tcPr>
          <w:p>
            <w:pPr>
              <w:jc w:val="center"/>
              <w:ind w:left="351"/>
              <w:spacing w:after="0"/>
              <w:rPr>
                <w:sz w:val="20"/>
                <w:szCs w:val="20"/>
                <w:color w:val="auto"/>
              </w:rPr>
            </w:pPr>
            <w:r>
              <w:rPr>
                <w:rFonts w:ascii="Arial" w:cs="Arial" w:eastAsia="Arial" w:hAnsi="Arial"/>
                <w:sz w:val="10"/>
                <w:szCs w:val="10"/>
                <w:color w:val="auto"/>
              </w:rPr>
              <w:t>Not applicable</w:t>
            </w:r>
          </w:p>
        </w:tc>
        <w:tc>
          <w:tcPr>
            <w:tcW w:w="900" w:type="dxa"/>
            <w:vAlign w:val="bottom"/>
          </w:tcPr>
          <w:p>
            <w:pPr>
              <w:ind w:left="400"/>
              <w:spacing w:after="0"/>
              <w:rPr>
                <w:sz w:val="20"/>
                <w:szCs w:val="20"/>
                <w:color w:val="auto"/>
              </w:rPr>
            </w:pPr>
            <w:r>
              <w:rPr>
                <w:rFonts w:ascii="Arial" w:cs="Arial" w:eastAsia="Arial" w:hAnsi="Arial"/>
                <w:sz w:val="10"/>
                <w:szCs w:val="10"/>
                <w:color w:val="auto"/>
                <w:w w:val="95"/>
              </w:rPr>
              <w:t>Not applica</w:t>
            </w:r>
          </w:p>
        </w:tc>
        <w:tc>
          <w:tcPr>
            <w:tcW w:w="0" w:type="dxa"/>
            <w:vAlign w:val="bottom"/>
          </w:tcPr>
          <w:p>
            <w:pPr>
              <w:spacing w:after="0"/>
              <w:rPr>
                <w:sz w:val="1"/>
                <w:szCs w:val="1"/>
                <w:color w:val="auto"/>
              </w:rPr>
            </w:pPr>
          </w:p>
        </w:tc>
      </w:tr>
      <w:tr>
        <w:trPr>
          <w:trHeight w:val="75"/>
        </w:trPr>
        <w:tc>
          <w:tcPr>
            <w:tcW w:w="2060" w:type="dxa"/>
            <w:vAlign w:val="bottom"/>
          </w:tcPr>
          <w:p>
            <w:pPr>
              <w:spacing w:after="0" w:line="76" w:lineRule="exact"/>
              <w:rPr>
                <w:sz w:val="20"/>
                <w:szCs w:val="20"/>
                <w:color w:val="auto"/>
              </w:rPr>
            </w:pPr>
            <w:r>
              <w:rPr>
                <w:rFonts w:ascii="Arial" w:cs="Arial" w:eastAsia="Arial" w:hAnsi="Arial"/>
                <w:sz w:val="7"/>
                <w:szCs w:val="7"/>
                <w:color w:val="auto"/>
              </w:rPr>
              <w:t>Total Level III</w:t>
            </w:r>
          </w:p>
        </w:tc>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2,379,336</w:t>
            </w:r>
          </w:p>
        </w:tc>
        <w:tc>
          <w:tcPr>
            <w:tcW w:w="25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60" w:type="dxa"/>
            <w:vAlign w:val="bottom"/>
          </w:tcPr>
          <w:p>
            <w:pPr>
              <w:ind w:left="100"/>
              <w:spacing w:after="0"/>
              <w:rPr>
                <w:sz w:val="20"/>
                <w:szCs w:val="20"/>
                <w:color w:val="auto"/>
              </w:rPr>
            </w:pPr>
            <w:r>
              <w:rPr>
                <w:rFonts w:ascii="Arial" w:cs="Arial" w:eastAsia="Arial" w:hAnsi="Arial"/>
                <w:sz w:val="10"/>
                <w:szCs w:val="10"/>
                <w:color w:val="auto"/>
              </w:rPr>
              <w:t>investments</w:t>
            </w:r>
          </w:p>
        </w:tc>
        <w:tc>
          <w:tcPr>
            <w:tcW w:w="3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25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820" w:top="31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398" w:lineRule="exact"/>
        <w:rPr>
          <w:sz w:val="20"/>
          <w:szCs w:val="20"/>
          <w:color w:val="auto"/>
        </w:rPr>
      </w:pPr>
    </w:p>
    <w:p>
      <w:pPr>
        <w:ind w:right="300" w:firstLine="509"/>
        <w:spacing w:after="0" w:line="283" w:lineRule="auto"/>
        <w:rPr>
          <w:sz w:val="20"/>
          <w:szCs w:val="20"/>
          <w:color w:val="auto"/>
        </w:rPr>
      </w:pPr>
      <w:r>
        <w:rPr>
          <w:rFonts w:ascii="Arial" w:cs="Arial" w:eastAsia="Arial" w:hAnsi="Arial"/>
          <w:sz w:val="14"/>
          <w:szCs w:val="14"/>
          <w:color w:val="auto"/>
        </w:rPr>
        <w:t>The following table sets forth a summary of the valuation techniques and quantitative information utilized in determining the fair value of the consolidated funds’ Level III investments as of December 31, 2021:</w:t>
      </w:r>
    </w:p>
    <w:tbl>
      <w:tblPr>
        <w:tblLayout w:type="fixed"/>
        <w:tblInd w:w="0" w:type="dxa"/>
        <w:tblCellMar>
          <w:top w:w="0" w:type="dxa"/>
          <w:left w:w="0" w:type="dxa"/>
          <w:bottom w:w="0" w:type="dxa"/>
          <w:right w:w="0" w:type="dxa"/>
        </w:tblCellMar>
      </w:tblPr>
      <w:tr>
        <w:trPr>
          <w:trHeight w:val="95"/>
        </w:trPr>
        <w:tc>
          <w:tcPr>
            <w:tcW w:w="1880" w:type="dxa"/>
            <w:vAlign w:val="bottom"/>
            <w:gridSpan w:val="2"/>
            <w:vMerge w:val="restart"/>
          </w:tcPr>
          <w:p>
            <w:pPr>
              <w:ind w:left="580"/>
              <w:spacing w:after="0"/>
              <w:rPr>
                <w:sz w:val="20"/>
                <w:szCs w:val="20"/>
                <w:color w:val="auto"/>
              </w:rPr>
            </w:pPr>
            <w:r>
              <w:rPr>
                <w:rFonts w:ascii="Arial" w:cs="Arial" w:eastAsia="Arial" w:hAnsi="Arial"/>
                <w:sz w:val="9"/>
                <w:szCs w:val="9"/>
                <w:b w:val="1"/>
                <w:bCs w:val="1"/>
                <w:color w:val="auto"/>
              </w:rPr>
              <w:t>Investment Type</w:t>
            </w:r>
          </w:p>
        </w:tc>
        <w:tc>
          <w:tcPr>
            <w:tcW w:w="20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restart"/>
          </w:tcPr>
          <w:p>
            <w:pPr>
              <w:jc w:val="right"/>
              <w:ind w:right="251"/>
              <w:spacing w:after="0"/>
              <w:rPr>
                <w:sz w:val="20"/>
                <w:szCs w:val="20"/>
                <w:color w:val="auto"/>
              </w:rPr>
            </w:pPr>
            <w:r>
              <w:rPr>
                <w:rFonts w:ascii="Arial" w:cs="Arial" w:eastAsia="Arial" w:hAnsi="Arial"/>
                <w:sz w:val="9"/>
                <w:szCs w:val="9"/>
                <w:b w:val="1"/>
                <w:bCs w:val="1"/>
                <w:color w:val="auto"/>
              </w:rPr>
              <w:t>Fair Value</w:t>
            </w:r>
          </w:p>
        </w:tc>
        <w:tc>
          <w:tcPr>
            <w:tcW w:w="200" w:type="dxa"/>
            <w:vAlign w:val="bottom"/>
          </w:tcPr>
          <w:p>
            <w:pPr>
              <w:spacing w:after="0"/>
              <w:rPr>
                <w:sz w:val="8"/>
                <w:szCs w:val="8"/>
                <w:color w:val="auto"/>
              </w:rPr>
            </w:pPr>
          </w:p>
        </w:tc>
        <w:tc>
          <w:tcPr>
            <w:tcW w:w="2460" w:type="dxa"/>
            <w:vAlign w:val="bottom"/>
            <w:vMerge w:val="restart"/>
          </w:tcPr>
          <w:p>
            <w:pPr>
              <w:ind w:left="780"/>
              <w:spacing w:after="0"/>
              <w:rPr>
                <w:sz w:val="20"/>
                <w:szCs w:val="20"/>
                <w:color w:val="auto"/>
              </w:rPr>
            </w:pPr>
            <w:r>
              <w:rPr>
                <w:rFonts w:ascii="Arial" w:cs="Arial" w:eastAsia="Arial" w:hAnsi="Arial"/>
                <w:sz w:val="9"/>
                <w:szCs w:val="9"/>
                <w:b w:val="1"/>
                <w:bCs w:val="1"/>
                <w:color w:val="auto"/>
              </w:rPr>
              <w:t>Valuation Technique</w:t>
            </w:r>
          </w:p>
        </w:tc>
        <w:tc>
          <w:tcPr>
            <w:tcW w:w="180" w:type="dxa"/>
            <w:vAlign w:val="bottom"/>
            <w:vMerge w:val="restart"/>
          </w:tcPr>
          <w:p>
            <w:pPr>
              <w:spacing w:after="0"/>
              <w:rPr>
                <w:sz w:val="8"/>
                <w:szCs w:val="8"/>
                <w:color w:val="auto"/>
              </w:rPr>
            </w:pPr>
          </w:p>
        </w:tc>
        <w:tc>
          <w:tcPr>
            <w:tcW w:w="2660" w:type="dxa"/>
            <w:vAlign w:val="bottom"/>
            <w:gridSpan w:val="2"/>
          </w:tcPr>
          <w:p>
            <w:pPr>
              <w:ind w:left="700"/>
              <w:spacing w:after="0" w:line="95" w:lineRule="exact"/>
              <w:rPr>
                <w:sz w:val="20"/>
                <w:szCs w:val="20"/>
                <w:color w:val="auto"/>
              </w:rPr>
            </w:pPr>
            <w:r>
              <w:rPr>
                <w:rFonts w:ascii="Arial" w:cs="Arial" w:eastAsia="Arial" w:hAnsi="Arial"/>
                <w:sz w:val="9"/>
                <w:szCs w:val="9"/>
                <w:b w:val="1"/>
                <w:bCs w:val="1"/>
                <w:color w:val="auto"/>
              </w:rPr>
              <w:t>Significant Unobservable</w:t>
            </w:r>
          </w:p>
        </w:tc>
        <w:tc>
          <w:tcPr>
            <w:tcW w:w="12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Range</w:t>
            </w:r>
          </w:p>
        </w:tc>
        <w:tc>
          <w:tcPr>
            <w:tcW w:w="180" w:type="dxa"/>
            <w:vAlign w:val="bottom"/>
            <w:vMerge w:val="restart"/>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 xml:space="preserve">Weighted Average </w:t>
            </w:r>
            <w:r>
              <w:rPr>
                <w:rFonts w:ascii="Arial" w:cs="Arial" w:eastAsia="Arial" w:hAnsi="Arial"/>
                <w:sz w:val="11"/>
                <w:szCs w:val="11"/>
                <w:b w:val="1"/>
                <w:bCs w:val="1"/>
                <w:color w:val="auto"/>
                <w:w w:val="97"/>
                <w:vertAlign w:val="superscript"/>
              </w:rPr>
              <w:t>(3)</w:t>
            </w:r>
          </w:p>
        </w:tc>
        <w:tc>
          <w:tcPr>
            <w:tcW w:w="0" w:type="dxa"/>
            <w:vAlign w:val="bottom"/>
          </w:tcPr>
          <w:p>
            <w:pPr>
              <w:spacing w:after="0"/>
              <w:rPr>
                <w:sz w:val="1"/>
                <w:szCs w:val="1"/>
                <w:color w:val="auto"/>
              </w:rPr>
            </w:pPr>
          </w:p>
        </w:tc>
      </w:tr>
      <w:tr>
        <w:trPr>
          <w:trHeight w:val="124"/>
        </w:trPr>
        <w:tc>
          <w:tcPr>
            <w:tcW w:w="1880" w:type="dxa"/>
            <w:vAlign w:val="bottom"/>
            <w:tcBorders>
              <w:bottom w:val="single" w:sz="8" w:color="auto"/>
            </w:tcBorders>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Borders>
              <w:bottom w:val="single" w:sz="8" w:color="auto"/>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480" w:type="dxa"/>
            <w:vAlign w:val="bottom"/>
            <w:tcBorders>
              <w:bottom w:val="single" w:sz="8" w:color="auto"/>
            </w:tcBorders>
          </w:tcPr>
          <w:p>
            <w:pPr>
              <w:ind w:left="1020"/>
              <w:spacing w:after="0" w:line="124" w:lineRule="exact"/>
              <w:rPr>
                <w:sz w:val="20"/>
                <w:szCs w:val="20"/>
                <w:color w:val="auto"/>
              </w:rPr>
            </w:pPr>
            <w:r>
              <w:rPr>
                <w:rFonts w:ascii="Arial" w:cs="Arial" w:eastAsia="Arial" w:hAnsi="Arial"/>
                <w:sz w:val="9"/>
                <w:szCs w:val="9"/>
                <w:b w:val="1"/>
                <w:bCs w:val="1"/>
                <w:color w:val="auto"/>
              </w:rPr>
              <w:t xml:space="preserve">Inputs </w:t>
            </w:r>
            <w:r>
              <w:rPr>
                <w:rFonts w:ascii="Arial" w:cs="Arial" w:eastAsia="Arial" w:hAnsi="Arial"/>
                <w:sz w:val="11"/>
                <w:szCs w:val="11"/>
                <w:b w:val="1"/>
                <w:bCs w:val="1"/>
                <w:color w:val="auto"/>
                <w:vertAlign w:val="superscript"/>
              </w:rPr>
              <w:t>(1)(2)</w:t>
            </w:r>
          </w:p>
        </w:tc>
        <w:tc>
          <w:tcPr>
            <w:tcW w:w="180" w:type="dxa"/>
            <w:vAlign w:val="bottom"/>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080" w:type="dxa"/>
            <w:vAlign w:val="bottom"/>
            <w:gridSpan w:val="3"/>
          </w:tcPr>
          <w:p>
            <w:pPr>
              <w:ind w:left="20"/>
              <w:spacing w:after="0"/>
              <w:rPr>
                <w:sz w:val="20"/>
                <w:szCs w:val="20"/>
                <w:color w:val="auto"/>
              </w:rPr>
            </w:pPr>
            <w:r>
              <w:rPr>
                <w:rFonts w:ascii="Arial" w:cs="Arial" w:eastAsia="Arial" w:hAnsi="Arial"/>
                <w:sz w:val="10"/>
                <w:szCs w:val="10"/>
                <w:color w:val="auto"/>
              </w:rPr>
              <w:t>Credit-oriented investments: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80" w:type="dxa"/>
            <w:vAlign w:val="bottom"/>
            <w:gridSpan w:val="3"/>
          </w:tcPr>
          <w:p>
            <w:pPr>
              <w:ind w:left="140"/>
              <w:spacing w:after="0"/>
              <w:rPr>
                <w:sz w:val="20"/>
                <w:szCs w:val="20"/>
                <w:color w:val="auto"/>
              </w:rPr>
            </w:pPr>
            <w:r>
              <w:rPr>
                <w:rFonts w:ascii="Arial" w:cs="Arial" w:eastAsia="Arial" w:hAnsi="Arial"/>
                <w:sz w:val="10"/>
                <w:szCs w:val="10"/>
                <w:color w:val="auto"/>
              </w:rPr>
              <w:t>Consumer discretionary</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20,954</w:t>
            </w:r>
          </w:p>
        </w:tc>
        <w:tc>
          <w:tcPr>
            <w:tcW w:w="2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12,677</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6,864</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12"/>
                <w:szCs w:val="12"/>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Discount rate</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rPr>
              <w:t>9% – 11%</w:t>
            </w:r>
          </w:p>
        </w:tc>
        <w:tc>
          <w:tcPr>
            <w:tcW w:w="1240" w:type="dxa"/>
            <w:vAlign w:val="bottom"/>
          </w:tcPr>
          <w:p>
            <w:pPr>
              <w:jc w:val="center"/>
              <w:spacing w:after="0"/>
              <w:rPr>
                <w:sz w:val="20"/>
                <w:szCs w:val="20"/>
                <w:color w:val="auto"/>
              </w:rPr>
            </w:pPr>
            <w:r>
              <w:rPr>
                <w:rFonts w:ascii="Arial" w:cs="Arial" w:eastAsia="Arial" w:hAnsi="Arial"/>
                <w:sz w:val="10"/>
                <w:szCs w:val="10"/>
                <w:color w:val="auto"/>
                <w:w w:val="99"/>
              </w:rPr>
              <w:t>10%</w:t>
            </w:r>
          </w:p>
        </w:tc>
        <w:tc>
          <w:tcPr>
            <w:tcW w:w="0" w:type="dxa"/>
            <w:vAlign w:val="bottom"/>
          </w:tcPr>
          <w:p>
            <w:pPr>
              <w:spacing w:after="0"/>
              <w:rPr>
                <w:sz w:val="1"/>
                <w:szCs w:val="1"/>
                <w:color w:val="auto"/>
              </w:rPr>
            </w:pPr>
          </w:p>
        </w:tc>
      </w:tr>
      <w:tr>
        <w:trPr>
          <w:trHeight w:val="138"/>
        </w:trPr>
        <w:tc>
          <w:tcPr>
            <w:tcW w:w="2080" w:type="dxa"/>
            <w:vAlign w:val="bottom"/>
            <w:gridSpan w:val="3"/>
          </w:tcPr>
          <w:p>
            <w:pPr>
              <w:ind w:left="140"/>
              <w:spacing w:after="0"/>
              <w:rPr>
                <w:sz w:val="20"/>
                <w:szCs w:val="20"/>
                <w:color w:val="auto"/>
              </w:rPr>
            </w:pPr>
            <w:r>
              <w:rPr>
                <w:rFonts w:ascii="Arial" w:cs="Arial" w:eastAsia="Arial" w:hAnsi="Arial"/>
                <w:sz w:val="10"/>
                <w:szCs w:val="10"/>
                <w:color w:val="auto"/>
              </w:rPr>
              <w:t>Communication services</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60,384</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Market approach (comparable companies) </w:t>
            </w:r>
            <w:r>
              <w:rPr>
                <w:rFonts w:ascii="Arial" w:cs="Arial" w:eastAsia="Arial" w:hAnsi="Arial"/>
                <w:sz w:val="12"/>
                <w:szCs w:val="12"/>
                <w:color w:val="auto"/>
                <w:vertAlign w:val="superscript"/>
              </w:rPr>
              <w:t>(7)</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 xml:space="preserve">Revenue multiple </w:t>
            </w:r>
            <w:r>
              <w:rPr>
                <w:rFonts w:ascii="Arial" w:cs="Arial" w:eastAsia="Arial" w:hAnsi="Arial"/>
                <w:sz w:val="12"/>
                <w:szCs w:val="12"/>
                <w:color w:val="auto"/>
                <w:vertAlign w:val="superscript"/>
              </w:rPr>
              <w:t>(8)</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8"/>
              </w:rPr>
              <w:t>2.0x - 4.0x</w:t>
            </w:r>
          </w:p>
        </w:tc>
        <w:tc>
          <w:tcPr>
            <w:tcW w:w="1240" w:type="dxa"/>
            <w:vAlign w:val="bottom"/>
          </w:tcPr>
          <w:p>
            <w:pPr>
              <w:jc w:val="center"/>
              <w:spacing w:after="0"/>
              <w:rPr>
                <w:sz w:val="20"/>
                <w:szCs w:val="20"/>
                <w:color w:val="auto"/>
              </w:rPr>
            </w:pPr>
            <w:r>
              <w:rPr>
                <w:rFonts w:ascii="Arial" w:cs="Arial" w:eastAsia="Arial" w:hAnsi="Arial"/>
                <w:sz w:val="10"/>
                <w:szCs w:val="10"/>
                <w:color w:val="auto"/>
              </w:rPr>
              <w:t>3.0x</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38,352</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3,402</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2080" w:type="dxa"/>
            <w:vAlign w:val="bottom"/>
            <w:gridSpan w:val="3"/>
          </w:tcPr>
          <w:p>
            <w:pPr>
              <w:ind w:left="140"/>
              <w:spacing w:after="0"/>
              <w:rPr>
                <w:sz w:val="20"/>
                <w:szCs w:val="20"/>
                <w:color w:val="auto"/>
              </w:rPr>
            </w:pPr>
            <w:r>
              <w:rPr>
                <w:rFonts w:ascii="Arial" w:cs="Arial" w:eastAsia="Arial" w:hAnsi="Arial"/>
                <w:sz w:val="10"/>
                <w:szCs w:val="10"/>
                <w:color w:val="auto"/>
              </w:rPr>
              <w:t>Energy</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51,012</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12"/>
                <w:szCs w:val="12"/>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Discount rate</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12% – 13%</w:t>
            </w:r>
          </w:p>
        </w:tc>
        <w:tc>
          <w:tcPr>
            <w:tcW w:w="1240" w:type="dxa"/>
            <w:vAlign w:val="bottom"/>
          </w:tcPr>
          <w:p>
            <w:pPr>
              <w:jc w:val="center"/>
              <w:spacing w:after="0"/>
              <w:rPr>
                <w:sz w:val="20"/>
                <w:szCs w:val="20"/>
                <w:color w:val="auto"/>
              </w:rPr>
            </w:pPr>
            <w:r>
              <w:rPr>
                <w:rFonts w:ascii="Arial" w:cs="Arial" w:eastAsia="Arial" w:hAnsi="Arial"/>
                <w:sz w:val="10"/>
                <w:szCs w:val="10"/>
                <w:color w:val="auto"/>
                <w:w w:val="99"/>
              </w:rPr>
              <w:t>12%</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33,987</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13,640</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2080" w:type="dxa"/>
            <w:vAlign w:val="bottom"/>
            <w:gridSpan w:val="3"/>
          </w:tcPr>
          <w:p>
            <w:pPr>
              <w:ind w:left="140"/>
              <w:spacing w:after="0"/>
              <w:rPr>
                <w:sz w:val="20"/>
                <w:szCs w:val="20"/>
                <w:color w:val="auto"/>
              </w:rPr>
            </w:pPr>
            <w:r>
              <w:rPr>
                <w:rFonts w:ascii="Arial" w:cs="Arial" w:eastAsia="Arial" w:hAnsi="Arial"/>
                <w:sz w:val="10"/>
                <w:szCs w:val="10"/>
                <w:color w:val="auto"/>
              </w:rPr>
              <w:t>Financials</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29,519</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12"/>
                <w:szCs w:val="12"/>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Discount rate</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10% – 12%</w:t>
            </w:r>
          </w:p>
        </w:tc>
        <w:tc>
          <w:tcPr>
            <w:tcW w:w="1240" w:type="dxa"/>
            <w:vAlign w:val="bottom"/>
          </w:tcPr>
          <w:p>
            <w:pPr>
              <w:jc w:val="center"/>
              <w:spacing w:after="0"/>
              <w:rPr>
                <w:sz w:val="20"/>
                <w:szCs w:val="20"/>
                <w:color w:val="auto"/>
              </w:rPr>
            </w:pPr>
            <w:r>
              <w:rPr>
                <w:rFonts w:ascii="Arial" w:cs="Arial" w:eastAsia="Arial" w:hAnsi="Arial"/>
                <w:sz w:val="10"/>
                <w:szCs w:val="10"/>
                <w:color w:val="auto"/>
                <w:w w:val="99"/>
              </w:rPr>
              <w:t>11%</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23,129</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13,187</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2080" w:type="dxa"/>
            <w:vAlign w:val="bottom"/>
            <w:gridSpan w:val="3"/>
          </w:tcPr>
          <w:p>
            <w:pPr>
              <w:ind w:left="140"/>
              <w:spacing w:after="0"/>
              <w:rPr>
                <w:sz w:val="20"/>
                <w:szCs w:val="20"/>
                <w:color w:val="auto"/>
              </w:rPr>
            </w:pPr>
            <w:r>
              <w:rPr>
                <w:rFonts w:ascii="Arial" w:cs="Arial" w:eastAsia="Arial" w:hAnsi="Arial"/>
                <w:sz w:val="10"/>
                <w:szCs w:val="10"/>
                <w:color w:val="auto"/>
              </w:rPr>
              <w:t>Industrials</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87,727</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12"/>
                <w:szCs w:val="12"/>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Discount rate</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rPr>
              <w:t>8% – 13%</w:t>
            </w:r>
          </w:p>
        </w:tc>
        <w:tc>
          <w:tcPr>
            <w:tcW w:w="1240" w:type="dxa"/>
            <w:vAlign w:val="bottom"/>
          </w:tcPr>
          <w:p>
            <w:pPr>
              <w:jc w:val="center"/>
              <w:spacing w:after="0"/>
              <w:rPr>
                <w:sz w:val="20"/>
                <w:szCs w:val="20"/>
                <w:color w:val="auto"/>
              </w:rPr>
            </w:pPr>
            <w:r>
              <w:rPr>
                <w:rFonts w:ascii="Arial" w:cs="Arial" w:eastAsia="Arial" w:hAnsi="Arial"/>
                <w:sz w:val="10"/>
                <w:szCs w:val="10"/>
                <w:color w:val="auto"/>
                <w:w w:val="99"/>
              </w:rPr>
              <w:t>10%</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1,852</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2080" w:type="dxa"/>
            <w:vAlign w:val="bottom"/>
            <w:gridSpan w:val="3"/>
          </w:tcPr>
          <w:p>
            <w:pPr>
              <w:ind w:left="140"/>
              <w:spacing w:after="0"/>
              <w:rPr>
                <w:sz w:val="20"/>
                <w:szCs w:val="20"/>
                <w:color w:val="auto"/>
              </w:rPr>
            </w:pPr>
            <w:r>
              <w:rPr>
                <w:rFonts w:ascii="Arial" w:cs="Arial" w:eastAsia="Arial" w:hAnsi="Arial"/>
                <w:sz w:val="10"/>
                <w:szCs w:val="10"/>
                <w:color w:val="auto"/>
              </w:rPr>
              <w:t>Materials</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136,117</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12"/>
                <w:szCs w:val="12"/>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Discount rate</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rPr>
              <w:t>8% – 14%</w:t>
            </w:r>
          </w:p>
        </w:tc>
        <w:tc>
          <w:tcPr>
            <w:tcW w:w="1240" w:type="dxa"/>
            <w:vAlign w:val="bottom"/>
          </w:tcPr>
          <w:p>
            <w:pPr>
              <w:jc w:val="center"/>
              <w:spacing w:after="0"/>
              <w:rPr>
                <w:sz w:val="20"/>
                <w:szCs w:val="20"/>
                <w:color w:val="auto"/>
              </w:rPr>
            </w:pPr>
            <w:r>
              <w:rPr>
                <w:rFonts w:ascii="Arial" w:cs="Arial" w:eastAsia="Arial" w:hAnsi="Arial"/>
                <w:sz w:val="10"/>
                <w:szCs w:val="10"/>
                <w:color w:val="auto"/>
                <w:w w:val="96"/>
              </w:rPr>
              <w:t>9%</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24,420</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6,674</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2080" w:type="dxa"/>
            <w:vAlign w:val="bottom"/>
            <w:gridSpan w:val="3"/>
          </w:tcPr>
          <w:p>
            <w:pPr>
              <w:ind w:left="140"/>
              <w:spacing w:after="0"/>
              <w:rPr>
                <w:sz w:val="20"/>
                <w:szCs w:val="20"/>
                <w:color w:val="auto"/>
              </w:rPr>
            </w:pPr>
            <w:r>
              <w:rPr>
                <w:rFonts w:ascii="Arial" w:cs="Arial" w:eastAsia="Arial" w:hAnsi="Arial"/>
                <w:sz w:val="10"/>
                <w:szCs w:val="10"/>
                <w:color w:val="auto"/>
              </w:rPr>
              <w:t>Real estate</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76,503</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60,643</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Market approach (comparable companies) </w:t>
            </w:r>
            <w:r>
              <w:rPr>
                <w:rFonts w:ascii="Arial" w:cs="Arial" w:eastAsia="Arial" w:hAnsi="Arial"/>
                <w:sz w:val="12"/>
                <w:szCs w:val="12"/>
                <w:color w:val="auto"/>
                <w:vertAlign w:val="superscript"/>
              </w:rPr>
              <w:t>(7)</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 xml:space="preserve">Multiple of underlying assets </w:t>
            </w:r>
            <w:r>
              <w:rPr>
                <w:rFonts w:ascii="Arial" w:cs="Arial" w:eastAsia="Arial" w:hAnsi="Arial"/>
                <w:sz w:val="12"/>
                <w:szCs w:val="12"/>
                <w:color w:val="auto"/>
                <w:vertAlign w:val="superscript"/>
              </w:rPr>
              <w:t>(9)</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8"/>
              </w:rPr>
              <w:t>0.7x - 0.9x</w:t>
            </w:r>
          </w:p>
        </w:tc>
        <w:tc>
          <w:tcPr>
            <w:tcW w:w="1240" w:type="dxa"/>
            <w:vAlign w:val="bottom"/>
          </w:tcPr>
          <w:p>
            <w:pPr>
              <w:jc w:val="center"/>
              <w:spacing w:after="0"/>
              <w:rPr>
                <w:sz w:val="20"/>
                <w:szCs w:val="20"/>
                <w:color w:val="auto"/>
              </w:rPr>
            </w:pPr>
            <w:r>
              <w:rPr>
                <w:rFonts w:ascii="Arial" w:cs="Arial" w:eastAsia="Arial" w:hAnsi="Arial"/>
                <w:sz w:val="10"/>
                <w:szCs w:val="10"/>
                <w:color w:val="auto"/>
              </w:rPr>
              <w:t>0.8x</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27,235</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2080" w:type="dxa"/>
            <w:vAlign w:val="bottom"/>
            <w:gridSpan w:val="3"/>
          </w:tcPr>
          <w:p>
            <w:pPr>
              <w:ind w:left="140"/>
              <w:spacing w:after="0"/>
              <w:rPr>
                <w:sz w:val="20"/>
                <w:szCs w:val="20"/>
                <w:color w:val="auto"/>
              </w:rPr>
            </w:pPr>
            <w:r>
              <w:rPr>
                <w:rFonts w:ascii="Arial" w:cs="Arial" w:eastAsia="Arial" w:hAnsi="Arial"/>
                <w:sz w:val="10"/>
                <w:szCs w:val="10"/>
                <w:color w:val="auto"/>
              </w:rPr>
              <w:t>Other</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78,631</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11,425</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8,430</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Market approach (comparable companies) </w:t>
            </w:r>
            <w:r>
              <w:rPr>
                <w:rFonts w:ascii="Arial" w:cs="Arial" w:eastAsia="Arial" w:hAnsi="Arial"/>
                <w:sz w:val="12"/>
                <w:szCs w:val="12"/>
                <w:color w:val="auto"/>
                <w:vertAlign w:val="superscript"/>
              </w:rPr>
              <w:t>(7)</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 xml:space="preserve">Multiple of underlying assets </w:t>
            </w:r>
            <w:r>
              <w:rPr>
                <w:rFonts w:ascii="Arial" w:cs="Arial" w:eastAsia="Arial" w:hAnsi="Arial"/>
                <w:sz w:val="12"/>
                <w:szCs w:val="12"/>
                <w:color w:val="auto"/>
                <w:vertAlign w:val="superscript"/>
              </w:rPr>
              <w:t>(9)</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8"/>
              </w:rPr>
              <w:t>0.9x - 1.1x</w:t>
            </w:r>
          </w:p>
        </w:tc>
        <w:tc>
          <w:tcPr>
            <w:tcW w:w="1240" w:type="dxa"/>
            <w:vAlign w:val="bottom"/>
          </w:tcPr>
          <w:p>
            <w:pPr>
              <w:jc w:val="center"/>
              <w:spacing w:after="0"/>
              <w:rPr>
                <w:sz w:val="20"/>
                <w:szCs w:val="20"/>
                <w:color w:val="auto"/>
              </w:rPr>
            </w:pPr>
            <w:r>
              <w:rPr>
                <w:rFonts w:ascii="Arial" w:cs="Arial" w:eastAsia="Arial" w:hAnsi="Arial"/>
                <w:sz w:val="10"/>
                <w:szCs w:val="10"/>
                <w:color w:val="auto"/>
              </w:rPr>
              <w:t>1.0x</w:t>
            </w:r>
          </w:p>
        </w:tc>
        <w:tc>
          <w:tcPr>
            <w:tcW w:w="0" w:type="dxa"/>
            <w:vAlign w:val="bottom"/>
          </w:tcPr>
          <w:p>
            <w:pPr>
              <w:spacing w:after="0"/>
              <w:rPr>
                <w:sz w:val="1"/>
                <w:szCs w:val="1"/>
                <w:color w:val="auto"/>
              </w:rPr>
            </w:pPr>
          </w:p>
        </w:tc>
      </w:tr>
      <w:tr>
        <w:trPr>
          <w:trHeight w:val="130"/>
        </w:trPr>
        <w:tc>
          <w:tcPr>
            <w:tcW w:w="2080" w:type="dxa"/>
            <w:vAlign w:val="bottom"/>
            <w:gridSpan w:val="3"/>
          </w:tcPr>
          <w:p>
            <w:pPr>
              <w:ind w:left="20"/>
              <w:spacing w:after="0"/>
              <w:rPr>
                <w:sz w:val="20"/>
                <w:szCs w:val="20"/>
                <w:color w:val="auto"/>
              </w:rPr>
            </w:pPr>
            <w:r>
              <w:rPr>
                <w:rFonts w:ascii="Arial" w:cs="Arial" w:eastAsia="Arial" w:hAnsi="Arial"/>
                <w:sz w:val="10"/>
                <w:szCs w:val="10"/>
                <w:color w:val="auto"/>
              </w:rPr>
              <w:t>Equity investments:</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411,574</w:t>
            </w:r>
          </w:p>
        </w:tc>
        <w:tc>
          <w:tcPr>
            <w:tcW w:w="2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364,851</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Market approach (comparable companies) </w:t>
            </w:r>
            <w:r>
              <w:rPr>
                <w:rFonts w:ascii="Arial" w:cs="Arial" w:eastAsia="Arial" w:hAnsi="Arial"/>
                <w:sz w:val="12"/>
                <w:szCs w:val="12"/>
                <w:color w:val="auto"/>
                <w:vertAlign w:val="superscript"/>
              </w:rPr>
              <w:t>(7)</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 xml:space="preserve">Multiple of underlying assets </w:t>
            </w:r>
            <w:r>
              <w:rPr>
                <w:rFonts w:ascii="Arial" w:cs="Arial" w:eastAsia="Arial" w:hAnsi="Arial"/>
                <w:sz w:val="12"/>
                <w:szCs w:val="12"/>
                <w:color w:val="auto"/>
                <w:vertAlign w:val="superscript"/>
              </w:rPr>
              <w:t>(9)</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8"/>
              </w:rPr>
              <w:t>0.9x - 1.0x</w:t>
            </w:r>
          </w:p>
        </w:tc>
        <w:tc>
          <w:tcPr>
            <w:tcW w:w="1240" w:type="dxa"/>
            <w:vAlign w:val="bottom"/>
          </w:tcPr>
          <w:p>
            <w:pPr>
              <w:jc w:val="center"/>
              <w:spacing w:after="0"/>
              <w:rPr>
                <w:sz w:val="20"/>
                <w:szCs w:val="20"/>
                <w:color w:val="auto"/>
              </w:rPr>
            </w:pPr>
            <w:r>
              <w:rPr>
                <w:rFonts w:ascii="Arial" w:cs="Arial" w:eastAsia="Arial" w:hAnsi="Arial"/>
                <w:sz w:val="10"/>
                <w:szCs w:val="10"/>
                <w:color w:val="auto"/>
              </w:rPr>
              <w:t>1.0x</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110,973</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Market approach (comparable companies) </w:t>
            </w:r>
            <w:r>
              <w:rPr>
                <w:rFonts w:ascii="Arial" w:cs="Arial" w:eastAsia="Arial" w:hAnsi="Arial"/>
                <w:sz w:val="12"/>
                <w:szCs w:val="12"/>
                <w:color w:val="auto"/>
                <w:vertAlign w:val="superscript"/>
              </w:rPr>
              <w:t>(7)</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 xml:space="preserve">Earnings multiple </w:t>
            </w:r>
            <w:r>
              <w:rPr>
                <w:rFonts w:ascii="Arial" w:cs="Arial" w:eastAsia="Arial" w:hAnsi="Arial"/>
                <w:sz w:val="12"/>
                <w:szCs w:val="12"/>
                <w:color w:val="auto"/>
                <w:vertAlign w:val="superscript"/>
              </w:rPr>
              <w:t>(10)</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5"/>
              </w:rPr>
              <w:t>6.0x - 16.0x</w:t>
            </w:r>
          </w:p>
        </w:tc>
        <w:tc>
          <w:tcPr>
            <w:tcW w:w="1240" w:type="dxa"/>
            <w:vAlign w:val="bottom"/>
          </w:tcPr>
          <w:p>
            <w:pPr>
              <w:jc w:val="center"/>
              <w:spacing w:after="0"/>
              <w:rPr>
                <w:sz w:val="20"/>
                <w:szCs w:val="20"/>
                <w:color w:val="auto"/>
              </w:rPr>
            </w:pPr>
            <w:r>
              <w:rPr>
                <w:rFonts w:ascii="Arial" w:cs="Arial" w:eastAsia="Arial" w:hAnsi="Arial"/>
                <w:sz w:val="10"/>
                <w:szCs w:val="10"/>
                <w:color w:val="auto"/>
                <w:w w:val="97"/>
              </w:rPr>
              <w:t>11.3x</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83,999</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12"/>
                <w:szCs w:val="12"/>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Discount rate</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rPr>
              <w:t>7% – 16%</w:t>
            </w:r>
          </w:p>
        </w:tc>
        <w:tc>
          <w:tcPr>
            <w:tcW w:w="1240" w:type="dxa"/>
            <w:vAlign w:val="bottom"/>
          </w:tcPr>
          <w:p>
            <w:pPr>
              <w:jc w:val="center"/>
              <w:spacing w:after="0"/>
              <w:rPr>
                <w:sz w:val="20"/>
                <w:szCs w:val="20"/>
                <w:color w:val="auto"/>
              </w:rPr>
            </w:pPr>
            <w:r>
              <w:rPr>
                <w:rFonts w:ascii="Arial" w:cs="Arial" w:eastAsia="Arial" w:hAnsi="Arial"/>
                <w:sz w:val="10"/>
                <w:szCs w:val="10"/>
                <w:color w:val="auto"/>
                <w:w w:val="99"/>
              </w:rPr>
              <w:t>16%</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59,805</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Market approach (comparable companies) </w:t>
            </w:r>
            <w:r>
              <w:rPr>
                <w:rFonts w:ascii="Arial" w:cs="Arial" w:eastAsia="Arial" w:hAnsi="Arial"/>
                <w:sz w:val="12"/>
                <w:szCs w:val="12"/>
                <w:color w:val="auto"/>
                <w:vertAlign w:val="superscript"/>
              </w:rPr>
              <w:t>(7)</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 xml:space="preserve">Revenue multiple </w:t>
            </w:r>
            <w:r>
              <w:rPr>
                <w:rFonts w:ascii="Arial" w:cs="Arial" w:eastAsia="Arial" w:hAnsi="Arial"/>
                <w:sz w:val="12"/>
                <w:szCs w:val="12"/>
                <w:color w:val="auto"/>
                <w:vertAlign w:val="superscript"/>
              </w:rPr>
              <w:t>(8)</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5"/>
              </w:rPr>
              <w:t>3.0x - 11.0x</w:t>
            </w:r>
          </w:p>
        </w:tc>
        <w:tc>
          <w:tcPr>
            <w:tcW w:w="1240" w:type="dxa"/>
            <w:vAlign w:val="bottom"/>
          </w:tcPr>
          <w:p>
            <w:pPr>
              <w:jc w:val="center"/>
              <w:spacing w:after="0"/>
              <w:rPr>
                <w:sz w:val="20"/>
                <w:szCs w:val="20"/>
                <w:color w:val="auto"/>
              </w:rPr>
            </w:pPr>
            <w:r>
              <w:rPr>
                <w:rFonts w:ascii="Arial" w:cs="Arial" w:eastAsia="Arial" w:hAnsi="Arial"/>
                <w:sz w:val="10"/>
                <w:szCs w:val="10"/>
                <w:color w:val="auto"/>
              </w:rPr>
              <w:t>8.7x</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36,576</w:t>
            </w:r>
          </w:p>
        </w:tc>
        <w:tc>
          <w:tcPr>
            <w:tcW w:w="200" w:type="dxa"/>
            <w:vAlign w:val="bottom"/>
          </w:tcPr>
          <w:p>
            <w:pPr>
              <w:spacing w:after="0"/>
              <w:rPr>
                <w:sz w:val="11"/>
                <w:szCs w:val="11"/>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market information </w:t>
            </w:r>
            <w:r>
              <w:rPr>
                <w:rFonts w:ascii="Arial" w:cs="Arial" w:eastAsia="Arial" w:hAnsi="Arial"/>
                <w:sz w:val="12"/>
                <w:szCs w:val="12"/>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30"/>
        </w:trPr>
        <w:tc>
          <w:tcPr>
            <w:tcW w:w="2080" w:type="dxa"/>
            <w:vAlign w:val="bottom"/>
            <w:gridSpan w:val="3"/>
          </w:tcPr>
          <w:p>
            <w:pPr>
              <w:ind w:left="20"/>
              <w:spacing w:after="0"/>
              <w:rPr>
                <w:sz w:val="20"/>
                <w:szCs w:val="20"/>
                <w:color w:val="auto"/>
              </w:rPr>
            </w:pPr>
            <w:r>
              <w:rPr>
                <w:rFonts w:ascii="Arial" w:cs="Arial" w:eastAsia="Arial" w:hAnsi="Arial"/>
                <w:sz w:val="10"/>
                <w:szCs w:val="10"/>
                <w:color w:val="auto"/>
              </w:rPr>
              <w:t>Real estate-oriented: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18,526</w:t>
            </w:r>
          </w:p>
        </w:tc>
        <w:tc>
          <w:tcPr>
            <w:tcW w:w="2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Recent transaction price </w:t>
            </w:r>
            <w:r>
              <w:rPr>
                <w:rFonts w:ascii="Arial" w:cs="Arial" w:eastAsia="Arial" w:hAnsi="Arial"/>
                <w:sz w:val="12"/>
                <w:szCs w:val="12"/>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Quoted prices</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0"/>
                <w:szCs w:val="10"/>
                <w:color w:val="auto"/>
              </w:rPr>
              <w:t>Not applicable</w:t>
            </w: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15,308</w:t>
            </w:r>
          </w:p>
        </w:tc>
        <w:tc>
          <w:tcPr>
            <w:tcW w:w="20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Arial" w:cs="Arial" w:eastAsia="Arial" w:hAnsi="Arial"/>
                <w:sz w:val="10"/>
                <w:szCs w:val="10"/>
                <w:color w:val="auto"/>
              </w:rPr>
              <w:t xml:space="preserve">Discounted cash flow </w:t>
            </w:r>
            <w:r>
              <w:rPr>
                <w:rFonts w:ascii="Arial" w:cs="Arial" w:eastAsia="Arial" w:hAnsi="Arial"/>
                <w:sz w:val="12"/>
                <w:szCs w:val="12"/>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0"/>
                <w:szCs w:val="10"/>
                <w:color w:val="auto"/>
              </w:rPr>
              <w:t>Discount rate</w:t>
            </w: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color w:val="auto"/>
                <w:w w:val="97"/>
              </w:rPr>
              <w:t>24% – 26%</w:t>
            </w:r>
          </w:p>
        </w:tc>
        <w:tc>
          <w:tcPr>
            <w:tcW w:w="1240" w:type="dxa"/>
            <w:vAlign w:val="bottom"/>
          </w:tcPr>
          <w:p>
            <w:pPr>
              <w:jc w:val="center"/>
              <w:spacing w:after="0"/>
              <w:rPr>
                <w:sz w:val="20"/>
                <w:szCs w:val="20"/>
                <w:color w:val="auto"/>
              </w:rPr>
            </w:pPr>
            <w:r>
              <w:rPr>
                <w:rFonts w:ascii="Arial" w:cs="Arial" w:eastAsia="Arial" w:hAnsi="Arial"/>
                <w:sz w:val="10"/>
                <w:szCs w:val="10"/>
                <w:color w:val="auto"/>
                <w:w w:val="99"/>
              </w:rPr>
              <w:t>25%</w:t>
            </w:r>
          </w:p>
        </w:tc>
        <w:tc>
          <w:tcPr>
            <w:tcW w:w="0" w:type="dxa"/>
            <w:vAlign w:val="bottom"/>
          </w:tcPr>
          <w:p>
            <w:pPr>
              <w:spacing w:after="0"/>
              <w:rPr>
                <w:sz w:val="1"/>
                <w:szCs w:val="1"/>
                <w:color w:val="auto"/>
              </w:rPr>
            </w:pPr>
          </w:p>
        </w:tc>
      </w:tr>
      <w:tr>
        <w:trPr>
          <w:trHeight w:val="75"/>
        </w:trPr>
        <w:tc>
          <w:tcPr>
            <w:tcW w:w="2080" w:type="dxa"/>
            <w:vAlign w:val="bottom"/>
            <w:gridSpan w:val="3"/>
          </w:tcPr>
          <w:p>
            <w:pPr>
              <w:ind w:left="20"/>
              <w:spacing w:after="0" w:line="76" w:lineRule="exact"/>
              <w:rPr>
                <w:sz w:val="20"/>
                <w:szCs w:val="20"/>
                <w:color w:val="auto"/>
              </w:rPr>
            </w:pPr>
            <w:r>
              <w:rPr>
                <w:rFonts w:ascii="Arial" w:cs="Arial" w:eastAsia="Arial" w:hAnsi="Arial"/>
                <w:sz w:val="7"/>
                <w:szCs w:val="7"/>
                <w:color w:val="auto"/>
              </w:rPr>
              <w:t>Total Level III</w:t>
            </w:r>
          </w:p>
        </w:tc>
        <w:tc>
          <w:tcPr>
            <w:tcW w:w="180" w:type="dxa"/>
            <w:vAlign w:val="bottom"/>
            <w:vMerge w:val="restart"/>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1,928,376</w:t>
            </w: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80" w:type="dxa"/>
            <w:vAlign w:val="bottom"/>
            <w:gridSpan w:val="3"/>
          </w:tcPr>
          <w:p>
            <w:pPr>
              <w:ind w:left="100"/>
              <w:spacing w:after="0"/>
              <w:rPr>
                <w:sz w:val="20"/>
                <w:szCs w:val="20"/>
                <w:color w:val="auto"/>
              </w:rPr>
            </w:pPr>
            <w:r>
              <w:rPr>
                <w:rFonts w:ascii="Arial" w:cs="Arial" w:eastAsia="Arial" w:hAnsi="Arial"/>
                <w:sz w:val="10"/>
                <w:szCs w:val="10"/>
                <w:color w:val="auto"/>
              </w:rPr>
              <w:t>investments</w:t>
            </w:r>
          </w:p>
        </w:tc>
        <w:tc>
          <w:tcPr>
            <w:tcW w:w="18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900" w:type="dxa"/>
            <w:vAlign w:val="bottom"/>
            <w:tcBorders>
              <w:bottom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60" w:right="120" w:hanging="323"/>
        <w:spacing w:after="0" w:line="267" w:lineRule="auto"/>
        <w:tabs>
          <w:tab w:leader="none" w:pos="277"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discount rate is the significant unobservable input used in the fair-value measurement of performing credit-oriented investments in which the consolidated funds do not have a controlling interest in the underlying issuer, as well as certain equity investments and real estate loan portfolios. An increase (decrease) in the discount rate would result in a lower (higher) fair-value measurement.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1" w:name="page42"/>
    <w:bookmarkEnd w:id="41"/>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02" w:lineRule="exact"/>
        <w:rPr>
          <w:sz w:val="20"/>
          <w:szCs w:val="20"/>
          <w:color w:val="auto"/>
        </w:rPr>
      </w:pPr>
    </w:p>
    <w:p>
      <w:pPr>
        <w:ind w:left="360" w:right="160" w:hanging="323"/>
        <w:spacing w:after="0" w:line="276" w:lineRule="auto"/>
        <w:tabs>
          <w:tab w:leader="none" w:pos="277" w:val="left"/>
        </w:tabs>
        <w:numPr>
          <w:ilvl w:val="0"/>
          <w:numId w:val="11"/>
        </w:numPr>
        <w:rPr>
          <w:rFonts w:ascii="Arial" w:cs="Arial" w:eastAsia="Arial" w:hAnsi="Arial"/>
          <w:sz w:val="10"/>
          <w:szCs w:val="10"/>
          <w:color w:val="auto"/>
        </w:rPr>
      </w:pPr>
      <w:r>
        <w:rPr>
          <w:rFonts w:ascii="Arial" w:cs="Arial" w:eastAsia="Arial" w:hAnsi="Arial"/>
          <w:sz w:val="10"/>
          <w:szCs w:val="10"/>
          <w:color w:val="auto"/>
        </w:rPr>
        <w:t>Multiple of either earnings or underlying assets is the significant unobservable input used in the market approach for the fair-value measurement of distressed credit-oriented investments, credit-oriented investments in which the consolidated funds have a controlling interest in the underlying issuer, equity investments and certain real estate-oriented investments. An increase (decrease) in the multiple would result in a higher (lower) fair-value measurement.</w:t>
      </w:r>
    </w:p>
    <w:p>
      <w:pPr>
        <w:ind w:left="280" w:hanging="243"/>
        <w:spacing w:after="0"/>
        <w:tabs>
          <w:tab w:leader="none" w:pos="2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weighted average is based on the fair value of the investments included in the range.</w:t>
      </w:r>
    </w:p>
    <w:p>
      <w:pPr>
        <w:ind w:left="360" w:right="180" w:hanging="323"/>
        <w:spacing w:after="0" w:line="221" w:lineRule="auto"/>
        <w:tabs>
          <w:tab w:leader="none" w:pos="277" w:val="left"/>
        </w:tabs>
        <w:numPr>
          <w:ilvl w:val="0"/>
          <w:numId w:val="11"/>
        </w:numPr>
        <w:rPr>
          <w:rFonts w:ascii="Arial" w:cs="Arial" w:eastAsia="Arial" w:hAnsi="Arial"/>
          <w:sz w:val="11"/>
          <w:szCs w:val="11"/>
          <w:color w:val="auto"/>
        </w:rPr>
      </w:pPr>
      <w:r>
        <w:rPr>
          <w:rFonts w:ascii="Arial" w:cs="Arial" w:eastAsia="Arial" w:hAnsi="Arial"/>
          <w:sz w:val="11"/>
          <w:szCs w:val="11"/>
          <w:color w:val="auto"/>
        </w:rPr>
        <w:t>Certain investments are valued based on recent transactions, generally defined as investments purchased or sold within six months of the valuation date. The fair value may also be based on a pending transaction expected to close after the valuation date.</w:t>
      </w:r>
    </w:p>
    <w:p>
      <w:pPr>
        <w:ind w:left="360" w:right="60" w:hanging="323"/>
        <w:spacing w:after="0" w:line="241" w:lineRule="auto"/>
        <w:tabs>
          <w:tab w:leader="none" w:pos="277" w:val="left"/>
        </w:tabs>
        <w:numPr>
          <w:ilvl w:val="0"/>
          <w:numId w:val="11"/>
        </w:numPr>
        <w:rPr>
          <w:rFonts w:ascii="Arial" w:cs="Arial" w:eastAsia="Arial" w:hAnsi="Arial"/>
          <w:sz w:val="11"/>
          <w:szCs w:val="11"/>
          <w:color w:val="auto"/>
        </w:rPr>
      </w:pPr>
      <w:r>
        <w:rPr>
          <w:rFonts w:ascii="Arial" w:cs="Arial" w:eastAsia="Arial" w:hAnsi="Arial"/>
          <w:sz w:val="11"/>
          <w:szCs w:val="11"/>
          <w:color w:val="auto"/>
        </w:rPr>
        <w:t>Certain investments are valued using vendor prices or broker quotes for the subject or similar securities. Generally, investments valued in this manner are classified as Level III because the quoted prices may be indicative in nature for securities that are in an inactive market, may be for similar securities, or may require adjustment for investment-specific factors or restrictions.</w:t>
      </w:r>
    </w:p>
    <w:p>
      <w:pPr>
        <w:ind w:left="360" w:right="260" w:hanging="323"/>
        <w:spacing w:after="0" w:line="231" w:lineRule="auto"/>
        <w:tabs>
          <w:tab w:leader="none" w:pos="277" w:val="left"/>
        </w:tabs>
        <w:numPr>
          <w:ilvl w:val="0"/>
          <w:numId w:val="11"/>
        </w:numPr>
        <w:rPr>
          <w:rFonts w:ascii="Arial" w:cs="Arial" w:eastAsia="Arial" w:hAnsi="Arial"/>
          <w:sz w:val="11"/>
          <w:szCs w:val="11"/>
          <w:color w:val="auto"/>
        </w:rPr>
      </w:pPr>
      <w:r>
        <w:rPr>
          <w:rFonts w:ascii="Arial" w:cs="Arial" w:eastAsia="Arial" w:hAnsi="Arial"/>
          <w:sz w:val="11"/>
          <w:szCs w:val="11"/>
          <w:color w:val="auto"/>
        </w:rPr>
        <w:t>A discounted cash-flow method is generally used to value performing credit-oriented investments in which the consolidated funds do not have a controlling interest in the underlying issuer, as well as certain equity investments, real estate-oriented investments and real estate loan portfolios.</w:t>
      </w:r>
    </w:p>
    <w:p>
      <w:pPr>
        <w:ind w:left="280" w:hanging="243"/>
        <w:spacing w:after="0"/>
        <w:tabs>
          <w:tab w:leader="none" w:pos="2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A market approach is generally used to value distressed investments and investments in which the consolidated funds have a controlling interest in the underlying issuer</w:t>
      </w:r>
    </w:p>
    <w:p>
      <w:pPr>
        <w:ind w:left="360" w:right="260" w:hanging="323"/>
        <w:spacing w:after="0" w:line="241" w:lineRule="auto"/>
        <w:tabs>
          <w:tab w:leader="none" w:pos="289"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Revenue multiples are based on comparable public companies and transactions with comparable companies. The Company typically applies the multiple to trailing twelve-months’ revenue. However, in certain cases other revenue measures, such as pro forma revenue, may be utilized if deemed to be more relevant.</w:t>
      </w:r>
    </w:p>
    <w:p>
      <w:pPr>
        <w:ind w:left="360" w:right="160" w:hanging="323"/>
        <w:spacing w:after="0" w:line="241" w:lineRule="auto"/>
        <w:tabs>
          <w:tab w:leader="none" w:pos="283" w:val="left"/>
        </w:tabs>
        <w:numPr>
          <w:ilvl w:val="0"/>
          <w:numId w:val="11"/>
        </w:numPr>
        <w:rPr>
          <w:rFonts w:ascii="Arial" w:cs="Arial" w:eastAsia="Arial" w:hAnsi="Arial"/>
          <w:sz w:val="11"/>
          <w:szCs w:val="11"/>
          <w:color w:val="auto"/>
        </w:rPr>
      </w:pPr>
      <w:r>
        <w:rPr>
          <w:rFonts w:ascii="Arial" w:cs="Arial" w:eastAsia="Arial" w:hAnsi="Arial"/>
          <w:sz w:val="11"/>
          <w:szCs w:val="11"/>
          <w:color w:val="auto"/>
        </w:rPr>
        <w:t>A market approach using the value of underlying assets utilizes a multiple, based on comparable companies, of underlying assets or the net book value of the portfolio company. The Company typically obtains the value of underlying assets from the underlying portfolio company’s financial statements or from pricing vendors. The Company may value the underlying assets by using prices and other relevant information from market transactions involving comparable assets.</w:t>
      </w:r>
    </w:p>
    <w:p>
      <w:pPr>
        <w:ind w:left="360" w:right="80" w:hanging="323"/>
        <w:spacing w:after="0" w:line="244" w:lineRule="auto"/>
        <w:tabs>
          <w:tab w:leader="none" w:pos="348" w:val="left"/>
        </w:tabs>
        <w:numPr>
          <w:ilvl w:val="0"/>
          <w:numId w:val="11"/>
        </w:numPr>
        <w:rPr>
          <w:rFonts w:ascii="Arial" w:cs="Arial" w:eastAsia="Arial" w:hAnsi="Arial"/>
          <w:sz w:val="11"/>
          <w:szCs w:val="11"/>
          <w:color w:val="auto"/>
        </w:rPr>
      </w:pPr>
      <w:r>
        <w:rPr>
          <w:rFonts w:ascii="Arial" w:cs="Arial" w:eastAsia="Arial" w:hAnsi="Arial"/>
          <w:sz w:val="11"/>
          <w:szCs w:val="11"/>
          <w:color w:val="auto"/>
        </w:rPr>
        <w:t>Earnings multiples are based on comparable public companies and transactions with comparable companies. The Company typically utilizes multiples of EBITDA; however, in certain cases the Company may use other earnings multiples believed to be most relevant to the investment. The Company typically applies the multiple to trailing twelve-months’ EBITDA. However, in certain cases other earnings measures, such as pro forma EBITDA, may be utilized if deemed to be more relevant.</w:t>
      </w:r>
    </w:p>
    <w:p>
      <w:pPr>
        <w:spacing w:after="0" w:line="237" w:lineRule="exact"/>
        <w:rPr>
          <w:sz w:val="20"/>
          <w:szCs w:val="20"/>
          <w:color w:val="auto"/>
        </w:rPr>
      </w:pPr>
    </w:p>
    <w:p>
      <w:pPr>
        <w:ind w:right="120" w:firstLine="509"/>
        <w:spacing w:after="0" w:line="265" w:lineRule="auto"/>
        <w:rPr>
          <w:sz w:val="20"/>
          <w:szCs w:val="20"/>
          <w:color w:val="auto"/>
        </w:rPr>
      </w:pPr>
      <w:r>
        <w:rPr>
          <w:rFonts w:ascii="Arial" w:cs="Arial" w:eastAsia="Arial" w:hAnsi="Arial"/>
          <w:sz w:val="14"/>
          <w:szCs w:val="14"/>
          <w:color w:val="auto"/>
        </w:rPr>
        <w:t>A significant amount of judgment may be required when using unobservable inputs, including assessing the accuracy of source data and the results of pricing models. The Company assesses the accuracy and reliability of the sources it uses to develop unobservable inputs. These sources may include third-party vendors that the Company believes are reliable and commonly utilized by other marketplace participants. As described in note 2, other factors beyond the unobservable inputs described above may have a significant impact on investment valuations.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were no changes in the valuation techniques for Level III securities for the three and six months ended June 30, 2022. During the three and six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June 30, 2021, the valuation technique for one Level III credit-oriented investment changed from recent transaction price to discounted cash flow and another from discounted cash</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flow to recent market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DERIVATIVES AND HEDGING</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fair value of freestanding derivatives consisted of the following:</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0"/>
                <w:szCs w:val="10"/>
                <w:b w:val="1"/>
                <w:bCs w:val="1"/>
                <w:color w:val="auto"/>
              </w:rPr>
              <w:t>Assets</w:t>
            </w:r>
          </w:p>
        </w:tc>
        <w:tc>
          <w:tcPr>
            <w:tcW w:w="10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0"/>
                <w:szCs w:val="10"/>
                <w:b w:val="1"/>
                <w:bCs w:val="1"/>
                <w:color w:val="auto"/>
              </w:rPr>
              <w:t>Liabilities</w:t>
            </w:r>
          </w:p>
        </w:tc>
        <w:tc>
          <w:tcPr>
            <w:tcW w:w="1040" w:type="dxa"/>
            <w:vAlign w:val="bottom"/>
            <w:tcBorders>
              <w:bottom w:val="single" w:sz="8" w:color="auto"/>
            </w:tcBorders>
          </w:tcPr>
          <w:p>
            <w:pPr>
              <w:spacing w:after="0"/>
              <w:rPr>
                <w:sz w:val="12"/>
                <w:szCs w:val="12"/>
                <w:color w:val="auto"/>
              </w:rPr>
            </w:pPr>
          </w:p>
        </w:tc>
      </w:tr>
      <w:tr>
        <w:trPr>
          <w:trHeight w:val="129"/>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180"/>
              <w:spacing w:after="0"/>
              <w:rPr>
                <w:sz w:val="20"/>
                <w:szCs w:val="20"/>
                <w:color w:val="auto"/>
              </w:rPr>
            </w:pPr>
            <w:r>
              <w:rPr>
                <w:rFonts w:ascii="Arial" w:cs="Arial" w:eastAsia="Arial" w:hAnsi="Arial"/>
                <w:sz w:val="10"/>
                <w:szCs w:val="10"/>
                <w:b w:val="1"/>
                <w:bCs w:val="1"/>
                <w:color w:val="auto"/>
              </w:rPr>
              <w:t>Notional</w:t>
            </w:r>
          </w:p>
        </w:tc>
        <w:tc>
          <w:tcPr>
            <w:tcW w:w="240" w:type="dxa"/>
            <w:vAlign w:val="bottom"/>
          </w:tcPr>
          <w:p>
            <w:pPr>
              <w:spacing w:after="0"/>
              <w:rPr>
                <w:sz w:val="11"/>
                <w:szCs w:val="11"/>
                <w:color w:val="auto"/>
              </w:rPr>
            </w:pPr>
          </w:p>
        </w:tc>
        <w:tc>
          <w:tcPr>
            <w:tcW w:w="1060" w:type="dxa"/>
            <w:vAlign w:val="bottom"/>
          </w:tcPr>
          <w:p>
            <w:pPr>
              <w:jc w:val="right"/>
              <w:ind w:right="361"/>
              <w:spacing w:after="0"/>
              <w:rPr>
                <w:sz w:val="20"/>
                <w:szCs w:val="20"/>
                <w:color w:val="auto"/>
              </w:rPr>
            </w:pPr>
            <w:r>
              <w:rPr>
                <w:rFonts w:ascii="Arial" w:cs="Arial" w:eastAsia="Arial" w:hAnsi="Arial"/>
                <w:sz w:val="10"/>
                <w:szCs w:val="10"/>
                <w:b w:val="1"/>
                <w:bCs w:val="1"/>
                <w:color w:val="auto"/>
              </w:rPr>
              <w:t>Fair Value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180"/>
              <w:spacing w:after="0"/>
              <w:rPr>
                <w:sz w:val="20"/>
                <w:szCs w:val="20"/>
                <w:color w:val="auto"/>
              </w:rPr>
            </w:pPr>
            <w:r>
              <w:rPr>
                <w:rFonts w:ascii="Arial" w:cs="Arial" w:eastAsia="Arial" w:hAnsi="Arial"/>
                <w:sz w:val="10"/>
                <w:szCs w:val="10"/>
                <w:b w:val="1"/>
                <w:bCs w:val="1"/>
                <w:color w:val="auto"/>
              </w:rPr>
              <w:t>Notional</w:t>
            </w:r>
          </w:p>
        </w:tc>
        <w:tc>
          <w:tcPr>
            <w:tcW w:w="280" w:type="dxa"/>
            <w:vAlign w:val="bottom"/>
          </w:tcPr>
          <w:p>
            <w:pPr>
              <w:spacing w:after="0"/>
              <w:rPr>
                <w:sz w:val="11"/>
                <w:szCs w:val="11"/>
                <w:color w:val="auto"/>
              </w:rPr>
            </w:pPr>
          </w:p>
        </w:tc>
        <w:tc>
          <w:tcPr>
            <w:tcW w:w="1040" w:type="dxa"/>
            <w:vAlign w:val="bottom"/>
          </w:tcPr>
          <w:p>
            <w:pPr>
              <w:jc w:val="right"/>
              <w:ind w:right="361"/>
              <w:spacing w:after="0"/>
              <w:rPr>
                <w:sz w:val="20"/>
                <w:szCs w:val="20"/>
                <w:color w:val="auto"/>
              </w:rPr>
            </w:pPr>
            <w:r>
              <w:rPr>
                <w:rFonts w:ascii="Arial" w:cs="Arial" w:eastAsia="Arial" w:hAnsi="Arial"/>
                <w:sz w:val="10"/>
                <w:szCs w:val="10"/>
                <w:b w:val="1"/>
                <w:bCs w:val="1"/>
                <w:color w:val="auto"/>
              </w:rPr>
              <w:t>Fair Value</w:t>
            </w:r>
          </w:p>
        </w:tc>
      </w:tr>
      <w:tr>
        <w:trPr>
          <w:trHeight w:val="110"/>
        </w:trPr>
        <w:tc>
          <w:tcPr>
            <w:tcW w:w="5420" w:type="dxa"/>
            <w:vAlign w:val="bottom"/>
            <w:gridSpan w:val="3"/>
          </w:tcPr>
          <w:p>
            <w:pPr>
              <w:spacing w:after="0" w:line="110" w:lineRule="exact"/>
              <w:rPr>
                <w:sz w:val="20"/>
                <w:szCs w:val="20"/>
                <w:color w:val="auto"/>
              </w:rPr>
            </w:pPr>
            <w:r>
              <w:rPr>
                <w:rFonts w:ascii="Arial" w:cs="Arial" w:eastAsia="Arial" w:hAnsi="Arial"/>
                <w:sz w:val="11"/>
                <w:szCs w:val="11"/>
                <w:b w:val="1"/>
                <w:bCs w:val="1"/>
                <w:color w:val="auto"/>
              </w:rPr>
              <w:t>As of June 30, 2022</w:t>
            </w:r>
          </w:p>
        </w:tc>
        <w:tc>
          <w:tcPr>
            <w:tcW w:w="2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9"/>
        </w:trPr>
        <w:tc>
          <w:tcPr>
            <w:tcW w:w="5420" w:type="dxa"/>
            <w:vAlign w:val="bottom"/>
            <w:gridSpan w:val="3"/>
          </w:tcPr>
          <w:p>
            <w:pPr>
              <w:spacing w:after="0"/>
              <w:rPr>
                <w:sz w:val="20"/>
                <w:szCs w:val="20"/>
                <w:color w:val="auto"/>
              </w:rPr>
            </w:pPr>
            <w:r>
              <w:rPr>
                <w:rFonts w:ascii="Arial" w:cs="Arial" w:eastAsia="Arial" w:hAnsi="Arial"/>
                <w:sz w:val="13"/>
                <w:szCs w:val="13"/>
                <w:color w:val="auto"/>
              </w:rPr>
              <w:t>Foreign-currency forward contracts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
              <w:spacing w:after="0"/>
              <w:rPr>
                <w:sz w:val="20"/>
                <w:szCs w:val="20"/>
                <w:color w:val="auto"/>
              </w:rPr>
            </w:pPr>
            <w:r>
              <w:rPr>
                <w:rFonts w:ascii="Arial" w:cs="Arial" w:eastAsia="Arial" w:hAnsi="Arial"/>
                <w:sz w:val="13"/>
                <w:szCs w:val="13"/>
                <w:color w:val="auto"/>
              </w:rPr>
              <w:t>290,072</w:t>
            </w:r>
          </w:p>
        </w:tc>
        <w:tc>
          <w:tcPr>
            <w:tcW w:w="20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12,257</w:t>
            </w:r>
          </w:p>
        </w:tc>
        <w:tc>
          <w:tcPr>
            <w:tcW w:w="20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(235,660)</w:t>
            </w:r>
          </w:p>
        </w:tc>
        <w:tc>
          <w:tcPr>
            <w:tcW w:w="180" w:type="dxa"/>
            <w:vAlign w:val="bottom"/>
          </w:tcPr>
          <w:p>
            <w:pPr>
              <w:spacing w:after="0"/>
              <w:rPr>
                <w:sz w:val="15"/>
                <w:szCs w:val="15"/>
                <w:color w:val="auto"/>
              </w:rPr>
            </w:pP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(5,327)</w:t>
            </w:r>
          </w:p>
        </w:tc>
      </w:tr>
      <w:tr>
        <w:trPr>
          <w:trHeight w:val="342"/>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As of December 31, 2021</w:t>
            </w: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5420" w:type="dxa"/>
            <w:vAlign w:val="bottom"/>
            <w:gridSpan w:val="3"/>
          </w:tcPr>
          <w:p>
            <w:pPr>
              <w:spacing w:after="0"/>
              <w:rPr>
                <w:sz w:val="20"/>
                <w:szCs w:val="20"/>
                <w:color w:val="auto"/>
              </w:rPr>
            </w:pPr>
            <w:r>
              <w:rPr>
                <w:rFonts w:ascii="Arial" w:cs="Arial" w:eastAsia="Arial" w:hAnsi="Arial"/>
                <w:sz w:val="13"/>
                <w:szCs w:val="13"/>
                <w:color w:val="auto"/>
              </w:rPr>
              <w:t>Foreign-currency forward contracts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
              <w:spacing w:after="0"/>
              <w:rPr>
                <w:sz w:val="20"/>
                <w:szCs w:val="20"/>
                <w:color w:val="auto"/>
              </w:rPr>
            </w:pPr>
            <w:r>
              <w:rPr>
                <w:rFonts w:ascii="Arial" w:cs="Arial" w:eastAsia="Arial" w:hAnsi="Arial"/>
                <w:sz w:val="13"/>
                <w:szCs w:val="13"/>
                <w:color w:val="auto"/>
              </w:rPr>
              <w:t>324,322</w:t>
            </w:r>
          </w:p>
        </w:tc>
        <w:tc>
          <w:tcPr>
            <w:tcW w:w="20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11,213</w:t>
            </w:r>
          </w:p>
        </w:tc>
        <w:tc>
          <w:tcPr>
            <w:tcW w:w="20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(24,735)</w:t>
            </w:r>
          </w:p>
        </w:tc>
        <w:tc>
          <w:tcPr>
            <w:tcW w:w="180" w:type="dxa"/>
            <w:vAlign w:val="bottom"/>
          </w:tcPr>
          <w:p>
            <w:pPr>
              <w:spacing w:after="0"/>
              <w:rPr>
                <w:sz w:val="15"/>
                <w:szCs w:val="15"/>
                <w:color w:val="auto"/>
              </w:rPr>
            </w:pP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(536)</w:t>
            </w:r>
          </w:p>
        </w:tc>
      </w:tr>
    </w:tbl>
    <w:p>
      <w:pPr>
        <w:spacing w:after="0" w:line="26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Realized and unrealized gains and losses arising from freestanding derivatives were recorded in the condensed consolidated statements of operations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5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gridSpan w:val="5"/>
          </w:tcPr>
          <w:p>
            <w:pPr>
              <w:ind w:left="400"/>
              <w:spacing w:after="0"/>
              <w:rPr>
                <w:sz w:val="20"/>
                <w:szCs w:val="20"/>
                <w:color w:val="auto"/>
              </w:rPr>
            </w:pPr>
            <w:r>
              <w:rPr>
                <w:rFonts w:ascii="Arial" w:cs="Arial" w:eastAsia="Arial" w:hAnsi="Arial"/>
                <w:sz w:val="10"/>
                <w:szCs w:val="10"/>
                <w:b w:val="1"/>
                <w:bCs w:val="1"/>
                <w:color w:val="auto"/>
              </w:rPr>
              <w:t>Three months ended June 30,</w:t>
            </w:r>
          </w:p>
        </w:tc>
        <w:tc>
          <w:tcPr>
            <w:tcW w:w="320" w:type="dxa"/>
            <w:vAlign w:val="bottom"/>
          </w:tcPr>
          <w:p>
            <w:pPr>
              <w:spacing w:after="0"/>
              <w:rPr>
                <w:sz w:val="12"/>
                <w:szCs w:val="12"/>
                <w:color w:val="auto"/>
              </w:rPr>
            </w:pPr>
          </w:p>
        </w:tc>
        <w:tc>
          <w:tcPr>
            <w:tcW w:w="174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2022</w:t>
            </w: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0"/>
                <w:szCs w:val="10"/>
                <w:b w:val="1"/>
                <w:bCs w:val="1"/>
                <w:color w:val="auto"/>
                <w:w w:val="89"/>
              </w:rPr>
              <w:t>2021</w:t>
            </w:r>
          </w:p>
        </w:tc>
        <w:tc>
          <w:tcPr>
            <w:tcW w:w="0" w:type="dxa"/>
            <w:vAlign w:val="bottom"/>
          </w:tcPr>
          <w:p>
            <w:pPr>
              <w:spacing w:after="0"/>
              <w:rPr>
                <w:sz w:val="1"/>
                <w:szCs w:val="1"/>
                <w:color w:val="auto"/>
              </w:rPr>
            </w:pPr>
          </w:p>
        </w:tc>
      </w:tr>
      <w:tr>
        <w:trPr>
          <w:trHeight w:val="309"/>
        </w:trPr>
        <w:tc>
          <w:tcPr>
            <w:tcW w:w="5420" w:type="dxa"/>
            <w:vAlign w:val="bottom"/>
          </w:tcPr>
          <w:p>
            <w:pPr>
              <w:spacing w:after="0"/>
              <w:rPr>
                <w:sz w:val="20"/>
                <w:szCs w:val="20"/>
                <w:color w:val="auto"/>
              </w:rPr>
            </w:pPr>
            <w:r>
              <w:rPr>
                <w:rFonts w:ascii="Arial" w:cs="Arial" w:eastAsia="Arial" w:hAnsi="Arial"/>
                <w:sz w:val="13"/>
                <w:szCs w:val="13"/>
                <w:color w:val="auto"/>
              </w:rPr>
              <w:t>Investment income</w:t>
            </w:r>
          </w:p>
        </w:tc>
        <w:tc>
          <w:tcPr>
            <w:tcW w:w="320" w:type="dxa"/>
            <w:vAlign w:val="bottom"/>
            <w:vMerge w:val="restart"/>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2"/>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24"/>
                <w:szCs w:val="24"/>
                <w:color w:val="auto"/>
              </w:rPr>
            </w:pPr>
          </w:p>
        </w:tc>
        <w:tc>
          <w:tcPr>
            <w:tcW w:w="320" w:type="dxa"/>
            <w:vAlign w:val="bottom"/>
            <w:vMerge w:val="restart"/>
          </w:tcPr>
          <w:p>
            <w:pPr>
              <w:jc w:val="right"/>
              <w:ind w:right="176"/>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(976)</w:t>
            </w:r>
          </w:p>
        </w:tc>
        <w:tc>
          <w:tcPr>
            <w:tcW w:w="200" w:type="dxa"/>
            <w:vAlign w:val="bottom"/>
          </w:tcPr>
          <w:p>
            <w:pPr>
              <w:spacing w:after="0"/>
              <w:rPr>
                <w:sz w:val="24"/>
                <w:szCs w:val="24"/>
                <w:color w:val="auto"/>
              </w:rPr>
            </w:pPr>
          </w:p>
        </w:tc>
        <w:tc>
          <w:tcPr>
            <w:tcW w:w="320" w:type="dxa"/>
            <w:vAlign w:val="bottom"/>
            <w:vMerge w:val="restart"/>
          </w:tcPr>
          <w:p>
            <w:pPr>
              <w:jc w:val="right"/>
              <w:ind w:right="176"/>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ind w:right="2"/>
              <w:spacing w:after="0"/>
              <w:rPr>
                <w:sz w:val="20"/>
                <w:szCs w:val="20"/>
                <w:color w:val="auto"/>
              </w:rPr>
            </w:pPr>
            <w:r>
              <w:rPr>
                <w:rFonts w:ascii="Arial" w:cs="Arial" w:eastAsia="Arial" w:hAnsi="Arial"/>
                <w:sz w:val="13"/>
                <w:szCs w:val="13"/>
                <w:color w:val="auto"/>
              </w:rPr>
              <w:t>1,448</w:t>
            </w:r>
          </w:p>
        </w:tc>
        <w:tc>
          <w:tcPr>
            <w:tcW w:w="180" w:type="dxa"/>
            <w:vAlign w:val="bottom"/>
          </w:tcPr>
          <w:p>
            <w:pPr>
              <w:spacing w:after="0"/>
              <w:rPr>
                <w:sz w:val="24"/>
                <w:szCs w:val="24"/>
                <w:color w:val="auto"/>
              </w:rPr>
            </w:pPr>
          </w:p>
        </w:tc>
        <w:tc>
          <w:tcPr>
            <w:tcW w:w="560" w:type="dxa"/>
            <w:vAlign w:val="bottom"/>
            <w:vMerge w:val="restart"/>
          </w:tcPr>
          <w:p>
            <w:pPr>
              <w:jc w:val="right"/>
              <w:ind w:right="396"/>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7,939</w:t>
            </w:r>
          </w:p>
        </w:tc>
        <w:tc>
          <w:tcPr>
            <w:tcW w:w="0" w:type="dxa"/>
            <w:vAlign w:val="bottom"/>
          </w:tcPr>
          <w:p>
            <w:pPr>
              <w:spacing w:after="0"/>
              <w:rPr>
                <w:sz w:val="1"/>
                <w:szCs w:val="1"/>
                <w:color w:val="auto"/>
              </w:rPr>
            </w:pPr>
          </w:p>
        </w:tc>
      </w:tr>
      <w:tr>
        <w:trPr>
          <w:trHeight w:val="64"/>
        </w:trPr>
        <w:tc>
          <w:tcPr>
            <w:tcW w:w="54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5420" w:type="dxa"/>
            <w:vAlign w:val="bottom"/>
          </w:tcPr>
          <w:p>
            <w:pPr>
              <w:spacing w:after="0"/>
              <w:rPr>
                <w:sz w:val="20"/>
                <w:szCs w:val="20"/>
                <w:color w:val="auto"/>
              </w:rPr>
            </w:pPr>
            <w:r>
              <w:rPr>
                <w:rFonts w:ascii="Arial" w:cs="Arial" w:eastAsia="Arial" w:hAnsi="Arial"/>
                <w:sz w:val="13"/>
                <w:szCs w:val="13"/>
                <w:color w:val="auto"/>
              </w:rPr>
              <w:t xml:space="preserve">General and administrative expense </w:t>
            </w:r>
            <w:r>
              <w:rPr>
                <w:rFonts w:ascii="Arial" w:cs="Arial" w:eastAsia="Arial" w:hAnsi="Arial"/>
                <w:sz w:val="16"/>
                <w:szCs w:val="16"/>
                <w:color w:val="auto"/>
                <w:vertAlign w:val="superscript"/>
              </w:rPr>
              <w:t>(1)</w:t>
            </w:r>
          </w:p>
        </w:tc>
        <w:tc>
          <w:tcPr>
            <w:tcW w:w="320" w:type="dxa"/>
            <w:vAlign w:val="bottom"/>
          </w:tcPr>
          <w:p>
            <w:pPr>
              <w:spacing w:after="0"/>
              <w:rPr>
                <w:sz w:val="23"/>
                <w:szCs w:val="23"/>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3"/>
                <w:szCs w:val="13"/>
                <w:color w:val="auto"/>
              </w:rPr>
              <w:t>302</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3"/>
                <w:szCs w:val="13"/>
                <w:color w:val="auto"/>
              </w:rPr>
              <w:t>1,290</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3,618</w:t>
            </w:r>
          </w:p>
        </w:tc>
        <w:tc>
          <w:tcPr>
            <w:tcW w:w="0" w:type="dxa"/>
            <w:vAlign w:val="bottom"/>
          </w:tcPr>
          <w:p>
            <w:pPr>
              <w:spacing w:after="0"/>
              <w:rPr>
                <w:sz w:val="1"/>
                <w:szCs w:val="1"/>
                <w:color w:val="auto"/>
              </w:rPr>
            </w:pPr>
          </w:p>
        </w:tc>
      </w:tr>
      <w:tr>
        <w:trPr>
          <w:trHeight w:val="40"/>
        </w:trPr>
        <w:tc>
          <w:tcPr>
            <w:tcW w:w="54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420" w:type="dxa"/>
            <w:vAlign w:val="bottom"/>
          </w:tcPr>
          <w:p>
            <w:pPr>
              <w:ind w:left="260"/>
              <w:spacing w:after="0"/>
              <w:rPr>
                <w:sz w:val="20"/>
                <w:szCs w:val="20"/>
                <w:color w:val="auto"/>
              </w:rPr>
            </w:pPr>
            <w:r>
              <w:rPr>
                <w:rFonts w:ascii="Arial" w:cs="Arial" w:eastAsia="Arial" w:hAnsi="Arial"/>
                <w:sz w:val="13"/>
                <w:szCs w:val="13"/>
                <w:color w:val="auto"/>
              </w:rPr>
              <w:t>Total</w:t>
            </w:r>
          </w:p>
        </w:tc>
        <w:tc>
          <w:tcPr>
            <w:tcW w:w="320" w:type="dxa"/>
            <w:vAlign w:val="bottom"/>
            <w:vMerge w:val="restart"/>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2"/>
              <w:spacing w:after="0"/>
              <w:rPr>
                <w:sz w:val="20"/>
                <w:szCs w:val="20"/>
                <w:color w:val="auto"/>
              </w:rPr>
            </w:pPr>
            <w:r>
              <w:rPr>
                <w:rFonts w:ascii="Arial" w:cs="Arial" w:eastAsia="Arial" w:hAnsi="Arial"/>
                <w:sz w:val="13"/>
                <w:szCs w:val="13"/>
                <w:color w:val="auto"/>
              </w:rPr>
              <w:t>366</w:t>
            </w:r>
          </w:p>
        </w:tc>
        <w:tc>
          <w:tcPr>
            <w:tcW w:w="200" w:type="dxa"/>
            <w:vAlign w:val="bottom"/>
          </w:tcPr>
          <w:p>
            <w:pPr>
              <w:spacing w:after="0"/>
              <w:rPr>
                <w:sz w:val="19"/>
                <w:szCs w:val="19"/>
                <w:color w:val="auto"/>
              </w:rPr>
            </w:pPr>
          </w:p>
        </w:tc>
        <w:tc>
          <w:tcPr>
            <w:tcW w:w="320" w:type="dxa"/>
            <w:vAlign w:val="bottom"/>
            <w:vMerge w:val="restart"/>
          </w:tcPr>
          <w:p>
            <w:pPr>
              <w:jc w:val="right"/>
              <w:ind w:right="176"/>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(1,026)</w:t>
            </w:r>
          </w:p>
        </w:tc>
        <w:tc>
          <w:tcPr>
            <w:tcW w:w="200" w:type="dxa"/>
            <w:vAlign w:val="bottom"/>
          </w:tcPr>
          <w:p>
            <w:pPr>
              <w:spacing w:after="0"/>
              <w:rPr>
                <w:sz w:val="19"/>
                <w:szCs w:val="19"/>
                <w:color w:val="auto"/>
              </w:rPr>
            </w:pPr>
          </w:p>
        </w:tc>
        <w:tc>
          <w:tcPr>
            <w:tcW w:w="320" w:type="dxa"/>
            <w:vAlign w:val="bottom"/>
            <w:vMerge w:val="restart"/>
          </w:tcPr>
          <w:p>
            <w:pPr>
              <w:jc w:val="right"/>
              <w:ind w:right="176"/>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ind w:right="2"/>
              <w:spacing w:after="0"/>
              <w:rPr>
                <w:sz w:val="20"/>
                <w:szCs w:val="20"/>
                <w:color w:val="auto"/>
              </w:rPr>
            </w:pPr>
            <w:r>
              <w:rPr>
                <w:rFonts w:ascii="Arial" w:cs="Arial" w:eastAsia="Arial" w:hAnsi="Arial"/>
                <w:sz w:val="13"/>
                <w:szCs w:val="13"/>
                <w:color w:val="auto"/>
              </w:rPr>
              <w:t>2,738</w:t>
            </w:r>
          </w:p>
        </w:tc>
        <w:tc>
          <w:tcPr>
            <w:tcW w:w="180" w:type="dxa"/>
            <w:vAlign w:val="bottom"/>
          </w:tcPr>
          <w:p>
            <w:pPr>
              <w:spacing w:after="0"/>
              <w:rPr>
                <w:sz w:val="19"/>
                <w:szCs w:val="19"/>
                <w:color w:val="auto"/>
              </w:rPr>
            </w:pPr>
          </w:p>
        </w:tc>
        <w:tc>
          <w:tcPr>
            <w:tcW w:w="560" w:type="dxa"/>
            <w:vAlign w:val="bottom"/>
            <w:vMerge w:val="restart"/>
          </w:tcPr>
          <w:p>
            <w:pPr>
              <w:jc w:val="right"/>
              <w:ind w:right="396"/>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11,557</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3"/>
                <w:szCs w:val="3"/>
                <w:color w:val="auto"/>
              </w:rPr>
            </w:pPr>
          </w:p>
        </w:tc>
        <w:tc>
          <w:tcPr>
            <w:tcW w:w="320" w:type="dxa"/>
            <w:vAlign w:val="bottom"/>
            <w:tcBorders>
              <w:bottom w:val="single" w:sz="8" w:color="auto"/>
            </w:tcBorders>
            <w:vMerge w:val="continue"/>
          </w:tcPr>
          <w:p>
            <w:pPr>
              <w:spacing w:after="0"/>
              <w:rPr>
                <w:sz w:val="3"/>
                <w:szCs w:val="3"/>
                <w:color w:val="auto"/>
              </w:rPr>
            </w:pPr>
          </w:p>
        </w:tc>
        <w:tc>
          <w:tcPr>
            <w:tcW w:w="100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vMerge w:val="continue"/>
          </w:tcPr>
          <w:p>
            <w:pPr>
              <w:spacing w:after="0"/>
              <w:rPr>
                <w:sz w:val="3"/>
                <w:szCs w:val="3"/>
                <w:color w:val="auto"/>
              </w:rPr>
            </w:pPr>
          </w:p>
        </w:tc>
        <w:tc>
          <w:tcPr>
            <w:tcW w:w="98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vMerge w:val="continue"/>
          </w:tcPr>
          <w:p>
            <w:pPr>
              <w:spacing w:after="0"/>
              <w:rPr>
                <w:sz w:val="3"/>
                <w:szCs w:val="3"/>
                <w:color w:val="auto"/>
              </w:rPr>
            </w:pPr>
          </w:p>
        </w:tc>
        <w:tc>
          <w:tcPr>
            <w:tcW w:w="1000" w:type="dxa"/>
            <w:vAlign w:val="bottom"/>
            <w:tcBorders>
              <w:bottom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vMerge w:val="continue"/>
          </w:tcPr>
          <w:p>
            <w:pPr>
              <w:spacing w:after="0"/>
              <w:rPr>
                <w:sz w:val="3"/>
                <w:szCs w:val="3"/>
                <w:color w:val="auto"/>
              </w:rPr>
            </w:pPr>
          </w:p>
        </w:tc>
        <w:tc>
          <w:tcPr>
            <w:tcW w:w="7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02" w:lineRule="exact"/>
        <w:rPr>
          <w:sz w:val="20"/>
          <w:szCs w:val="20"/>
          <w:color w:val="auto"/>
        </w:rPr>
      </w:pPr>
    </w:p>
    <w:p>
      <w:pPr>
        <w:ind w:left="360" w:hanging="323"/>
        <w:spacing w:after="0" w:line="309" w:lineRule="auto"/>
        <w:tabs>
          <w:tab w:leader="none" w:pos="337" w:val="left"/>
        </w:tabs>
        <w:numPr>
          <w:ilvl w:val="0"/>
          <w:numId w:val="12"/>
        </w:numPr>
        <w:rPr>
          <w:rFonts w:ascii="Arial" w:cs="Arial" w:eastAsia="Arial" w:hAnsi="Arial"/>
          <w:sz w:val="12"/>
          <w:szCs w:val="12"/>
          <w:color w:val="auto"/>
        </w:rPr>
      </w:pPr>
      <w:r>
        <w:rPr>
          <w:rFonts w:ascii="Arial" w:cs="Arial" w:eastAsia="Arial" w:hAnsi="Arial"/>
          <w:sz w:val="12"/>
          <w:szCs w:val="12"/>
          <w:color w:val="auto"/>
        </w:rPr>
        <w:t>To the extent that the Company’s freestanding derivatives are utilized to hedge its foreign-currency exposure to investment income and management fees earned from consolidated funds, the related hedged items are eliminated in consolidation, with the derivative impact (a positive number reflects a reduction in expenses) reflected in consolidated general and administrative expense.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were no derivatives outstanding that were designated as hedging instruments for accounting purposes as of June 30, 2022 and December 31, 2021.</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Derivatives Held By Consolidated Funds</w:t>
      </w:r>
    </w:p>
    <w:p>
      <w:pPr>
        <w:spacing w:after="0" w:line="136" w:lineRule="exact"/>
        <w:rPr>
          <w:sz w:val="20"/>
          <w:szCs w:val="20"/>
          <w:color w:val="auto"/>
        </w:rPr>
      </w:pPr>
    </w:p>
    <w:p>
      <w:pPr>
        <w:jc w:val="both"/>
        <w:ind w:right="100" w:firstLine="509"/>
        <w:spacing w:after="0" w:line="265" w:lineRule="auto"/>
        <w:rPr>
          <w:sz w:val="20"/>
          <w:szCs w:val="20"/>
          <w:color w:val="auto"/>
        </w:rPr>
      </w:pPr>
      <w:r>
        <w:rPr>
          <w:rFonts w:ascii="Arial" w:cs="Arial" w:eastAsia="Arial" w:hAnsi="Arial"/>
          <w:sz w:val="14"/>
          <w:szCs w:val="14"/>
          <w:color w:val="auto"/>
        </w:rPr>
        <w:t>Certain consolidated funds utilize derivatives in their ongoing investment operations. These derivatives primarily consist of foreign-currency forward contracts and options utilized to manage currency risk, interest-rate swaps to hedge interest-rate risk, options and futures used to hedge certain exposures for specific securities, and total-return swaps utilized mainly to obtain exposure to leveraged loans or to participate in foreign markets not readily accessible. The primary risk exposure for options and futures is price, while the primary risk exposure for total-return swaps is credit. None of the derivative instruments are accounted for as a hedging instrument utilizing hedge accounting.</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fair value of derivatives held by the consolidated funds consisted of the following:</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0"/>
                <w:szCs w:val="10"/>
                <w:b w:val="1"/>
                <w:bCs w:val="1"/>
                <w:color w:val="auto"/>
              </w:rPr>
              <w:t>Assets</w:t>
            </w:r>
          </w:p>
        </w:tc>
        <w:tc>
          <w:tcPr>
            <w:tcW w:w="10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ind w:left="860"/>
              <w:spacing w:after="0"/>
              <w:rPr>
                <w:sz w:val="20"/>
                <w:szCs w:val="20"/>
                <w:color w:val="auto"/>
              </w:rPr>
            </w:pPr>
            <w:r>
              <w:rPr>
                <w:rFonts w:ascii="Arial" w:cs="Arial" w:eastAsia="Arial" w:hAnsi="Arial"/>
                <w:sz w:val="10"/>
                <w:szCs w:val="10"/>
                <w:b w:val="1"/>
                <w:bCs w:val="1"/>
                <w:color w:val="auto"/>
              </w:rPr>
              <w:t>Liabilities</w:t>
            </w: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ind w:left="180"/>
              <w:spacing w:after="0"/>
              <w:rPr>
                <w:sz w:val="20"/>
                <w:szCs w:val="20"/>
                <w:color w:val="auto"/>
              </w:rPr>
            </w:pPr>
            <w:r>
              <w:rPr>
                <w:rFonts w:ascii="Arial" w:cs="Arial" w:eastAsia="Arial" w:hAnsi="Arial"/>
                <w:sz w:val="10"/>
                <w:szCs w:val="10"/>
                <w:b w:val="1"/>
                <w:bCs w:val="1"/>
                <w:color w:val="auto"/>
              </w:rPr>
              <w:t>Notional</w:t>
            </w:r>
          </w:p>
        </w:tc>
        <w:tc>
          <w:tcPr>
            <w:tcW w:w="260" w:type="dxa"/>
            <w:vAlign w:val="bottom"/>
          </w:tcPr>
          <w:p>
            <w:pPr>
              <w:spacing w:after="0"/>
              <w:rPr>
                <w:sz w:val="11"/>
                <w:szCs w:val="11"/>
                <w:color w:val="auto"/>
              </w:rPr>
            </w:pPr>
          </w:p>
        </w:tc>
        <w:tc>
          <w:tcPr>
            <w:tcW w:w="1060" w:type="dxa"/>
            <w:vAlign w:val="bottom"/>
          </w:tcPr>
          <w:p>
            <w:pPr>
              <w:jc w:val="right"/>
              <w:ind w:right="358"/>
              <w:spacing w:after="0"/>
              <w:rPr>
                <w:sz w:val="20"/>
                <w:szCs w:val="20"/>
                <w:color w:val="auto"/>
              </w:rPr>
            </w:pPr>
            <w:r>
              <w:rPr>
                <w:rFonts w:ascii="Arial" w:cs="Arial" w:eastAsia="Arial" w:hAnsi="Arial"/>
                <w:sz w:val="10"/>
                <w:szCs w:val="10"/>
                <w:b w:val="1"/>
                <w:bCs w:val="1"/>
                <w:color w:val="auto"/>
              </w:rPr>
              <w:t>Fair Value</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ind w:left="180"/>
              <w:spacing w:after="0"/>
              <w:rPr>
                <w:sz w:val="20"/>
                <w:szCs w:val="20"/>
                <w:color w:val="auto"/>
              </w:rPr>
            </w:pPr>
            <w:r>
              <w:rPr>
                <w:rFonts w:ascii="Arial" w:cs="Arial" w:eastAsia="Arial" w:hAnsi="Arial"/>
                <w:sz w:val="10"/>
                <w:szCs w:val="10"/>
                <w:b w:val="1"/>
                <w:bCs w:val="1"/>
                <w:color w:val="auto"/>
              </w:rPr>
              <w:t>Notional</w:t>
            </w:r>
          </w:p>
        </w:tc>
        <w:tc>
          <w:tcPr>
            <w:tcW w:w="300" w:type="dxa"/>
            <w:vAlign w:val="bottom"/>
          </w:tcPr>
          <w:p>
            <w:pPr>
              <w:spacing w:after="0"/>
              <w:rPr>
                <w:sz w:val="11"/>
                <w:szCs w:val="11"/>
                <w:color w:val="auto"/>
              </w:rPr>
            </w:pPr>
          </w:p>
        </w:tc>
        <w:tc>
          <w:tcPr>
            <w:tcW w:w="1020" w:type="dxa"/>
            <w:vAlign w:val="bottom"/>
          </w:tcPr>
          <w:p>
            <w:pPr>
              <w:jc w:val="right"/>
              <w:ind w:right="358"/>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10"/>
        </w:trPr>
        <w:tc>
          <w:tcPr>
            <w:tcW w:w="5420" w:type="dxa"/>
            <w:vAlign w:val="bottom"/>
            <w:gridSpan w:val="3"/>
          </w:tcPr>
          <w:p>
            <w:pPr>
              <w:spacing w:after="0" w:line="110" w:lineRule="exact"/>
              <w:rPr>
                <w:sz w:val="20"/>
                <w:szCs w:val="20"/>
                <w:color w:val="auto"/>
              </w:rPr>
            </w:pPr>
            <w:r>
              <w:rPr>
                <w:rFonts w:ascii="Arial" w:cs="Arial" w:eastAsia="Arial" w:hAnsi="Arial"/>
                <w:sz w:val="11"/>
                <w:szCs w:val="11"/>
                <w:b w:val="1"/>
                <w:bCs w:val="1"/>
                <w:color w:val="auto"/>
              </w:rPr>
              <w:t>As of June 30, 2022</w:t>
            </w:r>
          </w:p>
        </w:tc>
        <w:tc>
          <w:tcPr>
            <w:tcW w:w="2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420" w:type="dxa"/>
            <w:vAlign w:val="bottom"/>
            <w:gridSpan w:val="3"/>
          </w:tcPr>
          <w:p>
            <w:pPr>
              <w:spacing w:after="0"/>
              <w:rPr>
                <w:sz w:val="20"/>
                <w:szCs w:val="20"/>
                <w:color w:val="auto"/>
              </w:rPr>
            </w:pPr>
            <w:r>
              <w:rPr>
                <w:rFonts w:ascii="Arial" w:cs="Arial" w:eastAsia="Arial" w:hAnsi="Arial"/>
                <w:sz w:val="13"/>
                <w:szCs w:val="13"/>
                <w:color w:val="auto"/>
              </w:rPr>
              <w:t>Foreign-currency forward contracts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447,396</w:t>
            </w:r>
          </w:p>
        </w:tc>
        <w:tc>
          <w:tcPr>
            <w:tcW w:w="100" w:type="dxa"/>
            <w:vAlign w:val="bottom"/>
          </w:tcPr>
          <w:p>
            <w:pPr>
              <w:spacing w:after="0"/>
              <w:rPr>
                <w:sz w:val="15"/>
                <w:szCs w:val="15"/>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18,768</w:t>
            </w:r>
          </w:p>
        </w:tc>
        <w:tc>
          <w:tcPr>
            <w:tcW w:w="80" w:type="dxa"/>
            <w:vAlign w:val="bottom"/>
          </w:tcPr>
          <w:p>
            <w:pPr>
              <w:spacing w:after="0"/>
              <w:rPr>
                <w:sz w:val="15"/>
                <w:szCs w:val="15"/>
                <w:color w:val="auto"/>
              </w:rPr>
            </w:pP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(20,161)</w:t>
            </w:r>
          </w:p>
        </w:tc>
        <w:tc>
          <w:tcPr>
            <w:tcW w:w="10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(1,203)</w:t>
            </w:r>
          </w:p>
        </w:tc>
        <w:tc>
          <w:tcPr>
            <w:tcW w:w="0" w:type="dxa"/>
            <w:vAlign w:val="bottom"/>
          </w:tcPr>
          <w:p>
            <w:pPr>
              <w:spacing w:after="0"/>
              <w:rPr>
                <w:sz w:val="1"/>
                <w:szCs w:val="1"/>
                <w:color w:val="auto"/>
              </w:rPr>
            </w:pPr>
          </w:p>
        </w:tc>
      </w:tr>
      <w:tr>
        <w:trPr>
          <w:trHeight w:val="170"/>
        </w:trPr>
        <w:tc>
          <w:tcPr>
            <w:tcW w:w="5420" w:type="dxa"/>
            <w:vAlign w:val="bottom"/>
            <w:gridSpan w:val="3"/>
          </w:tcPr>
          <w:p>
            <w:pPr>
              <w:spacing w:after="0"/>
              <w:rPr>
                <w:sz w:val="20"/>
                <w:szCs w:val="20"/>
                <w:color w:val="auto"/>
              </w:rPr>
            </w:pPr>
            <w:r>
              <w:rPr>
                <w:rFonts w:ascii="Arial" w:cs="Arial" w:eastAsia="Arial" w:hAnsi="Arial"/>
                <w:sz w:val="13"/>
                <w:szCs w:val="13"/>
                <w:color w:val="auto"/>
              </w:rPr>
              <w:t>Total-return and interest-rate and credit default swaps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(160,147)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(36,004)</w:t>
            </w:r>
          </w:p>
        </w:tc>
        <w:tc>
          <w:tcPr>
            <w:tcW w:w="0" w:type="dxa"/>
            <w:vAlign w:val="bottom"/>
          </w:tcPr>
          <w:p>
            <w:pPr>
              <w:spacing w:after="0"/>
              <w:rPr>
                <w:sz w:val="1"/>
                <w:szCs w:val="1"/>
                <w:color w:val="auto"/>
              </w:rPr>
            </w:pPr>
          </w:p>
        </w:tc>
      </w:tr>
      <w:tr>
        <w:trPr>
          <w:trHeight w:val="170"/>
        </w:trPr>
        <w:tc>
          <w:tcPr>
            <w:tcW w:w="5420" w:type="dxa"/>
            <w:vAlign w:val="bottom"/>
            <w:gridSpan w:val="3"/>
          </w:tcPr>
          <w:p>
            <w:pPr>
              <w:spacing w:after="0"/>
              <w:rPr>
                <w:sz w:val="20"/>
                <w:szCs w:val="20"/>
                <w:color w:val="auto"/>
              </w:rPr>
            </w:pPr>
            <w:r>
              <w:rPr>
                <w:rFonts w:ascii="Arial" w:cs="Arial" w:eastAsia="Arial" w:hAnsi="Arial"/>
                <w:sz w:val="13"/>
                <w:szCs w:val="13"/>
                <w:color w:val="auto"/>
              </w:rPr>
              <w:t>Options and futures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21,501</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(809,371)</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213"/>
        </w:trPr>
        <w:tc>
          <w:tcPr>
            <w:tcW w:w="5420" w:type="dxa"/>
            <w:vAlign w:val="bottom"/>
            <w:gridSpan w:val="3"/>
          </w:tcPr>
          <w:p>
            <w:pPr>
              <w:ind w:left="260"/>
              <w:spacing w:after="0"/>
              <w:rPr>
                <w:sz w:val="20"/>
                <w:szCs w:val="20"/>
                <w:color w:val="auto"/>
              </w:rPr>
            </w:pPr>
            <w:r>
              <w:rPr>
                <w:rFonts w:ascii="Arial" w:cs="Arial" w:eastAsia="Arial" w:hAnsi="Arial"/>
                <w:sz w:val="13"/>
                <w:szCs w:val="13"/>
                <w:color w:val="auto"/>
              </w:rPr>
              <w:t>Total</w:t>
            </w:r>
          </w:p>
        </w:tc>
        <w:tc>
          <w:tcPr>
            <w:tcW w:w="280" w:type="dxa"/>
            <w:vAlign w:val="bottom"/>
            <w:vMerge w:val="restart"/>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470,927</w:t>
            </w:r>
          </w:p>
        </w:tc>
        <w:tc>
          <w:tcPr>
            <w:tcW w:w="100" w:type="dxa"/>
            <w:vAlign w:val="bottom"/>
          </w:tcPr>
          <w:p>
            <w:pPr>
              <w:spacing w:after="0"/>
              <w:rPr>
                <w:sz w:val="18"/>
                <w:szCs w:val="18"/>
                <w:color w:val="auto"/>
              </w:rPr>
            </w:pPr>
          </w:p>
        </w:tc>
        <w:tc>
          <w:tcPr>
            <w:tcW w:w="260" w:type="dxa"/>
            <w:vAlign w:val="bottom"/>
            <w:vMerge w:val="restart"/>
          </w:tcPr>
          <w:p>
            <w:pPr>
              <w:jc w:val="right"/>
              <w:ind w:right="116"/>
              <w:spacing w:after="0"/>
              <w:rPr>
                <w:sz w:val="20"/>
                <w:szCs w:val="20"/>
                <w:color w:val="auto"/>
              </w:rPr>
            </w:pPr>
            <w:r>
              <w:rPr>
                <w:rFonts w:ascii="Arial" w:cs="Arial" w:eastAsia="Arial" w:hAnsi="Arial"/>
                <w:sz w:val="13"/>
                <w:szCs w:val="13"/>
                <w:color w:val="auto"/>
                <w:w w:val="82"/>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19,511</w:t>
            </w:r>
          </w:p>
        </w:tc>
        <w:tc>
          <w:tcPr>
            <w:tcW w:w="80" w:type="dxa"/>
            <w:vAlign w:val="bottom"/>
          </w:tcPr>
          <w:p>
            <w:pPr>
              <w:spacing w:after="0"/>
              <w:rPr>
                <w:sz w:val="18"/>
                <w:szCs w:val="18"/>
                <w:color w:val="auto"/>
              </w:rPr>
            </w:pPr>
          </w:p>
        </w:tc>
        <w:tc>
          <w:tcPr>
            <w:tcW w:w="280" w:type="dxa"/>
            <w:vAlign w:val="bottom"/>
            <w:vMerge w:val="restart"/>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(989,679)</w:t>
            </w:r>
          </w:p>
        </w:tc>
        <w:tc>
          <w:tcPr>
            <w:tcW w:w="100" w:type="dxa"/>
            <w:vAlign w:val="bottom"/>
          </w:tcPr>
          <w:p>
            <w:pPr>
              <w:spacing w:after="0"/>
              <w:rPr>
                <w:sz w:val="18"/>
                <w:szCs w:val="18"/>
                <w:color w:val="auto"/>
              </w:rPr>
            </w:pPr>
          </w:p>
        </w:tc>
        <w:tc>
          <w:tcPr>
            <w:tcW w:w="300" w:type="dxa"/>
            <w:vAlign w:val="bottom"/>
            <w:vMerge w:val="restart"/>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(37,441)</w:t>
            </w:r>
          </w:p>
        </w:tc>
        <w:tc>
          <w:tcPr>
            <w:tcW w:w="0" w:type="dxa"/>
            <w:vAlign w:val="bottom"/>
          </w:tcPr>
          <w:p>
            <w:pPr>
              <w:spacing w:after="0"/>
              <w:rPr>
                <w:sz w:val="1"/>
                <w:szCs w:val="1"/>
                <w:color w:val="auto"/>
              </w:rPr>
            </w:pPr>
          </w:p>
        </w:tc>
      </w:tr>
      <w:tr>
        <w:trPr>
          <w:trHeight w:val="58"/>
        </w:trPr>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As of December 31, 2021</w:t>
            </w:r>
          </w:p>
        </w:tc>
        <w:tc>
          <w:tcPr>
            <w:tcW w:w="40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340" w:type="dxa"/>
            <w:vAlign w:val="bottom"/>
            <w:tcBorders>
              <w:bottom w:val="single" w:sz="8" w:color="auto"/>
            </w:tcBorders>
            <w:gridSpan w:val="2"/>
            <w:vMerge w:val="continue"/>
          </w:tcPr>
          <w:p>
            <w:pPr>
              <w:spacing w:after="0"/>
              <w:rPr>
                <w:sz w:val="24"/>
                <w:szCs w:val="24"/>
                <w:color w:val="auto"/>
              </w:rPr>
            </w:pPr>
          </w:p>
        </w:tc>
        <w:tc>
          <w:tcPr>
            <w:tcW w:w="4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420" w:type="dxa"/>
            <w:vAlign w:val="bottom"/>
            <w:gridSpan w:val="3"/>
          </w:tcPr>
          <w:p>
            <w:pPr>
              <w:spacing w:after="0"/>
              <w:rPr>
                <w:sz w:val="20"/>
                <w:szCs w:val="20"/>
                <w:color w:val="auto"/>
              </w:rPr>
            </w:pPr>
            <w:r>
              <w:rPr>
                <w:rFonts w:ascii="Arial" w:cs="Arial" w:eastAsia="Arial" w:hAnsi="Arial"/>
                <w:sz w:val="13"/>
                <w:szCs w:val="13"/>
                <w:color w:val="auto"/>
              </w:rPr>
              <w:t>Foreign-currency forward contracts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210,868</w:t>
            </w:r>
          </w:p>
        </w:tc>
        <w:tc>
          <w:tcPr>
            <w:tcW w:w="100" w:type="dxa"/>
            <w:vAlign w:val="bottom"/>
          </w:tcPr>
          <w:p>
            <w:pPr>
              <w:spacing w:after="0"/>
              <w:rPr>
                <w:sz w:val="15"/>
                <w:szCs w:val="15"/>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5,062</w:t>
            </w:r>
          </w:p>
        </w:tc>
        <w:tc>
          <w:tcPr>
            <w:tcW w:w="80" w:type="dxa"/>
            <w:vAlign w:val="bottom"/>
          </w:tcPr>
          <w:p>
            <w:pPr>
              <w:spacing w:after="0"/>
              <w:rPr>
                <w:sz w:val="15"/>
                <w:szCs w:val="15"/>
                <w:color w:val="auto"/>
              </w:rPr>
            </w:pP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(24,845)</w:t>
            </w:r>
          </w:p>
        </w:tc>
        <w:tc>
          <w:tcPr>
            <w:tcW w:w="10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(886)</w:t>
            </w:r>
          </w:p>
        </w:tc>
        <w:tc>
          <w:tcPr>
            <w:tcW w:w="0" w:type="dxa"/>
            <w:vAlign w:val="bottom"/>
          </w:tcPr>
          <w:p>
            <w:pPr>
              <w:spacing w:after="0"/>
              <w:rPr>
                <w:sz w:val="1"/>
                <w:szCs w:val="1"/>
                <w:color w:val="auto"/>
              </w:rPr>
            </w:pPr>
          </w:p>
        </w:tc>
      </w:tr>
      <w:tr>
        <w:trPr>
          <w:trHeight w:val="170"/>
        </w:trPr>
        <w:tc>
          <w:tcPr>
            <w:tcW w:w="5420" w:type="dxa"/>
            <w:vAlign w:val="bottom"/>
            <w:gridSpan w:val="3"/>
          </w:tcPr>
          <w:p>
            <w:pPr>
              <w:spacing w:after="0"/>
              <w:rPr>
                <w:sz w:val="20"/>
                <w:szCs w:val="20"/>
                <w:color w:val="auto"/>
              </w:rPr>
            </w:pPr>
            <w:r>
              <w:rPr>
                <w:rFonts w:ascii="Arial" w:cs="Arial" w:eastAsia="Arial" w:hAnsi="Arial"/>
                <w:sz w:val="13"/>
                <w:szCs w:val="13"/>
                <w:color w:val="auto"/>
              </w:rPr>
              <w:t>Total-return and interest-rate and credit default swaps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13,727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1,162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(27,254)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(4,335)</w:t>
            </w:r>
          </w:p>
        </w:tc>
        <w:tc>
          <w:tcPr>
            <w:tcW w:w="0" w:type="dxa"/>
            <w:vAlign w:val="bottom"/>
          </w:tcPr>
          <w:p>
            <w:pPr>
              <w:spacing w:after="0"/>
              <w:rPr>
                <w:sz w:val="1"/>
                <w:szCs w:val="1"/>
                <w:color w:val="auto"/>
              </w:rPr>
            </w:pPr>
          </w:p>
        </w:tc>
      </w:tr>
      <w:tr>
        <w:trPr>
          <w:trHeight w:val="170"/>
        </w:trPr>
        <w:tc>
          <w:tcPr>
            <w:tcW w:w="5420" w:type="dxa"/>
            <w:vAlign w:val="bottom"/>
            <w:gridSpan w:val="3"/>
          </w:tcPr>
          <w:p>
            <w:pPr>
              <w:spacing w:after="0"/>
              <w:rPr>
                <w:sz w:val="20"/>
                <w:szCs w:val="20"/>
                <w:color w:val="auto"/>
              </w:rPr>
            </w:pPr>
            <w:r>
              <w:rPr>
                <w:rFonts w:ascii="Arial" w:cs="Arial" w:eastAsia="Arial" w:hAnsi="Arial"/>
                <w:sz w:val="13"/>
                <w:szCs w:val="13"/>
                <w:color w:val="auto"/>
              </w:rPr>
              <w:t>Options and futures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213,575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509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420" w:type="dxa"/>
            <w:vAlign w:val="bottom"/>
            <w:gridSpan w:val="3"/>
          </w:tcPr>
          <w:p>
            <w:pPr>
              <w:spacing w:after="0"/>
              <w:rPr>
                <w:sz w:val="20"/>
                <w:szCs w:val="20"/>
                <w:color w:val="auto"/>
              </w:rPr>
            </w:pPr>
            <w:r>
              <w:rPr>
                <w:rFonts w:ascii="Arial" w:cs="Arial" w:eastAsia="Arial" w:hAnsi="Arial"/>
                <w:sz w:val="13"/>
                <w:szCs w:val="13"/>
                <w:color w:val="auto"/>
              </w:rPr>
              <w:t>Warrants</w:t>
            </w: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(6,626)</w:t>
            </w:r>
          </w:p>
        </w:tc>
        <w:tc>
          <w:tcPr>
            <w:tcW w:w="0" w:type="dxa"/>
            <w:vAlign w:val="bottom"/>
          </w:tcPr>
          <w:p>
            <w:pPr>
              <w:spacing w:after="0"/>
              <w:rPr>
                <w:sz w:val="1"/>
                <w:szCs w:val="1"/>
                <w:color w:val="auto"/>
              </w:rPr>
            </w:pPr>
          </w:p>
        </w:tc>
      </w:tr>
      <w:tr>
        <w:trPr>
          <w:trHeight w:val="213"/>
        </w:trPr>
        <w:tc>
          <w:tcPr>
            <w:tcW w:w="5420" w:type="dxa"/>
            <w:vAlign w:val="bottom"/>
            <w:gridSpan w:val="3"/>
          </w:tcPr>
          <w:p>
            <w:pPr>
              <w:ind w:left="260"/>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438,170</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6,733</w:t>
            </w:r>
          </w:p>
        </w:tc>
        <w:tc>
          <w:tcPr>
            <w:tcW w:w="8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(52,099)</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(11,847)</w:t>
            </w: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impact of derivatives held by the consolidated funds in the consolidated statements of operations was as follows:</w:t>
      </w:r>
    </w:p>
    <w:p>
      <w:pPr>
        <w:spacing w:after="0" w:line="41" w:lineRule="exact"/>
        <w:rPr>
          <w:sz w:val="20"/>
          <w:szCs w:val="20"/>
          <w:color w:val="auto"/>
        </w:rPr>
      </w:pPr>
    </w:p>
    <w:p>
      <w:pPr>
        <w:ind w:left="7780"/>
        <w:spacing w:after="0"/>
        <w:rPr>
          <w:sz w:val="20"/>
          <w:szCs w:val="20"/>
          <w:color w:val="auto"/>
        </w:rPr>
      </w:pPr>
      <w:r>
        <w:rPr>
          <w:rFonts w:ascii="Arial" w:cs="Arial" w:eastAsia="Arial" w:hAnsi="Arial"/>
          <w:sz w:val="10"/>
          <w:szCs w:val="10"/>
          <w:b w:val="1"/>
          <w:bCs w:val="1"/>
          <w:color w:val="auto"/>
        </w:rPr>
        <w:t>Three months ended June 30,</w:t>
      </w:r>
    </w:p>
    <w:p>
      <w:pPr>
        <w:spacing w:after="0" w:line="21" w:lineRule="exact"/>
        <w:rPr>
          <w:sz w:val="20"/>
          <w:szCs w:val="20"/>
          <w:color w:val="auto"/>
        </w:rPr>
      </w:pPr>
    </w:p>
    <w:tbl>
      <w:tblPr>
        <w:tblLayout w:type="fixed"/>
        <w:tblInd w:w="5660" w:type="dxa"/>
        <w:tblCellMar>
          <w:top w:w="0" w:type="dxa"/>
          <w:left w:w="0" w:type="dxa"/>
          <w:bottom w:w="0" w:type="dxa"/>
          <w:right w:w="0" w:type="dxa"/>
        </w:tblCellMar>
      </w:tblPr>
      <w:tr>
        <w:trPr>
          <w:trHeight w:val="135"/>
        </w:trPr>
        <w:tc>
          <w:tcPr>
            <w:tcW w:w="1220" w:type="dxa"/>
            <w:vAlign w:val="bottom"/>
            <w:tcBorders>
              <w:top w:val="single" w:sz="8" w:color="auto"/>
              <w:bottom w:val="single" w:sz="8" w:color="auto"/>
            </w:tcBorders>
          </w:tcPr>
          <w:p>
            <w:pPr>
              <w:spacing w:after="0"/>
              <w:rPr>
                <w:sz w:val="11"/>
                <w:szCs w:val="11"/>
                <w:color w:val="auto"/>
              </w:rPr>
            </w:pPr>
          </w:p>
        </w:tc>
        <w:tc>
          <w:tcPr>
            <w:tcW w:w="1500" w:type="dxa"/>
            <w:vAlign w:val="bottom"/>
            <w:tcBorders>
              <w:top w:val="single" w:sz="8" w:color="auto"/>
              <w:bottom w:val="single" w:sz="8" w:color="auto"/>
            </w:tcBorders>
            <w:gridSpan w:val="3"/>
          </w:tcPr>
          <w:p>
            <w:pPr>
              <w:jc w:val="right"/>
              <w:ind w:right="1212"/>
              <w:spacing w:after="0"/>
              <w:rPr>
                <w:sz w:val="20"/>
                <w:szCs w:val="20"/>
                <w:color w:val="auto"/>
              </w:rPr>
            </w:pPr>
            <w:r>
              <w:rPr>
                <w:rFonts w:ascii="Arial" w:cs="Arial" w:eastAsia="Arial" w:hAnsi="Arial"/>
                <w:sz w:val="10"/>
                <w:szCs w:val="10"/>
                <w:b w:val="1"/>
                <w:bCs w:val="1"/>
                <w:color w:val="auto"/>
                <w:w w:val="98"/>
              </w:rPr>
              <w:t>2022</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spacing w:after="0"/>
              <w:rPr>
                <w:sz w:val="11"/>
                <w:szCs w:val="11"/>
                <w:color w:val="auto"/>
              </w:rPr>
            </w:pPr>
          </w:p>
        </w:tc>
        <w:tc>
          <w:tcPr>
            <w:tcW w:w="1480" w:type="dxa"/>
            <w:vAlign w:val="bottom"/>
            <w:tcBorders>
              <w:top w:val="single" w:sz="8" w:color="auto"/>
              <w:bottom w:val="single" w:sz="8" w:color="auto"/>
            </w:tcBorders>
            <w:gridSpan w:val="3"/>
          </w:tcPr>
          <w:p>
            <w:pPr>
              <w:jc w:val="right"/>
              <w:ind w:right="1192"/>
              <w:spacing w:after="0"/>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86"/>
        </w:trPr>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jc w:val="center"/>
              <w:spacing w:after="0" w:line="86" w:lineRule="exact"/>
              <w:rPr>
                <w:sz w:val="20"/>
                <w:szCs w:val="20"/>
                <w:color w:val="auto"/>
              </w:rPr>
            </w:pPr>
            <w:r>
              <w:rPr>
                <w:rFonts w:ascii="Arial" w:cs="Arial" w:eastAsia="Arial" w:hAnsi="Arial"/>
                <w:sz w:val="9"/>
                <w:szCs w:val="9"/>
                <w:b w:val="1"/>
                <w:bCs w:val="1"/>
                <w:color w:val="auto"/>
              </w:rPr>
              <w:t>Net Change in Unrealized</w:t>
            </w: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jc w:val="center"/>
              <w:spacing w:after="0" w:line="86" w:lineRule="exact"/>
              <w:rPr>
                <w:sz w:val="20"/>
                <w:szCs w:val="20"/>
                <w:color w:val="auto"/>
              </w:rPr>
            </w:pPr>
            <w:r>
              <w:rPr>
                <w:rFonts w:ascii="Arial" w:cs="Arial" w:eastAsia="Arial" w:hAnsi="Arial"/>
                <w:sz w:val="9"/>
                <w:szCs w:val="9"/>
                <w:b w:val="1"/>
                <w:bCs w:val="1"/>
                <w:color w:val="auto"/>
              </w:rPr>
              <w:t>Net Change in Unrealized</w:t>
            </w:r>
          </w:p>
        </w:tc>
        <w:tc>
          <w:tcPr>
            <w:tcW w:w="0" w:type="dxa"/>
            <w:vAlign w:val="bottom"/>
          </w:tcPr>
          <w:p>
            <w:pPr>
              <w:spacing w:after="0"/>
              <w:rPr>
                <w:sz w:val="1"/>
                <w:szCs w:val="1"/>
                <w:color w:val="auto"/>
              </w:rPr>
            </w:pPr>
          </w:p>
        </w:tc>
      </w:tr>
      <w:tr>
        <w:trPr>
          <w:trHeight w:val="102"/>
        </w:trPr>
        <w:tc>
          <w:tcPr>
            <w:tcW w:w="1220" w:type="dxa"/>
            <w:vAlign w:val="bottom"/>
            <w:vMerge w:val="restart"/>
          </w:tcPr>
          <w:p>
            <w:pPr>
              <w:jc w:val="center"/>
              <w:ind w:left="11"/>
              <w:spacing w:after="0"/>
              <w:rPr>
                <w:sz w:val="20"/>
                <w:szCs w:val="20"/>
                <w:color w:val="auto"/>
              </w:rPr>
            </w:pPr>
            <w:r>
              <w:rPr>
                <w:rFonts w:ascii="Arial" w:cs="Arial" w:eastAsia="Arial" w:hAnsi="Arial"/>
                <w:sz w:val="10"/>
                <w:szCs w:val="10"/>
                <w:b w:val="1"/>
                <w:bCs w:val="1"/>
                <w:color w:val="auto"/>
                <w:w w:val="98"/>
              </w:rPr>
              <w:t>Net Realized Gain (Loss)</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gridSpan w:val="2"/>
          </w:tcPr>
          <w:p>
            <w:pPr>
              <w:jc w:val="center"/>
              <w:ind w:right="200"/>
              <w:spacing w:after="0" w:line="102" w:lineRule="exact"/>
              <w:rPr>
                <w:sz w:val="20"/>
                <w:szCs w:val="20"/>
                <w:color w:val="auto"/>
              </w:rPr>
            </w:pPr>
            <w:r>
              <w:rPr>
                <w:rFonts w:ascii="Arial" w:cs="Arial" w:eastAsia="Arial" w:hAnsi="Arial"/>
                <w:sz w:val="10"/>
                <w:szCs w:val="10"/>
                <w:b w:val="1"/>
                <w:bCs w:val="1"/>
                <w:color w:val="auto"/>
                <w:w w:val="98"/>
              </w:rPr>
              <w:t>Appreciation</w:t>
            </w:r>
          </w:p>
        </w:tc>
        <w:tc>
          <w:tcPr>
            <w:tcW w:w="12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Net Realized Gain (Loss)</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Appreciation</w:t>
            </w:r>
          </w:p>
        </w:tc>
        <w:tc>
          <w:tcPr>
            <w:tcW w:w="0" w:type="dxa"/>
            <w:vAlign w:val="bottom"/>
          </w:tcPr>
          <w:p>
            <w:pPr>
              <w:spacing w:after="0"/>
              <w:rPr>
                <w:sz w:val="1"/>
                <w:szCs w:val="1"/>
                <w:color w:val="auto"/>
              </w:rPr>
            </w:pPr>
          </w:p>
        </w:tc>
      </w:tr>
      <w:tr>
        <w:trPr>
          <w:trHeight w:val="100"/>
        </w:trPr>
        <w:tc>
          <w:tcPr>
            <w:tcW w:w="1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gridSpan w:val="2"/>
          </w:tcPr>
          <w:p>
            <w:pPr>
              <w:jc w:val="center"/>
              <w:ind w:right="180"/>
              <w:spacing w:after="0" w:line="100" w:lineRule="exact"/>
              <w:rPr>
                <w:sz w:val="20"/>
                <w:szCs w:val="20"/>
                <w:color w:val="auto"/>
              </w:rPr>
            </w:pPr>
            <w:r>
              <w:rPr>
                <w:rFonts w:ascii="Arial" w:cs="Arial" w:eastAsia="Arial" w:hAnsi="Arial"/>
                <w:sz w:val="10"/>
                <w:szCs w:val="10"/>
                <w:b w:val="1"/>
                <w:bCs w:val="1"/>
                <w:color w:val="auto"/>
                <w:w w:val="99"/>
              </w:rPr>
              <w:t>(Depreciation) on</w:t>
            </w:r>
          </w:p>
        </w:tc>
        <w:tc>
          <w:tcPr>
            <w:tcW w:w="1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9"/>
              </w:rPr>
              <w:t>(Depreciation) on</w:t>
            </w:r>
          </w:p>
        </w:tc>
        <w:tc>
          <w:tcPr>
            <w:tcW w:w="0" w:type="dxa"/>
            <w:vAlign w:val="bottom"/>
          </w:tcPr>
          <w:p>
            <w:pPr>
              <w:spacing w:after="0"/>
              <w:rPr>
                <w:sz w:val="1"/>
                <w:szCs w:val="1"/>
                <w:color w:val="auto"/>
              </w:rPr>
            </w:pPr>
          </w:p>
        </w:tc>
      </w:tr>
      <w:tr>
        <w:trPr>
          <w:trHeight w:val="137"/>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on Investments</w:t>
            </w:r>
          </w:p>
        </w:tc>
        <w:tc>
          <w:tcPr>
            <w:tcW w:w="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Investments</w:t>
            </w:r>
          </w:p>
        </w:tc>
        <w:tc>
          <w:tcPr>
            <w:tcW w:w="180" w:type="dxa"/>
            <w:vAlign w:val="bottom"/>
          </w:tcPr>
          <w:p>
            <w:pPr>
              <w:spacing w:after="0"/>
              <w:rPr>
                <w:sz w:val="11"/>
                <w:szCs w:val="1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on Investments</w:t>
            </w: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Investments</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80"/>
          </w:cols>
          <w:pgMar w:left="300" w:top="316" w:right="319" w:bottom="1440" w:gutter="0" w:footer="0" w:header="0"/>
        </w:sectPr>
      </w:pPr>
    </w:p>
    <w:p>
      <w:pPr>
        <w:ind w:left="20"/>
        <w:spacing w:after="0"/>
        <w:rPr>
          <w:sz w:val="20"/>
          <w:szCs w:val="20"/>
          <w:color w:val="auto"/>
        </w:rPr>
      </w:pPr>
      <w:r>
        <w:rPr>
          <w:rFonts w:ascii="Arial" w:cs="Arial" w:eastAsia="Arial" w:hAnsi="Arial"/>
          <w:sz w:val="13"/>
          <w:szCs w:val="13"/>
          <w:color w:val="auto"/>
        </w:rPr>
        <w:t>Foreign-currency forward contracts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Total-return and interest-rate and credit default swaps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Options and futures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Commodity swaps</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80" w:type="dxa"/>
            <w:vAlign w:val="bottom"/>
          </w:tcPr>
          <w:p>
            <w:pPr>
              <w:jc w:val="right"/>
              <w:ind w:right="41"/>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14,133</w:t>
            </w:r>
          </w:p>
        </w:tc>
        <w:tc>
          <w:tcPr>
            <w:tcW w:w="360" w:type="dxa"/>
            <w:vAlign w:val="bottom"/>
            <w:gridSpan w:val="3"/>
          </w:tcPr>
          <w:p>
            <w:pPr>
              <w:jc w:val="right"/>
              <w:ind w:right="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
              <w:spacing w:after="0"/>
              <w:rPr>
                <w:sz w:val="20"/>
                <w:szCs w:val="20"/>
                <w:color w:val="auto"/>
              </w:rPr>
            </w:pPr>
            <w:r>
              <w:rPr>
                <w:rFonts w:ascii="Arial" w:cs="Arial" w:eastAsia="Arial" w:hAnsi="Arial"/>
                <w:sz w:val="13"/>
                <w:szCs w:val="13"/>
                <w:color w:val="auto"/>
              </w:rPr>
              <w:t>9,494</w:t>
            </w:r>
          </w:p>
        </w:tc>
        <w:tc>
          <w:tcPr>
            <w:tcW w:w="180" w:type="dxa"/>
            <w:vAlign w:val="bottom"/>
          </w:tcPr>
          <w:p>
            <w:pPr>
              <w:spacing w:after="0"/>
              <w:rPr>
                <w:sz w:val="14"/>
                <w:szCs w:val="14"/>
                <w:color w:val="auto"/>
              </w:rPr>
            </w:pPr>
          </w:p>
        </w:tc>
        <w:tc>
          <w:tcPr>
            <w:tcW w:w="18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1,073</w:t>
            </w:r>
          </w:p>
        </w:tc>
        <w:tc>
          <w:tcPr>
            <w:tcW w:w="360" w:type="dxa"/>
            <w:vAlign w:val="bottom"/>
            <w:gridSpan w:val="2"/>
          </w:tcPr>
          <w:p>
            <w:pPr>
              <w:jc w:val="right"/>
              <w:ind w:right="2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
              <w:spacing w:after="0"/>
              <w:rPr>
                <w:sz w:val="20"/>
                <w:szCs w:val="20"/>
                <w:color w:val="auto"/>
              </w:rPr>
            </w:pPr>
            <w:r>
              <w:rPr>
                <w:rFonts w:ascii="Arial" w:cs="Arial" w:eastAsia="Arial" w:hAnsi="Arial"/>
                <w:sz w:val="13"/>
                <w:szCs w:val="13"/>
                <w:color w:val="auto"/>
              </w:rPr>
              <w:t>2,116</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4,266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3"/>
              <w:spacing w:after="0"/>
              <w:rPr>
                <w:sz w:val="20"/>
                <w:szCs w:val="20"/>
                <w:color w:val="auto"/>
              </w:rPr>
            </w:pPr>
            <w:r>
              <w:rPr>
                <w:rFonts w:ascii="Arial" w:cs="Arial" w:eastAsia="Arial" w:hAnsi="Arial"/>
                <w:sz w:val="13"/>
                <w:szCs w:val="13"/>
                <w:color w:val="auto"/>
              </w:rPr>
              <w:t>32,939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4,108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(2,088)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(715)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71"/>
        </w:trPr>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(15,735)</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(30,428)</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60"/>
        </w:trPr>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6,772</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color w:val="auto"/>
              </w:rPr>
              <w:t>9,917</w:t>
            </w:r>
          </w:p>
        </w:tc>
        <w:tc>
          <w:tcPr>
            <w:tcW w:w="180" w:type="dxa"/>
            <w:vAlign w:val="bottom"/>
          </w:tcPr>
          <w:p>
            <w:pPr>
              <w:spacing w:after="0"/>
              <w:rPr>
                <w:sz w:val="13"/>
                <w:szCs w:val="13"/>
                <w:color w:val="auto"/>
              </w:rPr>
            </w:pPr>
          </w:p>
        </w:tc>
        <w:tc>
          <w:tcPr>
            <w:tcW w:w="18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w:t>
            </w:r>
          </w:p>
        </w:tc>
        <w:tc>
          <w:tcPr>
            <w:tcW w:w="20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3,179</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0"/>
                <w:szCs w:val="10"/>
                <w:b w:val="1"/>
                <w:bCs w:val="1"/>
                <w:color w:val="auto"/>
              </w:rPr>
              <w:t>Six months ended June 30,</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0"/>
                <w:szCs w:val="10"/>
                <w:b w:val="1"/>
                <w:bCs w:val="1"/>
                <w:color w:val="auto"/>
                <w:w w:val="89"/>
              </w:rPr>
              <w:t>2022</w:t>
            </w:r>
          </w:p>
        </w:tc>
        <w:tc>
          <w:tcPr>
            <w:tcW w:w="11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0"/>
                <w:szCs w:val="10"/>
                <w:b w:val="1"/>
                <w:bCs w:val="1"/>
                <w:color w:val="auto"/>
                <w:w w:val="89"/>
              </w:rPr>
              <w:t>2021</w:t>
            </w: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w w:val="99"/>
              </w:rPr>
              <w:t>Net Change in Unrealized</w:t>
            </w: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w w:val="97"/>
              </w:rPr>
              <w:t>Net Change in Unrealized</w:t>
            </w:r>
          </w:p>
        </w:tc>
        <w:tc>
          <w:tcPr>
            <w:tcW w:w="0" w:type="dxa"/>
            <w:vAlign w:val="bottom"/>
          </w:tcPr>
          <w:p>
            <w:pPr>
              <w:spacing w:after="0"/>
              <w:rPr>
                <w:sz w:val="1"/>
                <w:szCs w:val="1"/>
                <w:color w:val="auto"/>
              </w:rPr>
            </w:pPr>
          </w:p>
        </w:tc>
      </w:tr>
      <w:tr>
        <w:trPr>
          <w:trHeight w:val="102"/>
        </w:trPr>
        <w:tc>
          <w:tcPr>
            <w:tcW w:w="12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Net Realized Gain (Loss)</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tcPr>
          <w:p>
            <w:pPr>
              <w:jc w:val="center"/>
              <w:ind w:right="340"/>
              <w:spacing w:after="0" w:line="102" w:lineRule="exact"/>
              <w:rPr>
                <w:sz w:val="20"/>
                <w:szCs w:val="20"/>
                <w:color w:val="auto"/>
              </w:rPr>
            </w:pPr>
            <w:r>
              <w:rPr>
                <w:rFonts w:ascii="Arial" w:cs="Arial" w:eastAsia="Arial" w:hAnsi="Arial"/>
                <w:sz w:val="10"/>
                <w:szCs w:val="10"/>
                <w:b w:val="1"/>
                <w:bCs w:val="1"/>
                <w:color w:val="auto"/>
                <w:w w:val="98"/>
              </w:rPr>
              <w:t>Appreciation</w:t>
            </w:r>
          </w:p>
        </w:tc>
        <w:tc>
          <w:tcPr>
            <w:tcW w:w="126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Net Realized Gain (Loss)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jc w:val="center"/>
              <w:ind w:right="102"/>
              <w:spacing w:after="0" w:line="102" w:lineRule="exact"/>
              <w:rPr>
                <w:sz w:val="20"/>
                <w:szCs w:val="20"/>
                <w:color w:val="auto"/>
              </w:rPr>
            </w:pPr>
            <w:r>
              <w:rPr>
                <w:rFonts w:ascii="Arial" w:cs="Arial" w:eastAsia="Arial" w:hAnsi="Arial"/>
                <w:sz w:val="10"/>
                <w:szCs w:val="10"/>
                <w:b w:val="1"/>
                <w:bCs w:val="1"/>
                <w:color w:val="auto"/>
              </w:rPr>
              <w:t>Appreciation</w:t>
            </w:r>
          </w:p>
        </w:tc>
        <w:tc>
          <w:tcPr>
            <w:tcW w:w="0" w:type="dxa"/>
            <w:vAlign w:val="bottom"/>
          </w:tcPr>
          <w:p>
            <w:pPr>
              <w:spacing w:after="0"/>
              <w:rPr>
                <w:sz w:val="1"/>
                <w:szCs w:val="1"/>
                <w:color w:val="auto"/>
              </w:rPr>
            </w:pPr>
          </w:p>
        </w:tc>
      </w:tr>
      <w:tr>
        <w:trPr>
          <w:trHeight w:val="100"/>
        </w:trPr>
        <w:tc>
          <w:tcPr>
            <w:tcW w:w="12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tcPr>
          <w:p>
            <w:pPr>
              <w:jc w:val="center"/>
              <w:ind w:right="320"/>
              <w:spacing w:after="0" w:line="100" w:lineRule="exact"/>
              <w:rPr>
                <w:sz w:val="20"/>
                <w:szCs w:val="20"/>
                <w:color w:val="auto"/>
              </w:rPr>
            </w:pPr>
            <w:r>
              <w:rPr>
                <w:rFonts w:ascii="Arial" w:cs="Arial" w:eastAsia="Arial" w:hAnsi="Arial"/>
                <w:sz w:val="10"/>
                <w:szCs w:val="10"/>
                <w:b w:val="1"/>
                <w:bCs w:val="1"/>
                <w:color w:val="auto"/>
                <w:w w:val="99"/>
              </w:rPr>
              <w:t>(Depreciation) on</w:t>
            </w:r>
          </w:p>
        </w:tc>
        <w:tc>
          <w:tcPr>
            <w:tcW w:w="12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jc w:val="center"/>
              <w:ind w:right="102"/>
              <w:spacing w:after="0" w:line="100" w:lineRule="exact"/>
              <w:rPr>
                <w:sz w:val="20"/>
                <w:szCs w:val="20"/>
                <w:color w:val="auto"/>
              </w:rPr>
            </w:pPr>
            <w:r>
              <w:rPr>
                <w:rFonts w:ascii="Arial" w:cs="Arial" w:eastAsia="Arial" w:hAnsi="Arial"/>
                <w:sz w:val="10"/>
                <w:szCs w:val="10"/>
                <w:b w:val="1"/>
                <w:bCs w:val="1"/>
                <w:color w:val="auto"/>
                <w:w w:val="99"/>
              </w:rPr>
              <w:t>(Depreciation) on</w:t>
            </w:r>
          </w:p>
        </w:tc>
        <w:tc>
          <w:tcPr>
            <w:tcW w:w="0" w:type="dxa"/>
            <w:vAlign w:val="bottom"/>
          </w:tcPr>
          <w:p>
            <w:pPr>
              <w:spacing w:after="0"/>
              <w:rPr>
                <w:sz w:val="1"/>
                <w:szCs w:val="1"/>
                <w:color w:val="auto"/>
              </w:rPr>
            </w:pPr>
          </w:p>
        </w:tc>
      </w:tr>
      <w:tr>
        <w:trPr>
          <w:trHeight w:val="137"/>
        </w:trPr>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on Investments</w:t>
            </w: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99"/>
              </w:rPr>
              <w:t>Investments</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on Investments</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99"/>
              </w:rPr>
              <w:t>Investments</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2">
            <w:col w:w="4940" w:space="720"/>
            <w:col w:w="5620"/>
          </w:cols>
          <w:pgMar w:left="300" w:top="316" w:right="319" w:bottom="1440" w:gutter="0" w:footer="0" w:header="0"/>
          <w:type w:val="continuous"/>
        </w:sectPr>
      </w:pPr>
    </w:p>
    <w:tbl>
      <w:tblPr>
        <w:tblLayout w:type="fixed"/>
        <w:tblInd w:w="20" w:type="dxa"/>
        <w:tblCellMar>
          <w:top w:w="0" w:type="dxa"/>
          <w:left w:w="0" w:type="dxa"/>
          <w:bottom w:w="0" w:type="dxa"/>
          <w:right w:w="0" w:type="dxa"/>
        </w:tblCellMar>
      </w:tblPr>
      <w:tr>
        <w:trPr>
          <w:trHeight w:val="167"/>
        </w:trPr>
        <w:tc>
          <w:tcPr>
            <w:tcW w:w="5640" w:type="dxa"/>
            <w:vAlign w:val="bottom"/>
          </w:tcPr>
          <w:p>
            <w:pPr>
              <w:spacing w:after="0"/>
              <w:rPr>
                <w:sz w:val="20"/>
                <w:szCs w:val="20"/>
                <w:color w:val="auto"/>
              </w:rPr>
            </w:pPr>
            <w:r>
              <w:rPr>
                <w:rFonts w:ascii="Arial" w:cs="Arial" w:eastAsia="Arial" w:hAnsi="Arial"/>
                <w:sz w:val="13"/>
                <w:szCs w:val="13"/>
                <w:color w:val="auto"/>
              </w:rPr>
              <w:t>Foreign-currency forward contracts</w:t>
            </w: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15,089</w:t>
            </w:r>
          </w:p>
        </w:tc>
        <w:tc>
          <w:tcPr>
            <w:tcW w:w="2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12,422</w:t>
            </w:r>
          </w:p>
        </w:tc>
        <w:tc>
          <w:tcPr>
            <w:tcW w:w="180" w:type="dxa"/>
            <w:vAlign w:val="bottom"/>
          </w:tcPr>
          <w:p>
            <w:pPr>
              <w:spacing w:after="0"/>
              <w:rPr>
                <w:sz w:val="14"/>
                <w:szCs w:val="14"/>
                <w:color w:val="auto"/>
              </w:rPr>
            </w:pPr>
          </w:p>
        </w:tc>
        <w:tc>
          <w:tcPr>
            <w:tcW w:w="52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(300)</w:t>
            </w:r>
          </w:p>
        </w:tc>
        <w:tc>
          <w:tcPr>
            <w:tcW w:w="2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4,822</w:t>
            </w:r>
          </w:p>
        </w:tc>
      </w:tr>
      <w:tr>
        <w:trPr>
          <w:trHeight w:val="170"/>
        </w:trPr>
        <w:tc>
          <w:tcPr>
            <w:tcW w:w="5640" w:type="dxa"/>
            <w:vAlign w:val="bottom"/>
          </w:tcPr>
          <w:p>
            <w:pPr>
              <w:spacing w:after="0"/>
              <w:rPr>
                <w:sz w:val="20"/>
                <w:szCs w:val="20"/>
                <w:color w:val="auto"/>
              </w:rPr>
            </w:pPr>
            <w:r>
              <w:rPr>
                <w:rFonts w:ascii="Arial" w:cs="Arial" w:eastAsia="Arial" w:hAnsi="Arial"/>
                <w:sz w:val="13"/>
                <w:szCs w:val="13"/>
                <w:color w:val="auto"/>
              </w:rPr>
              <w:t>Total-return and interest-rate and credit default swaps</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282</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106</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(79)</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984</w:t>
            </w:r>
          </w:p>
        </w:tc>
      </w:tr>
      <w:tr>
        <w:trPr>
          <w:trHeight w:val="170"/>
        </w:trPr>
        <w:tc>
          <w:tcPr>
            <w:tcW w:w="5640" w:type="dxa"/>
            <w:vAlign w:val="bottom"/>
          </w:tcPr>
          <w:p>
            <w:pPr>
              <w:spacing w:after="0"/>
              <w:rPr>
                <w:sz w:val="20"/>
                <w:szCs w:val="20"/>
                <w:color w:val="auto"/>
              </w:rPr>
            </w:pPr>
            <w:r>
              <w:rPr>
                <w:rFonts w:ascii="Arial" w:cs="Arial" w:eastAsia="Arial" w:hAnsi="Arial"/>
                <w:sz w:val="13"/>
                <w:szCs w:val="13"/>
                <w:color w:val="auto"/>
              </w:rPr>
              <w:t>Options and futures</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10,081</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(105)</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(193)</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118</w:t>
            </w:r>
          </w:p>
        </w:tc>
      </w:tr>
      <w:tr>
        <w:trPr>
          <w:trHeight w:val="171"/>
        </w:trPr>
        <w:tc>
          <w:tcPr>
            <w:tcW w:w="5640" w:type="dxa"/>
            <w:vAlign w:val="bottom"/>
          </w:tcPr>
          <w:p>
            <w:pPr>
              <w:spacing w:after="0"/>
              <w:rPr>
                <w:sz w:val="20"/>
                <w:szCs w:val="20"/>
                <w:color w:val="auto"/>
              </w:rPr>
            </w:pPr>
            <w:r>
              <w:rPr>
                <w:rFonts w:ascii="Arial" w:cs="Arial" w:eastAsia="Arial" w:hAnsi="Arial"/>
                <w:sz w:val="13"/>
                <w:szCs w:val="13"/>
                <w:color w:val="auto"/>
              </w:rPr>
              <w:t>Commodity swaps</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(15,735)</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(29,570)</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(812)</w:t>
            </w:r>
          </w:p>
        </w:tc>
      </w:tr>
      <w:tr>
        <w:trPr>
          <w:trHeight w:val="162"/>
        </w:trPr>
        <w:tc>
          <w:tcPr>
            <w:tcW w:w="5640" w:type="dxa"/>
            <w:vAlign w:val="bottom"/>
          </w:tcPr>
          <w:p>
            <w:pPr>
              <w:ind w:left="260"/>
              <w:spacing w:after="0"/>
              <w:rPr>
                <w:sz w:val="20"/>
                <w:szCs w:val="20"/>
                <w:color w:val="auto"/>
              </w:rPr>
            </w:pPr>
            <w:r>
              <w:rPr>
                <w:rFonts w:ascii="Arial" w:cs="Arial" w:eastAsia="Arial" w:hAnsi="Arial"/>
                <w:sz w:val="13"/>
                <w:szCs w:val="13"/>
                <w:color w:val="auto"/>
              </w:rPr>
              <w:t>Total</w:t>
            </w: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9,717</w:t>
            </w:r>
          </w:p>
        </w:tc>
        <w:tc>
          <w:tcPr>
            <w:tcW w:w="2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(17,147)</w:t>
            </w:r>
          </w:p>
        </w:tc>
        <w:tc>
          <w:tcPr>
            <w:tcW w:w="1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(572)</w:t>
            </w:r>
          </w:p>
        </w:tc>
        <w:tc>
          <w:tcPr>
            <w:tcW w:w="2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5,112</w:t>
            </w:r>
          </w:p>
        </w:tc>
      </w:tr>
      <w:tr>
        <w:trPr>
          <w:trHeight w:val="20"/>
        </w:trPr>
        <w:tc>
          <w:tcPr>
            <w:tcW w:w="5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Sheet Offsetting</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Company recognizes all derivatives as assets or liabilities at fair value in its condensed consolidated statements of financial condition.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condensed consolidated statements of financial condition. The table below sets forth the setoff rights and related arrangements associated with derivatives held by the Company. The “gross amounts not offset in statements of financial condition” columns represent derivatives that management has elected not to offset in the condensed consolidated statements of financial condition even though they are eligible to be offset in accordance with applicable accounting guidance.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type w:val="continuous"/>
        </w:sectPr>
      </w:pPr>
    </w:p>
    <w:bookmarkStart w:id="44" w:name="page45"/>
    <w:bookmarkEnd w:id="44"/>
    <w:p>
      <w:pPr>
        <w:jc w:val="center"/>
        <w:ind w:right="20"/>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0" w:type="dxa"/>
            <w:vAlign w:val="bottom"/>
            <w:gridSpan w:val="5"/>
          </w:tcPr>
          <w:p>
            <w:pPr>
              <w:jc w:val="center"/>
              <w:ind w:right="300"/>
              <w:spacing w:after="0"/>
              <w:rPr>
                <w:sz w:val="20"/>
                <w:szCs w:val="20"/>
                <w:color w:val="auto"/>
              </w:rPr>
            </w:pPr>
            <w:r>
              <w:rPr>
                <w:rFonts w:ascii="Arial" w:cs="Arial" w:eastAsia="Arial" w:hAnsi="Arial"/>
                <w:sz w:val="10"/>
                <w:szCs w:val="10"/>
                <w:b w:val="1"/>
                <w:bCs w:val="1"/>
                <w:color w:val="auto"/>
                <w:w w:val="98"/>
              </w:rPr>
              <w:t>Gross Amounts Not Offset in Statements of Financial</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center"/>
              <w:ind w:left="822"/>
              <w:spacing w:after="0"/>
              <w:rPr>
                <w:sz w:val="20"/>
                <w:szCs w:val="20"/>
                <w:color w:val="auto"/>
              </w:rPr>
            </w:pPr>
            <w:r>
              <w:rPr>
                <w:rFonts w:ascii="Arial" w:cs="Arial" w:eastAsia="Arial" w:hAnsi="Arial"/>
                <w:sz w:val="10"/>
                <w:szCs w:val="10"/>
                <w:b w:val="1"/>
                <w:bCs w:val="1"/>
                <w:color w:val="auto"/>
                <w:w w:val="98"/>
              </w:rPr>
              <w:t>Condition</w:t>
            </w:r>
          </w:p>
        </w:tc>
        <w:tc>
          <w:tcPr>
            <w:tcW w:w="9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vMerge w:val="restart"/>
          </w:tcPr>
          <w:p>
            <w:pPr>
              <w:spacing w:after="0"/>
              <w:rPr>
                <w:sz w:val="20"/>
                <w:szCs w:val="20"/>
                <w:color w:val="auto"/>
              </w:rPr>
            </w:pPr>
            <w:r>
              <w:rPr>
                <w:rFonts w:ascii="Arial" w:cs="Arial" w:eastAsia="Arial" w:hAnsi="Arial"/>
                <w:sz w:val="10"/>
                <w:szCs w:val="10"/>
                <w:b w:val="1"/>
                <w:bCs w:val="1"/>
                <w:color w:val="auto"/>
                <w:w w:val="96"/>
              </w:rPr>
              <w:t>As of June 30, 2022</w:t>
            </w:r>
          </w:p>
        </w:tc>
        <w:tc>
          <w:tcPr>
            <w:tcW w:w="4760" w:type="dxa"/>
            <w:vAlign w:val="bottom"/>
            <w:gridSpan w:val="2"/>
            <w:vMerge w:val="restart"/>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0"/>
                <w:szCs w:val="10"/>
                <w:b w:val="1"/>
                <w:bCs w:val="1"/>
                <w:color w:val="auto"/>
              </w:rPr>
              <w:t>Gross Amounts of Assets</w:t>
            </w:r>
          </w:p>
        </w:tc>
        <w:tc>
          <w:tcPr>
            <w:tcW w:w="1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Derivative Assets</w:t>
            </w:r>
          </w:p>
        </w:tc>
        <w:tc>
          <w:tcPr>
            <w:tcW w:w="146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8"/>
              </w:rPr>
              <w:t>Cash Collateral Received</w:t>
            </w:r>
          </w:p>
        </w:tc>
        <w:tc>
          <w:tcPr>
            <w:tcW w:w="200" w:type="dxa"/>
            <w:vAlign w:val="bottom"/>
          </w:tcPr>
          <w:p>
            <w:pPr>
              <w:spacing w:after="0"/>
              <w:rPr>
                <w:sz w:val="18"/>
                <w:szCs w:val="18"/>
                <w:color w:val="auto"/>
              </w:rPr>
            </w:pPr>
          </w:p>
        </w:tc>
        <w:tc>
          <w:tcPr>
            <w:tcW w:w="1040" w:type="dxa"/>
            <w:vAlign w:val="bottom"/>
            <w:vMerge w:val="restart"/>
          </w:tcPr>
          <w:p>
            <w:pPr>
              <w:jc w:val="right"/>
              <w:ind w:right="281"/>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22"/>
        </w:trPr>
        <w:tc>
          <w:tcPr>
            <w:tcW w:w="920" w:type="dxa"/>
            <w:vAlign w:val="bottom"/>
            <w:tcBorders>
              <w:bottom w:val="single" w:sz="8" w:color="auto"/>
            </w:tcBorders>
            <w:vMerge w:val="continue"/>
          </w:tcPr>
          <w:p>
            <w:pPr>
              <w:spacing w:after="0"/>
              <w:rPr>
                <w:sz w:val="10"/>
                <w:szCs w:val="10"/>
                <w:color w:val="auto"/>
              </w:rPr>
            </w:pPr>
          </w:p>
        </w:tc>
        <w:tc>
          <w:tcPr>
            <w:tcW w:w="4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ind w:left="20"/>
              <w:spacing w:after="0"/>
              <w:rPr>
                <w:sz w:val="20"/>
                <w:szCs w:val="20"/>
                <w:color w:val="auto"/>
              </w:rPr>
            </w:pPr>
            <w:r>
              <w:rPr>
                <w:rFonts w:ascii="Arial" w:cs="Arial" w:eastAsia="Arial" w:hAnsi="Arial"/>
                <w:sz w:val="10"/>
                <w:szCs w:val="10"/>
                <w:b w:val="1"/>
                <w:bCs w:val="1"/>
                <w:color w:val="auto"/>
              </w:rPr>
              <w:t>(Liabilities) Presented</w:t>
            </w:r>
          </w:p>
        </w:tc>
        <w:tc>
          <w:tcPr>
            <w:tcW w:w="100" w:type="dxa"/>
            <w:vAlign w:val="bottom"/>
          </w:tcPr>
          <w:p>
            <w:pPr>
              <w:spacing w:after="0"/>
              <w:rPr>
                <w:sz w:val="10"/>
                <w:szCs w:val="1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(Liabilities)</w:t>
            </w:r>
          </w:p>
        </w:tc>
        <w:tc>
          <w:tcPr>
            <w:tcW w:w="28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rPr>
              <w:t>(Pledged)</w:t>
            </w:r>
          </w:p>
        </w:tc>
        <w:tc>
          <w:tcPr>
            <w:tcW w:w="2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Derivative Assets: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6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Foreign-currency forward contracts</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12,731</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474</w:t>
            </w:r>
          </w:p>
        </w:tc>
        <w:tc>
          <w:tcPr>
            <w:tcW w:w="1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12,257</w:t>
            </w:r>
          </w:p>
        </w:tc>
        <w:tc>
          <w:tcPr>
            <w:tcW w:w="0" w:type="dxa"/>
            <w:vAlign w:val="bottom"/>
          </w:tcPr>
          <w:p>
            <w:pPr>
              <w:spacing w:after="0"/>
              <w:rPr>
                <w:sz w:val="1"/>
                <w:szCs w:val="1"/>
                <w:color w:val="auto"/>
              </w:rPr>
            </w:pPr>
          </w:p>
        </w:tc>
      </w:tr>
      <w:tr>
        <w:trPr>
          <w:trHeight w:val="139"/>
        </w:trPr>
        <w:tc>
          <w:tcPr>
            <w:tcW w:w="5680" w:type="dxa"/>
            <w:vAlign w:val="bottom"/>
            <w:gridSpan w:val="3"/>
          </w:tcPr>
          <w:p>
            <w:pPr>
              <w:ind w:left="120"/>
              <w:spacing w:after="0"/>
              <w:rPr>
                <w:sz w:val="20"/>
                <w:szCs w:val="20"/>
                <w:color w:val="auto"/>
              </w:rPr>
            </w:pPr>
            <w:r>
              <w:rPr>
                <w:rFonts w:ascii="Arial" w:cs="Arial" w:eastAsia="Arial" w:hAnsi="Arial"/>
                <w:sz w:val="12"/>
                <w:szCs w:val="12"/>
                <w:i w:val="1"/>
                <w:iCs w:val="1"/>
                <w:color w:val="auto"/>
              </w:rPr>
              <w:t>Derivative assets of consolidated funds:</w:t>
            </w: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Cross-currency swap</w:t>
            </w: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Foreign-currency forward contracts</w:t>
            </w:r>
          </w:p>
        </w:tc>
        <w:tc>
          <w:tcPr>
            <w:tcW w:w="1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18,768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18,768</w:t>
            </w: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Total-return and interest-rate and credit default swaps</w:t>
            </w:r>
          </w:p>
        </w:tc>
        <w:tc>
          <w:tcPr>
            <w:tcW w:w="1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734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734</w:t>
            </w: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Options and futures</w:t>
            </w:r>
          </w:p>
        </w:tc>
        <w:tc>
          <w:tcPr>
            <w:tcW w:w="1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4"/>
        </w:trPr>
        <w:tc>
          <w:tcPr>
            <w:tcW w:w="5680" w:type="dxa"/>
            <w:vAlign w:val="bottom"/>
            <w:gridSpan w:val="3"/>
          </w:tcPr>
          <w:p>
            <w:pPr>
              <w:ind w:left="380"/>
              <w:spacing w:after="0"/>
              <w:rPr>
                <w:sz w:val="20"/>
                <w:szCs w:val="20"/>
                <w:color w:val="auto"/>
              </w:rPr>
            </w:pPr>
            <w:r>
              <w:rPr>
                <w:rFonts w:ascii="Arial" w:cs="Arial" w:eastAsia="Arial" w:hAnsi="Arial"/>
                <w:sz w:val="12"/>
                <w:szCs w:val="12"/>
                <w:color w:val="auto"/>
              </w:rPr>
              <w:t>Subtotal</w:t>
            </w: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19,511</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19,511</w:t>
            </w:r>
          </w:p>
        </w:tc>
        <w:tc>
          <w:tcPr>
            <w:tcW w:w="0" w:type="dxa"/>
            <w:vAlign w:val="bottom"/>
          </w:tcPr>
          <w:p>
            <w:pPr>
              <w:spacing w:after="0"/>
              <w:rPr>
                <w:sz w:val="1"/>
                <w:szCs w:val="1"/>
                <w:color w:val="auto"/>
              </w:rPr>
            </w:pPr>
          </w:p>
        </w:tc>
      </w:tr>
      <w:tr>
        <w:trPr>
          <w:trHeight w:val="150"/>
        </w:trPr>
        <w:tc>
          <w:tcPr>
            <w:tcW w:w="5680" w:type="dxa"/>
            <w:vAlign w:val="bottom"/>
            <w:gridSpan w:val="3"/>
          </w:tcPr>
          <w:p>
            <w:pPr>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32,242</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474</w:t>
            </w: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31,768</w:t>
            </w: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Derivative Liabilities: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6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Foreign-currency forward contracts</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(5,801)</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(474)</w:t>
            </w:r>
          </w:p>
        </w:tc>
        <w:tc>
          <w:tcPr>
            <w:tcW w:w="1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(5,327)</w:t>
            </w:r>
          </w:p>
        </w:tc>
        <w:tc>
          <w:tcPr>
            <w:tcW w:w="0" w:type="dxa"/>
            <w:vAlign w:val="bottom"/>
          </w:tcPr>
          <w:p>
            <w:pPr>
              <w:spacing w:after="0"/>
              <w:rPr>
                <w:sz w:val="1"/>
                <w:szCs w:val="1"/>
                <w:color w:val="auto"/>
              </w:rPr>
            </w:pPr>
          </w:p>
        </w:tc>
      </w:tr>
      <w:tr>
        <w:trPr>
          <w:trHeight w:val="139"/>
        </w:trPr>
        <w:tc>
          <w:tcPr>
            <w:tcW w:w="5680" w:type="dxa"/>
            <w:vAlign w:val="bottom"/>
            <w:gridSpan w:val="3"/>
          </w:tcPr>
          <w:p>
            <w:pPr>
              <w:ind w:left="120"/>
              <w:spacing w:after="0"/>
              <w:rPr>
                <w:sz w:val="20"/>
                <w:szCs w:val="20"/>
                <w:color w:val="auto"/>
              </w:rPr>
            </w:pPr>
            <w:r>
              <w:rPr>
                <w:rFonts w:ascii="Arial" w:cs="Arial" w:eastAsia="Arial" w:hAnsi="Arial"/>
                <w:sz w:val="12"/>
                <w:szCs w:val="12"/>
                <w:i w:val="1"/>
                <w:iCs w:val="1"/>
                <w:color w:val="auto"/>
              </w:rPr>
              <w:t>Derivative liabilities of consolidated funds:</w:t>
            </w: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Foreign-currency forward contracts</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(1,203)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(1,203)</w:t>
            </w: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Total-return and interest-rate and credit default swaps</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(36,004)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(36,004)</w:t>
            </w: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Options and futures</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(234)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Warrants</w:t>
            </w: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680" w:type="dxa"/>
            <w:vAlign w:val="bottom"/>
            <w:gridSpan w:val="3"/>
          </w:tcPr>
          <w:p>
            <w:pPr>
              <w:ind w:left="380"/>
              <w:spacing w:after="0"/>
              <w:rPr>
                <w:sz w:val="20"/>
                <w:szCs w:val="20"/>
                <w:color w:val="auto"/>
              </w:rPr>
            </w:pPr>
            <w:r>
              <w:rPr>
                <w:rFonts w:ascii="Arial" w:cs="Arial" w:eastAsia="Arial" w:hAnsi="Arial"/>
                <w:sz w:val="12"/>
                <w:szCs w:val="12"/>
                <w:color w:val="auto"/>
              </w:rPr>
              <w:t>Subtotal</w:t>
            </w: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(37,441)</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(37,441)</w:t>
            </w:r>
          </w:p>
        </w:tc>
        <w:tc>
          <w:tcPr>
            <w:tcW w:w="0" w:type="dxa"/>
            <w:vAlign w:val="bottom"/>
          </w:tcPr>
          <w:p>
            <w:pPr>
              <w:spacing w:after="0"/>
              <w:rPr>
                <w:sz w:val="1"/>
                <w:szCs w:val="1"/>
                <w:color w:val="auto"/>
              </w:rPr>
            </w:pPr>
          </w:p>
        </w:tc>
      </w:tr>
      <w:tr>
        <w:trPr>
          <w:trHeight w:val="150"/>
        </w:trPr>
        <w:tc>
          <w:tcPr>
            <w:tcW w:w="5680" w:type="dxa"/>
            <w:vAlign w:val="bottom"/>
            <w:gridSpan w:val="3"/>
          </w:tcPr>
          <w:p>
            <w:pPr>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(43,242)</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w:t>
            </w: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(42,768)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5"/>
          </w:tcPr>
          <w:p>
            <w:pPr>
              <w:jc w:val="center"/>
              <w:ind w:right="300"/>
              <w:spacing w:after="0"/>
              <w:rPr>
                <w:sz w:val="20"/>
                <w:szCs w:val="20"/>
                <w:color w:val="auto"/>
              </w:rPr>
            </w:pPr>
            <w:r>
              <w:rPr>
                <w:rFonts w:ascii="Arial" w:cs="Arial" w:eastAsia="Arial" w:hAnsi="Arial"/>
                <w:sz w:val="10"/>
                <w:szCs w:val="10"/>
                <w:b w:val="1"/>
                <w:bCs w:val="1"/>
                <w:color w:val="auto"/>
                <w:w w:val="98"/>
              </w:rPr>
              <w:t>Gross Amounts Not Offset in Statements of Financial</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center"/>
              <w:ind w:left="822"/>
              <w:spacing w:after="0"/>
              <w:rPr>
                <w:sz w:val="20"/>
                <w:szCs w:val="20"/>
                <w:color w:val="auto"/>
              </w:rPr>
            </w:pPr>
            <w:r>
              <w:rPr>
                <w:rFonts w:ascii="Arial" w:cs="Arial" w:eastAsia="Arial" w:hAnsi="Arial"/>
                <w:sz w:val="10"/>
                <w:szCs w:val="10"/>
                <w:b w:val="1"/>
                <w:bCs w:val="1"/>
                <w:color w:val="auto"/>
                <w:w w:val="98"/>
              </w:rPr>
              <w:t>Condition</w:t>
            </w:r>
          </w:p>
        </w:tc>
        <w:tc>
          <w:tcPr>
            <w:tcW w:w="9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As of December 31, 2021</w:t>
            </w:r>
          </w:p>
        </w:tc>
        <w:tc>
          <w:tcPr>
            <w:tcW w:w="1440" w:type="dxa"/>
            <w:vAlign w:val="bottom"/>
            <w:gridSpan w:val="3"/>
          </w:tcPr>
          <w:p>
            <w:pPr>
              <w:ind w:left="20"/>
              <w:spacing w:after="0"/>
              <w:rPr>
                <w:sz w:val="20"/>
                <w:szCs w:val="20"/>
                <w:color w:val="auto"/>
              </w:rPr>
            </w:pPr>
            <w:r>
              <w:rPr>
                <w:rFonts w:ascii="Arial" w:cs="Arial" w:eastAsia="Arial" w:hAnsi="Arial"/>
                <w:sz w:val="10"/>
                <w:szCs w:val="10"/>
                <w:b w:val="1"/>
                <w:bCs w:val="1"/>
                <w:color w:val="auto"/>
              </w:rPr>
              <w:t>Gross Amounts of Assets</w:t>
            </w:r>
          </w:p>
        </w:tc>
        <w:tc>
          <w:tcPr>
            <w:tcW w:w="1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Derivative Assets</w:t>
            </w:r>
          </w:p>
        </w:tc>
        <w:tc>
          <w:tcPr>
            <w:tcW w:w="146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8"/>
              </w:rPr>
              <w:t>Cash Collateral Received</w:t>
            </w:r>
          </w:p>
        </w:tc>
        <w:tc>
          <w:tcPr>
            <w:tcW w:w="200" w:type="dxa"/>
            <w:vAlign w:val="bottom"/>
          </w:tcPr>
          <w:p>
            <w:pPr>
              <w:spacing w:after="0"/>
              <w:rPr>
                <w:sz w:val="18"/>
                <w:szCs w:val="18"/>
                <w:color w:val="auto"/>
              </w:rPr>
            </w:pPr>
          </w:p>
        </w:tc>
        <w:tc>
          <w:tcPr>
            <w:tcW w:w="1040" w:type="dxa"/>
            <w:vAlign w:val="bottom"/>
            <w:vMerge w:val="restart"/>
          </w:tcPr>
          <w:p>
            <w:pPr>
              <w:jc w:val="right"/>
              <w:ind w:right="281"/>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17"/>
        </w:trPr>
        <w:tc>
          <w:tcPr>
            <w:tcW w:w="56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ind w:left="20"/>
              <w:spacing w:after="0"/>
              <w:rPr>
                <w:sz w:val="20"/>
                <w:szCs w:val="20"/>
                <w:color w:val="auto"/>
              </w:rPr>
            </w:pPr>
            <w:r>
              <w:rPr>
                <w:rFonts w:ascii="Arial" w:cs="Arial" w:eastAsia="Arial" w:hAnsi="Arial"/>
                <w:sz w:val="10"/>
                <w:szCs w:val="10"/>
                <w:b w:val="1"/>
                <w:bCs w:val="1"/>
                <w:color w:val="auto"/>
              </w:rPr>
              <w:t>(Liabilities) Presented</w:t>
            </w:r>
          </w:p>
        </w:tc>
        <w:tc>
          <w:tcPr>
            <w:tcW w:w="100" w:type="dxa"/>
            <w:vAlign w:val="bottom"/>
          </w:tcPr>
          <w:p>
            <w:pPr>
              <w:spacing w:after="0"/>
              <w:rPr>
                <w:sz w:val="10"/>
                <w:szCs w:val="1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(Liabilities)</w:t>
            </w:r>
          </w:p>
        </w:tc>
        <w:tc>
          <w:tcPr>
            <w:tcW w:w="28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rPr>
              <w:t>(Pledged)</w:t>
            </w:r>
          </w:p>
        </w:tc>
        <w:tc>
          <w:tcPr>
            <w:tcW w:w="2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2"/>
                <w:szCs w:val="12"/>
                <w:b w:val="1"/>
                <w:bCs w:val="1"/>
                <w:color w:val="auto"/>
              </w:rPr>
              <w:t>Derivative Assets:</w:t>
            </w:r>
          </w:p>
        </w:tc>
        <w:tc>
          <w:tcPr>
            <w:tcW w:w="45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60" w:type="dxa"/>
            <w:vAlign w:val="bottom"/>
            <w:gridSpan w:val="2"/>
            <w:vMerge w:val="continue"/>
          </w:tcPr>
          <w:p>
            <w:pPr>
              <w:spacing w:after="0"/>
              <w:rPr>
                <w:sz w:val="11"/>
                <w:szCs w:val="11"/>
                <w:color w:val="auto"/>
              </w:rPr>
            </w:pPr>
          </w:p>
        </w:tc>
        <w:tc>
          <w:tcPr>
            <w:tcW w:w="4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Foreign-currency forward contracts</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11,213</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404</w:t>
            </w:r>
          </w:p>
        </w:tc>
        <w:tc>
          <w:tcPr>
            <w:tcW w:w="1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10,809</w:t>
            </w:r>
          </w:p>
        </w:tc>
        <w:tc>
          <w:tcPr>
            <w:tcW w:w="0" w:type="dxa"/>
            <w:vAlign w:val="bottom"/>
          </w:tcPr>
          <w:p>
            <w:pPr>
              <w:spacing w:after="0"/>
              <w:rPr>
                <w:sz w:val="1"/>
                <w:szCs w:val="1"/>
                <w:color w:val="auto"/>
              </w:rPr>
            </w:pPr>
          </w:p>
        </w:tc>
      </w:tr>
      <w:tr>
        <w:trPr>
          <w:trHeight w:val="139"/>
        </w:trPr>
        <w:tc>
          <w:tcPr>
            <w:tcW w:w="5680" w:type="dxa"/>
            <w:vAlign w:val="bottom"/>
            <w:gridSpan w:val="3"/>
          </w:tcPr>
          <w:p>
            <w:pPr>
              <w:ind w:left="120"/>
              <w:spacing w:after="0"/>
              <w:rPr>
                <w:sz w:val="20"/>
                <w:szCs w:val="20"/>
                <w:color w:val="auto"/>
              </w:rPr>
            </w:pPr>
            <w:r>
              <w:rPr>
                <w:rFonts w:ascii="Arial" w:cs="Arial" w:eastAsia="Arial" w:hAnsi="Arial"/>
                <w:sz w:val="12"/>
                <w:szCs w:val="12"/>
                <w:i w:val="1"/>
                <w:iCs w:val="1"/>
                <w:color w:val="auto"/>
              </w:rPr>
              <w:t>Derivative assets of consolidated funds:</w:t>
            </w: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Foreign-currency forward contracts</w:t>
            </w:r>
          </w:p>
        </w:tc>
        <w:tc>
          <w:tcPr>
            <w:tcW w:w="1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5,062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5,062</w:t>
            </w: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Total-return and interest-rate and credit default swaps</w:t>
            </w:r>
          </w:p>
        </w:tc>
        <w:tc>
          <w:tcPr>
            <w:tcW w:w="1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1,162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1,162</w:t>
            </w: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Options and futures</w:t>
            </w:r>
          </w:p>
        </w:tc>
        <w:tc>
          <w:tcPr>
            <w:tcW w:w="1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509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509</w:t>
            </w:r>
          </w:p>
        </w:tc>
        <w:tc>
          <w:tcPr>
            <w:tcW w:w="0" w:type="dxa"/>
            <w:vAlign w:val="bottom"/>
          </w:tcPr>
          <w:p>
            <w:pPr>
              <w:spacing w:after="0"/>
              <w:rPr>
                <w:sz w:val="1"/>
                <w:szCs w:val="1"/>
                <w:color w:val="auto"/>
              </w:rPr>
            </w:pPr>
          </w:p>
        </w:tc>
      </w:tr>
      <w:tr>
        <w:trPr>
          <w:trHeight w:val="154"/>
        </w:trPr>
        <w:tc>
          <w:tcPr>
            <w:tcW w:w="5680" w:type="dxa"/>
            <w:vAlign w:val="bottom"/>
            <w:gridSpan w:val="3"/>
          </w:tcPr>
          <w:p>
            <w:pPr>
              <w:ind w:left="260"/>
              <w:spacing w:after="0"/>
              <w:rPr>
                <w:sz w:val="20"/>
                <w:szCs w:val="20"/>
                <w:color w:val="auto"/>
              </w:rPr>
            </w:pPr>
            <w:r>
              <w:rPr>
                <w:rFonts w:ascii="Arial" w:cs="Arial" w:eastAsia="Arial" w:hAnsi="Arial"/>
                <w:sz w:val="12"/>
                <w:szCs w:val="12"/>
                <w:color w:val="auto"/>
              </w:rPr>
              <w:t>Subtotal</w:t>
            </w: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6,733</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6,733</w:t>
            </w:r>
          </w:p>
        </w:tc>
        <w:tc>
          <w:tcPr>
            <w:tcW w:w="0" w:type="dxa"/>
            <w:vAlign w:val="bottom"/>
          </w:tcPr>
          <w:p>
            <w:pPr>
              <w:spacing w:after="0"/>
              <w:rPr>
                <w:sz w:val="1"/>
                <w:szCs w:val="1"/>
                <w:color w:val="auto"/>
              </w:rPr>
            </w:pPr>
          </w:p>
        </w:tc>
      </w:tr>
      <w:tr>
        <w:trPr>
          <w:trHeight w:val="150"/>
        </w:trPr>
        <w:tc>
          <w:tcPr>
            <w:tcW w:w="5680" w:type="dxa"/>
            <w:vAlign w:val="bottom"/>
            <w:gridSpan w:val="3"/>
          </w:tcPr>
          <w:p>
            <w:pPr>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17,946</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404</w:t>
            </w: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17,542</w:t>
            </w: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Derivative Liabilities: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6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Foreign-currency forward contracts</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(536)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(404)</w:t>
            </w:r>
          </w:p>
        </w:tc>
        <w:tc>
          <w:tcPr>
            <w:tcW w:w="1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39"/>
        </w:trPr>
        <w:tc>
          <w:tcPr>
            <w:tcW w:w="5680" w:type="dxa"/>
            <w:vAlign w:val="bottom"/>
            <w:gridSpan w:val="3"/>
          </w:tcPr>
          <w:p>
            <w:pPr>
              <w:ind w:left="120"/>
              <w:spacing w:after="0"/>
              <w:rPr>
                <w:sz w:val="20"/>
                <w:szCs w:val="20"/>
                <w:color w:val="auto"/>
              </w:rPr>
            </w:pPr>
            <w:r>
              <w:rPr>
                <w:rFonts w:ascii="Arial" w:cs="Arial" w:eastAsia="Arial" w:hAnsi="Arial"/>
                <w:sz w:val="12"/>
                <w:szCs w:val="12"/>
                <w:i w:val="1"/>
                <w:iCs w:val="1"/>
                <w:color w:val="auto"/>
              </w:rPr>
              <w:t>Derivative liabilities of consolidated funds:</w:t>
            </w: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Foreign-currency forward contracts</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(886)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(886)</w:t>
            </w: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Total-return and interest-rate and credit default swaps</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(4,335)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(4,335)</w:t>
            </w:r>
          </w:p>
        </w:tc>
        <w:tc>
          <w:tcPr>
            <w:tcW w:w="0" w:type="dxa"/>
            <w:vAlign w:val="bottom"/>
          </w:tcPr>
          <w:p>
            <w:pPr>
              <w:spacing w:after="0"/>
              <w:rPr>
                <w:sz w:val="1"/>
                <w:szCs w:val="1"/>
                <w:color w:val="auto"/>
              </w:rPr>
            </w:pPr>
          </w:p>
        </w:tc>
      </w:tr>
      <w:tr>
        <w:trPr>
          <w:trHeight w:val="159"/>
        </w:trPr>
        <w:tc>
          <w:tcPr>
            <w:tcW w:w="5680" w:type="dxa"/>
            <w:vAlign w:val="bottom"/>
            <w:gridSpan w:val="3"/>
          </w:tcPr>
          <w:p>
            <w:pPr>
              <w:spacing w:after="0"/>
              <w:rPr>
                <w:sz w:val="20"/>
                <w:szCs w:val="20"/>
                <w:color w:val="auto"/>
              </w:rPr>
            </w:pPr>
            <w:r>
              <w:rPr>
                <w:rFonts w:ascii="Arial" w:cs="Arial" w:eastAsia="Arial" w:hAnsi="Arial"/>
                <w:sz w:val="12"/>
                <w:szCs w:val="12"/>
                <w:color w:val="auto"/>
              </w:rPr>
              <w:t>Warrants</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(6,626)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(6,626)</w:t>
            </w:r>
          </w:p>
        </w:tc>
        <w:tc>
          <w:tcPr>
            <w:tcW w:w="0" w:type="dxa"/>
            <w:vAlign w:val="bottom"/>
          </w:tcPr>
          <w:p>
            <w:pPr>
              <w:spacing w:after="0"/>
              <w:rPr>
                <w:sz w:val="1"/>
                <w:szCs w:val="1"/>
                <w:color w:val="auto"/>
              </w:rPr>
            </w:pPr>
          </w:p>
        </w:tc>
      </w:tr>
      <w:tr>
        <w:trPr>
          <w:trHeight w:val="154"/>
        </w:trPr>
        <w:tc>
          <w:tcPr>
            <w:tcW w:w="5680" w:type="dxa"/>
            <w:vAlign w:val="bottom"/>
            <w:gridSpan w:val="3"/>
          </w:tcPr>
          <w:p>
            <w:pPr>
              <w:ind w:left="260"/>
              <w:spacing w:after="0"/>
              <w:rPr>
                <w:sz w:val="20"/>
                <w:szCs w:val="20"/>
                <w:color w:val="auto"/>
              </w:rPr>
            </w:pPr>
            <w:r>
              <w:rPr>
                <w:rFonts w:ascii="Arial" w:cs="Arial" w:eastAsia="Arial" w:hAnsi="Arial"/>
                <w:sz w:val="12"/>
                <w:szCs w:val="12"/>
                <w:color w:val="auto"/>
              </w:rPr>
              <w:t>Subtotal</w:t>
            </w: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(11,847)</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(11,847)</w:t>
            </w:r>
          </w:p>
        </w:tc>
        <w:tc>
          <w:tcPr>
            <w:tcW w:w="0" w:type="dxa"/>
            <w:vAlign w:val="bottom"/>
          </w:tcPr>
          <w:p>
            <w:pPr>
              <w:spacing w:after="0"/>
              <w:rPr>
                <w:sz w:val="1"/>
                <w:szCs w:val="1"/>
                <w:color w:val="auto"/>
              </w:rPr>
            </w:pPr>
          </w:p>
        </w:tc>
      </w:tr>
      <w:tr>
        <w:trPr>
          <w:trHeight w:val="150"/>
        </w:trPr>
        <w:tc>
          <w:tcPr>
            <w:tcW w:w="5680" w:type="dxa"/>
            <w:vAlign w:val="bottom"/>
            <w:gridSpan w:val="3"/>
          </w:tcPr>
          <w:p>
            <w:pPr>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(12,383)</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(404)</w:t>
            </w: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(11,979)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45" w:name="page46"/>
    <w:bookmarkEnd w:id="45"/>
    <w:p>
      <w:pPr>
        <w:jc w:val="center"/>
        <w:ind w:right="80"/>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6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8. DEBT OBLIGATIONS AND CREDIT FACILITIES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Oaktree Capital I Debt Obligations</w:t>
      </w:r>
    </w:p>
    <w:p>
      <w:pPr>
        <w:spacing w:after="0" w:line="134"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On March 30, 2022, Oaktree Capital I entered into a note and guaranty agreement with certain accredited investors pursuant to which Oaktree Capital I agreed to issue and sell to such investors €50 million of its 2.20% Senior Notes, Series A, due 2032, €75 million of its 2.40% Senior Notes, Series B, due 2034, and €75 million of its 2.58% Senior Notes, Series C, due 2037. These notes are senior unsecured obligations of Oaktree Capital I, a consolidated subsidiary of the Company, and jointly and severally guaranteed by OCM, Oaktree Capital II, L,P. (“Oaktree Capital II”) and Oaktree AIF Investments, L.P. (“Oaktree AIF”). The offering closed on June 8, 2022 and Oaktree Capital I received proceeds of €200 million on the closing date.</w:t>
      </w:r>
    </w:p>
    <w:p>
      <w:pPr>
        <w:spacing w:after="0" w:line="129" w:lineRule="exact"/>
        <w:rPr>
          <w:sz w:val="20"/>
          <w:szCs w:val="20"/>
          <w:color w:val="auto"/>
        </w:rPr>
      </w:pPr>
    </w:p>
    <w:tbl>
      <w:tblPr>
        <w:tblLayout w:type="fixed"/>
        <w:tblInd w:w="520" w:type="dxa"/>
        <w:tblCellMar>
          <w:top w:w="0" w:type="dxa"/>
          <w:left w:w="0" w:type="dxa"/>
          <w:bottom w:w="0" w:type="dxa"/>
          <w:right w:w="0" w:type="dxa"/>
        </w:tblCellMar>
      </w:tblPr>
      <w:tr>
        <w:trPr>
          <w:trHeight w:val="139"/>
        </w:trPr>
        <w:tc>
          <w:tcPr>
            <w:tcW w:w="80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3"/>
          </w:tcPr>
          <w:p>
            <w:pPr>
              <w:jc w:val="right"/>
              <w:ind w:right="1139"/>
              <w:spacing w:after="0"/>
              <w:rPr>
                <w:sz w:val="20"/>
                <w:szCs w:val="20"/>
                <w:color w:val="auto"/>
              </w:rPr>
            </w:pPr>
            <w:r>
              <w:rPr>
                <w:rFonts w:ascii="Arial" w:cs="Arial" w:eastAsia="Arial" w:hAnsi="Arial"/>
                <w:sz w:val="10"/>
                <w:szCs w:val="10"/>
                <w:b w:val="1"/>
                <w:bCs w:val="1"/>
                <w:color w:val="auto"/>
              </w:rPr>
              <w:t>As of</w:t>
            </w:r>
          </w:p>
        </w:tc>
        <w:tc>
          <w:tcPr>
            <w:tcW w:w="0" w:type="dxa"/>
            <w:vAlign w:val="bottom"/>
          </w:tcPr>
          <w:p>
            <w:pPr>
              <w:spacing w:after="0"/>
              <w:rPr>
                <w:sz w:val="1"/>
                <w:szCs w:val="1"/>
                <w:color w:val="auto"/>
              </w:rPr>
            </w:pPr>
          </w:p>
        </w:tc>
      </w:tr>
      <w:tr>
        <w:trPr>
          <w:trHeight w:val="129"/>
        </w:trPr>
        <w:tc>
          <w:tcPr>
            <w:tcW w:w="8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ind w:left="140"/>
              <w:spacing w:after="0"/>
              <w:rPr>
                <w:sz w:val="20"/>
                <w:szCs w:val="20"/>
                <w:color w:val="auto"/>
              </w:rPr>
            </w:pPr>
            <w:r>
              <w:rPr>
                <w:rFonts w:ascii="Arial" w:cs="Arial" w:eastAsia="Arial" w:hAnsi="Arial"/>
                <w:sz w:val="10"/>
                <w:szCs w:val="10"/>
                <w:b w:val="1"/>
                <w:bCs w:val="1"/>
                <w:color w:val="auto"/>
              </w:rPr>
              <w:t>June 30, 2022</w:t>
            </w:r>
          </w:p>
        </w:tc>
        <w:tc>
          <w:tcPr>
            <w:tcW w:w="1260" w:type="dxa"/>
            <w:vAlign w:val="bottom"/>
          </w:tcPr>
          <w:p>
            <w:pPr>
              <w:jc w:val="right"/>
              <w:ind w:right="39"/>
              <w:spacing w:after="0"/>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150"/>
        </w:trPr>
        <w:tc>
          <w:tcPr>
            <w:tcW w:w="8020" w:type="dxa"/>
            <w:vAlign w:val="bottom"/>
          </w:tcPr>
          <w:p>
            <w:pPr>
              <w:spacing w:after="0"/>
              <w:rPr>
                <w:sz w:val="20"/>
                <w:szCs w:val="20"/>
                <w:color w:val="auto"/>
              </w:rPr>
            </w:pPr>
            <w:r>
              <w:rPr>
                <w:rFonts w:ascii="Arial" w:cs="Arial" w:eastAsia="Arial" w:hAnsi="Arial"/>
                <w:sz w:val="13"/>
                <w:szCs w:val="13"/>
                <w:color w:val="auto"/>
              </w:rPr>
              <w:t>Senior unsecured notes</w:t>
            </w:r>
          </w:p>
        </w:tc>
        <w:tc>
          <w:tcPr>
            <w:tcW w:w="2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53,724</w:t>
            </w:r>
          </w:p>
        </w:tc>
        <w:tc>
          <w:tcPr>
            <w:tcW w:w="160" w:type="dxa"/>
            <w:vAlign w:val="bottom"/>
          </w:tcPr>
          <w:p>
            <w:pPr>
              <w:spacing w:after="0"/>
              <w:rPr>
                <w:sz w:val="13"/>
                <w:szCs w:val="13"/>
                <w:color w:val="auto"/>
              </w:rPr>
            </w:pPr>
          </w:p>
        </w:tc>
        <w:tc>
          <w:tcPr>
            <w:tcW w:w="1260" w:type="dxa"/>
            <w:vAlign w:val="bottom"/>
            <w:tcBorders>
              <w:top w:val="single" w:sz="8" w:color="auto"/>
            </w:tcBorders>
            <w:vMerge w:val="restart"/>
          </w:tcPr>
          <w:p>
            <w:pPr>
              <w:jc w:val="right"/>
              <w:ind w:right="109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8020" w:type="dxa"/>
            <w:vAlign w:val="bottom"/>
            <w:vMerge w:val="restart"/>
          </w:tcPr>
          <w:p>
            <w:pPr>
              <w:spacing w:after="0"/>
              <w:rPr>
                <w:sz w:val="20"/>
                <w:szCs w:val="20"/>
                <w:color w:val="auto"/>
              </w:rPr>
            </w:pPr>
            <w:r>
              <w:rPr>
                <w:rFonts w:ascii="Arial" w:cs="Arial" w:eastAsia="Arial" w:hAnsi="Arial"/>
                <w:sz w:val="13"/>
                <w:szCs w:val="13"/>
                <w:color w:val="auto"/>
              </w:rPr>
              <w:t>€50,000, 2.20%, issued in June 2022, payable on June 8, 2032</w:t>
            </w:r>
          </w:p>
        </w:tc>
        <w:tc>
          <w:tcPr>
            <w:tcW w:w="2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80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020" w:type="dxa"/>
            <w:vAlign w:val="bottom"/>
            <w:vMerge w:val="restart"/>
          </w:tcPr>
          <w:p>
            <w:pPr>
              <w:spacing w:after="0"/>
              <w:rPr>
                <w:sz w:val="20"/>
                <w:szCs w:val="20"/>
                <w:color w:val="auto"/>
              </w:rPr>
            </w:pPr>
            <w:r>
              <w:rPr>
                <w:rFonts w:ascii="Arial" w:cs="Arial" w:eastAsia="Arial" w:hAnsi="Arial"/>
                <w:sz w:val="13"/>
                <w:szCs w:val="13"/>
                <w:color w:val="auto"/>
              </w:rPr>
              <w:t>€75,000, 2.40%, issued in June 2022, payable on June 8, 2034</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80,586</w:t>
            </w:r>
          </w:p>
        </w:tc>
        <w:tc>
          <w:tcPr>
            <w:tcW w:w="160" w:type="dxa"/>
            <w:vAlign w:val="bottom"/>
          </w:tcPr>
          <w:p>
            <w:pPr>
              <w:spacing w:after="0"/>
              <w:rPr>
                <w:sz w:val="15"/>
                <w:szCs w:val="15"/>
                <w:color w:val="auto"/>
              </w:rPr>
            </w:pPr>
          </w:p>
        </w:tc>
        <w:tc>
          <w:tcPr>
            <w:tcW w:w="1260" w:type="dxa"/>
            <w:vAlign w:val="bottom"/>
          </w:tcPr>
          <w:p>
            <w:pPr>
              <w:jc w:val="right"/>
              <w:ind w:right="109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80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8020" w:type="dxa"/>
            <w:vAlign w:val="bottom"/>
          </w:tcPr>
          <w:p>
            <w:pPr>
              <w:spacing w:after="0"/>
              <w:rPr>
                <w:sz w:val="20"/>
                <w:szCs w:val="20"/>
                <w:color w:val="auto"/>
              </w:rPr>
            </w:pPr>
            <w:r>
              <w:rPr>
                <w:rFonts w:ascii="Arial" w:cs="Arial" w:eastAsia="Arial" w:hAnsi="Arial"/>
                <w:sz w:val="13"/>
                <w:szCs w:val="13"/>
                <w:color w:val="auto"/>
              </w:rPr>
              <w:t>€75,000, 2.58%, issued in June 2022, payable on June 8, 2037</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80,586</w:t>
            </w:r>
          </w:p>
        </w:tc>
        <w:tc>
          <w:tcPr>
            <w:tcW w:w="160" w:type="dxa"/>
            <w:vAlign w:val="bottom"/>
          </w:tcPr>
          <w:p>
            <w:pPr>
              <w:spacing w:after="0"/>
              <w:rPr>
                <w:sz w:val="24"/>
                <w:szCs w:val="24"/>
                <w:color w:val="auto"/>
              </w:rPr>
            </w:pPr>
          </w:p>
        </w:tc>
        <w:tc>
          <w:tcPr>
            <w:tcW w:w="1260" w:type="dxa"/>
            <w:vAlign w:val="bottom"/>
          </w:tcPr>
          <w:p>
            <w:pPr>
              <w:jc w:val="right"/>
              <w:ind w:right="109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8020" w:type="dxa"/>
            <w:vAlign w:val="bottom"/>
          </w:tcPr>
          <w:p>
            <w:pPr>
              <w:spacing w:after="0"/>
              <w:rPr>
                <w:sz w:val="20"/>
                <w:szCs w:val="20"/>
                <w:color w:val="auto"/>
              </w:rPr>
            </w:pPr>
            <w:r>
              <w:rPr>
                <w:rFonts w:ascii="Arial" w:cs="Arial" w:eastAsia="Arial" w:hAnsi="Arial"/>
                <w:sz w:val="13"/>
                <w:szCs w:val="13"/>
                <w:color w:val="auto"/>
              </w:rPr>
              <w:t>Less: Debt issuance costs</w:t>
            </w: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(1,142)</w:t>
            </w:r>
          </w:p>
        </w:tc>
        <w:tc>
          <w:tcPr>
            <w:tcW w:w="160" w:type="dxa"/>
            <w:vAlign w:val="bottom"/>
          </w:tcPr>
          <w:p>
            <w:pPr>
              <w:spacing w:after="0"/>
              <w:rPr>
                <w:sz w:val="15"/>
                <w:szCs w:val="15"/>
                <w:color w:val="auto"/>
              </w:rPr>
            </w:pPr>
          </w:p>
        </w:tc>
        <w:tc>
          <w:tcPr>
            <w:tcW w:w="1260" w:type="dxa"/>
            <w:vAlign w:val="bottom"/>
            <w:tcBorders>
              <w:bottom w:val="single" w:sz="8" w:color="auto"/>
            </w:tcBorders>
          </w:tcPr>
          <w:p>
            <w:pPr>
              <w:jc w:val="right"/>
              <w:ind w:right="109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20"/>
                <w:szCs w:val="20"/>
                <w:color w:val="auto"/>
              </w:rPr>
            </w:pPr>
            <w:r>
              <w:rPr>
                <w:rFonts w:ascii="Arial" w:cs="Arial" w:eastAsia="Arial" w:hAnsi="Arial"/>
                <w:sz w:val="13"/>
                <w:szCs w:val="13"/>
                <w:color w:val="auto"/>
              </w:rPr>
              <w:t>Total debt obligations, net</w:t>
            </w: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213,754</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right"/>
              <w:ind w:right="109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Oaktree Capital I Guaranty Agreements</w:t>
      </w:r>
    </w:p>
    <w:p>
      <w:pPr>
        <w:spacing w:after="0" w:line="134"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OCM, Oaktree Capital I, Oaktree Capital II and Oaktree AIF are co-obligors and jointly and severally liable for all debt obligations listed below, however, debt obligations are reflected in the condensed consolidated financial statements based upon the entity that actually made the borrowing and received the related proceeds. Prior to 2022, OCM had historically been the only direct borrower or issuer under credit agreements and private placement notes with third parties and made all payments of principal and interest. The Company’s financial statements after the Restructuring generally will not reflect debt obligations, interest expense or related liabilities associated with OCM, Oaktree Capital II and Oaktree AIF.</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May 20, 2020, OCM entered into a note and guaranty agreement with certain accredited investors pursuant to which OCM agreed to issue and sell to such investors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$250 million of senior unsecured notes that bear a blended 3.68% fixed rate of interest and a weighted average maturity of 2031. These notes are guaranteed by Oaktree Capital I,</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 consolidated subsidiary of the Company, along with Oaktree Capital II and Oaktree AIF, as co-obligors. The offering closed on July 22, 2020 and OCM received proceeds of</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$250 million on the closing date. As OCM is the issuer of such senior notes, the outstanding principal and interest payments guaranteed by Oaktree Capital I will not be included in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the Company’s financial statements unless an event of default occurs.</w:t>
      </w:r>
    </w:p>
    <w:p>
      <w:pPr>
        <w:spacing w:after="0" w:line="12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4"/>
          <w:szCs w:val="14"/>
          <w:color w:val="auto"/>
        </w:rPr>
        <w:t>Oaktree Capital I, along with certain other Oaktree Operating Group members as co-borrowers, are parties to a credit agreement with a subsidiary of Brookfield that provides for a subordinated credit facility maturing on May 19, 2023. The subordinated credit facility has a revolving loan commitment of $250 million and borrowings generally bear interest at a spread to either LIBOR or an alternative base rate. Borrowings on the subordinated credit facility are subordinate to the outstanding debt obligations and borrowings on the primary credit facility of Oaktree Capital I and its co-borrowers. Oaktree Capital I is jointly and severally liable, along with its co-obligors for outstanding borrowings on the subordinated credit facility. The Company’s financial statements generally will not reflect debt obligations, interest expense or related liabilities associated with the subordinated credit facility until such time as Oaktree Capital I directly borrows from it. In March 2022, this credit facility was amended to extend the revolving credit maturity date from May 19, 2023 to September 14, 2026. No amounts were outstanding on the subordinated credit facility as of June 30, 2022.</w:t>
      </w: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31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ind w:right="160" w:firstLine="509"/>
        <w:spacing w:after="0" w:line="262" w:lineRule="auto"/>
        <w:rPr>
          <w:sz w:val="20"/>
          <w:szCs w:val="20"/>
          <w:color w:val="auto"/>
        </w:rPr>
      </w:pPr>
      <w:r>
        <w:rPr>
          <w:rFonts w:ascii="Arial" w:cs="Arial" w:eastAsia="Arial" w:hAnsi="Arial"/>
          <w:sz w:val="14"/>
          <w:szCs w:val="14"/>
          <w:color w:val="auto"/>
        </w:rPr>
        <w:t>On November 4, 2021, OCM entered into a note and guaranty agreement with certain accredited investors pursuant to which OCM agreed to issue and sell to such investors $200 million aggregate principal amount of its 3.06% Senior Notes due January 12, 2037. These notes are guaranteed by Oaktree Capital I, a consolidated subsidiary of the Company, along with Oaktree Capital II and Oaktree AIF, as co-obligors. The offering closed on January 12, 2022 and OCM received proceeds of $200 million on the closing date. As OCM is the issuer of such notes, the outstanding principal and interest payments guaranteed by Oaktree Capital I will not be included in the Company’s financial statements unless an event of default occurs.</w:t>
      </w:r>
    </w:p>
    <w:p>
      <w:pPr>
        <w:spacing w:after="0" w:line="9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4"/>
          <w:szCs w:val="14"/>
          <w:color w:val="auto"/>
        </w:rPr>
        <w:t>Oaktree has a credit facility with a credit limit of $650 million. Based on the current credit ratings of OCM, the interest rate on borrowings is LIBOR plus 1.00% per annum and the commitment fee on the unused portions of the revolving credit facility is 0.10% per annum. The credit facility was amended on September 14, 2021 to among other things,</w:t>
      </w:r>
    </w:p>
    <w:p>
      <w:pPr>
        <w:spacing w:after="0" w:line="1" w:lineRule="exact"/>
        <w:rPr>
          <w:sz w:val="20"/>
          <w:szCs w:val="20"/>
          <w:color w:val="auto"/>
        </w:rPr>
      </w:pPr>
    </w:p>
    <w:p>
      <w:pPr>
        <w:ind w:right="640" w:firstLine="5"/>
        <w:spacing w:after="0" w:line="269" w:lineRule="auto"/>
        <w:tabs>
          <w:tab w:leader="none" w:pos="165"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extend the maturity date from December 13, 2024 to September 14, 2026, (ii) modify the assets under management covenant threshold from $65 billion of assets under management to $57.5 billion of management-fee generating assets under management and (iii) increase the maximum leverage ratio to 4.00 to 1.00.</w:t>
      </w:r>
    </w:p>
    <w:p>
      <w:pPr>
        <w:spacing w:after="0" w:line="92" w:lineRule="exact"/>
        <w:rPr>
          <w:sz w:val="20"/>
          <w:szCs w:val="20"/>
          <w:color w:val="auto"/>
        </w:rPr>
      </w:pPr>
    </w:p>
    <w:p>
      <w:pPr>
        <w:ind w:right="240" w:firstLine="509"/>
        <w:spacing w:after="0" w:line="264" w:lineRule="auto"/>
        <w:rPr>
          <w:sz w:val="20"/>
          <w:szCs w:val="20"/>
          <w:color w:val="auto"/>
        </w:rPr>
      </w:pPr>
      <w:r>
        <w:rPr>
          <w:rFonts w:ascii="Arial" w:cs="Arial" w:eastAsia="Arial" w:hAnsi="Arial"/>
          <w:sz w:val="14"/>
          <w:szCs w:val="14"/>
          <w:color w:val="auto"/>
        </w:rPr>
        <w:t>As of June 30, 2022, OCM had no outstanding borrowings under the revolving credit facility. OCM and the Company were in compliance with all financial maintenance covenants associated with its senior notes and bank credit facility as of June 30, 2022 and December 31, 2021, respectively. As of June 30, 2022, Oaktree Capital I is jointly and severally liable, along with its co-obligors, for the debt obligations listed below with an aggregate outstanding principal balance of $1,050 million. The Company’s maximum exposure to these debt obligations is set forth below:</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8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w w:val="95"/>
              </w:rPr>
              <w:t>As of</w:t>
            </w:r>
          </w:p>
        </w:tc>
        <w:tc>
          <w:tcPr>
            <w:tcW w:w="1080" w:type="dxa"/>
            <w:vAlign w:val="bottom"/>
            <w:tcBorders>
              <w:bottom w:val="single" w:sz="8" w:color="auto"/>
            </w:tcBorders>
          </w:tcPr>
          <w:p>
            <w:pPr>
              <w:spacing w:after="0"/>
              <w:rPr>
                <w:sz w:val="12"/>
                <w:szCs w:val="12"/>
                <w:color w:val="auto"/>
              </w:rPr>
            </w:pPr>
          </w:p>
        </w:tc>
      </w:tr>
      <w:tr>
        <w:trPr>
          <w:trHeight w:val="129"/>
        </w:trPr>
        <w:tc>
          <w:tcPr>
            <w:tcW w:w="86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June 30, 2022</w:t>
            </w:r>
          </w:p>
        </w:tc>
        <w:tc>
          <w:tcPr>
            <w:tcW w:w="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9"/>
              </w:rPr>
              <w:t>December 31, 2021</w:t>
            </w:r>
          </w:p>
        </w:tc>
      </w:tr>
      <w:tr>
        <w:trPr>
          <w:trHeight w:val="150"/>
        </w:trPr>
        <w:tc>
          <w:tcPr>
            <w:tcW w:w="8680" w:type="dxa"/>
            <w:vAlign w:val="bottom"/>
          </w:tcPr>
          <w:p>
            <w:pPr>
              <w:spacing w:after="0"/>
              <w:rPr>
                <w:sz w:val="20"/>
                <w:szCs w:val="20"/>
                <w:color w:val="auto"/>
              </w:rPr>
            </w:pPr>
            <w:r>
              <w:rPr>
                <w:rFonts w:ascii="Arial" w:cs="Arial" w:eastAsia="Arial" w:hAnsi="Arial"/>
                <w:sz w:val="13"/>
                <w:szCs w:val="13"/>
                <w:color w:val="auto"/>
              </w:rPr>
              <w:t>Senior unsecured notes</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8680" w:type="dxa"/>
            <w:vAlign w:val="bottom"/>
          </w:tcPr>
          <w:p>
            <w:pPr>
              <w:spacing w:after="0"/>
              <w:rPr>
                <w:sz w:val="20"/>
                <w:szCs w:val="20"/>
                <w:color w:val="auto"/>
              </w:rPr>
            </w:pPr>
            <w:r>
              <w:rPr>
                <w:rFonts w:ascii="Arial" w:cs="Arial" w:eastAsia="Arial" w:hAnsi="Arial"/>
                <w:sz w:val="13"/>
                <w:szCs w:val="13"/>
                <w:color w:val="auto"/>
              </w:rPr>
              <w:t>$50,000, 3.91%, issued in September 2014, payable on September 3, 2024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50,000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50,000</w:t>
            </w:r>
          </w:p>
        </w:tc>
      </w:tr>
      <w:tr>
        <w:trPr>
          <w:trHeight w:val="170"/>
        </w:trPr>
        <w:tc>
          <w:tcPr>
            <w:tcW w:w="8680" w:type="dxa"/>
            <w:vAlign w:val="bottom"/>
          </w:tcPr>
          <w:p>
            <w:pPr>
              <w:spacing w:after="0"/>
              <w:rPr>
                <w:sz w:val="20"/>
                <w:szCs w:val="20"/>
                <w:color w:val="auto"/>
              </w:rPr>
            </w:pPr>
            <w:r>
              <w:rPr>
                <w:rFonts w:ascii="Arial" w:cs="Arial" w:eastAsia="Arial" w:hAnsi="Arial"/>
                <w:sz w:val="13"/>
                <w:szCs w:val="13"/>
                <w:color w:val="auto"/>
              </w:rPr>
              <w:t>$100,000, 4.01%, issued in September 2014, payable on September 3, 2026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100,000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100,000</w:t>
            </w:r>
          </w:p>
        </w:tc>
      </w:tr>
      <w:tr>
        <w:trPr>
          <w:trHeight w:val="170"/>
        </w:trPr>
        <w:tc>
          <w:tcPr>
            <w:tcW w:w="8680" w:type="dxa"/>
            <w:vAlign w:val="bottom"/>
          </w:tcPr>
          <w:p>
            <w:pPr>
              <w:spacing w:after="0"/>
              <w:rPr>
                <w:sz w:val="20"/>
                <w:szCs w:val="20"/>
                <w:color w:val="auto"/>
              </w:rPr>
            </w:pPr>
            <w:r>
              <w:rPr>
                <w:rFonts w:ascii="Arial" w:cs="Arial" w:eastAsia="Arial" w:hAnsi="Arial"/>
                <w:sz w:val="13"/>
                <w:szCs w:val="13"/>
                <w:color w:val="auto"/>
              </w:rPr>
              <w:t>$100,000, 4.21%, issued in September 2014, payable on September 3, 2029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100,000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100,000</w:t>
            </w:r>
          </w:p>
        </w:tc>
      </w:tr>
      <w:tr>
        <w:trPr>
          <w:trHeight w:val="170"/>
        </w:trPr>
        <w:tc>
          <w:tcPr>
            <w:tcW w:w="8680" w:type="dxa"/>
            <w:vAlign w:val="bottom"/>
          </w:tcPr>
          <w:p>
            <w:pPr>
              <w:spacing w:after="0"/>
              <w:rPr>
                <w:sz w:val="20"/>
                <w:szCs w:val="20"/>
                <w:color w:val="auto"/>
              </w:rPr>
            </w:pPr>
            <w:r>
              <w:rPr>
                <w:rFonts w:ascii="Arial" w:cs="Arial" w:eastAsia="Arial" w:hAnsi="Arial"/>
                <w:sz w:val="13"/>
                <w:szCs w:val="13"/>
                <w:color w:val="auto"/>
              </w:rPr>
              <w:t>$100,000, 3.69%, issued in July 2016, payable on July 12, 2031</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100,000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100,000</w:t>
            </w:r>
          </w:p>
        </w:tc>
      </w:tr>
      <w:tr>
        <w:trPr>
          <w:trHeight w:val="170"/>
        </w:trPr>
        <w:tc>
          <w:tcPr>
            <w:tcW w:w="8680" w:type="dxa"/>
            <w:vAlign w:val="bottom"/>
          </w:tcPr>
          <w:p>
            <w:pPr>
              <w:spacing w:after="0"/>
              <w:rPr>
                <w:sz w:val="20"/>
                <w:szCs w:val="20"/>
                <w:color w:val="auto"/>
              </w:rPr>
            </w:pPr>
            <w:r>
              <w:rPr>
                <w:rFonts w:ascii="Arial" w:cs="Arial" w:eastAsia="Arial" w:hAnsi="Arial"/>
                <w:sz w:val="13"/>
                <w:szCs w:val="13"/>
                <w:color w:val="auto"/>
              </w:rPr>
              <w:t>$250,000, 3.78%, issued in December 2017, payable on December 18, 2032</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250,000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250,000</w:t>
            </w:r>
          </w:p>
        </w:tc>
      </w:tr>
      <w:tr>
        <w:trPr>
          <w:trHeight w:val="170"/>
        </w:trPr>
        <w:tc>
          <w:tcPr>
            <w:tcW w:w="8680" w:type="dxa"/>
            <w:vAlign w:val="bottom"/>
          </w:tcPr>
          <w:p>
            <w:pPr>
              <w:spacing w:after="0"/>
              <w:rPr>
                <w:sz w:val="20"/>
                <w:szCs w:val="20"/>
                <w:color w:val="auto"/>
              </w:rPr>
            </w:pPr>
            <w:r>
              <w:rPr>
                <w:rFonts w:ascii="Arial" w:cs="Arial" w:eastAsia="Arial" w:hAnsi="Arial"/>
                <w:sz w:val="13"/>
                <w:szCs w:val="13"/>
                <w:color w:val="auto"/>
              </w:rPr>
              <w:t>$200,000, 3.64%, issued in July 2020, payable on July 22, 2030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200,000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200,000</w:t>
            </w:r>
          </w:p>
        </w:tc>
      </w:tr>
      <w:tr>
        <w:trPr>
          <w:trHeight w:val="170"/>
        </w:trPr>
        <w:tc>
          <w:tcPr>
            <w:tcW w:w="8680" w:type="dxa"/>
            <w:vAlign w:val="bottom"/>
          </w:tcPr>
          <w:p>
            <w:pPr>
              <w:spacing w:after="0"/>
              <w:rPr>
                <w:sz w:val="20"/>
                <w:szCs w:val="20"/>
                <w:color w:val="auto"/>
              </w:rPr>
            </w:pPr>
            <w:r>
              <w:rPr>
                <w:rFonts w:ascii="Arial" w:cs="Arial" w:eastAsia="Arial" w:hAnsi="Arial"/>
                <w:sz w:val="13"/>
                <w:szCs w:val="13"/>
                <w:color w:val="auto"/>
              </w:rPr>
              <w:t>$50,000, 3.84%, issued in July 2020, payable on July 22, 2035</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50,000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50,000</w:t>
            </w:r>
          </w:p>
        </w:tc>
      </w:tr>
      <w:tr>
        <w:trPr>
          <w:trHeight w:val="170"/>
        </w:trPr>
        <w:tc>
          <w:tcPr>
            <w:tcW w:w="8680" w:type="dxa"/>
            <w:vAlign w:val="bottom"/>
          </w:tcPr>
          <w:p>
            <w:pPr>
              <w:spacing w:after="0"/>
              <w:rPr>
                <w:sz w:val="20"/>
                <w:szCs w:val="20"/>
                <w:color w:val="auto"/>
              </w:rPr>
            </w:pPr>
            <w:r>
              <w:rPr>
                <w:rFonts w:ascii="Arial" w:cs="Arial" w:eastAsia="Arial" w:hAnsi="Arial"/>
                <w:sz w:val="13"/>
                <w:szCs w:val="13"/>
                <w:color w:val="auto"/>
              </w:rPr>
              <w:t>$200,000, 3.06%, issued in January 2022, payable on January 12, 2037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200,000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680" w:type="dxa"/>
            <w:vAlign w:val="bottom"/>
          </w:tcPr>
          <w:p>
            <w:pPr>
              <w:spacing w:after="0"/>
              <w:rPr>
                <w:sz w:val="20"/>
                <w:szCs w:val="20"/>
                <w:color w:val="auto"/>
              </w:rPr>
            </w:pPr>
            <w:r>
              <w:rPr>
                <w:rFonts w:ascii="Arial" w:cs="Arial" w:eastAsia="Arial" w:hAnsi="Arial"/>
                <w:sz w:val="13"/>
                <w:szCs w:val="13"/>
                <w:color w:val="auto"/>
              </w:rPr>
              <w:t>Credit facility, issued in March 2014, variable rate obligations payable on September 14, 2026</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55,000</w:t>
            </w:r>
          </w:p>
        </w:tc>
      </w:tr>
      <w:tr>
        <w:trPr>
          <w:trHeight w:val="162"/>
        </w:trPr>
        <w:tc>
          <w:tcPr>
            <w:tcW w:w="8680" w:type="dxa"/>
            <w:vAlign w:val="bottom"/>
          </w:tcPr>
          <w:p>
            <w:pPr>
              <w:spacing w:after="0"/>
              <w:rPr>
                <w:sz w:val="20"/>
                <w:szCs w:val="20"/>
                <w:color w:val="auto"/>
              </w:rPr>
            </w:pPr>
            <w:r>
              <w:rPr>
                <w:rFonts w:ascii="Arial" w:cs="Arial" w:eastAsia="Arial" w:hAnsi="Arial"/>
                <w:sz w:val="13"/>
                <w:szCs w:val="13"/>
                <w:color w:val="auto"/>
              </w:rPr>
              <w:t>Total remaining principal</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1,050,000</w:t>
            </w:r>
          </w:p>
        </w:tc>
        <w:tc>
          <w:tcPr>
            <w:tcW w:w="3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905,000</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7" w:name="page48"/>
    <w:bookmarkEnd w:id="47"/>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Obligations of the Consolidated Funds</w:t>
      </w:r>
    </w:p>
    <w:p>
      <w:pPr>
        <w:spacing w:after="0" w:line="136" w:lineRule="exact"/>
        <w:rPr>
          <w:sz w:val="20"/>
          <w:szCs w:val="20"/>
          <w:color w:val="auto"/>
        </w:rPr>
      </w:pPr>
    </w:p>
    <w:p>
      <w:pPr>
        <w:ind w:right="100" w:firstLine="509"/>
        <w:spacing w:after="0" w:line="290" w:lineRule="auto"/>
        <w:rPr>
          <w:sz w:val="20"/>
          <w:szCs w:val="20"/>
          <w:color w:val="auto"/>
        </w:rPr>
      </w:pPr>
      <w:r>
        <w:rPr>
          <w:rFonts w:ascii="Arial" w:cs="Arial" w:eastAsia="Arial" w:hAnsi="Arial"/>
          <w:sz w:val="14"/>
          <w:szCs w:val="14"/>
          <w:color w:val="auto"/>
        </w:rPr>
        <w:t>Certain consolidated funds may maintain revolving credit facilities that are secured by the assets of the fund or may issue senior variable rate notes to fund investments on a longer term basis, generally up to ten years. The obligations of the consolidated funds are nonrecourse to the Company.</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consolidated funds had the following debt obligations outstanding: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Outstanding Amount as of</w:t>
            </w: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9"/>
                <w:szCs w:val="9"/>
                <w:b w:val="1"/>
                <w:bCs w:val="1"/>
                <w:color w:val="auto"/>
              </w:rPr>
              <w:t>Key terms as of June 30, 2022</w:t>
            </w:r>
          </w:p>
        </w:tc>
        <w:tc>
          <w:tcPr>
            <w:tcW w:w="10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Effective Interest</w:t>
            </w:r>
          </w:p>
        </w:tc>
        <w:tc>
          <w:tcPr>
            <w:tcW w:w="160" w:type="dxa"/>
            <w:vAlign w:val="bottom"/>
          </w:tcPr>
          <w:p>
            <w:pPr>
              <w:spacing w:after="0"/>
              <w:rPr>
                <w:sz w:val="24"/>
                <w:szCs w:val="24"/>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rPr>
              <w:t>Weighted Average</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94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Credit Agreement</w:t>
            </w:r>
          </w:p>
        </w:tc>
        <w:tc>
          <w:tcPr>
            <w:tcW w:w="160" w:type="dxa"/>
            <w:vAlign w:val="bottom"/>
          </w:tcPr>
          <w:p>
            <w:pPr>
              <w:spacing w:after="0"/>
              <w:rPr>
                <w:sz w:val="7"/>
                <w:szCs w:val="7"/>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June 30, 2022</w:t>
            </w:r>
          </w:p>
        </w:tc>
        <w:tc>
          <w:tcPr>
            <w:tcW w:w="1140" w:type="dxa"/>
            <w:vAlign w:val="bottom"/>
            <w:gridSpan w:val="2"/>
            <w:vMerge w:val="restart"/>
          </w:tcPr>
          <w:p>
            <w:pPr>
              <w:jc w:val="right"/>
              <w:ind w:right="103"/>
              <w:spacing w:after="0"/>
              <w:rPr>
                <w:sz w:val="20"/>
                <w:szCs w:val="20"/>
                <w:color w:val="auto"/>
              </w:rPr>
            </w:pPr>
            <w:r>
              <w:rPr>
                <w:rFonts w:ascii="Arial" w:cs="Arial" w:eastAsia="Arial" w:hAnsi="Arial"/>
                <w:sz w:val="9"/>
                <w:szCs w:val="9"/>
                <w:b w:val="1"/>
                <w:bCs w:val="1"/>
                <w:color w:val="auto"/>
              </w:rPr>
              <w:t>December 31, 2021</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Facility Capacity</w:t>
            </w:r>
          </w:p>
        </w:tc>
        <w:tc>
          <w:tcPr>
            <w:tcW w:w="9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3"/>
          </w:tcPr>
          <w:p>
            <w:pPr>
              <w:jc w:val="center"/>
              <w:ind w:right="200"/>
              <w:spacing w:after="0" w:line="91" w:lineRule="exact"/>
              <w:rPr>
                <w:sz w:val="20"/>
                <w:szCs w:val="20"/>
                <w:color w:val="auto"/>
              </w:rPr>
            </w:pPr>
            <w:r>
              <w:rPr>
                <w:rFonts w:ascii="Arial" w:cs="Arial" w:eastAsia="Arial" w:hAnsi="Arial"/>
                <w:sz w:val="9"/>
                <w:szCs w:val="9"/>
                <w:b w:val="1"/>
                <w:bCs w:val="1"/>
                <w:color w:val="auto"/>
              </w:rPr>
              <w:t>Remaining Maturity</w:t>
            </w: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rPr>
              <w:t>Commitment Fee Rate</w:t>
            </w:r>
          </w:p>
        </w:tc>
        <w:tc>
          <w:tcPr>
            <w:tcW w:w="104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8"/>
              </w:rPr>
              <w:t>L/C Fee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80" w:type="dxa"/>
            <w:vAlign w:val="bottom"/>
          </w:tcPr>
          <w:p>
            <w:pPr>
              <w:jc w:val="center"/>
              <w:spacing w:after="0" w:line="76" w:lineRule="exact"/>
              <w:rPr>
                <w:sz w:val="20"/>
                <w:szCs w:val="20"/>
                <w:color w:val="auto"/>
              </w:rPr>
            </w:pPr>
            <w:r>
              <w:rPr>
                <w:rFonts w:ascii="Arial" w:cs="Arial" w:eastAsia="Arial" w:hAnsi="Arial"/>
                <w:sz w:val="8"/>
                <w:szCs w:val="8"/>
                <w:b w:val="1"/>
                <w:bCs w:val="1"/>
                <w:color w:val="auto"/>
              </w:rPr>
              <w:t>Rate</w:t>
            </w:r>
          </w:p>
        </w:tc>
        <w:tc>
          <w:tcPr>
            <w:tcW w:w="160" w:type="dxa"/>
            <w:vAlign w:val="bottom"/>
          </w:tcPr>
          <w:p>
            <w:pPr>
              <w:spacing w:after="0"/>
              <w:rPr>
                <w:sz w:val="8"/>
                <w:szCs w:val="8"/>
                <w:color w:val="auto"/>
              </w:rPr>
            </w:pPr>
          </w:p>
        </w:tc>
        <w:tc>
          <w:tcPr>
            <w:tcW w:w="1220" w:type="dxa"/>
            <w:vAlign w:val="bottom"/>
            <w:gridSpan w:val="3"/>
          </w:tcPr>
          <w:p>
            <w:pPr>
              <w:jc w:val="center"/>
              <w:ind w:right="200"/>
              <w:spacing w:after="0" w:line="76" w:lineRule="exact"/>
              <w:rPr>
                <w:sz w:val="20"/>
                <w:szCs w:val="20"/>
                <w:color w:val="auto"/>
              </w:rPr>
            </w:pPr>
            <w:r>
              <w:rPr>
                <w:rFonts w:ascii="Arial" w:cs="Arial" w:eastAsia="Arial" w:hAnsi="Arial"/>
                <w:sz w:val="8"/>
                <w:szCs w:val="8"/>
                <w:b w:val="1"/>
                <w:bCs w:val="1"/>
                <w:color w:val="auto"/>
              </w:rPr>
              <w:t>(years)</w:t>
            </w:r>
          </w:p>
        </w:tc>
        <w:tc>
          <w:tcPr>
            <w:tcW w:w="11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gridSpan w:val="2"/>
            <w:vMerge w:val="restart"/>
          </w:tcPr>
          <w:p>
            <w:pPr>
              <w:spacing w:after="0"/>
              <w:rPr>
                <w:sz w:val="20"/>
                <w:szCs w:val="20"/>
                <w:color w:val="auto"/>
              </w:rPr>
            </w:pPr>
            <w:r>
              <w:rPr>
                <w:rFonts w:ascii="Arial" w:cs="Arial" w:eastAsia="Arial" w:hAnsi="Arial"/>
                <w:sz w:val="11"/>
                <w:szCs w:val="11"/>
                <w:color w:val="auto"/>
              </w:rPr>
              <w:t xml:space="preserve">Revolving credit facility </w:t>
            </w:r>
            <w:r>
              <w:rPr>
                <w:rFonts w:ascii="Arial" w:cs="Arial" w:eastAsia="Arial" w:hAnsi="Arial"/>
                <w:sz w:val="14"/>
                <w:szCs w:val="14"/>
                <w:color w:val="auto"/>
                <w:vertAlign w:val="superscript"/>
              </w:rPr>
              <w:t>(1)</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2940" w:type="dxa"/>
            <w:vAlign w:val="bottom"/>
            <w:gridSpan w:val="2"/>
            <w:vMerge w:val="continue"/>
          </w:tcPr>
          <w:p>
            <w:pPr>
              <w:spacing w:after="0"/>
              <w:rPr>
                <w:sz w:val="12"/>
                <w:szCs w:val="12"/>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937,980</w:t>
            </w:r>
          </w:p>
        </w:tc>
        <w:tc>
          <w:tcPr>
            <w:tcW w:w="140" w:type="dxa"/>
            <w:vAlign w:val="bottom"/>
          </w:tcPr>
          <w:p>
            <w:pPr>
              <w:spacing w:after="0"/>
              <w:rPr>
                <w:sz w:val="12"/>
                <w:szCs w:val="12"/>
                <w:color w:val="auto"/>
              </w:rPr>
            </w:pP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1,119,178</w:t>
            </w:r>
          </w:p>
        </w:tc>
        <w:tc>
          <w:tcPr>
            <w:tcW w:w="1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7"/>
              <w:spacing w:after="0"/>
              <w:rPr>
                <w:sz w:val="20"/>
                <w:szCs w:val="20"/>
                <w:color w:val="auto"/>
              </w:rPr>
            </w:pPr>
            <w:r>
              <w:rPr>
                <w:rFonts w:ascii="Arial" w:cs="Arial" w:eastAsia="Arial" w:hAnsi="Arial"/>
                <w:sz w:val="12"/>
                <w:szCs w:val="12"/>
                <w:color w:val="auto"/>
              </w:rPr>
              <w:t>1,243,342</w:t>
            </w:r>
          </w:p>
        </w:tc>
        <w:tc>
          <w:tcPr>
            <w:tcW w:w="14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2.96%</w:t>
            </w:r>
          </w:p>
        </w:tc>
        <w:tc>
          <w:tcPr>
            <w:tcW w:w="1200" w:type="dxa"/>
            <w:vAlign w:val="bottom"/>
            <w:gridSpan w:val="2"/>
          </w:tcPr>
          <w:p>
            <w:pPr>
              <w:jc w:val="center"/>
              <w:ind w:left="89"/>
              <w:spacing w:after="0"/>
              <w:rPr>
                <w:sz w:val="20"/>
                <w:szCs w:val="20"/>
                <w:color w:val="auto"/>
              </w:rPr>
            </w:pPr>
            <w:r>
              <w:rPr>
                <w:rFonts w:ascii="Arial" w:cs="Arial" w:eastAsia="Arial" w:hAnsi="Arial"/>
                <w:sz w:val="11"/>
                <w:szCs w:val="11"/>
                <w:color w:val="auto"/>
              </w:rPr>
              <w:t>0.13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jc w:val="right"/>
              <w:ind w:right="329"/>
              <w:spacing w:after="0"/>
              <w:rPr>
                <w:sz w:val="20"/>
                <w:szCs w:val="20"/>
                <w:color w:val="auto"/>
              </w:rPr>
            </w:pPr>
            <w:r>
              <w:rPr>
                <w:rFonts w:ascii="Arial" w:cs="Arial" w:eastAsia="Arial" w:hAnsi="Arial"/>
                <w:sz w:val="11"/>
                <w:szCs w:val="11"/>
                <w:color w:val="auto"/>
              </w:rPr>
              <w:t>0.25%</w:t>
            </w:r>
          </w:p>
        </w:tc>
        <w:tc>
          <w:tcPr>
            <w:tcW w:w="1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40" w:type="dxa"/>
            <w:vAlign w:val="bottom"/>
            <w:gridSpan w:val="2"/>
          </w:tcPr>
          <w:p>
            <w:pPr>
              <w:spacing w:after="0"/>
              <w:rPr>
                <w:sz w:val="20"/>
                <w:szCs w:val="20"/>
                <w:color w:val="auto"/>
              </w:rPr>
            </w:pPr>
            <w:r>
              <w:rPr>
                <w:rFonts w:ascii="Arial" w:cs="Arial" w:eastAsia="Arial" w:hAnsi="Arial"/>
                <w:sz w:val="11"/>
                <w:szCs w:val="11"/>
                <w:color w:val="auto"/>
              </w:rPr>
              <w:t>Secured borrowings</w:t>
            </w:r>
          </w:p>
        </w:tc>
        <w:tc>
          <w:tcPr>
            <w:tcW w:w="16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12,740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40" w:type="dxa"/>
            <w:vAlign w:val="bottom"/>
            <w:gridSpan w:val="2"/>
          </w:tcPr>
          <w:p>
            <w:pPr>
              <w:spacing w:after="0"/>
              <w:rPr>
                <w:sz w:val="20"/>
                <w:szCs w:val="20"/>
                <w:color w:val="auto"/>
              </w:rPr>
            </w:pPr>
            <w:r>
              <w:rPr>
                <w:rFonts w:ascii="Arial" w:cs="Arial" w:eastAsia="Arial" w:hAnsi="Arial"/>
                <w:sz w:val="11"/>
                <w:szCs w:val="11"/>
                <w:color w:val="auto"/>
              </w:rPr>
              <w:t>Total debt obligations</w:t>
            </w:r>
          </w:p>
        </w:tc>
        <w:tc>
          <w:tcPr>
            <w:tcW w:w="1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937,980</w:t>
            </w:r>
          </w:p>
        </w:tc>
        <w:tc>
          <w:tcPr>
            <w:tcW w:w="140" w:type="dxa"/>
            <w:vAlign w:val="bottom"/>
          </w:tcPr>
          <w:p>
            <w:pPr>
              <w:spacing w:after="0"/>
              <w:rPr>
                <w:sz w:val="13"/>
                <w:szCs w:val="13"/>
                <w:color w:val="auto"/>
              </w:rPr>
            </w:pPr>
          </w:p>
        </w:tc>
        <w:tc>
          <w:tcPr>
            <w:tcW w:w="540" w:type="dxa"/>
            <w:vAlign w:val="bottom"/>
            <w:tcBorders>
              <w:top w:val="single" w:sz="8" w:color="auto"/>
            </w:tcBorders>
          </w:tcPr>
          <w:p>
            <w:pPr>
              <w:jc w:val="right"/>
              <w:ind w:right="40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1,131,918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gridSpan w:val="2"/>
          </w:tcPr>
          <w:p>
            <w:pPr>
              <w:spacing w:after="0"/>
              <w:rPr>
                <w:sz w:val="20"/>
                <w:szCs w:val="20"/>
                <w:color w:val="auto"/>
              </w:rPr>
            </w:pPr>
            <w:r>
              <w:rPr>
                <w:rFonts w:ascii="Arial" w:cs="Arial" w:eastAsia="Arial" w:hAnsi="Arial"/>
                <w:sz w:val="11"/>
                <w:szCs w:val="11"/>
                <w:color w:val="auto"/>
              </w:rPr>
              <w:t>Less: Debt issuance costs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(365)</w:t>
            </w: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(2,552)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40" w:type="dxa"/>
            <w:vAlign w:val="bottom"/>
            <w:gridSpan w:val="2"/>
          </w:tcPr>
          <w:p>
            <w:pPr>
              <w:spacing w:after="0" w:line="153" w:lineRule="exact"/>
              <w:rPr>
                <w:sz w:val="20"/>
                <w:szCs w:val="20"/>
                <w:color w:val="auto"/>
              </w:rPr>
            </w:pPr>
            <w:r>
              <w:rPr>
                <w:rFonts w:ascii="Arial" w:cs="Arial" w:eastAsia="Arial" w:hAnsi="Arial"/>
                <w:sz w:val="11"/>
                <w:szCs w:val="11"/>
                <w:color w:val="auto"/>
              </w:rPr>
              <w:t xml:space="preserve">Total debt obligations, net </w:t>
            </w:r>
            <w:r>
              <w:rPr>
                <w:rFonts w:ascii="Arial" w:cs="Arial" w:eastAsia="Arial" w:hAnsi="Arial"/>
                <w:sz w:val="14"/>
                <w:szCs w:val="14"/>
                <w:color w:val="auto"/>
                <w:vertAlign w:val="superscript"/>
              </w:rPr>
              <w:t>(2)</w:t>
            </w: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937,615</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1,129,366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60" w:hanging="255"/>
        <w:spacing w:after="0"/>
        <w:tabs>
          <w:tab w:leader="none" w:pos="2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credit facility capacity is calculated on a pro rata basis using fund commitments as of June 30, 2022.</w:t>
      </w:r>
    </w:p>
    <w:p>
      <w:pPr>
        <w:spacing w:after="0" w:line="43" w:lineRule="exact"/>
        <w:rPr>
          <w:rFonts w:ascii="Arial" w:cs="Arial" w:eastAsia="Arial" w:hAnsi="Arial"/>
          <w:sz w:val="11"/>
          <w:szCs w:val="11"/>
          <w:color w:val="auto"/>
        </w:rPr>
      </w:pPr>
    </w:p>
    <w:p>
      <w:pPr>
        <w:ind w:left="260" w:hanging="255"/>
        <w:spacing w:after="0"/>
        <w:tabs>
          <w:tab w:leader="none" w:pos="2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For the revolving credit facilities, amount is shown net of debt issuance costs of $365 and $2,552 that are included in other assets, net at June 30, 2022.</w:t>
      </w:r>
    </w:p>
    <w:p>
      <w:pPr>
        <w:spacing w:after="0" w:line="183" w:lineRule="exact"/>
        <w:rPr>
          <w:sz w:val="20"/>
          <w:szCs w:val="20"/>
          <w:color w:val="auto"/>
        </w:rPr>
      </w:pPr>
    </w:p>
    <w:p>
      <w:pPr>
        <w:ind w:right="100" w:firstLine="509"/>
        <w:spacing w:after="0" w:line="252" w:lineRule="auto"/>
        <w:rPr>
          <w:sz w:val="20"/>
          <w:szCs w:val="20"/>
          <w:color w:val="auto"/>
        </w:rPr>
      </w:pPr>
      <w:r>
        <w:rPr>
          <w:rFonts w:ascii="Arial" w:cs="Arial" w:eastAsia="Arial" w:hAnsi="Arial"/>
          <w:sz w:val="14"/>
          <w:szCs w:val="14"/>
          <w:color w:val="auto"/>
        </w:rPr>
        <w:t>As of June 30, 2022 and December 31, 2021, the consolidated funds had debt obligations with an aggregate outstanding principal balance of $0.9 billion and $1.1 billion, respectively. The carrying value of the revolving credit facilities approximated fair value due to recent issuance. Secured borrowing outstanding were recorded as a result of certain</w:t>
      </w:r>
    </w:p>
    <w:p>
      <w:pPr>
        <w:ind w:right="120"/>
        <w:spacing w:after="0" w:line="246" w:lineRule="auto"/>
        <w:rPr>
          <w:sz w:val="20"/>
          <w:szCs w:val="20"/>
          <w:color w:val="auto"/>
        </w:rPr>
      </w:pPr>
      <w:r>
        <w:rPr>
          <w:rFonts w:ascii="Arial" w:cs="Arial" w:eastAsia="Arial" w:hAnsi="Arial"/>
          <w:sz w:val="14"/>
          <w:szCs w:val="14"/>
          <w:color w:val="auto"/>
        </w:rPr>
        <w:t>securities that were sold and simultaneously repurchased at a premium, with amounts payable to the counterparty due on the repurchase settlement date</w:t>
      </w:r>
      <w:r>
        <w:rPr>
          <w:rFonts w:ascii="Arial" w:cs="Arial" w:eastAsia="Arial" w:hAnsi="Arial"/>
          <w:sz w:val="16"/>
          <w:szCs w:val="16"/>
          <w:color w:val="008080"/>
        </w:rPr>
        <w:t>.</w:t>
      </w:r>
      <w:r>
        <w:rPr>
          <w:rFonts w:ascii="Arial" w:cs="Arial" w:eastAsia="Arial" w:hAnsi="Arial"/>
          <w:sz w:val="14"/>
          <w:szCs w:val="14"/>
          <w:color w:val="auto"/>
        </w:rPr>
        <w:t xml:space="preserve"> Financial instruments that are valued using quoted prices for the security or similar securities are generally classified as Level III because the quoted prices may be indicative in nature for securities that are in an inactive market, may be for similar securities, or may require adjustment for investment-specific factors or restrictions.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Obligations of CLOs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Debt obligations of CLOs represent amounts due to holders of debt securities issued by the CLOs, as well as term loans of CLOs that had not priced as of period end.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Outstanding debt obligations of CLOs were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4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9"/>
                <w:szCs w:val="9"/>
                <w:b w:val="1"/>
                <w:bCs w:val="1"/>
                <w:color w:val="auto"/>
              </w:rPr>
              <w:t>As of June 30, 2022</w:t>
            </w: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9"/>
                <w:szCs w:val="9"/>
                <w:b w:val="1"/>
                <w:bCs w:val="1"/>
                <w:color w:val="auto"/>
              </w:rPr>
              <w:t>As of December 31, 2021</w:t>
            </w: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rPr>
              <w:t>Weighted Average</w:t>
            </w:r>
          </w:p>
        </w:tc>
        <w:tc>
          <w:tcPr>
            <w:tcW w:w="118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rPr>
              <w:t>Weighted Average</w:t>
            </w: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rPr>
              <w:t>Weighted Average</w:t>
            </w:r>
          </w:p>
        </w:tc>
        <w:tc>
          <w:tcPr>
            <w:tcW w:w="1040" w:type="dxa"/>
            <w:vAlign w:val="bottom"/>
          </w:tcPr>
          <w:p>
            <w:pPr>
              <w:jc w:val="center"/>
              <w:spacing w:after="0" w:line="95" w:lineRule="exact"/>
              <w:rPr>
                <w:sz w:val="20"/>
                <w:szCs w:val="20"/>
                <w:color w:val="auto"/>
              </w:rPr>
            </w:pPr>
            <w:r>
              <w:rPr>
                <w:rFonts w:ascii="Arial" w:cs="Arial" w:eastAsia="Arial" w:hAnsi="Arial"/>
                <w:sz w:val="9"/>
                <w:szCs w:val="9"/>
                <w:b w:val="1"/>
                <w:bCs w:val="1"/>
                <w:color w:val="auto"/>
              </w:rPr>
              <w:t>Weighted Average</w:t>
            </w:r>
          </w:p>
        </w:tc>
        <w:tc>
          <w:tcPr>
            <w:tcW w:w="0" w:type="dxa"/>
            <w:vAlign w:val="bottom"/>
          </w:tcPr>
          <w:p>
            <w:pPr>
              <w:spacing w:after="0"/>
              <w:rPr>
                <w:sz w:val="1"/>
                <w:szCs w:val="1"/>
                <w:color w:val="auto"/>
              </w:rPr>
            </w:pPr>
          </w:p>
        </w:tc>
      </w:tr>
      <w:tr>
        <w:trPr>
          <w:trHeight w:val="91"/>
        </w:trPr>
        <w:tc>
          <w:tcPr>
            <w:tcW w:w="4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restart"/>
          </w:tcPr>
          <w:p>
            <w:pPr>
              <w:jc w:val="right"/>
              <w:ind w:right="206"/>
              <w:spacing w:after="0"/>
              <w:rPr>
                <w:sz w:val="20"/>
                <w:szCs w:val="20"/>
                <w:color w:val="auto"/>
              </w:rPr>
            </w:pPr>
            <w:r>
              <w:rPr>
                <w:rFonts w:ascii="Arial" w:cs="Arial" w:eastAsia="Arial" w:hAnsi="Arial"/>
                <w:sz w:val="9"/>
                <w:szCs w:val="9"/>
                <w:b w:val="1"/>
                <w:bCs w:val="1"/>
                <w:color w:val="auto"/>
              </w:rPr>
              <w:t xml:space="preserve">Fair Value </w:t>
            </w:r>
            <w:r>
              <w:rPr>
                <w:rFonts w:ascii="Arial" w:cs="Arial" w:eastAsia="Arial" w:hAnsi="Arial"/>
                <w:sz w:val="11"/>
                <w:szCs w:val="11"/>
                <w:b w:val="1"/>
                <w:bCs w:val="1"/>
                <w:color w:val="auto"/>
                <w:vertAlign w:val="superscript"/>
              </w:rPr>
              <w:t>(1)</w:t>
            </w: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80" w:type="dxa"/>
            <w:vAlign w:val="bottom"/>
            <w:gridSpan w:val="2"/>
          </w:tcPr>
          <w:p>
            <w:pPr>
              <w:jc w:val="center"/>
              <w:ind w:right="120"/>
              <w:spacing w:after="0" w:line="91" w:lineRule="exact"/>
              <w:rPr>
                <w:sz w:val="20"/>
                <w:szCs w:val="20"/>
                <w:color w:val="auto"/>
              </w:rPr>
            </w:pPr>
            <w:r>
              <w:rPr>
                <w:rFonts w:ascii="Arial" w:cs="Arial" w:eastAsia="Arial" w:hAnsi="Arial"/>
                <w:sz w:val="9"/>
                <w:szCs w:val="9"/>
                <w:b w:val="1"/>
                <w:bCs w:val="1"/>
                <w:color w:val="auto"/>
              </w:rPr>
              <w:t>Remaining Maturity</w:t>
            </w:r>
          </w:p>
        </w:tc>
        <w:tc>
          <w:tcPr>
            <w:tcW w:w="160" w:type="dxa"/>
            <w:vAlign w:val="bottom"/>
          </w:tcPr>
          <w:p>
            <w:pPr>
              <w:spacing w:after="0"/>
              <w:rPr>
                <w:sz w:val="7"/>
                <w:szCs w:val="7"/>
                <w:color w:val="auto"/>
              </w:rPr>
            </w:pPr>
          </w:p>
        </w:tc>
        <w:tc>
          <w:tcPr>
            <w:tcW w:w="880" w:type="dxa"/>
            <w:vAlign w:val="bottom"/>
            <w:vMerge w:val="restart"/>
          </w:tcPr>
          <w:p>
            <w:pPr>
              <w:jc w:val="right"/>
              <w:ind w:right="206"/>
              <w:spacing w:after="0"/>
              <w:rPr>
                <w:sz w:val="20"/>
                <w:szCs w:val="20"/>
                <w:color w:val="auto"/>
              </w:rPr>
            </w:pPr>
            <w:r>
              <w:rPr>
                <w:rFonts w:ascii="Arial" w:cs="Arial" w:eastAsia="Arial" w:hAnsi="Arial"/>
                <w:sz w:val="9"/>
                <w:szCs w:val="9"/>
                <w:b w:val="1"/>
                <w:bCs w:val="1"/>
                <w:color w:val="auto"/>
              </w:rPr>
              <w:t xml:space="preserve">Fair Value </w:t>
            </w:r>
            <w:r>
              <w:rPr>
                <w:rFonts w:ascii="Arial" w:cs="Arial" w:eastAsia="Arial" w:hAnsi="Arial"/>
                <w:sz w:val="11"/>
                <w:szCs w:val="11"/>
                <w:b w:val="1"/>
                <w:bCs w:val="1"/>
                <w:color w:val="auto"/>
                <w:vertAlign w:val="superscript"/>
              </w:rPr>
              <w:t>(1)</w:t>
            </w: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40" w:type="dxa"/>
            <w:vAlign w:val="bottom"/>
          </w:tcPr>
          <w:p>
            <w:pPr>
              <w:jc w:val="center"/>
              <w:spacing w:after="0" w:line="91" w:lineRule="exact"/>
              <w:rPr>
                <w:sz w:val="20"/>
                <w:szCs w:val="20"/>
                <w:color w:val="auto"/>
              </w:rPr>
            </w:pPr>
            <w:r>
              <w:rPr>
                <w:rFonts w:ascii="Arial" w:cs="Arial" w:eastAsia="Arial" w:hAnsi="Arial"/>
                <w:sz w:val="9"/>
                <w:szCs w:val="9"/>
                <w:b w:val="1"/>
                <w:bCs w:val="1"/>
                <w:color w:val="auto"/>
              </w:rPr>
              <w:t>Remaining Maturity</w:t>
            </w:r>
          </w:p>
        </w:tc>
        <w:tc>
          <w:tcPr>
            <w:tcW w:w="0" w:type="dxa"/>
            <w:vAlign w:val="bottom"/>
          </w:tcPr>
          <w:p>
            <w:pPr>
              <w:spacing w:after="0"/>
              <w:rPr>
                <w:sz w:val="1"/>
                <w:szCs w:val="1"/>
                <w:color w:val="auto"/>
              </w:rPr>
            </w:pPr>
          </w:p>
        </w:tc>
      </w:tr>
      <w:tr>
        <w:trPr>
          <w:trHeight w:val="127"/>
        </w:trPr>
        <w:tc>
          <w:tcPr>
            <w:tcW w:w="4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Interest Rate</w:t>
            </w:r>
          </w:p>
        </w:tc>
        <w:tc>
          <w:tcPr>
            <w:tcW w:w="120" w:type="dxa"/>
            <w:vAlign w:val="bottom"/>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(years)</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Interest Rate</w:t>
            </w:r>
          </w:p>
        </w:tc>
        <w:tc>
          <w:tcPr>
            <w:tcW w:w="140" w:type="dxa"/>
            <w:vAlign w:val="bottom"/>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(years)</w:t>
            </w:r>
          </w:p>
        </w:tc>
        <w:tc>
          <w:tcPr>
            <w:tcW w:w="0" w:type="dxa"/>
            <w:vAlign w:val="bottom"/>
          </w:tcPr>
          <w:p>
            <w:pPr>
              <w:spacing w:after="0"/>
              <w:rPr>
                <w:sz w:val="1"/>
                <w:szCs w:val="1"/>
                <w:color w:val="auto"/>
              </w:rPr>
            </w:pPr>
          </w:p>
        </w:tc>
      </w:tr>
      <w:tr>
        <w:trPr>
          <w:trHeight w:val="143"/>
        </w:trPr>
        <w:tc>
          <w:tcPr>
            <w:tcW w:w="4320" w:type="dxa"/>
            <w:vAlign w:val="bottom"/>
          </w:tcPr>
          <w:p>
            <w:pPr>
              <w:spacing w:after="0"/>
              <w:rPr>
                <w:sz w:val="20"/>
                <w:szCs w:val="20"/>
                <w:color w:val="auto"/>
              </w:rPr>
            </w:pPr>
            <w:r>
              <w:rPr>
                <w:rFonts w:ascii="Arial" w:cs="Arial" w:eastAsia="Arial" w:hAnsi="Arial"/>
                <w:sz w:val="11"/>
                <w:szCs w:val="11"/>
                <w:color w:val="auto"/>
              </w:rPr>
              <w:t>Senior secured notes</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7,533,790</w:t>
            </w:r>
          </w:p>
        </w:tc>
        <w:tc>
          <w:tcPr>
            <w:tcW w:w="1180" w:type="dxa"/>
            <w:vAlign w:val="bottom"/>
            <w:gridSpan w:val="2"/>
          </w:tcPr>
          <w:p>
            <w:pPr>
              <w:jc w:val="center"/>
              <w:ind w:left="43"/>
              <w:spacing w:after="0"/>
              <w:rPr>
                <w:sz w:val="20"/>
                <w:szCs w:val="20"/>
                <w:color w:val="auto"/>
              </w:rPr>
            </w:pPr>
            <w:r>
              <w:rPr>
                <w:rFonts w:ascii="Arial" w:cs="Arial" w:eastAsia="Arial" w:hAnsi="Arial"/>
                <w:sz w:val="11"/>
                <w:szCs w:val="11"/>
                <w:color w:val="auto"/>
              </w:rPr>
              <w:t>2.51%</w:t>
            </w:r>
          </w:p>
        </w:tc>
        <w:tc>
          <w:tcPr>
            <w:tcW w:w="120" w:type="dxa"/>
            <w:vAlign w:val="bottom"/>
          </w:tcPr>
          <w:p>
            <w:pPr>
              <w:spacing w:after="0"/>
              <w:rPr>
                <w:sz w:val="12"/>
                <w:szCs w:val="12"/>
                <w:color w:val="auto"/>
              </w:rPr>
            </w:pPr>
          </w:p>
        </w:tc>
        <w:tc>
          <w:tcPr>
            <w:tcW w:w="1060" w:type="dxa"/>
            <w:vAlign w:val="bottom"/>
          </w:tcPr>
          <w:p>
            <w:pPr>
              <w:jc w:val="right"/>
              <w:ind w:right="370"/>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12"/>
                <w:szCs w:val="12"/>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7,472,521</w:t>
            </w:r>
          </w:p>
        </w:tc>
        <w:tc>
          <w:tcPr>
            <w:tcW w:w="1180" w:type="dxa"/>
            <w:vAlign w:val="bottom"/>
            <w:gridSpan w:val="2"/>
          </w:tcPr>
          <w:p>
            <w:pPr>
              <w:jc w:val="center"/>
              <w:ind w:left="89"/>
              <w:spacing w:after="0"/>
              <w:rPr>
                <w:sz w:val="20"/>
                <w:szCs w:val="20"/>
                <w:color w:val="auto"/>
              </w:rPr>
            </w:pPr>
            <w:r>
              <w:rPr>
                <w:rFonts w:ascii="Arial" w:cs="Arial" w:eastAsia="Arial" w:hAnsi="Arial"/>
                <w:sz w:val="11"/>
                <w:szCs w:val="11"/>
                <w:color w:val="auto"/>
              </w:rPr>
              <w:t>1.75%</w:t>
            </w:r>
          </w:p>
        </w:tc>
        <w:tc>
          <w:tcPr>
            <w:tcW w:w="1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93"/>
              </w:rPr>
              <w:t>11.0</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Arial" w:cs="Arial" w:eastAsia="Arial" w:hAnsi="Arial"/>
                <w:sz w:val="11"/>
                <w:szCs w:val="11"/>
                <w:color w:val="auto"/>
              </w:rPr>
              <w:t xml:space="preserve">Subordinated notes </w:t>
            </w:r>
            <w:r>
              <w:rPr>
                <w:rFonts w:ascii="Arial" w:cs="Arial" w:eastAsia="Arial" w:hAnsi="Arial"/>
                <w:sz w:val="14"/>
                <w:szCs w:val="14"/>
                <w:color w:val="auto"/>
                <w:vertAlign w:val="superscript"/>
              </w:rPr>
              <w:t>(2)</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288,087</w:t>
            </w: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N/A</w:t>
            </w:r>
          </w:p>
        </w:tc>
        <w:tc>
          <w:tcPr>
            <w:tcW w:w="1060" w:type="dxa"/>
            <w:vAlign w:val="bottom"/>
          </w:tcPr>
          <w:p>
            <w:pPr>
              <w:jc w:val="right"/>
              <w:ind w:right="410"/>
              <w:spacing w:after="0"/>
              <w:rPr>
                <w:sz w:val="20"/>
                <w:szCs w:val="20"/>
                <w:color w:val="auto"/>
              </w:rPr>
            </w:pPr>
            <w:r>
              <w:rPr>
                <w:rFonts w:ascii="Arial" w:cs="Arial" w:eastAsia="Arial" w:hAnsi="Arial"/>
                <w:sz w:val="11"/>
                <w:szCs w:val="11"/>
                <w:color w:val="auto"/>
              </w:rPr>
              <w:t>9.5</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333,742</w:t>
            </w:r>
          </w:p>
        </w:tc>
        <w:tc>
          <w:tcPr>
            <w:tcW w:w="14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1"/>
                <w:szCs w:val="11"/>
                <w:color w:val="auto"/>
              </w:rPr>
              <w:t>N/A</w:t>
            </w:r>
          </w:p>
        </w:tc>
        <w:tc>
          <w:tcPr>
            <w:tcW w:w="1040" w:type="dxa"/>
            <w:vAlign w:val="bottom"/>
          </w:tcPr>
          <w:p>
            <w:pPr>
              <w:jc w:val="center"/>
              <w:spacing w:after="0"/>
              <w:rPr>
                <w:sz w:val="20"/>
                <w:szCs w:val="20"/>
                <w:color w:val="auto"/>
              </w:rPr>
            </w:pPr>
            <w:r>
              <w:rPr>
                <w:rFonts w:ascii="Arial" w:cs="Arial" w:eastAsia="Arial" w:hAnsi="Arial"/>
                <w:sz w:val="11"/>
                <w:szCs w:val="11"/>
                <w:color w:val="auto"/>
                <w:w w:val="93"/>
              </w:rPr>
              <w:t>11.2</w:t>
            </w:r>
          </w:p>
        </w:tc>
        <w:tc>
          <w:tcPr>
            <w:tcW w:w="0" w:type="dxa"/>
            <w:vAlign w:val="bottom"/>
          </w:tcPr>
          <w:p>
            <w:pPr>
              <w:spacing w:after="0"/>
              <w:rPr>
                <w:sz w:val="1"/>
                <w:szCs w:val="1"/>
                <w:color w:val="auto"/>
              </w:rPr>
            </w:pPr>
          </w:p>
        </w:tc>
      </w:tr>
      <w:tr>
        <w:trPr>
          <w:trHeight w:val="150"/>
        </w:trPr>
        <w:tc>
          <w:tcPr>
            <w:tcW w:w="4320" w:type="dxa"/>
            <w:vAlign w:val="bottom"/>
          </w:tcPr>
          <w:p>
            <w:pPr>
              <w:spacing w:after="0"/>
              <w:rPr>
                <w:sz w:val="20"/>
                <w:szCs w:val="20"/>
                <w:color w:val="auto"/>
              </w:rPr>
            </w:pPr>
            <w:r>
              <w:rPr>
                <w:rFonts w:ascii="Arial" w:cs="Arial" w:eastAsia="Arial" w:hAnsi="Arial"/>
                <w:sz w:val="11"/>
                <w:szCs w:val="11"/>
                <w:color w:val="auto"/>
              </w:rPr>
              <w:t>Total CLO debt obligations</w:t>
            </w: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7,821,877</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7,806,263</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56578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 cy="6985"/>
                    </a:xfrm>
                    <a:prstGeom prst="rect">
                      <a:avLst/>
                    </a:prstGeom>
                    <a:noFill/>
                  </pic:spPr>
                </pic:pic>
              </a:graphicData>
            </a:graphic>
          </wp:anchor>
        </w:drawing>
      </w:r>
    </w:p>
    <w:p>
      <w:pPr>
        <w:spacing w:after="0" w:line="313" w:lineRule="exact"/>
        <w:rPr>
          <w:sz w:val="20"/>
          <w:szCs w:val="20"/>
          <w:color w:val="auto"/>
        </w:rPr>
      </w:pPr>
    </w:p>
    <w:p>
      <w:pPr>
        <w:ind w:left="320" w:right="240" w:hanging="315"/>
        <w:spacing w:after="0" w:line="268" w:lineRule="auto"/>
        <w:tabs>
          <w:tab w:leader="none" w:pos="263"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fair value of CLO liabilities was measured as the fair value of CLO assets less the sum of (a) the fair value of any beneficial interests held by the Company and (b) the carrying value of any beneficial interests that represent compensation for services. The fair value of the beneficial interests was calculated using a discounted cash flow model specific to each investment structure. Please see notes 2 and 6 for more information, including the significant valuation inputs such as input range and weighted average rate.</w:t>
      </w:r>
    </w:p>
    <w:p>
      <w:pPr>
        <w:ind w:left="260" w:hanging="255"/>
        <w:spacing w:after="0"/>
        <w:tabs>
          <w:tab w:leader="none" w:pos="2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subordinated notes do not have a contractual interest rate; instead, they receive distributions from the excess cash flows generated by the CLO.</w:t>
      </w:r>
    </w:p>
    <w:p>
      <w:pPr>
        <w:spacing w:after="0" w:line="237" w:lineRule="exact"/>
        <w:rPr>
          <w:sz w:val="20"/>
          <w:szCs w:val="20"/>
          <w:color w:val="auto"/>
        </w:rPr>
      </w:pPr>
    </w:p>
    <w:p>
      <w:pPr>
        <w:ind w:right="340" w:firstLine="509"/>
        <w:spacing w:after="0" w:line="290" w:lineRule="auto"/>
        <w:rPr>
          <w:sz w:val="20"/>
          <w:szCs w:val="20"/>
          <w:color w:val="auto"/>
        </w:rPr>
      </w:pPr>
      <w:r>
        <w:rPr>
          <w:rFonts w:ascii="Arial" w:cs="Arial" w:eastAsia="Arial" w:hAnsi="Arial"/>
          <w:sz w:val="14"/>
          <w:szCs w:val="14"/>
          <w:color w:val="auto"/>
        </w:rPr>
        <w:t>The debt obligations of CLOs are nonrecourse to the Company and are backed by the investments held by the respective CLO. Assets of one CLO may not be used to satisfy the liabilities of another. As of June 30, 2022</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and December 31, 2021, the fair value of CLO assets was $9.0 billion and $9.1 billion, respectively, and consisted of cash, corporate loans, corporate bonds and other securities.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June 30, 2022, future scheduled principal or par value payments with respect to the debt obligations of CLOs were as follows: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9940" w:type="dxa"/>
            <w:vAlign w:val="bottom"/>
          </w:tcPr>
          <w:p>
            <w:pPr>
              <w:spacing w:after="0"/>
              <w:rPr>
                <w:sz w:val="20"/>
                <w:szCs w:val="20"/>
                <w:color w:val="auto"/>
              </w:rPr>
            </w:pPr>
            <w:r>
              <w:rPr>
                <w:rFonts w:ascii="Arial" w:cs="Arial" w:eastAsia="Arial" w:hAnsi="Arial"/>
                <w:sz w:val="13"/>
                <w:szCs w:val="13"/>
                <w:color w:val="auto"/>
              </w:rPr>
              <w:t>Remainder of 2022</w:t>
            </w: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27,825</w:t>
            </w:r>
          </w:p>
        </w:tc>
      </w:tr>
      <w:tr>
        <w:trPr>
          <w:trHeight w:val="170"/>
        </w:trPr>
        <w:tc>
          <w:tcPr>
            <w:tcW w:w="9940" w:type="dxa"/>
            <w:vAlign w:val="bottom"/>
          </w:tcPr>
          <w:p>
            <w:pPr>
              <w:spacing w:after="0"/>
              <w:rPr>
                <w:sz w:val="20"/>
                <w:szCs w:val="20"/>
                <w:color w:val="auto"/>
              </w:rPr>
            </w:pPr>
            <w:r>
              <w:rPr>
                <w:rFonts w:ascii="Arial" w:cs="Arial" w:eastAsia="Arial" w:hAnsi="Arial"/>
                <w:sz w:val="13"/>
                <w:szCs w:val="13"/>
                <w:color w:val="auto"/>
              </w:rPr>
              <w:t>2023</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9940" w:type="dxa"/>
            <w:vAlign w:val="bottom"/>
          </w:tcPr>
          <w:p>
            <w:pPr>
              <w:spacing w:after="0"/>
              <w:rPr>
                <w:sz w:val="20"/>
                <w:szCs w:val="20"/>
                <w:color w:val="auto"/>
              </w:rPr>
            </w:pPr>
            <w:r>
              <w:rPr>
                <w:rFonts w:ascii="Arial" w:cs="Arial" w:eastAsia="Arial" w:hAnsi="Arial"/>
                <w:sz w:val="13"/>
                <w:szCs w:val="13"/>
                <w:color w:val="auto"/>
              </w:rPr>
              <w:t>2024</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9940" w:type="dxa"/>
            <w:vAlign w:val="bottom"/>
          </w:tcPr>
          <w:p>
            <w:pPr>
              <w:spacing w:after="0"/>
              <w:rPr>
                <w:sz w:val="20"/>
                <w:szCs w:val="20"/>
                <w:color w:val="auto"/>
              </w:rPr>
            </w:pPr>
            <w:r>
              <w:rPr>
                <w:rFonts w:ascii="Arial" w:cs="Arial" w:eastAsia="Arial" w:hAnsi="Arial"/>
                <w:sz w:val="13"/>
                <w:szCs w:val="13"/>
                <w:color w:val="auto"/>
              </w:rPr>
              <w:t>2025</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9940" w:type="dxa"/>
            <w:vAlign w:val="bottom"/>
          </w:tcPr>
          <w:p>
            <w:pPr>
              <w:spacing w:after="0"/>
              <w:rPr>
                <w:sz w:val="20"/>
                <w:szCs w:val="20"/>
                <w:color w:val="auto"/>
              </w:rPr>
            </w:pPr>
            <w:r>
              <w:rPr>
                <w:rFonts w:ascii="Arial" w:cs="Arial" w:eastAsia="Arial" w:hAnsi="Arial"/>
                <w:sz w:val="13"/>
                <w:szCs w:val="13"/>
                <w:color w:val="auto"/>
              </w:rPr>
              <w:t>2026</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9940" w:type="dxa"/>
            <w:vAlign w:val="bottom"/>
          </w:tcPr>
          <w:p>
            <w:pPr>
              <w:spacing w:after="0"/>
              <w:rPr>
                <w:sz w:val="20"/>
                <w:szCs w:val="20"/>
                <w:color w:val="auto"/>
              </w:rPr>
            </w:pPr>
            <w:r>
              <w:rPr>
                <w:rFonts w:ascii="Arial" w:cs="Arial" w:eastAsia="Arial" w:hAnsi="Arial"/>
                <w:sz w:val="13"/>
                <w:szCs w:val="13"/>
                <w:color w:val="auto"/>
              </w:rPr>
              <w:t>Thereafter</w:t>
            </w: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8,467,324</w:t>
            </w:r>
          </w:p>
        </w:tc>
      </w:tr>
      <w:tr>
        <w:trPr>
          <w:trHeight w:val="162"/>
        </w:trPr>
        <w:tc>
          <w:tcPr>
            <w:tcW w:w="9940" w:type="dxa"/>
            <w:vAlign w:val="bottom"/>
          </w:tcPr>
          <w:p>
            <w:pPr>
              <w:spacing w:after="0"/>
              <w:rPr>
                <w:sz w:val="20"/>
                <w:szCs w:val="20"/>
                <w:color w:val="auto"/>
              </w:rPr>
            </w:pPr>
            <w:r>
              <w:rPr>
                <w:rFonts w:ascii="Arial" w:cs="Arial" w:eastAsia="Arial" w:hAnsi="Arial"/>
                <w:sz w:val="13"/>
                <w:szCs w:val="13"/>
                <w:color w:val="auto"/>
              </w:rPr>
              <w:t>Total</w:t>
            </w:r>
          </w:p>
        </w:tc>
        <w:tc>
          <w:tcPr>
            <w:tcW w:w="4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8,495,149</w:t>
            </w:r>
          </w:p>
        </w:tc>
      </w:tr>
      <w:tr>
        <w:trPr>
          <w:trHeight w:val="20"/>
        </w:trPr>
        <w:tc>
          <w:tcPr>
            <w:tcW w:w="9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LEASES</w:t>
      </w:r>
    </w:p>
    <w:p>
      <w:pPr>
        <w:spacing w:after="0" w:line="136" w:lineRule="exact"/>
        <w:rPr>
          <w:sz w:val="20"/>
          <w:szCs w:val="20"/>
          <w:color w:val="auto"/>
        </w:rPr>
      </w:pPr>
    </w:p>
    <w:p>
      <w:pPr>
        <w:ind w:right="80" w:firstLine="509"/>
        <w:spacing w:after="0" w:line="271" w:lineRule="auto"/>
        <w:rPr>
          <w:sz w:val="20"/>
          <w:szCs w:val="20"/>
          <w:color w:val="auto"/>
        </w:rPr>
      </w:pPr>
      <w:r>
        <w:rPr>
          <w:rFonts w:ascii="Arial" w:cs="Arial" w:eastAsia="Arial" w:hAnsi="Arial"/>
          <w:sz w:val="14"/>
          <w:szCs w:val="14"/>
          <w:color w:val="auto"/>
        </w:rPr>
        <w:t>The Company has operating leases related to office space and certain equipment with remaining lease terms expiring within one year through 2031, some of which include options to extend the leases for up to five years and some of which include options to terminate the leases within one year. As of June 30, 2022, there were no finance leases outstanding and no additional operating leases that have not yet commenced.</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components of lease expense included in general and administrative expense were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48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8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80" w:type="dxa"/>
            <w:vAlign w:val="bottom"/>
            <w:tcBorders>
              <w:bottom w:val="single" w:sz="8" w:color="auto"/>
            </w:tcBorders>
          </w:tcPr>
          <w:p>
            <w:pPr>
              <w:spacing w:after="0"/>
              <w:rPr>
                <w:sz w:val="12"/>
                <w:szCs w:val="12"/>
                <w:color w:val="auto"/>
              </w:rPr>
            </w:pPr>
          </w:p>
        </w:tc>
      </w:tr>
      <w:tr>
        <w:trPr>
          <w:trHeight w:val="131"/>
        </w:trPr>
        <w:tc>
          <w:tcPr>
            <w:tcW w:w="48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2022</w:t>
            </w: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w w:val="98"/>
              </w:rPr>
              <w:t>2021</w:t>
            </w: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2022</w:t>
            </w: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2021</w:t>
            </w:r>
          </w:p>
        </w:tc>
      </w:tr>
      <w:tr>
        <w:trPr>
          <w:trHeight w:val="361"/>
        </w:trPr>
        <w:tc>
          <w:tcPr>
            <w:tcW w:w="4820" w:type="dxa"/>
            <w:vAlign w:val="bottom"/>
          </w:tcPr>
          <w:p>
            <w:pPr>
              <w:spacing w:after="0"/>
              <w:rPr>
                <w:sz w:val="20"/>
                <w:szCs w:val="20"/>
                <w:color w:val="auto"/>
              </w:rPr>
            </w:pPr>
            <w:r>
              <w:rPr>
                <w:rFonts w:ascii="Arial" w:cs="Arial" w:eastAsia="Arial" w:hAnsi="Arial"/>
                <w:sz w:val="13"/>
                <w:szCs w:val="13"/>
                <w:color w:val="auto"/>
              </w:rPr>
              <w:t>Operating lease cost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2"/>
              <w:spacing w:after="0"/>
              <w:rPr>
                <w:sz w:val="20"/>
                <w:szCs w:val="20"/>
                <w:color w:val="auto"/>
              </w:rPr>
            </w:pPr>
            <w:r>
              <w:rPr>
                <w:rFonts w:ascii="Arial" w:cs="Arial" w:eastAsia="Arial" w:hAnsi="Arial"/>
                <w:sz w:val="13"/>
                <w:szCs w:val="13"/>
                <w:color w:val="auto"/>
              </w:rPr>
              <w:t>1,759</w:t>
            </w:r>
          </w:p>
        </w:tc>
        <w:tc>
          <w:tcPr>
            <w:tcW w:w="220" w:type="dxa"/>
            <w:vAlign w:val="bottom"/>
          </w:tcPr>
          <w:p>
            <w:pPr>
              <w:spacing w:after="0"/>
              <w:rPr>
                <w:sz w:val="24"/>
                <w:szCs w:val="24"/>
                <w:color w:val="auto"/>
              </w:rPr>
            </w:pPr>
          </w:p>
        </w:tc>
        <w:tc>
          <w:tcPr>
            <w:tcW w:w="600" w:type="dxa"/>
            <w:vAlign w:val="bottom"/>
          </w:tcPr>
          <w:p>
            <w:pPr>
              <w:jc w:val="right"/>
              <w:ind w:right="4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2,029</w:t>
            </w:r>
          </w:p>
        </w:tc>
        <w:tc>
          <w:tcPr>
            <w:tcW w:w="200" w:type="dxa"/>
            <w:vAlign w:val="bottom"/>
          </w:tcPr>
          <w:p>
            <w:pPr>
              <w:spacing w:after="0"/>
              <w:rPr>
                <w:sz w:val="24"/>
                <w:szCs w:val="2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2"/>
              <w:spacing w:after="0"/>
              <w:rPr>
                <w:sz w:val="20"/>
                <w:szCs w:val="20"/>
                <w:color w:val="auto"/>
              </w:rPr>
            </w:pPr>
            <w:r>
              <w:rPr>
                <w:rFonts w:ascii="Arial" w:cs="Arial" w:eastAsia="Arial" w:hAnsi="Arial"/>
                <w:sz w:val="13"/>
                <w:szCs w:val="13"/>
                <w:color w:val="auto"/>
              </w:rPr>
              <w:t>3,538</w:t>
            </w:r>
          </w:p>
        </w:tc>
        <w:tc>
          <w:tcPr>
            <w:tcW w:w="200" w:type="dxa"/>
            <w:vAlign w:val="bottom"/>
          </w:tcPr>
          <w:p>
            <w:pPr>
              <w:spacing w:after="0"/>
              <w:rPr>
                <w:sz w:val="24"/>
                <w:szCs w:val="24"/>
                <w:color w:val="auto"/>
              </w:rPr>
            </w:pPr>
          </w:p>
        </w:tc>
        <w:tc>
          <w:tcPr>
            <w:tcW w:w="58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4,034</w:t>
            </w:r>
          </w:p>
        </w:tc>
      </w:tr>
      <w:tr>
        <w:trPr>
          <w:trHeight w:val="171"/>
        </w:trPr>
        <w:tc>
          <w:tcPr>
            <w:tcW w:w="4820" w:type="dxa"/>
            <w:vAlign w:val="bottom"/>
          </w:tcPr>
          <w:p>
            <w:pPr>
              <w:spacing w:after="0"/>
              <w:rPr>
                <w:sz w:val="20"/>
                <w:szCs w:val="20"/>
                <w:color w:val="auto"/>
              </w:rPr>
            </w:pPr>
            <w:r>
              <w:rPr>
                <w:rFonts w:ascii="Arial" w:cs="Arial" w:eastAsia="Arial" w:hAnsi="Arial"/>
                <w:sz w:val="13"/>
                <w:szCs w:val="13"/>
                <w:color w:val="auto"/>
              </w:rPr>
              <w:t>Sublease income</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w:t>
            </w:r>
          </w:p>
        </w:tc>
        <w:tc>
          <w:tcPr>
            <w:tcW w:w="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w:t>
            </w: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w:t>
            </w:r>
          </w:p>
        </w:tc>
      </w:tr>
      <w:tr>
        <w:trPr>
          <w:trHeight w:val="162"/>
        </w:trPr>
        <w:tc>
          <w:tcPr>
            <w:tcW w:w="4820" w:type="dxa"/>
            <w:vAlign w:val="bottom"/>
          </w:tcPr>
          <w:p>
            <w:pPr>
              <w:ind w:left="120"/>
              <w:spacing w:after="0"/>
              <w:rPr>
                <w:sz w:val="20"/>
                <w:szCs w:val="20"/>
                <w:color w:val="auto"/>
              </w:rPr>
            </w:pPr>
            <w:r>
              <w:rPr>
                <w:rFonts w:ascii="Arial" w:cs="Arial" w:eastAsia="Arial" w:hAnsi="Arial"/>
                <w:sz w:val="13"/>
                <w:szCs w:val="13"/>
                <w:color w:val="auto"/>
              </w:rPr>
              <w:t>Total lease cost</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1,540</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1,926</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3,332</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3,829</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Supplemental cash flow information related to leases was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9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w w:val="98"/>
              </w:rPr>
              <w:t>Six months ended June 30, 2022</w:t>
            </w:r>
          </w:p>
        </w:tc>
      </w:tr>
      <w:tr>
        <w:trPr>
          <w:trHeight w:val="154"/>
        </w:trPr>
        <w:tc>
          <w:tcPr>
            <w:tcW w:w="9460" w:type="dxa"/>
            <w:vAlign w:val="bottom"/>
          </w:tcPr>
          <w:p>
            <w:pPr>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70"/>
        </w:trPr>
        <w:tc>
          <w:tcPr>
            <w:tcW w:w="9460" w:type="dxa"/>
            <w:vAlign w:val="bottom"/>
          </w:tcPr>
          <w:p>
            <w:pPr>
              <w:ind w:left="120"/>
              <w:spacing w:after="0"/>
              <w:rPr>
                <w:sz w:val="20"/>
                <w:szCs w:val="20"/>
                <w:color w:val="auto"/>
              </w:rPr>
            </w:pPr>
            <w:r>
              <w:rPr>
                <w:rFonts w:ascii="Arial" w:cs="Arial" w:eastAsia="Arial" w:hAnsi="Arial"/>
                <w:sz w:val="13"/>
                <w:szCs w:val="13"/>
                <w:color w:val="auto"/>
              </w:rPr>
              <w:t>Operating cash flows used for operating leases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80" w:type="dxa"/>
            <w:vAlign w:val="bottom"/>
          </w:tcPr>
          <w:p>
            <w:pPr>
              <w:jc w:val="right"/>
              <w:ind w:right="100"/>
              <w:spacing w:after="0"/>
              <w:rPr>
                <w:sz w:val="20"/>
                <w:szCs w:val="20"/>
                <w:color w:val="auto"/>
              </w:rPr>
            </w:pPr>
            <w:r>
              <w:rPr>
                <w:rFonts w:ascii="Arial" w:cs="Arial" w:eastAsia="Arial" w:hAnsi="Arial"/>
                <w:sz w:val="13"/>
                <w:szCs w:val="13"/>
                <w:color w:val="auto"/>
              </w:rPr>
              <w:t>3,052</w:t>
            </w:r>
          </w:p>
        </w:tc>
      </w:tr>
      <w:tr>
        <w:trPr>
          <w:trHeight w:val="170"/>
        </w:trPr>
        <w:tc>
          <w:tcPr>
            <w:tcW w:w="9460" w:type="dxa"/>
            <w:vAlign w:val="bottom"/>
          </w:tcPr>
          <w:p>
            <w:pPr>
              <w:spacing w:after="0"/>
              <w:rPr>
                <w:sz w:val="20"/>
                <w:szCs w:val="20"/>
                <w:color w:val="auto"/>
              </w:rPr>
            </w:pPr>
            <w:r>
              <w:rPr>
                <w:rFonts w:ascii="Arial" w:cs="Arial" w:eastAsia="Arial" w:hAnsi="Arial"/>
                <w:sz w:val="13"/>
                <w:szCs w:val="13"/>
                <w:color w:val="auto"/>
              </w:rPr>
              <w:t>Weighted average remaining lease term for operating leases (in years)</w:t>
            </w:r>
          </w:p>
        </w:tc>
        <w:tc>
          <w:tcPr>
            <w:tcW w:w="1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8.73</w:t>
            </w:r>
          </w:p>
        </w:tc>
      </w:tr>
      <w:tr>
        <w:trPr>
          <w:trHeight w:val="170"/>
        </w:trPr>
        <w:tc>
          <w:tcPr>
            <w:tcW w:w="9460" w:type="dxa"/>
            <w:vAlign w:val="bottom"/>
          </w:tcPr>
          <w:p>
            <w:pPr>
              <w:spacing w:after="0"/>
              <w:rPr>
                <w:sz w:val="20"/>
                <w:szCs w:val="20"/>
                <w:color w:val="auto"/>
              </w:rPr>
            </w:pPr>
            <w:r>
              <w:rPr>
                <w:rFonts w:ascii="Arial" w:cs="Arial" w:eastAsia="Arial" w:hAnsi="Arial"/>
                <w:sz w:val="13"/>
                <w:szCs w:val="13"/>
                <w:color w:val="auto"/>
              </w:rPr>
              <w:t>Weighted average discount rate for operating leases</w:t>
            </w:r>
          </w:p>
        </w:tc>
        <w:tc>
          <w:tcPr>
            <w:tcW w:w="1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4.4 %</w:t>
            </w:r>
          </w:p>
        </w:tc>
      </w:tr>
    </w:tbl>
    <w:p>
      <w:pPr>
        <w:spacing w:after="0" w:line="26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June 30, 2022, maturities of operating lease liabilities were as follows: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10020" w:type="dxa"/>
            <w:vAlign w:val="bottom"/>
          </w:tcPr>
          <w:p>
            <w:pPr>
              <w:spacing w:after="0"/>
              <w:rPr>
                <w:sz w:val="20"/>
                <w:szCs w:val="20"/>
                <w:color w:val="auto"/>
              </w:rPr>
            </w:pPr>
            <w:r>
              <w:rPr>
                <w:rFonts w:ascii="Arial" w:cs="Arial" w:eastAsia="Arial" w:hAnsi="Arial"/>
                <w:sz w:val="13"/>
                <w:szCs w:val="13"/>
                <w:color w:val="auto"/>
              </w:rPr>
              <w:t>Remainder of 2022</w:t>
            </w: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3,022</w:t>
            </w:r>
          </w:p>
        </w:tc>
      </w:tr>
      <w:tr>
        <w:trPr>
          <w:trHeight w:val="170"/>
        </w:trPr>
        <w:tc>
          <w:tcPr>
            <w:tcW w:w="10020" w:type="dxa"/>
            <w:vAlign w:val="bottom"/>
          </w:tcPr>
          <w:p>
            <w:pPr>
              <w:spacing w:after="0"/>
              <w:rPr>
                <w:sz w:val="20"/>
                <w:szCs w:val="20"/>
                <w:color w:val="auto"/>
              </w:rPr>
            </w:pPr>
            <w:r>
              <w:rPr>
                <w:rFonts w:ascii="Arial" w:cs="Arial" w:eastAsia="Arial" w:hAnsi="Arial"/>
                <w:sz w:val="13"/>
                <w:szCs w:val="13"/>
                <w:color w:val="auto"/>
              </w:rPr>
              <w:t>2023</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5,292</w:t>
            </w:r>
          </w:p>
        </w:tc>
      </w:tr>
      <w:tr>
        <w:trPr>
          <w:trHeight w:val="170"/>
        </w:trPr>
        <w:tc>
          <w:tcPr>
            <w:tcW w:w="10020" w:type="dxa"/>
            <w:vAlign w:val="bottom"/>
          </w:tcPr>
          <w:p>
            <w:pPr>
              <w:spacing w:after="0"/>
              <w:rPr>
                <w:sz w:val="20"/>
                <w:szCs w:val="20"/>
                <w:color w:val="auto"/>
              </w:rPr>
            </w:pPr>
            <w:r>
              <w:rPr>
                <w:rFonts w:ascii="Arial" w:cs="Arial" w:eastAsia="Arial" w:hAnsi="Arial"/>
                <w:sz w:val="13"/>
                <w:szCs w:val="13"/>
                <w:color w:val="auto"/>
              </w:rPr>
              <w:t>2024</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4,286</w:t>
            </w:r>
          </w:p>
        </w:tc>
      </w:tr>
      <w:tr>
        <w:trPr>
          <w:trHeight w:val="170"/>
        </w:trPr>
        <w:tc>
          <w:tcPr>
            <w:tcW w:w="10020" w:type="dxa"/>
            <w:vAlign w:val="bottom"/>
          </w:tcPr>
          <w:p>
            <w:pPr>
              <w:spacing w:after="0"/>
              <w:rPr>
                <w:sz w:val="20"/>
                <w:szCs w:val="20"/>
                <w:color w:val="auto"/>
              </w:rPr>
            </w:pPr>
            <w:r>
              <w:rPr>
                <w:rFonts w:ascii="Arial" w:cs="Arial" w:eastAsia="Arial" w:hAnsi="Arial"/>
                <w:sz w:val="13"/>
                <w:szCs w:val="13"/>
                <w:color w:val="auto"/>
              </w:rPr>
              <w:t>2025</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4,155</w:t>
            </w:r>
          </w:p>
        </w:tc>
      </w:tr>
      <w:tr>
        <w:trPr>
          <w:trHeight w:val="170"/>
        </w:trPr>
        <w:tc>
          <w:tcPr>
            <w:tcW w:w="10020" w:type="dxa"/>
            <w:vAlign w:val="bottom"/>
          </w:tcPr>
          <w:p>
            <w:pPr>
              <w:spacing w:after="0"/>
              <w:rPr>
                <w:sz w:val="20"/>
                <w:szCs w:val="20"/>
                <w:color w:val="auto"/>
              </w:rPr>
            </w:pPr>
            <w:r>
              <w:rPr>
                <w:rFonts w:ascii="Arial" w:cs="Arial" w:eastAsia="Arial" w:hAnsi="Arial"/>
                <w:sz w:val="13"/>
                <w:szCs w:val="13"/>
                <w:color w:val="auto"/>
              </w:rPr>
              <w:t>2026</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4,155</w:t>
            </w:r>
          </w:p>
        </w:tc>
      </w:tr>
      <w:tr>
        <w:trPr>
          <w:trHeight w:val="170"/>
        </w:trPr>
        <w:tc>
          <w:tcPr>
            <w:tcW w:w="10020" w:type="dxa"/>
            <w:vAlign w:val="bottom"/>
          </w:tcPr>
          <w:p>
            <w:pPr>
              <w:spacing w:after="0"/>
              <w:rPr>
                <w:sz w:val="20"/>
                <w:szCs w:val="20"/>
                <w:color w:val="auto"/>
              </w:rPr>
            </w:pPr>
            <w:r>
              <w:rPr>
                <w:rFonts w:ascii="Arial" w:cs="Arial" w:eastAsia="Arial" w:hAnsi="Arial"/>
                <w:sz w:val="13"/>
                <w:szCs w:val="13"/>
                <w:color w:val="auto"/>
              </w:rPr>
              <w:t>Thereafter</w:t>
            </w: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19,126</w:t>
            </w:r>
          </w:p>
        </w:tc>
      </w:tr>
      <w:tr>
        <w:trPr>
          <w:trHeight w:val="160"/>
        </w:trPr>
        <w:tc>
          <w:tcPr>
            <w:tcW w:w="10020" w:type="dxa"/>
            <w:vAlign w:val="bottom"/>
          </w:tcPr>
          <w:p>
            <w:pPr>
              <w:ind w:left="120"/>
              <w:spacing w:after="0"/>
              <w:rPr>
                <w:sz w:val="20"/>
                <w:szCs w:val="20"/>
                <w:color w:val="auto"/>
              </w:rPr>
            </w:pPr>
            <w:r>
              <w:rPr>
                <w:rFonts w:ascii="Arial" w:cs="Arial" w:eastAsia="Arial" w:hAnsi="Arial"/>
                <w:sz w:val="13"/>
                <w:szCs w:val="13"/>
                <w:color w:val="auto"/>
              </w:rPr>
              <w:t>Total lease payments</w:t>
            </w: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40,036</w:t>
            </w:r>
          </w:p>
        </w:tc>
      </w:tr>
      <w:tr>
        <w:trPr>
          <w:trHeight w:val="171"/>
        </w:trPr>
        <w:tc>
          <w:tcPr>
            <w:tcW w:w="10020" w:type="dxa"/>
            <w:vAlign w:val="bottom"/>
          </w:tcPr>
          <w:p>
            <w:pPr>
              <w:ind w:left="120"/>
              <w:spacing w:after="0"/>
              <w:rPr>
                <w:sz w:val="20"/>
                <w:szCs w:val="20"/>
                <w:color w:val="auto"/>
              </w:rPr>
            </w:pPr>
            <w:r>
              <w:rPr>
                <w:rFonts w:ascii="Arial" w:cs="Arial" w:eastAsia="Arial" w:hAnsi="Arial"/>
                <w:sz w:val="13"/>
                <w:szCs w:val="13"/>
                <w:color w:val="auto"/>
              </w:rPr>
              <w:t>Less: imputed interest</w:t>
            </w: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(6,675)</w:t>
            </w:r>
          </w:p>
        </w:tc>
      </w:tr>
      <w:tr>
        <w:trPr>
          <w:trHeight w:val="162"/>
        </w:trPr>
        <w:tc>
          <w:tcPr>
            <w:tcW w:w="10020" w:type="dxa"/>
            <w:vAlign w:val="bottom"/>
          </w:tcPr>
          <w:p>
            <w:pPr>
              <w:spacing w:after="0"/>
              <w:rPr>
                <w:sz w:val="20"/>
                <w:szCs w:val="20"/>
                <w:color w:val="auto"/>
              </w:rPr>
            </w:pPr>
            <w:r>
              <w:rPr>
                <w:rFonts w:ascii="Arial" w:cs="Arial" w:eastAsia="Arial" w:hAnsi="Arial"/>
                <w:sz w:val="13"/>
                <w:szCs w:val="13"/>
                <w:color w:val="auto"/>
              </w:rPr>
              <w:t>Total operating lease liabilities</w:t>
            </w: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33,361</w:t>
            </w:r>
          </w:p>
        </w:tc>
      </w:tr>
      <w:tr>
        <w:trPr>
          <w:trHeight w:val="20"/>
        </w:trPr>
        <w:tc>
          <w:tcPr>
            <w:tcW w:w="10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NON-CONTROLLING REDEEMABLE INTERESTS IN CONSOLIDATED FUNDS</w:t>
      </w:r>
    </w:p>
    <w:p>
      <w:pPr>
        <w:spacing w:after="0" w:line="136" w:lineRule="exact"/>
        <w:rPr>
          <w:sz w:val="20"/>
          <w:szCs w:val="20"/>
          <w:color w:val="auto"/>
        </w:rPr>
      </w:pPr>
    </w:p>
    <w:p>
      <w:pPr>
        <w:ind w:right="60" w:firstLine="509"/>
        <w:spacing w:after="0" w:line="276" w:lineRule="auto"/>
        <w:rPr>
          <w:sz w:val="20"/>
          <w:szCs w:val="20"/>
          <w:color w:val="auto"/>
        </w:rPr>
      </w:pPr>
      <w:r>
        <w:rPr>
          <w:rFonts w:ascii="Arial" w:cs="Arial" w:eastAsia="Arial" w:hAnsi="Arial"/>
          <w:sz w:val="14"/>
          <w:szCs w:val="14"/>
          <w:color w:val="auto"/>
        </w:rPr>
        <w:t>The following table sets forth a summary of changes in the non-controlling redeemable interests in the consolidated funds. Dividends reinvested and in-kind contributions or distributions are non-cash in nature and have been presented on a gross basis in the table below.</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80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900" w:type="dxa"/>
            <w:vAlign w:val="bottom"/>
            <w:tcBorders>
              <w:bottom w:val="single" w:sz="8" w:color="auto"/>
            </w:tcBorders>
          </w:tcPr>
          <w:p>
            <w:pPr>
              <w:spacing w:after="0"/>
              <w:rPr>
                <w:sz w:val="12"/>
                <w:szCs w:val="12"/>
                <w:color w:val="auto"/>
              </w:rPr>
            </w:pPr>
          </w:p>
        </w:tc>
      </w:tr>
      <w:tr>
        <w:trPr>
          <w:trHeight w:val="131"/>
        </w:trPr>
        <w:tc>
          <w:tcPr>
            <w:tcW w:w="8080" w:type="dxa"/>
            <w:vAlign w:val="bottom"/>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78"/>
              <w:spacing w:after="0"/>
              <w:rPr>
                <w:sz w:val="20"/>
                <w:szCs w:val="20"/>
                <w:color w:val="auto"/>
              </w:rPr>
            </w:pPr>
            <w:r>
              <w:rPr>
                <w:rFonts w:ascii="Arial" w:cs="Arial" w:eastAsia="Arial" w:hAnsi="Arial"/>
                <w:sz w:val="10"/>
                <w:szCs w:val="10"/>
                <w:b w:val="1"/>
                <w:bCs w:val="1"/>
                <w:color w:val="auto"/>
              </w:rPr>
              <w:t>2021</w:t>
            </w:r>
          </w:p>
        </w:tc>
      </w:tr>
      <w:tr>
        <w:trPr>
          <w:trHeight w:val="233"/>
        </w:trPr>
        <w:tc>
          <w:tcPr>
            <w:tcW w:w="8080" w:type="dxa"/>
            <w:vAlign w:val="bottom"/>
          </w:tcPr>
          <w:p>
            <w:pPr>
              <w:spacing w:after="0"/>
              <w:rPr>
                <w:sz w:val="20"/>
                <w:szCs w:val="20"/>
                <w:color w:val="auto"/>
              </w:rPr>
            </w:pPr>
            <w:r>
              <w:rPr>
                <w:rFonts w:ascii="Arial" w:cs="Arial" w:eastAsia="Arial" w:hAnsi="Arial"/>
                <w:sz w:val="13"/>
                <w:szCs w:val="13"/>
                <w:color w:val="auto"/>
              </w:rPr>
              <w:t>Beginning balance</w:t>
            </w:r>
          </w:p>
        </w:tc>
        <w:tc>
          <w:tcPr>
            <w:tcW w:w="860" w:type="dxa"/>
            <w:vAlign w:val="bottom"/>
          </w:tcPr>
          <w:p>
            <w:pPr>
              <w:jc w:val="right"/>
              <w:ind w:right="721"/>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1,723,294</w:t>
            </w:r>
          </w:p>
        </w:tc>
        <w:tc>
          <w:tcPr>
            <w:tcW w:w="180" w:type="dxa"/>
            <w:vAlign w:val="bottom"/>
          </w:tcPr>
          <w:p>
            <w:pPr>
              <w:spacing w:after="0"/>
              <w:rPr>
                <w:sz w:val="20"/>
                <w:szCs w:val="20"/>
                <w:color w:val="auto"/>
              </w:rPr>
            </w:pPr>
          </w:p>
        </w:tc>
        <w:tc>
          <w:tcPr>
            <w:tcW w:w="60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715,347</w:t>
            </w:r>
          </w:p>
        </w:tc>
      </w:tr>
      <w:tr>
        <w:trPr>
          <w:trHeight w:val="170"/>
        </w:trPr>
        <w:tc>
          <w:tcPr>
            <w:tcW w:w="8080" w:type="dxa"/>
            <w:vAlign w:val="bottom"/>
          </w:tcPr>
          <w:p>
            <w:pPr>
              <w:ind w:left="260"/>
              <w:spacing w:after="0"/>
              <w:rPr>
                <w:sz w:val="20"/>
                <w:szCs w:val="20"/>
                <w:color w:val="auto"/>
              </w:rPr>
            </w:pPr>
            <w:r>
              <w:rPr>
                <w:rFonts w:ascii="Arial" w:cs="Arial" w:eastAsia="Arial" w:hAnsi="Arial"/>
                <w:sz w:val="13"/>
                <w:szCs w:val="13"/>
                <w:color w:val="auto"/>
              </w:rPr>
              <w:t>Fund consolidation and deconsolidation, net</w:t>
            </w:r>
          </w:p>
        </w:tc>
        <w:tc>
          <w:tcPr>
            <w:tcW w:w="8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(247,270)</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(192,941)</w:t>
            </w:r>
          </w:p>
        </w:tc>
      </w:tr>
      <w:tr>
        <w:trPr>
          <w:trHeight w:val="170"/>
        </w:trPr>
        <w:tc>
          <w:tcPr>
            <w:tcW w:w="8080" w:type="dxa"/>
            <w:vAlign w:val="bottom"/>
          </w:tcPr>
          <w:p>
            <w:pPr>
              <w:ind w:left="260"/>
              <w:spacing w:after="0"/>
              <w:rPr>
                <w:sz w:val="20"/>
                <w:szCs w:val="20"/>
                <w:color w:val="auto"/>
              </w:rPr>
            </w:pPr>
            <w:r>
              <w:rPr>
                <w:rFonts w:ascii="Arial" w:cs="Arial" w:eastAsia="Arial" w:hAnsi="Arial"/>
                <w:sz w:val="13"/>
                <w:szCs w:val="13"/>
                <w:color w:val="auto"/>
              </w:rPr>
              <w:t>Contributions</w:t>
            </w:r>
          </w:p>
        </w:tc>
        <w:tc>
          <w:tcPr>
            <w:tcW w:w="8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547,100</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315,064</w:t>
            </w:r>
          </w:p>
        </w:tc>
      </w:tr>
      <w:tr>
        <w:trPr>
          <w:trHeight w:val="170"/>
        </w:trPr>
        <w:tc>
          <w:tcPr>
            <w:tcW w:w="8080" w:type="dxa"/>
            <w:vAlign w:val="bottom"/>
          </w:tcPr>
          <w:p>
            <w:pPr>
              <w:ind w:left="260"/>
              <w:spacing w:after="0"/>
              <w:rPr>
                <w:sz w:val="20"/>
                <w:szCs w:val="20"/>
                <w:color w:val="auto"/>
              </w:rPr>
            </w:pPr>
            <w:r>
              <w:rPr>
                <w:rFonts w:ascii="Arial" w:cs="Arial" w:eastAsia="Arial" w:hAnsi="Arial"/>
                <w:sz w:val="13"/>
                <w:szCs w:val="13"/>
                <w:color w:val="auto"/>
              </w:rPr>
              <w:t>Distributions</w:t>
            </w:r>
          </w:p>
        </w:tc>
        <w:tc>
          <w:tcPr>
            <w:tcW w:w="8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(132,979)</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(99,719)</w:t>
            </w:r>
          </w:p>
        </w:tc>
      </w:tr>
      <w:tr>
        <w:trPr>
          <w:trHeight w:val="170"/>
        </w:trPr>
        <w:tc>
          <w:tcPr>
            <w:tcW w:w="8080" w:type="dxa"/>
            <w:vAlign w:val="bottom"/>
          </w:tcPr>
          <w:p>
            <w:pPr>
              <w:ind w:left="260"/>
              <w:spacing w:after="0"/>
              <w:rPr>
                <w:sz w:val="20"/>
                <w:szCs w:val="20"/>
                <w:color w:val="auto"/>
              </w:rPr>
            </w:pPr>
            <w:r>
              <w:rPr>
                <w:rFonts w:ascii="Arial" w:cs="Arial" w:eastAsia="Arial" w:hAnsi="Arial"/>
                <w:sz w:val="13"/>
                <w:szCs w:val="13"/>
                <w:color w:val="auto"/>
              </w:rPr>
              <w:t>Net income</w:t>
            </w:r>
          </w:p>
        </w:tc>
        <w:tc>
          <w:tcPr>
            <w:tcW w:w="8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66,850</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111,891</w:t>
            </w:r>
          </w:p>
        </w:tc>
      </w:tr>
      <w:tr>
        <w:trPr>
          <w:trHeight w:val="170"/>
        </w:trPr>
        <w:tc>
          <w:tcPr>
            <w:tcW w:w="8080" w:type="dxa"/>
            <w:vAlign w:val="bottom"/>
          </w:tcPr>
          <w:p>
            <w:pPr>
              <w:ind w:left="260"/>
              <w:spacing w:after="0"/>
              <w:rPr>
                <w:sz w:val="20"/>
                <w:szCs w:val="20"/>
                <w:color w:val="auto"/>
              </w:rPr>
            </w:pPr>
            <w:r>
              <w:rPr>
                <w:rFonts w:ascii="Arial" w:cs="Arial" w:eastAsia="Arial" w:hAnsi="Arial"/>
                <w:sz w:val="13"/>
                <w:szCs w:val="13"/>
                <w:color w:val="auto"/>
              </w:rPr>
              <w:t>Change in distributions payable</w:t>
            </w:r>
          </w:p>
        </w:tc>
        <w:tc>
          <w:tcPr>
            <w:tcW w:w="8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10,098</w:t>
            </w:r>
          </w:p>
        </w:tc>
      </w:tr>
      <w:tr>
        <w:trPr>
          <w:trHeight w:val="170"/>
        </w:trPr>
        <w:tc>
          <w:tcPr>
            <w:tcW w:w="8080" w:type="dxa"/>
            <w:vAlign w:val="bottom"/>
          </w:tcPr>
          <w:p>
            <w:pPr>
              <w:ind w:left="260"/>
              <w:spacing w:after="0"/>
              <w:rPr>
                <w:sz w:val="20"/>
                <w:szCs w:val="20"/>
                <w:color w:val="auto"/>
              </w:rPr>
            </w:pPr>
            <w:r>
              <w:rPr>
                <w:rFonts w:ascii="Arial" w:cs="Arial" w:eastAsia="Arial" w:hAnsi="Arial"/>
                <w:sz w:val="13"/>
                <w:szCs w:val="13"/>
                <w:color w:val="auto"/>
              </w:rPr>
              <w:t>Foreign currency translation and other, net</w:t>
            </w:r>
          </w:p>
        </w:tc>
        <w:tc>
          <w:tcPr>
            <w:tcW w:w="8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(1,272)</w:t>
            </w: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(14,787)</w:t>
            </w:r>
          </w:p>
        </w:tc>
      </w:tr>
      <w:tr>
        <w:trPr>
          <w:trHeight w:val="162"/>
        </w:trPr>
        <w:tc>
          <w:tcPr>
            <w:tcW w:w="8080" w:type="dxa"/>
            <w:vAlign w:val="bottom"/>
          </w:tcPr>
          <w:p>
            <w:pPr>
              <w:spacing w:after="0"/>
              <w:rPr>
                <w:sz w:val="20"/>
                <w:szCs w:val="20"/>
                <w:color w:val="auto"/>
              </w:rPr>
            </w:pPr>
            <w:r>
              <w:rPr>
                <w:rFonts w:ascii="Arial" w:cs="Arial" w:eastAsia="Arial" w:hAnsi="Arial"/>
                <w:sz w:val="13"/>
                <w:szCs w:val="13"/>
                <w:color w:val="auto"/>
              </w:rPr>
              <w:t>Ending balance</w:t>
            </w:r>
          </w:p>
        </w:tc>
        <w:tc>
          <w:tcPr>
            <w:tcW w:w="860" w:type="dxa"/>
            <w:vAlign w:val="bottom"/>
            <w:tcBorders>
              <w:bottom w:val="single" w:sz="8" w:color="auto"/>
            </w:tcBorders>
          </w:tcPr>
          <w:p>
            <w:pPr>
              <w:jc w:val="right"/>
              <w:ind w:right="721"/>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1,955,708</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844,953</w:t>
            </w:r>
          </w:p>
        </w:tc>
      </w:tr>
      <w:tr>
        <w:trPr>
          <w:trHeight w:val="20"/>
        </w:trPr>
        <w:tc>
          <w:tcPr>
            <w:tcW w:w="8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UNITHOLDERS’ CAPITAL</w:t>
      </w:r>
    </w:p>
    <w:p>
      <w:pPr>
        <w:spacing w:after="0" w:line="136"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Unitholders’ capital reflects the economic interests attributable to Class A unitholders, preferred unitholders, non-controlling interests in consolidated subsidiaries and non-controlling interests in consolidated funds. Non-controlling interests in consolidated subsidiaries represent the portion of unitholders’ capital attributable to the OCGH non-controlling interest and third parties. The OCGH non-controlling interest is determined at the Oaktree Operating Group level, after giving effect to distributions, if any, attributable to the preferred unitholders, based on the proportionate share of Oaktree Operating Group units held by the OCGH unitholders. Certain expenses, such as income taxes and related administrative expenses of Oaktree Capital Group, LLC and its Intermediate Holding Companies, are solely attributable to the Class A unitholders.</w:t>
      </w:r>
    </w:p>
    <w:p>
      <w:pPr>
        <w:spacing w:after="0" w:line="97"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As of June 30, 2022 and December 31, 2021, OCGH units represented 56,822,301 of the total 159,902,461 Oaktree Operating Group units and 60,783,255 of the total 159,919,875 Oaktree Operating Group units, respectively. Based on total allocable capital of $1,364,096 and $ 1,565,119 as of June 30, 2022 and December 31, 2021, respectively, the OCGH non-controlling interest was $485,353 and $612,228. As of June 30, 2022 and December 31, 2021, there were no non-controlling interests attributable to third parties.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Unit Issuances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May 17, 2018, the Company issued 7,200,000 of its 6.625% Series A preferred units representing limited liability company interests with a liquidation preference of</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$25.00 per unit. The issuance resulted in $173.7 million in net proceeds to the Company. Distributions on the Series A preferred units, when and if declared by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of Oaktree, will be paid quarterly on March 15, June 15, September 15 and December 15 of each year. The first distribution was paid on September 17, 2018. Distributions on the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Series A preferred units are non-cumulative.</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August 9, 2018, the Company issued 9,400,000 of its 6.550% Series B preferred units representing limited liability company interests with a liquidation preference of</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$25.00 per unit. The issuance resulted in $226.9 million in net proceeds to the Company. Distributions on the Series B preferred units, when and if declared by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of Oaktree, will be paid quarterly on March 15, June 15, September 15 and December 15 of each year. The first distribution was paid on December 17, 2018. Distributions on the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Series B preferred units are non-cumulative.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Unless distributions have been declared and paid or declared and set apart for payment on the preferred units for a quarterly distribution period, during the remainder of that distribution period the Company may not repurchase any common units or any other units that are junior in rank, as to the payment of distributions, to the preferred units and the Company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spacing w:after="0" w:line="95"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The Company may redeem, at its option, out of funds legally available, the preferred units, in whole or in part, at any time on or after June 15, 2023 in respect of the Series A preferred units or September 15, 2023 in respect of the Series B preferred units, at a price of $ 25.00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91" w:lineRule="exact"/>
        <w:rPr>
          <w:sz w:val="20"/>
          <w:szCs w:val="20"/>
          <w:color w:val="auto"/>
        </w:rPr>
      </w:pPr>
    </w:p>
    <w:p>
      <w:pPr>
        <w:ind w:right="100" w:firstLine="509"/>
        <w:spacing w:after="0" w:line="265" w:lineRule="auto"/>
        <w:rPr>
          <w:sz w:val="20"/>
          <w:szCs w:val="20"/>
          <w:color w:val="auto"/>
        </w:rPr>
      </w:pPr>
      <w:r>
        <w:rPr>
          <w:rFonts w:ascii="Arial" w:cs="Arial" w:eastAsia="Arial" w:hAnsi="Arial"/>
          <w:sz w:val="14"/>
          <w:szCs w:val="14"/>
          <w:color w:val="auto"/>
        </w:rPr>
        <w:t>If a Change of Control Event (as defined in the applicable Preferred Unit Designation) occurs prior to June 15, 2023 in respect of the Series A preferred units or September 15, 2023 in respect of the Series B preferred units, the Company may, at its option, out of funds legally available, redeem the applicable preferred units, in whole but not in part, upon at least 30 days’ notice, within 60 days of the occurrence of such Change of Control Event, at a price of $25.25 per preferred unit, plus declared and unpaid distributions to, but excluding, the redemption date, without payment of any undeclared distributions.</w:t>
      </w:r>
    </w:p>
    <w:p>
      <w:pPr>
        <w:spacing w:after="0" w:line="95" w:lineRule="exact"/>
        <w:rPr>
          <w:sz w:val="20"/>
          <w:szCs w:val="20"/>
          <w:color w:val="auto"/>
        </w:rPr>
      </w:pPr>
    </w:p>
    <w:p>
      <w:pPr>
        <w:ind w:right="160" w:firstLine="509"/>
        <w:spacing w:after="0" w:line="265" w:lineRule="auto"/>
        <w:rPr>
          <w:sz w:val="20"/>
          <w:szCs w:val="20"/>
          <w:color w:val="auto"/>
        </w:rPr>
      </w:pPr>
      <w:r>
        <w:rPr>
          <w:rFonts w:ascii="Arial" w:cs="Arial" w:eastAsia="Arial" w:hAnsi="Arial"/>
          <w:sz w:val="14"/>
          <w:szCs w:val="14"/>
          <w:color w:val="auto"/>
        </w:rPr>
        <w:t>If a Tax Redemption Event or Rating Agency Event (each, as defined in the applicable Preferred Unit Designation) occurs prior to June 15, 2023 in respect of the Series A preferred units or September 15, 2023 in respect of the Series B preferred units, the Company may, at its option, out of funds legally available, redeem the applicable preferred units, in whole but not in part, upon at least 30 days’ notice, within 60 days of the occurrence of such Tax Redemption Event or Rating Agency Event, at a price of $25.50 per preferred unit, plus declared and unpaid distributions to, but excluding, the redemption date, without payment of any undeclared distributions.</w:t>
      </w:r>
    </w:p>
    <w:p>
      <w:pPr>
        <w:spacing w:after="0" w:line="95"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The preferred units are not convertible into Class A units or any other class or series of the Company’s interests or any other security. Holders of the preferred units do not have any of the voting rights given to holders of our Class A units, except that holders of the preferred units are entitled to certain voting rights under certain conditions.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a summary of net income attributable to the preferred unitholders, the OCGH non-controlling interest and the Class A common unitholders:</w:t>
      </w:r>
    </w:p>
    <w:p>
      <w:pPr>
        <w:sectPr>
          <w:pgSz w:w="11900" w:h="16838" w:orient="portrait"/>
          <w:cols w:equalWidth="0" w:num="1">
            <w:col w:w="11280"/>
          </w:cols>
          <w:pgMar w:left="300" w:top="316" w:right="319" w:bottom="1440" w:gutter="0" w:footer="0" w:header="0"/>
        </w:sectPr>
      </w:pPr>
    </w:p>
    <w:p>
      <w:pPr>
        <w:spacing w:after="0" w:line="41" w:lineRule="exact"/>
        <w:rPr>
          <w:sz w:val="20"/>
          <w:szCs w:val="20"/>
          <w:color w:val="auto"/>
        </w:rPr>
      </w:pPr>
    </w:p>
    <w:p>
      <w:pPr>
        <w:jc w:val="center"/>
        <w:ind w:left="5140"/>
        <w:spacing w:after="0"/>
        <w:rPr>
          <w:sz w:val="20"/>
          <w:szCs w:val="20"/>
          <w:color w:val="auto"/>
        </w:rPr>
      </w:pPr>
      <w:r>
        <w:rPr>
          <w:rFonts w:ascii="Arial" w:cs="Arial" w:eastAsia="Arial" w:hAnsi="Arial"/>
          <w:sz w:val="10"/>
          <w:szCs w:val="10"/>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17145</wp:posOffset>
            </wp:positionV>
            <wp:extent cx="185928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9280" cy="6985"/>
                    </a:xfrm>
                    <a:prstGeom prst="rect">
                      <a:avLst/>
                    </a:prstGeom>
                    <a:noFill/>
                  </pic:spPr>
                </pic:pic>
              </a:graphicData>
            </a:graphic>
          </wp:anchor>
        </w:drawing>
      </w:r>
    </w:p>
    <w:p>
      <w:pPr>
        <w:spacing w:after="0" w:line="14" w:lineRule="exact"/>
        <w:rPr>
          <w:sz w:val="20"/>
          <w:szCs w:val="20"/>
          <w:color w:val="auto"/>
        </w:rPr>
      </w:pPr>
    </w:p>
    <w:p>
      <w:pPr>
        <w:ind w:left="5780"/>
        <w:spacing w:after="0"/>
        <w:tabs>
          <w:tab w:leader="none" w:pos="7320" w:val="left"/>
        </w:tabs>
        <w:rPr>
          <w:sz w:val="20"/>
          <w:szCs w:val="20"/>
          <w:color w:val="auto"/>
        </w:rPr>
      </w:pPr>
      <w:r>
        <w:rPr>
          <w:rFonts w:ascii="Arial" w:cs="Arial" w:eastAsia="Arial" w:hAnsi="Arial"/>
          <w:sz w:val="9"/>
          <w:szCs w:val="9"/>
          <w:b w:val="1"/>
          <w:bCs w:val="1"/>
          <w:color w:val="auto"/>
        </w:rPr>
        <w:t>2022</w:t>
      </w:r>
      <w:r>
        <w:rPr>
          <w:sz w:val="20"/>
          <w:szCs w:val="20"/>
          <w:color w:val="auto"/>
        </w:rPr>
        <w:tab/>
      </w:r>
      <w:r>
        <w:rPr>
          <w:rFonts w:ascii="Arial" w:cs="Arial" w:eastAsia="Arial" w:hAnsi="Arial"/>
          <w:sz w:val="9"/>
          <w:szCs w:val="9"/>
          <w:b w:val="1"/>
          <w:bCs w:val="1"/>
          <w:color w:val="auto"/>
        </w:rPr>
        <w:t>2021</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580"/>
        <w:spacing w:after="0"/>
        <w:rPr>
          <w:sz w:val="20"/>
          <w:szCs w:val="20"/>
          <w:color w:val="auto"/>
        </w:rPr>
      </w:pPr>
      <w:r>
        <w:rPr>
          <w:rFonts w:ascii="Arial" w:cs="Arial" w:eastAsia="Arial" w:hAnsi="Arial"/>
          <w:sz w:val="10"/>
          <w:szCs w:val="10"/>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17145</wp:posOffset>
            </wp:positionV>
            <wp:extent cx="185928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59280" cy="6985"/>
                    </a:xfrm>
                    <a:prstGeom prst="rect">
                      <a:avLst/>
                    </a:prstGeom>
                    <a:noFill/>
                  </pic:spPr>
                </pic:pic>
              </a:graphicData>
            </a:graphic>
          </wp:anchor>
        </w:drawing>
      </w:r>
    </w:p>
    <w:p>
      <w:pPr>
        <w:spacing w:after="0" w:line="14" w:lineRule="exact"/>
        <w:rPr>
          <w:sz w:val="20"/>
          <w:szCs w:val="20"/>
          <w:color w:val="auto"/>
        </w:rPr>
      </w:pPr>
    </w:p>
    <w:p>
      <w:pPr>
        <w:spacing w:after="0"/>
        <w:tabs>
          <w:tab w:leader="none" w:pos="1540" w:val="left"/>
        </w:tabs>
        <w:rPr>
          <w:sz w:val="20"/>
          <w:szCs w:val="20"/>
          <w:color w:val="auto"/>
        </w:rPr>
      </w:pPr>
      <w:r>
        <w:rPr>
          <w:rFonts w:ascii="Arial" w:cs="Arial" w:eastAsia="Arial" w:hAnsi="Arial"/>
          <w:sz w:val="9"/>
          <w:szCs w:val="9"/>
          <w:b w:val="1"/>
          <w:bCs w:val="1"/>
          <w:color w:val="auto"/>
        </w:rPr>
        <w:t>2022</w:t>
      </w:r>
      <w:r>
        <w:rPr>
          <w:sz w:val="20"/>
          <w:szCs w:val="20"/>
          <w:color w:val="auto"/>
        </w:rPr>
        <w:tab/>
      </w:r>
      <w:r>
        <w:rPr>
          <w:rFonts w:ascii="Arial" w:cs="Arial" w:eastAsia="Arial" w:hAnsi="Arial"/>
          <w:sz w:val="9"/>
          <w:szCs w:val="9"/>
          <w:b w:val="1"/>
          <w:bCs w:val="1"/>
          <w:color w:val="auto"/>
        </w:rPr>
        <w:t>2021</w:t>
      </w:r>
    </w:p>
    <w:p>
      <w:pPr>
        <w:spacing w:after="0" w:line="32" w:lineRule="exact"/>
        <w:rPr>
          <w:sz w:val="20"/>
          <w:szCs w:val="20"/>
          <w:color w:val="auto"/>
        </w:rPr>
      </w:pPr>
    </w:p>
    <w:p>
      <w:pPr>
        <w:sectPr>
          <w:pgSz w:w="11900" w:h="16838" w:orient="portrait"/>
          <w:cols w:equalWidth="0" w:num="2">
            <w:col w:w="8200" w:space="720"/>
            <w:col w:w="2360"/>
          </w:cols>
          <w:pgMar w:left="300" w:top="316" w:right="31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5220" w:type="dxa"/>
            <w:vAlign w:val="bottom"/>
            <w:gridSpan w:val="2"/>
          </w:tcPr>
          <w:p>
            <w:pPr>
              <w:ind w:left="20"/>
              <w:spacing w:after="0"/>
              <w:rPr>
                <w:sz w:val="20"/>
                <w:szCs w:val="20"/>
                <w:color w:val="auto"/>
              </w:rPr>
            </w:pPr>
            <w:r>
              <w:rPr>
                <w:rFonts w:ascii="Arial" w:cs="Arial" w:eastAsia="Arial" w:hAnsi="Arial"/>
                <w:sz w:val="13"/>
                <w:szCs w:val="13"/>
                <w:color w:val="auto"/>
              </w:rPr>
              <w:t>Weighted average Oaktree Operating Group units outstanding (in thousands):</w:t>
            </w:r>
          </w:p>
        </w:tc>
        <w:tc>
          <w:tcPr>
            <w:tcW w:w="4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20" w:type="dxa"/>
            <w:vAlign w:val="bottom"/>
            <w:gridSpan w:val="2"/>
          </w:tcPr>
          <w:p>
            <w:pPr>
              <w:ind w:left="440"/>
              <w:spacing w:after="0"/>
              <w:rPr>
                <w:sz w:val="20"/>
                <w:szCs w:val="20"/>
                <w:color w:val="auto"/>
              </w:rPr>
            </w:pPr>
            <w:r>
              <w:rPr>
                <w:rFonts w:ascii="Arial" w:cs="Arial" w:eastAsia="Arial" w:hAnsi="Arial"/>
                <w:sz w:val="13"/>
                <w:szCs w:val="13"/>
                <w:color w:val="auto"/>
              </w:rPr>
              <w:t>Non-controlling interest</w:t>
            </w:r>
          </w:p>
        </w:tc>
        <w:tc>
          <w:tcPr>
            <w:tcW w:w="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60,676</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60,869</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60,727</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61,104</w:t>
            </w:r>
          </w:p>
        </w:tc>
        <w:tc>
          <w:tcPr>
            <w:tcW w:w="0" w:type="dxa"/>
            <w:vAlign w:val="bottom"/>
          </w:tcPr>
          <w:p>
            <w:pPr>
              <w:spacing w:after="0"/>
              <w:rPr>
                <w:sz w:val="1"/>
                <w:szCs w:val="1"/>
                <w:color w:val="auto"/>
              </w:rPr>
            </w:pPr>
          </w:p>
        </w:tc>
      </w:tr>
      <w:tr>
        <w:trPr>
          <w:trHeight w:val="171"/>
        </w:trPr>
        <w:tc>
          <w:tcPr>
            <w:tcW w:w="5220" w:type="dxa"/>
            <w:vAlign w:val="bottom"/>
            <w:gridSpan w:val="2"/>
          </w:tcPr>
          <w:p>
            <w:pPr>
              <w:ind w:left="440"/>
              <w:spacing w:after="0"/>
              <w:rPr>
                <w:sz w:val="20"/>
                <w:szCs w:val="20"/>
                <w:color w:val="auto"/>
              </w:rPr>
            </w:pPr>
            <w:r>
              <w:rPr>
                <w:rFonts w:ascii="Arial" w:cs="Arial" w:eastAsia="Arial" w:hAnsi="Arial"/>
                <w:sz w:val="13"/>
                <w:szCs w:val="13"/>
                <w:color w:val="auto"/>
              </w:rPr>
              <w:t>Class A unitholders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99,231</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99,137</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99,184</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98,923</w:t>
            </w:r>
          </w:p>
        </w:tc>
        <w:tc>
          <w:tcPr>
            <w:tcW w:w="0" w:type="dxa"/>
            <w:vAlign w:val="bottom"/>
          </w:tcPr>
          <w:p>
            <w:pPr>
              <w:spacing w:after="0"/>
              <w:rPr>
                <w:sz w:val="1"/>
                <w:szCs w:val="1"/>
                <w:color w:val="auto"/>
              </w:rPr>
            </w:pPr>
          </w:p>
        </w:tc>
      </w:tr>
      <w:tr>
        <w:trPr>
          <w:trHeight w:val="162"/>
        </w:trPr>
        <w:tc>
          <w:tcPr>
            <w:tcW w:w="5220" w:type="dxa"/>
            <w:vAlign w:val="bottom"/>
            <w:gridSpan w:val="2"/>
          </w:tcPr>
          <w:p>
            <w:pPr>
              <w:ind w:left="440"/>
              <w:spacing w:after="0"/>
              <w:rPr>
                <w:sz w:val="20"/>
                <w:szCs w:val="20"/>
                <w:color w:val="auto"/>
              </w:rPr>
            </w:pPr>
            <w:r>
              <w:rPr>
                <w:rFonts w:ascii="Arial" w:cs="Arial" w:eastAsia="Arial" w:hAnsi="Arial"/>
                <w:sz w:val="13"/>
                <w:szCs w:val="13"/>
                <w:color w:val="auto"/>
              </w:rPr>
              <w:t>Total weighted average units outstanding</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159,907</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160,006</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159,911</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160,027</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0"/>
              <w:spacing w:after="0"/>
              <w:rPr>
                <w:sz w:val="20"/>
                <w:szCs w:val="20"/>
                <w:color w:val="auto"/>
              </w:rPr>
            </w:pPr>
            <w:r>
              <w:rPr>
                <w:rFonts w:ascii="Arial" w:cs="Arial" w:eastAsia="Arial" w:hAnsi="Arial"/>
                <w:sz w:val="13"/>
                <w:szCs w:val="13"/>
                <w:color w:val="auto"/>
              </w:rPr>
              <w:t>Oaktree Operating Group net income (loss):</w:t>
            </w: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52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220" w:type="dxa"/>
            <w:vAlign w:val="bottom"/>
            <w:gridSpan w:val="2"/>
          </w:tcPr>
          <w:p>
            <w:pPr>
              <w:ind w:left="440"/>
              <w:spacing w:after="0" w:line="172" w:lineRule="exact"/>
              <w:rPr>
                <w:sz w:val="20"/>
                <w:szCs w:val="20"/>
                <w:color w:val="auto"/>
              </w:rPr>
            </w:pPr>
            <w:r>
              <w:rPr>
                <w:rFonts w:ascii="Arial" w:cs="Arial" w:eastAsia="Arial" w:hAnsi="Arial"/>
                <w:sz w:val="13"/>
                <w:szCs w:val="13"/>
                <w:color w:val="auto"/>
              </w:rPr>
              <w:t xml:space="preserve">Net income attributable to preferred unitholders </w:t>
            </w:r>
            <w:r>
              <w:rPr>
                <w:rFonts w:ascii="Arial" w:cs="Arial" w:eastAsia="Arial" w:hAnsi="Arial"/>
                <w:sz w:val="16"/>
                <w:szCs w:val="16"/>
                <w:color w:val="auto"/>
                <w:vertAlign w:val="superscript"/>
              </w:rPr>
              <w:t>(1)</w:t>
            </w: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6,829</w:t>
            </w:r>
          </w:p>
        </w:tc>
        <w:tc>
          <w:tcPr>
            <w:tcW w:w="20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6,829</w:t>
            </w:r>
          </w:p>
        </w:tc>
        <w:tc>
          <w:tcPr>
            <w:tcW w:w="22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13,658</w:t>
            </w:r>
          </w:p>
        </w:tc>
        <w:tc>
          <w:tcPr>
            <w:tcW w:w="20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13,658</w:t>
            </w:r>
          </w:p>
        </w:tc>
        <w:tc>
          <w:tcPr>
            <w:tcW w:w="0" w:type="dxa"/>
            <w:vAlign w:val="bottom"/>
          </w:tcPr>
          <w:p>
            <w:pPr>
              <w:spacing w:after="0"/>
              <w:rPr>
                <w:sz w:val="1"/>
                <w:szCs w:val="1"/>
                <w:color w:val="auto"/>
              </w:rPr>
            </w:pPr>
          </w:p>
        </w:tc>
      </w:tr>
      <w:tr>
        <w:trPr>
          <w:trHeight w:val="167"/>
        </w:trPr>
        <w:tc>
          <w:tcPr>
            <w:tcW w:w="5220" w:type="dxa"/>
            <w:vAlign w:val="bottom"/>
            <w:gridSpan w:val="2"/>
          </w:tcPr>
          <w:p>
            <w:pPr>
              <w:ind w:left="440"/>
              <w:spacing w:after="0"/>
              <w:rPr>
                <w:sz w:val="20"/>
                <w:szCs w:val="20"/>
                <w:color w:val="auto"/>
              </w:rPr>
            </w:pPr>
            <w:r>
              <w:rPr>
                <w:rFonts w:ascii="Arial" w:cs="Arial" w:eastAsia="Arial" w:hAnsi="Arial"/>
                <w:sz w:val="13"/>
                <w:szCs w:val="13"/>
                <w:color w:val="auto"/>
              </w:rPr>
              <w:t>Net income (loss) attributable to non-controlling interest</w:t>
            </w:r>
          </w:p>
        </w:tc>
        <w:tc>
          <w:tcPr>
            <w:tcW w:w="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(13,151)</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52,548</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(16,153)</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217,183</w:t>
            </w:r>
          </w:p>
        </w:tc>
        <w:tc>
          <w:tcPr>
            <w:tcW w:w="0" w:type="dxa"/>
            <w:vAlign w:val="bottom"/>
          </w:tcPr>
          <w:p>
            <w:pPr>
              <w:spacing w:after="0"/>
              <w:rPr>
                <w:sz w:val="1"/>
                <w:szCs w:val="1"/>
                <w:color w:val="auto"/>
              </w:rPr>
            </w:pPr>
          </w:p>
        </w:tc>
      </w:tr>
      <w:tr>
        <w:trPr>
          <w:trHeight w:val="171"/>
        </w:trPr>
        <w:tc>
          <w:tcPr>
            <w:tcW w:w="5220" w:type="dxa"/>
            <w:vAlign w:val="bottom"/>
            <w:gridSpan w:val="2"/>
          </w:tcPr>
          <w:p>
            <w:pPr>
              <w:ind w:left="440"/>
              <w:spacing w:after="0"/>
              <w:rPr>
                <w:sz w:val="20"/>
                <w:szCs w:val="20"/>
                <w:color w:val="auto"/>
              </w:rPr>
            </w:pPr>
            <w:r>
              <w:rPr>
                <w:rFonts w:ascii="Arial" w:cs="Arial" w:eastAsia="Arial" w:hAnsi="Arial"/>
                <w:sz w:val="13"/>
                <w:szCs w:val="13"/>
                <w:color w:val="auto"/>
              </w:rPr>
              <w:t>Net income (loss) attributable to OCG Class A unitholders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(17,812)</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85,588</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(25,661)</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350,505</w:t>
            </w:r>
          </w:p>
        </w:tc>
        <w:tc>
          <w:tcPr>
            <w:tcW w:w="0" w:type="dxa"/>
            <w:vAlign w:val="bottom"/>
          </w:tcPr>
          <w:p>
            <w:pPr>
              <w:spacing w:after="0"/>
              <w:rPr>
                <w:sz w:val="1"/>
                <w:szCs w:val="1"/>
                <w:color w:val="auto"/>
              </w:rPr>
            </w:pPr>
          </w:p>
        </w:tc>
      </w:tr>
      <w:tr>
        <w:trPr>
          <w:trHeight w:val="162"/>
        </w:trPr>
        <w:tc>
          <w:tcPr>
            <w:tcW w:w="5220" w:type="dxa"/>
            <w:vAlign w:val="bottom"/>
            <w:gridSpan w:val="2"/>
          </w:tcPr>
          <w:p>
            <w:pPr>
              <w:ind w:left="440"/>
              <w:spacing w:after="0"/>
              <w:rPr>
                <w:sz w:val="20"/>
                <w:szCs w:val="20"/>
                <w:color w:val="auto"/>
              </w:rPr>
            </w:pPr>
            <w:r>
              <w:rPr>
                <w:rFonts w:ascii="Arial" w:cs="Arial" w:eastAsia="Arial" w:hAnsi="Arial"/>
                <w:sz w:val="13"/>
                <w:szCs w:val="13"/>
                <w:color w:val="auto"/>
              </w:rPr>
              <w:t>Oaktree Operating Group net income (loss)</w:t>
            </w: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(24,134)</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144,965</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(28,156)</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581,346</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0"/>
              <w:spacing w:after="0"/>
              <w:rPr>
                <w:sz w:val="20"/>
                <w:szCs w:val="20"/>
                <w:color w:val="auto"/>
              </w:rPr>
            </w:pPr>
            <w:r>
              <w:rPr>
                <w:rFonts w:ascii="Arial" w:cs="Arial" w:eastAsia="Arial" w:hAnsi="Arial"/>
                <w:sz w:val="13"/>
                <w:szCs w:val="13"/>
                <w:color w:val="auto"/>
              </w:rPr>
              <w:t>Net income (loss) attributable to OCG Class A unitholders:</w:t>
            </w: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220" w:type="dxa"/>
            <w:vAlign w:val="bottom"/>
            <w:gridSpan w:val="2"/>
          </w:tcPr>
          <w:p>
            <w:pPr>
              <w:ind w:left="440"/>
              <w:spacing w:after="0"/>
              <w:rPr>
                <w:sz w:val="20"/>
                <w:szCs w:val="20"/>
                <w:color w:val="auto"/>
              </w:rPr>
            </w:pPr>
            <w:r>
              <w:rPr>
                <w:rFonts w:ascii="Arial" w:cs="Arial" w:eastAsia="Arial" w:hAnsi="Arial"/>
                <w:sz w:val="13"/>
                <w:szCs w:val="13"/>
                <w:color w:val="auto"/>
                <w:w w:val="99"/>
              </w:rPr>
              <w:t>Oaktree Operating Group net income (loss) attributable to OCG Class A unitholders</w:t>
            </w: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(17,812)</w:t>
            </w:r>
          </w:p>
        </w:tc>
        <w:tc>
          <w:tcPr>
            <w:tcW w:w="20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85,588</w:t>
            </w:r>
          </w:p>
        </w:tc>
        <w:tc>
          <w:tcPr>
            <w:tcW w:w="22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(25,661)</w:t>
            </w:r>
          </w:p>
        </w:tc>
        <w:tc>
          <w:tcPr>
            <w:tcW w:w="20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350,505</w:t>
            </w:r>
          </w:p>
        </w:tc>
        <w:tc>
          <w:tcPr>
            <w:tcW w:w="0" w:type="dxa"/>
            <w:vAlign w:val="bottom"/>
          </w:tcPr>
          <w:p>
            <w:pPr>
              <w:spacing w:after="0"/>
              <w:rPr>
                <w:sz w:val="1"/>
                <w:szCs w:val="1"/>
                <w:color w:val="auto"/>
              </w:rPr>
            </w:pPr>
          </w:p>
        </w:tc>
      </w:tr>
      <w:tr>
        <w:trPr>
          <w:trHeight w:val="171"/>
        </w:trPr>
        <w:tc>
          <w:tcPr>
            <w:tcW w:w="5220" w:type="dxa"/>
            <w:vAlign w:val="bottom"/>
            <w:gridSpan w:val="2"/>
          </w:tcPr>
          <w:p>
            <w:pPr>
              <w:ind w:left="440"/>
              <w:spacing w:after="0"/>
              <w:rPr>
                <w:sz w:val="20"/>
                <w:szCs w:val="20"/>
                <w:color w:val="auto"/>
              </w:rPr>
            </w:pPr>
            <w:r>
              <w:rPr>
                <w:rFonts w:ascii="Arial" w:cs="Arial" w:eastAsia="Arial" w:hAnsi="Arial"/>
                <w:sz w:val="13"/>
                <w:szCs w:val="13"/>
                <w:color w:val="auto"/>
              </w:rPr>
              <w:t>Non-Operating Group income and expense</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(3,544)</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16,495</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15,158</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30,297</w:t>
            </w:r>
          </w:p>
        </w:tc>
        <w:tc>
          <w:tcPr>
            <w:tcW w:w="0" w:type="dxa"/>
            <w:vAlign w:val="bottom"/>
          </w:tcPr>
          <w:p>
            <w:pPr>
              <w:spacing w:after="0"/>
              <w:rPr>
                <w:sz w:val="1"/>
                <w:szCs w:val="1"/>
                <w:color w:val="auto"/>
              </w:rPr>
            </w:pPr>
          </w:p>
        </w:tc>
      </w:tr>
      <w:tr>
        <w:trPr>
          <w:trHeight w:val="162"/>
        </w:trPr>
        <w:tc>
          <w:tcPr>
            <w:tcW w:w="5220" w:type="dxa"/>
            <w:vAlign w:val="bottom"/>
            <w:gridSpan w:val="2"/>
          </w:tcPr>
          <w:p>
            <w:pPr>
              <w:ind w:left="440"/>
              <w:spacing w:after="0"/>
              <w:rPr>
                <w:sz w:val="20"/>
                <w:szCs w:val="20"/>
                <w:color w:val="auto"/>
              </w:rPr>
            </w:pPr>
            <w:r>
              <w:rPr>
                <w:rFonts w:ascii="Arial" w:cs="Arial" w:eastAsia="Arial" w:hAnsi="Arial"/>
                <w:sz w:val="13"/>
                <w:szCs w:val="13"/>
                <w:color w:val="auto"/>
              </w:rPr>
              <w:t>Net income (loss) attributable to OCG Class A unitholders</w:t>
            </w: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(21,356)</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102,083</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(10,503)</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380,802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00" w:type="dxa"/>
            <w:vAlign w:val="bottom"/>
            <w:tcBorders>
              <w:bottom w:val="single" w:sz="8" w:color="auto"/>
            </w:tcBorders>
          </w:tcPr>
          <w:p>
            <w:pPr>
              <w:spacing w:after="0"/>
              <w:rPr>
                <w:sz w:val="16"/>
                <w:szCs w:val="16"/>
                <w:color w:val="auto"/>
              </w:rPr>
            </w:pPr>
          </w:p>
        </w:tc>
        <w:tc>
          <w:tcPr>
            <w:tcW w:w="4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Represents distributions declared, if any, on the preferred units.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change in the Company’s ownership interest in the Oaktree Operating Group is set forth below:</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5200" w:type="dxa"/>
            <w:vAlign w:val="bottom"/>
          </w:tcPr>
          <w:p>
            <w:pPr>
              <w:spacing w:after="0"/>
              <w:rPr>
                <w:sz w:val="12"/>
                <w:szCs w:val="12"/>
                <w:color w:val="auto"/>
              </w:rPr>
            </w:pPr>
          </w:p>
        </w:tc>
        <w:tc>
          <w:tcPr>
            <w:tcW w:w="238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0"/>
                <w:szCs w:val="10"/>
                <w:b w:val="1"/>
                <w:bCs w:val="1"/>
                <w:color w:val="auto"/>
              </w:rPr>
              <w:t>Three months ended June 30,</w:t>
            </w: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2022</w:t>
            </w:r>
          </w:p>
        </w:tc>
        <w:tc>
          <w:tcPr>
            <w:tcW w:w="2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80"/>
              <w:spacing w:after="0"/>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233"/>
        </w:trPr>
        <w:tc>
          <w:tcPr>
            <w:tcW w:w="5200" w:type="dxa"/>
            <w:vAlign w:val="bottom"/>
          </w:tcPr>
          <w:p>
            <w:pPr>
              <w:spacing w:after="0"/>
              <w:rPr>
                <w:sz w:val="20"/>
                <w:szCs w:val="20"/>
                <w:color w:val="auto"/>
              </w:rPr>
            </w:pPr>
            <w:r>
              <w:rPr>
                <w:rFonts w:ascii="Arial" w:cs="Arial" w:eastAsia="Arial" w:hAnsi="Arial"/>
                <w:sz w:val="13"/>
                <w:szCs w:val="13"/>
                <w:color w:val="auto"/>
              </w:rPr>
              <w:t>Net income (loss) attributable to OCG Class A unitholders</w:t>
            </w:r>
          </w:p>
        </w:tc>
        <w:tc>
          <w:tcPr>
            <w:tcW w:w="820" w:type="dxa"/>
            <w:vAlign w:val="bottom"/>
          </w:tcPr>
          <w:p>
            <w:pPr>
              <w:jc w:val="right"/>
              <w:ind w:right="683"/>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(21,356)</w:t>
            </w:r>
          </w:p>
        </w:tc>
        <w:tc>
          <w:tcPr>
            <w:tcW w:w="200" w:type="dxa"/>
            <w:vAlign w:val="bottom"/>
          </w:tcPr>
          <w:p>
            <w:pPr>
              <w:spacing w:after="0"/>
              <w:rPr>
                <w:sz w:val="20"/>
                <w:szCs w:val="20"/>
                <w:color w:val="auto"/>
              </w:rPr>
            </w:pPr>
          </w:p>
        </w:tc>
        <w:tc>
          <w:tcPr>
            <w:tcW w:w="820" w:type="dxa"/>
            <w:vAlign w:val="bottom"/>
          </w:tcPr>
          <w:p>
            <w:pPr>
              <w:jc w:val="right"/>
              <w:ind w:right="681"/>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102,083</w:t>
            </w:r>
          </w:p>
        </w:tc>
        <w:tc>
          <w:tcPr>
            <w:tcW w:w="240" w:type="dxa"/>
            <w:vAlign w:val="bottom"/>
          </w:tcPr>
          <w:p>
            <w:pPr>
              <w:spacing w:after="0"/>
              <w:rPr>
                <w:sz w:val="20"/>
                <w:szCs w:val="20"/>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center"/>
              <w:ind w:left="462"/>
              <w:spacing w:after="0"/>
              <w:rPr>
                <w:sz w:val="20"/>
                <w:szCs w:val="20"/>
                <w:color w:val="auto"/>
              </w:rPr>
            </w:pPr>
            <w:r>
              <w:rPr>
                <w:rFonts w:ascii="Arial" w:cs="Arial" w:eastAsia="Arial" w:hAnsi="Arial"/>
                <w:sz w:val="13"/>
                <w:szCs w:val="13"/>
                <w:color w:val="auto"/>
                <w:w w:val="99"/>
              </w:rPr>
              <w:t>(10,503)</w:t>
            </w:r>
          </w:p>
        </w:tc>
        <w:tc>
          <w:tcPr>
            <w:tcW w:w="240" w:type="dxa"/>
            <w:vAlign w:val="bottom"/>
          </w:tcPr>
          <w:p>
            <w:pPr>
              <w:spacing w:after="0"/>
              <w:rPr>
                <w:sz w:val="20"/>
                <w:szCs w:val="20"/>
                <w:color w:val="auto"/>
              </w:rPr>
            </w:pPr>
          </w:p>
        </w:tc>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380,802</w:t>
            </w:r>
          </w:p>
        </w:tc>
        <w:tc>
          <w:tcPr>
            <w:tcW w:w="0" w:type="dxa"/>
            <w:vAlign w:val="bottom"/>
          </w:tcPr>
          <w:p>
            <w:pPr>
              <w:spacing w:after="0"/>
              <w:rPr>
                <w:sz w:val="1"/>
                <w:szCs w:val="1"/>
                <w:color w:val="auto"/>
              </w:rPr>
            </w:pPr>
          </w:p>
        </w:tc>
      </w:tr>
      <w:tr>
        <w:trPr>
          <w:trHeight w:val="170"/>
        </w:trPr>
        <w:tc>
          <w:tcPr>
            <w:tcW w:w="5200" w:type="dxa"/>
            <w:vAlign w:val="bottom"/>
          </w:tcPr>
          <w:p>
            <w:pPr>
              <w:ind w:left="420"/>
              <w:spacing w:after="0"/>
              <w:rPr>
                <w:sz w:val="20"/>
                <w:szCs w:val="20"/>
                <w:color w:val="auto"/>
              </w:rPr>
            </w:pPr>
            <w:r>
              <w:rPr>
                <w:rFonts w:ascii="Arial" w:cs="Arial" w:eastAsia="Arial" w:hAnsi="Arial"/>
                <w:sz w:val="13"/>
                <w:szCs w:val="13"/>
                <w:color w:val="auto"/>
              </w:rPr>
              <w:t>Equity reallocation between controlling and non-controlling interests</w:t>
            </w: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33,309</w:t>
            </w: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(2,216)</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left="482"/>
              <w:spacing w:after="0"/>
              <w:rPr>
                <w:sz w:val="20"/>
                <w:szCs w:val="20"/>
                <w:color w:val="auto"/>
              </w:rPr>
            </w:pPr>
            <w:r>
              <w:rPr>
                <w:rFonts w:ascii="Arial" w:cs="Arial" w:eastAsia="Arial" w:hAnsi="Arial"/>
                <w:sz w:val="13"/>
                <w:szCs w:val="13"/>
                <w:color w:val="auto"/>
                <w:w w:val="95"/>
              </w:rPr>
              <w:t>47,584</w:t>
            </w: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1,462</w:t>
            </w:r>
          </w:p>
        </w:tc>
        <w:tc>
          <w:tcPr>
            <w:tcW w:w="0" w:type="dxa"/>
            <w:vAlign w:val="bottom"/>
          </w:tcPr>
          <w:p>
            <w:pPr>
              <w:spacing w:after="0"/>
              <w:rPr>
                <w:sz w:val="1"/>
                <w:szCs w:val="1"/>
                <w:color w:val="auto"/>
              </w:rPr>
            </w:pPr>
          </w:p>
        </w:tc>
      </w:tr>
      <w:tr>
        <w:trPr>
          <w:trHeight w:val="110"/>
        </w:trPr>
        <w:tc>
          <w:tcPr>
            <w:tcW w:w="5200" w:type="dxa"/>
            <w:vAlign w:val="bottom"/>
          </w:tcPr>
          <w:p>
            <w:pPr>
              <w:spacing w:after="0" w:line="110" w:lineRule="exact"/>
              <w:rPr>
                <w:sz w:val="20"/>
                <w:szCs w:val="20"/>
                <w:color w:val="auto"/>
              </w:rPr>
            </w:pPr>
            <w:r>
              <w:rPr>
                <w:rFonts w:ascii="Arial" w:cs="Arial" w:eastAsia="Arial" w:hAnsi="Arial"/>
                <w:sz w:val="12"/>
                <w:szCs w:val="12"/>
                <w:color w:val="auto"/>
              </w:rPr>
              <w:t>Change from net income (loss) attributable to OCG Class A unitholders and transfers from</w:t>
            </w:r>
          </w:p>
        </w:tc>
        <w:tc>
          <w:tcPr>
            <w:tcW w:w="820" w:type="dxa"/>
            <w:vAlign w:val="bottom"/>
            <w:vMerge w:val="restart"/>
          </w:tcPr>
          <w:p>
            <w:pPr>
              <w:jc w:val="right"/>
              <w:ind w:right="683"/>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11,953</w:t>
            </w:r>
          </w:p>
        </w:tc>
        <w:tc>
          <w:tcPr>
            <w:tcW w:w="200" w:type="dxa"/>
            <w:vAlign w:val="bottom"/>
          </w:tcPr>
          <w:p>
            <w:pPr>
              <w:spacing w:after="0"/>
              <w:rPr>
                <w:sz w:val="9"/>
                <w:szCs w:val="9"/>
                <w:color w:val="auto"/>
              </w:rPr>
            </w:pPr>
          </w:p>
        </w:tc>
        <w:tc>
          <w:tcPr>
            <w:tcW w:w="820" w:type="dxa"/>
            <w:vAlign w:val="bottom"/>
            <w:vMerge w:val="restart"/>
          </w:tcPr>
          <w:p>
            <w:pPr>
              <w:jc w:val="right"/>
              <w:ind w:right="681"/>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99,867</w:t>
            </w:r>
          </w:p>
        </w:tc>
        <w:tc>
          <w:tcPr>
            <w:tcW w:w="240" w:type="dxa"/>
            <w:vAlign w:val="bottom"/>
          </w:tcPr>
          <w:p>
            <w:pPr>
              <w:spacing w:after="0"/>
              <w:rPr>
                <w:sz w:val="9"/>
                <w:szCs w:val="9"/>
                <w:color w:val="auto"/>
              </w:rPr>
            </w:pPr>
          </w:p>
        </w:tc>
        <w:tc>
          <w:tcPr>
            <w:tcW w:w="320" w:type="dxa"/>
            <w:vAlign w:val="bottom"/>
            <w:vMerge w:val="restart"/>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center"/>
              <w:ind w:left="482"/>
              <w:spacing w:after="0"/>
              <w:rPr>
                <w:sz w:val="20"/>
                <w:szCs w:val="20"/>
                <w:color w:val="auto"/>
              </w:rPr>
            </w:pPr>
            <w:r>
              <w:rPr>
                <w:rFonts w:ascii="Arial" w:cs="Arial" w:eastAsia="Arial" w:hAnsi="Arial"/>
                <w:sz w:val="13"/>
                <w:szCs w:val="13"/>
                <w:color w:val="auto"/>
                <w:w w:val="95"/>
              </w:rPr>
              <w:t>37,081</w:t>
            </w:r>
          </w:p>
        </w:tc>
        <w:tc>
          <w:tcPr>
            <w:tcW w:w="240" w:type="dxa"/>
            <w:vAlign w:val="bottom"/>
          </w:tcPr>
          <w:p>
            <w:pPr>
              <w:spacing w:after="0"/>
              <w:rPr>
                <w:sz w:val="9"/>
                <w:szCs w:val="9"/>
                <w:color w:val="auto"/>
              </w:rPr>
            </w:pPr>
          </w:p>
        </w:tc>
        <w:tc>
          <w:tcPr>
            <w:tcW w:w="520" w:type="dxa"/>
            <w:vAlign w:val="bottom"/>
            <w:vMerge w:val="restart"/>
          </w:tcPr>
          <w:p>
            <w:pPr>
              <w:jc w:val="right"/>
              <w:ind w:right="376"/>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382,264</w:t>
            </w:r>
          </w:p>
        </w:tc>
        <w:tc>
          <w:tcPr>
            <w:tcW w:w="0" w:type="dxa"/>
            <w:vAlign w:val="bottom"/>
          </w:tcPr>
          <w:p>
            <w:pPr>
              <w:spacing w:after="0"/>
              <w:rPr>
                <w:sz w:val="1"/>
                <w:szCs w:val="1"/>
                <w:color w:val="auto"/>
              </w:rPr>
            </w:pPr>
          </w:p>
        </w:tc>
      </w:tr>
      <w:tr>
        <w:trPr>
          <w:trHeight w:val="153"/>
        </w:trPr>
        <w:tc>
          <w:tcPr>
            <w:tcW w:w="5200" w:type="dxa"/>
            <w:vAlign w:val="bottom"/>
          </w:tcPr>
          <w:p>
            <w:pPr>
              <w:ind w:left="120"/>
              <w:spacing w:after="0" w:line="149" w:lineRule="exact"/>
              <w:rPr>
                <w:sz w:val="20"/>
                <w:szCs w:val="20"/>
                <w:color w:val="auto"/>
              </w:rPr>
            </w:pPr>
            <w:r>
              <w:rPr>
                <w:rFonts w:ascii="Arial" w:cs="Arial" w:eastAsia="Arial" w:hAnsi="Arial"/>
                <w:sz w:val="13"/>
                <w:szCs w:val="13"/>
                <w:color w:val="auto"/>
              </w:rPr>
              <w:t>non-controlling interests</w:t>
            </w:r>
          </w:p>
        </w:tc>
        <w:tc>
          <w:tcPr>
            <w:tcW w:w="8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Please see notes 11, 12 and 13 for additional information regarding transactions that impacted unitholders’ capital.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EARNINGS PER UNIT</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computation of net income (loss) per Class A unit is set forth below:</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6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gridSpan w:val="5"/>
          </w:tcPr>
          <w:p>
            <w:pPr>
              <w:ind w:left="220"/>
              <w:spacing w:after="0"/>
              <w:rPr>
                <w:sz w:val="20"/>
                <w:szCs w:val="20"/>
                <w:color w:val="auto"/>
              </w:rPr>
            </w:pPr>
            <w:r>
              <w:rPr>
                <w:rFonts w:ascii="Arial" w:cs="Arial" w:eastAsia="Arial" w:hAnsi="Arial"/>
                <w:sz w:val="10"/>
                <w:szCs w:val="10"/>
                <w:b w:val="1"/>
                <w:bCs w:val="1"/>
                <w:color w:val="auto"/>
              </w:rPr>
              <w:t>Three months ended June 30,</w:t>
            </w:r>
          </w:p>
        </w:tc>
        <w:tc>
          <w:tcPr>
            <w:tcW w:w="260" w:type="dxa"/>
            <w:vAlign w:val="bottom"/>
          </w:tcPr>
          <w:p>
            <w:pPr>
              <w:spacing w:after="0"/>
              <w:rPr>
                <w:sz w:val="12"/>
                <w:szCs w:val="12"/>
                <w:color w:val="auto"/>
              </w:rPr>
            </w:pPr>
          </w:p>
        </w:tc>
        <w:tc>
          <w:tcPr>
            <w:tcW w:w="2100" w:type="dxa"/>
            <w:vAlign w:val="bottom"/>
            <w:gridSpan w:val="4"/>
          </w:tcPr>
          <w:p>
            <w:pPr>
              <w:jc w:val="right"/>
              <w:ind w:right="480"/>
              <w:spacing w:after="0"/>
              <w:rPr>
                <w:sz w:val="20"/>
                <w:szCs w:val="20"/>
                <w:color w:val="auto"/>
              </w:rPr>
            </w:pPr>
            <w:r>
              <w:rPr>
                <w:rFonts w:ascii="Arial" w:cs="Arial" w:eastAsia="Arial" w:hAnsi="Arial"/>
                <w:sz w:val="10"/>
                <w:szCs w:val="10"/>
                <w:b w:val="1"/>
                <w:bCs w:val="1"/>
                <w:color w:val="auto"/>
              </w:rPr>
              <w:t>Six months ended June 30,</w:t>
            </w:r>
          </w:p>
        </w:tc>
      </w:tr>
      <w:tr>
        <w:trPr>
          <w:trHeight w:val="131"/>
        </w:trPr>
        <w:tc>
          <w:tcPr>
            <w:tcW w:w="630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2022</w:t>
            </w: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0"/>
                <w:szCs w:val="10"/>
                <w:b w:val="1"/>
                <w:bCs w:val="1"/>
                <w:color w:val="auto"/>
              </w:rPr>
              <w:t>2021</w:t>
            </w:r>
          </w:p>
        </w:tc>
      </w:tr>
      <w:tr>
        <w:trPr>
          <w:trHeight w:val="127"/>
        </w:trPr>
        <w:tc>
          <w:tcPr>
            <w:tcW w:w="6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gridSpan w:val="5"/>
          </w:tcPr>
          <w:p>
            <w:pPr>
              <w:ind w:left="80"/>
              <w:spacing w:after="0"/>
              <w:rPr>
                <w:sz w:val="20"/>
                <w:szCs w:val="20"/>
                <w:color w:val="auto"/>
              </w:rPr>
            </w:pPr>
            <w:r>
              <w:rPr>
                <w:rFonts w:ascii="Arial" w:cs="Arial" w:eastAsia="Arial" w:hAnsi="Arial"/>
                <w:sz w:val="10"/>
                <w:szCs w:val="10"/>
                <w:b w:val="1"/>
                <w:bCs w:val="1"/>
                <w:color w:val="auto"/>
              </w:rPr>
              <w:t>(in thousands, except per unit amounts)</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70"/>
        </w:trPr>
        <w:tc>
          <w:tcPr>
            <w:tcW w:w="6300" w:type="dxa"/>
            <w:vAlign w:val="bottom"/>
          </w:tcPr>
          <w:p>
            <w:pPr>
              <w:spacing w:after="0"/>
              <w:rPr>
                <w:sz w:val="20"/>
                <w:szCs w:val="20"/>
                <w:color w:val="auto"/>
              </w:rPr>
            </w:pPr>
            <w:r>
              <w:rPr>
                <w:rFonts w:ascii="Arial" w:cs="Arial" w:eastAsia="Arial" w:hAnsi="Arial"/>
                <w:sz w:val="13"/>
                <w:szCs w:val="13"/>
                <w:color w:val="auto"/>
              </w:rPr>
              <w:t>Net income (loss) per Class A unit (basic and diluted):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6300" w:type="dxa"/>
            <w:vAlign w:val="bottom"/>
          </w:tcPr>
          <w:p>
            <w:pPr>
              <w:ind w:left="260"/>
              <w:spacing w:after="0"/>
              <w:rPr>
                <w:sz w:val="20"/>
                <w:szCs w:val="20"/>
                <w:color w:val="auto"/>
              </w:rPr>
            </w:pPr>
            <w:r>
              <w:rPr>
                <w:rFonts w:ascii="Arial" w:cs="Arial" w:eastAsia="Arial" w:hAnsi="Arial"/>
                <w:sz w:val="13"/>
                <w:szCs w:val="13"/>
                <w:color w:val="auto"/>
              </w:rPr>
              <w:t>Net income (loss) attributable to OCG Class A unitholders</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(21,356)</w:t>
            </w:r>
          </w:p>
        </w:tc>
        <w:tc>
          <w:tcPr>
            <w:tcW w:w="1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102,083</w:t>
            </w:r>
          </w:p>
        </w:tc>
        <w:tc>
          <w:tcPr>
            <w:tcW w:w="2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(10,503)</w:t>
            </w:r>
          </w:p>
        </w:tc>
        <w:tc>
          <w:tcPr>
            <w:tcW w:w="16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380,802</w:t>
            </w: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52"/>
        </w:trPr>
        <w:tc>
          <w:tcPr>
            <w:tcW w:w="6300" w:type="dxa"/>
            <w:vAlign w:val="bottom"/>
          </w:tcPr>
          <w:p>
            <w:pPr>
              <w:ind w:left="260"/>
              <w:spacing w:after="0"/>
              <w:rPr>
                <w:sz w:val="20"/>
                <w:szCs w:val="20"/>
                <w:color w:val="auto"/>
              </w:rPr>
            </w:pPr>
            <w:r>
              <w:rPr>
                <w:rFonts w:ascii="Arial" w:cs="Arial" w:eastAsia="Arial" w:hAnsi="Arial"/>
                <w:sz w:val="13"/>
                <w:szCs w:val="13"/>
                <w:color w:val="auto"/>
              </w:rPr>
              <w:t>Weighted average number of Class A units outstanding (basic and diluted)</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102,820</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99,137</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100,989</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98,923</w:t>
            </w: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52"/>
        </w:trPr>
        <w:tc>
          <w:tcPr>
            <w:tcW w:w="6300" w:type="dxa"/>
            <w:vAlign w:val="bottom"/>
          </w:tcPr>
          <w:p>
            <w:pPr>
              <w:ind w:left="260"/>
              <w:spacing w:after="0"/>
              <w:rPr>
                <w:sz w:val="20"/>
                <w:szCs w:val="20"/>
                <w:color w:val="auto"/>
              </w:rPr>
            </w:pPr>
            <w:r>
              <w:rPr>
                <w:rFonts w:ascii="Arial" w:cs="Arial" w:eastAsia="Arial" w:hAnsi="Arial"/>
                <w:sz w:val="13"/>
                <w:szCs w:val="13"/>
                <w:color w:val="auto"/>
              </w:rPr>
              <w:t>Basic and diluted net income (loss) per Class A unit</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(0.21)</w:t>
            </w:r>
          </w:p>
        </w:tc>
        <w:tc>
          <w:tcPr>
            <w:tcW w:w="1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1.03</w:t>
            </w:r>
          </w:p>
        </w:tc>
        <w:tc>
          <w:tcPr>
            <w:tcW w:w="2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(0.10)</w:t>
            </w:r>
          </w:p>
        </w:tc>
        <w:tc>
          <w:tcPr>
            <w:tcW w:w="16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w:t>
            </w: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OCGH units are not exchangeable into Class A units. As the restrictions set forth in the then-current exchange agreement were in place for each applicable reporting period, OCGH units were not included in the computation of diluted earnings per unit for the three and six months ended June 30, 2022 and 2021.</w:t>
      </w:r>
    </w:p>
    <w:p>
      <w:pPr>
        <w:spacing w:after="0" w:line="120" w:lineRule="exact"/>
        <w:rPr>
          <w:sz w:val="20"/>
          <w:szCs w:val="20"/>
          <w:color w:val="auto"/>
        </w:rPr>
      </w:pPr>
    </w:p>
    <w:p>
      <w:pPr>
        <w:ind w:right="7100" w:firstLine="5"/>
        <w:spacing w:after="0" w:line="442" w:lineRule="auto"/>
        <w:tabs>
          <w:tab w:leader="none" w:pos="236"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EQUITY-BASED AND OTHER DEFERRED COMPENSATION Long-Term Incentive Plan Awards</w:t>
      </w:r>
    </w:p>
    <w:p>
      <w:pPr>
        <w:spacing w:after="0" w:line="1"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In March 2020 the Company adopted the Oaktree Capital Group, LLC Long-Term Incentive Plan (the “LTIP”). The LTIP provides for the granting of cash-based incentive awards to senior executives, directors, officers, partners, employees, consultants and advisors of the Company and its affiliates. Awards may be denominated in U.S. dollars or other currencies determined by the LTIP’s plan administrator. The unvested value of each LTIP award adjusts over its vesting period to track the performance of a fund designated by the plan administrator or by the award recipient from investment options selected by the plan administrator. Investment options may include funds managed by Company affiliates or by third parties. Awards do not represent an actual interest in the funds whose performance they track. Such fund investments are purely nominal and solely for the purpose of calculating the value of an award on each vesting or payment date. Awards under the LTIP represent only a contractual right to receive a cash payment upon vesting from the Company or the affiliate that issued the award. Awards tracking the performance of funds that make periodic distributions to their investors may provide for award recipients to receive corresponding payments from the Company or the affiliate issuing the award, with the remaining unvested value of the award reduced to reflect the amount of each such payment. Each payment under an award is fully vested upon receipt. Awards denominated in currencies other than U.S. dollars which track the performance of U.S. dollar-denominated funds are nominally converted into U.S. dollars for performance tracking purposes, with amounts payable under the awards converted back into the original currency at a market rate at the time of each vesting payment. Certain recipients of awards denominated in currencies other than U.S. dollars which track the performance of U.S. dollar-denominated funds receive the option to hedge the value of their awards to a currency other than U.S. dollars. All such currency hedges are calculated on a purely hypothetical basis and do not represent a right to participate in actual currency hedging contracts.</w:t>
      </w:r>
    </w:p>
    <w:p>
      <w:pPr>
        <w:spacing w:after="0" w:line="102"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During the six months ended June 30, 2022, the Company granted LTIP awards valued at $18.5 million to employees, partners and directors of the Company and its subsidiaries, subject to annual vesting over a weighted average period of approximately 4.6 years. No awards were granted during the three months ended June 30, 2022. As of June 30, 2022, the Company expected to recognize compensation expense on its unvested LTIP awards of $49.0 million, subject to adjustment based on future performance, over a weighted average period of 3.1 years. During the three and six months ended June 30, 2022, the Company recognized $5.0 million and $9.6 million, respectively, of compensation expense related to the LTIP, which was included in compensation and benefits expense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Equity-Based Compensation</w:t>
      </w:r>
    </w:p>
    <w:p>
      <w:pPr>
        <w:spacing w:after="0" w:line="136"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In December 2011, the Company adopted the 2011 Oaktree Capital Group, LLC Equity Incentive Plan (the “2011 Plan”). The 2011 Plan provides for the granting of options, unit appreciation rights, restricted unit awards, unit bonus awards, phantom equity awards or other unit-based awards to senior executives, directors, officers, certain employees, consultants, and advisors of the Company and its affiliates. As of June 30, 2022, a maximum of 23,988,048 units have been authorized to be awarded pursuant to the 2011 Plan, and 15,698,587 units (including 2,000,000 EVUs) have been awarded under the 2011 Plan. Each Class A and OCGH unit, when issued, represents an indirect interest in one Oaktree Operating Group unit. Total vested and unvested Converted OCGH Units, OCGH units and Class A units issued and outstanding were 159,902,461 as of June 30, 2022.</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Restated Exchange Agreement</w:t>
      </w:r>
    </w:p>
    <w:p>
      <w:pPr>
        <w:spacing w:after="0" w:line="136"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At the closing of the Merger, Oaktree entered into a Third Amended and Restated Exchange Agreement (the “OCGH Unit Exchange Agreement”) that among other things, allows limited partners of OCGH to exchange (“Exchanges”) certain vested limited partnership units of OCGH (“OCGH Units”) for cash, Brookfield Class A Shares, notes issued by a Brookfield subsidiary or equity interests in a subsidiary of OCGH that entitles such limited partners to the proceeds from a note, or a combination of the foregoing. Either of such notes will have a three-year maturity and will accrue interest at the then-current 5-year treasury note rate plus 3%. Only Converted OCGH Units, OCGH Units issued and outstanding at the time of the closing of the Merger, OCGH Units issued after the closing of the Merger pursuant to agreements in effect on March 13, 2019, OCGH Units issuable upon vesting of certain phantom equity awards (“Phantom Units”) and other OCGH Units consented-to by Brookfield will be, when vested, eligible to participate in an Exchange. Any such Exchange is subject to certain annual caps and limitations as set forth in the OCGH Unit Exchange Agreement. The form of the consideration in an Exchange is generally in the discretion of Brookfield, subject to certain limitations.</w:t>
      </w:r>
    </w:p>
    <w:p>
      <w:pPr>
        <w:spacing w:after="0" w:line="101"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In general, OCGH limited partners are entitled to provide an election notice to participate in an Exchange with respect to eligible vested OCGH Units and Converted OCGH Units during the first 60 calendar days of each year beginning January 1, 2022 (an “Open Period”). In 2021 and 2020, holders of Converted OCGH Units and Phantom Units were eligible to provide an election notice with respect to their vested units. Each Exchange is consummated within the first 155 days of such calendar year, subject to extension in certain circumstances.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Valuation</w:t>
      </w:r>
    </w:p>
    <w:p>
      <w:pPr>
        <w:spacing w:after="0" w:line="134" w:lineRule="exact"/>
        <w:rPr>
          <w:sz w:val="20"/>
          <w:szCs w:val="20"/>
          <w:color w:val="auto"/>
        </w:rPr>
      </w:pPr>
    </w:p>
    <w:p>
      <w:pPr>
        <w:ind w:right="20" w:firstLine="509"/>
        <w:spacing w:after="0" w:line="264" w:lineRule="auto"/>
        <w:rPr>
          <w:sz w:val="20"/>
          <w:szCs w:val="20"/>
          <w:color w:val="auto"/>
        </w:rPr>
      </w:pPr>
      <w:r>
        <w:rPr>
          <w:rFonts w:ascii="Arial" w:cs="Arial" w:eastAsia="Arial" w:hAnsi="Arial"/>
          <w:sz w:val="14"/>
          <w:szCs w:val="14"/>
          <w:color w:val="auto"/>
        </w:rPr>
        <w:t>Except as described below, each OCGH Unit is valued (i) by applying a 13.5x multiple to the trailing three-year average (or two-year average for Exchanges in 2022) of fee-related earnings less stock-based compensation at grant value and excluding depreciation and amortization and a 6.75x multiple to the trailing three-year average of net incentives created, and (ii) adding 100% of the value of net cash (defined as cash less the face value of debt and preferred stock, other than certain preferred stock issued in connection with certain Exchanges), 100% of the value of corporate investments and 75% of fund-level net accrued incentives as of December 31 of the prior year, in each case subject to certain</w:t>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adjustments. Amounts received in respect of each OCGH Unit is reduced by the amount of any non-tax related distributions received in the calendar year in which the Exchange occurs, but increased by an amount accruing daily from January 1 of such year to the date of the closing of the Exchange at a rate per annum equal to the 5-year treasury note rate as of December 31 of the prior year plus 3%. However, in 2020 and 2021, Converted OCGH Units and Phantom Units were valued at $49.00 per unit, less the amount of any capital distributions received upon vesting. Thereafter any such Converted OCGH Units and Phantom Units is valued using the same methodology applied to all other OCGH Units.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OCGH Unit Awards</w:t>
      </w:r>
    </w:p>
    <w:p>
      <w:pPr>
        <w:spacing w:after="0" w:line="136" w:lineRule="exact"/>
        <w:rPr>
          <w:sz w:val="20"/>
          <w:szCs w:val="20"/>
          <w:color w:val="auto"/>
        </w:rPr>
      </w:pPr>
    </w:p>
    <w:p>
      <w:pPr>
        <w:ind w:right="340" w:firstLine="509"/>
        <w:spacing w:after="0" w:line="271" w:lineRule="auto"/>
        <w:rPr>
          <w:sz w:val="20"/>
          <w:szCs w:val="20"/>
          <w:color w:val="auto"/>
        </w:rPr>
      </w:pPr>
      <w:r>
        <w:rPr>
          <w:rFonts w:ascii="Arial" w:cs="Arial" w:eastAsia="Arial" w:hAnsi="Arial"/>
          <w:sz w:val="14"/>
          <w:szCs w:val="14"/>
          <w:color w:val="auto"/>
        </w:rPr>
        <w:t>As of June 30, 2022, the Company expected to recognize compensation expense on its unvested OCGH unit and Converted OCGH unit awards of $14.8 million over a weighted average period of 3.6 years. With respect to forfeitures, the Company made an accounting policy election to account for forfeitures when they occur. Accordingly, no forfeitures have been assumed in the calculation of compensation expense.</w:t>
      </w:r>
    </w:p>
    <w:p>
      <w:pPr>
        <w:spacing w:after="0" w:line="91" w:lineRule="exact"/>
        <w:rPr>
          <w:sz w:val="20"/>
          <w:szCs w:val="20"/>
          <w:color w:val="auto"/>
        </w:rPr>
      </w:pPr>
    </w:p>
    <w:p>
      <w:pPr>
        <w:ind w:right="200" w:firstLine="509"/>
        <w:spacing w:after="0" w:line="290" w:lineRule="auto"/>
        <w:rPr>
          <w:sz w:val="20"/>
          <w:szCs w:val="20"/>
          <w:color w:val="auto"/>
        </w:rPr>
      </w:pPr>
      <w:r>
        <w:rPr>
          <w:rFonts w:ascii="Arial" w:cs="Arial" w:eastAsia="Arial" w:hAnsi="Arial"/>
          <w:sz w:val="14"/>
          <w:szCs w:val="14"/>
          <w:color w:val="auto"/>
        </w:rPr>
        <w:t>Through 2021, Converted OCGH Units could have been exchanged at $49.00 per unit, less the amount of any capital distributions received upon vesting. Thereafter, any such Converted OCGH Units is valued using the same methodology applied to all other OCGH units.</w:t>
      </w:r>
    </w:p>
    <w:p>
      <w:pPr>
        <w:spacing w:after="0" w:line="78" w:lineRule="exact"/>
        <w:rPr>
          <w:sz w:val="20"/>
          <w:szCs w:val="20"/>
          <w:color w:val="auto"/>
        </w:rPr>
      </w:pPr>
    </w:p>
    <w:p>
      <w:pPr>
        <w:ind w:right="80" w:firstLine="509"/>
        <w:spacing w:after="0" w:line="276" w:lineRule="auto"/>
        <w:rPr>
          <w:sz w:val="20"/>
          <w:szCs w:val="20"/>
          <w:color w:val="auto"/>
        </w:rPr>
      </w:pPr>
      <w:r>
        <w:rPr>
          <w:rFonts w:ascii="Arial" w:cs="Arial" w:eastAsia="Arial" w:hAnsi="Arial"/>
          <w:sz w:val="14"/>
          <w:szCs w:val="14"/>
          <w:color w:val="auto"/>
        </w:rPr>
        <w:t>A summary of the status of the Company’s unvested Converted OCGH units and other OCGH unit awards and changes for the period presented are set forth below (actual dollars per unit):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720" w:type="dxa"/>
            <w:vAlign w:val="bottom"/>
            <w:gridSpan w:val="5"/>
          </w:tcPr>
          <w:p>
            <w:pPr>
              <w:ind w:left="660"/>
              <w:spacing w:after="0"/>
              <w:rPr>
                <w:sz w:val="20"/>
                <w:szCs w:val="20"/>
                <w:color w:val="auto"/>
              </w:rPr>
            </w:pPr>
            <w:r>
              <w:rPr>
                <w:rFonts w:ascii="Arial" w:cs="Arial" w:eastAsia="Arial" w:hAnsi="Arial"/>
                <w:sz w:val="10"/>
                <w:szCs w:val="10"/>
                <w:b w:val="1"/>
                <w:bCs w:val="1"/>
                <w:color w:val="auto"/>
              </w:rPr>
              <w:t xml:space="preserve">Converted OCGH Units </w:t>
            </w:r>
            <w:r>
              <w:rPr>
                <w:rFonts w:ascii="Arial" w:cs="Arial" w:eastAsia="Arial" w:hAnsi="Arial"/>
                <w:sz w:val="12"/>
                <w:szCs w:val="12"/>
                <w:b w:val="1"/>
                <w:bCs w:val="1"/>
                <w:color w:val="auto"/>
                <w:vertAlign w:val="superscript"/>
              </w:rPr>
              <w:t>(1)</w:t>
            </w:r>
          </w:p>
        </w:tc>
        <w:tc>
          <w:tcPr>
            <w:tcW w:w="2520" w:type="dxa"/>
            <w:vAlign w:val="bottom"/>
            <w:gridSpan w:val="4"/>
          </w:tcPr>
          <w:p>
            <w:pPr>
              <w:jc w:val="right"/>
              <w:ind w:right="921"/>
              <w:spacing w:after="0"/>
              <w:rPr>
                <w:sz w:val="20"/>
                <w:szCs w:val="20"/>
                <w:color w:val="auto"/>
              </w:rPr>
            </w:pPr>
            <w:r>
              <w:rPr>
                <w:rFonts w:ascii="Arial" w:cs="Arial" w:eastAsia="Arial" w:hAnsi="Arial"/>
                <w:sz w:val="10"/>
                <w:szCs w:val="10"/>
                <w:b w:val="1"/>
                <w:bCs w:val="1"/>
                <w:color w:val="auto"/>
              </w:rPr>
              <w:t>OCGH Units</w:t>
            </w:r>
          </w:p>
        </w:tc>
        <w:tc>
          <w:tcPr>
            <w:tcW w:w="0" w:type="dxa"/>
            <w:vAlign w:val="bottom"/>
          </w:tcPr>
          <w:p>
            <w:pPr>
              <w:spacing w:after="0"/>
              <w:rPr>
                <w:sz w:val="1"/>
                <w:szCs w:val="1"/>
                <w:color w:val="auto"/>
              </w:rPr>
            </w:pPr>
          </w:p>
        </w:tc>
      </w:tr>
      <w:tr>
        <w:trPr>
          <w:trHeight w:val="86"/>
        </w:trPr>
        <w:tc>
          <w:tcPr>
            <w:tcW w:w="900" w:type="dxa"/>
            <w:vAlign w:val="bottom"/>
          </w:tcPr>
          <w:p>
            <w:pPr>
              <w:spacing w:after="0"/>
              <w:rPr>
                <w:sz w:val="7"/>
                <w:szCs w:val="7"/>
                <w:color w:val="auto"/>
              </w:rPr>
            </w:pPr>
          </w:p>
        </w:tc>
        <w:tc>
          <w:tcPr>
            <w:tcW w:w="5140" w:type="dxa"/>
            <w:vAlign w:val="bottom"/>
          </w:tcPr>
          <w:p>
            <w:pPr>
              <w:spacing w:after="0"/>
              <w:rPr>
                <w:sz w:val="7"/>
                <w:szCs w:val="7"/>
                <w:color w:val="auto"/>
              </w:rPr>
            </w:pPr>
          </w:p>
        </w:tc>
        <w:tc>
          <w:tcPr>
            <w:tcW w:w="116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0"/>
                <w:szCs w:val="10"/>
                <w:b w:val="1"/>
                <w:bCs w:val="1"/>
                <w:color w:val="auto"/>
              </w:rPr>
              <w:t>Number of Units</w:t>
            </w: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jc w:val="right"/>
              <w:ind w:right="81"/>
              <w:spacing w:after="0" w:line="86" w:lineRule="exact"/>
              <w:rPr>
                <w:sz w:val="20"/>
                <w:szCs w:val="20"/>
                <w:color w:val="auto"/>
              </w:rPr>
            </w:pPr>
            <w:r>
              <w:rPr>
                <w:rFonts w:ascii="Arial" w:cs="Arial" w:eastAsia="Arial" w:hAnsi="Arial"/>
                <w:sz w:val="9"/>
                <w:szCs w:val="9"/>
                <w:b w:val="1"/>
                <w:bCs w:val="1"/>
                <w:color w:val="auto"/>
              </w:rPr>
              <w:t>Weighted Average</w:t>
            </w:r>
          </w:p>
        </w:tc>
        <w:tc>
          <w:tcPr>
            <w:tcW w:w="200" w:type="dxa"/>
            <w:vAlign w:val="bottom"/>
          </w:tcPr>
          <w:p>
            <w:pPr>
              <w:spacing w:after="0"/>
              <w:rPr>
                <w:sz w:val="7"/>
                <w:szCs w:val="7"/>
                <w:color w:val="auto"/>
              </w:rPr>
            </w:pPr>
          </w:p>
        </w:tc>
        <w:tc>
          <w:tcPr>
            <w:tcW w:w="1160" w:type="dxa"/>
            <w:vAlign w:val="bottom"/>
            <w:tcBorders>
              <w:top w:val="single" w:sz="8" w:color="auto"/>
            </w:tcBorders>
            <w:vMerge w:val="restart"/>
          </w:tcPr>
          <w:p>
            <w:pPr>
              <w:jc w:val="right"/>
              <w:ind w:right="140"/>
              <w:spacing w:after="0"/>
              <w:rPr>
                <w:sz w:val="20"/>
                <w:szCs w:val="20"/>
                <w:color w:val="auto"/>
              </w:rPr>
            </w:pPr>
            <w:r>
              <w:rPr>
                <w:rFonts w:ascii="Arial" w:cs="Arial" w:eastAsia="Arial" w:hAnsi="Arial"/>
                <w:sz w:val="10"/>
                <w:szCs w:val="10"/>
                <w:b w:val="1"/>
                <w:bCs w:val="1"/>
                <w:color w:val="auto"/>
              </w:rPr>
              <w:t>Number of Units</w:t>
            </w: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jc w:val="right"/>
              <w:ind w:right="101"/>
              <w:spacing w:after="0" w:line="86" w:lineRule="exact"/>
              <w:rPr>
                <w:sz w:val="20"/>
                <w:szCs w:val="20"/>
                <w:color w:val="auto"/>
              </w:rPr>
            </w:pPr>
            <w:r>
              <w:rPr>
                <w:rFonts w:ascii="Arial" w:cs="Arial" w:eastAsia="Arial" w:hAnsi="Arial"/>
                <w:sz w:val="9"/>
                <w:szCs w:val="9"/>
                <w:b w:val="1"/>
                <w:bCs w:val="1"/>
                <w:color w:val="auto"/>
              </w:rPr>
              <w:t>Weighted Average</w:t>
            </w: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w w:val="96"/>
              </w:rPr>
              <w:t>Grant Date Fair Value</w:t>
            </w:r>
          </w:p>
        </w:tc>
        <w:tc>
          <w:tcPr>
            <w:tcW w:w="20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w w:val="96"/>
              </w:rPr>
              <w:t>Grant Date Fair Value</w:t>
            </w:r>
          </w:p>
        </w:tc>
        <w:tc>
          <w:tcPr>
            <w:tcW w:w="0" w:type="dxa"/>
            <w:vAlign w:val="bottom"/>
          </w:tcPr>
          <w:p>
            <w:pPr>
              <w:spacing w:after="0"/>
              <w:rPr>
                <w:sz w:val="1"/>
                <w:szCs w:val="1"/>
                <w:color w:val="auto"/>
              </w:rPr>
            </w:pPr>
          </w:p>
        </w:tc>
      </w:tr>
      <w:tr>
        <w:trPr>
          <w:trHeight w:val="235"/>
        </w:trPr>
        <w:tc>
          <w:tcPr>
            <w:tcW w:w="6040" w:type="dxa"/>
            <w:vAlign w:val="bottom"/>
            <w:gridSpan w:val="2"/>
          </w:tcPr>
          <w:p>
            <w:pPr>
              <w:ind w:left="20"/>
              <w:spacing w:after="0"/>
              <w:rPr>
                <w:sz w:val="20"/>
                <w:szCs w:val="20"/>
                <w:color w:val="auto"/>
              </w:rPr>
            </w:pPr>
            <w:r>
              <w:rPr>
                <w:rFonts w:ascii="Arial" w:cs="Arial" w:eastAsia="Arial" w:hAnsi="Arial"/>
                <w:sz w:val="13"/>
                <w:szCs w:val="13"/>
                <w:color w:val="auto"/>
              </w:rPr>
              <w:t>Balance as of December 31, 2021</w:t>
            </w:r>
          </w:p>
        </w:tc>
        <w:tc>
          <w:tcPr>
            <w:tcW w:w="1160" w:type="dxa"/>
            <w:vAlign w:val="bottom"/>
          </w:tcPr>
          <w:p>
            <w:pPr>
              <w:jc w:val="right"/>
              <w:spacing w:after="0"/>
              <w:rPr>
                <w:sz w:val="20"/>
                <w:szCs w:val="20"/>
                <w:color w:val="auto"/>
              </w:rPr>
            </w:pPr>
            <w:r>
              <w:rPr>
                <w:rFonts w:ascii="Arial" w:cs="Arial" w:eastAsia="Arial" w:hAnsi="Arial"/>
                <w:sz w:val="13"/>
                <w:szCs w:val="13"/>
                <w:color w:val="auto"/>
              </w:rPr>
              <w:t>277,464</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46.79</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338,530</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
              <w:spacing w:after="0"/>
              <w:rPr>
                <w:sz w:val="20"/>
                <w:szCs w:val="20"/>
                <w:color w:val="auto"/>
              </w:rPr>
            </w:pPr>
            <w:r>
              <w:rPr>
                <w:rFonts w:ascii="Arial" w:cs="Arial" w:eastAsia="Arial" w:hAnsi="Arial"/>
                <w:sz w:val="13"/>
                <w:szCs w:val="13"/>
                <w:color w:val="auto"/>
              </w:rPr>
              <w:t>37.64</w:t>
            </w:r>
          </w:p>
        </w:tc>
        <w:tc>
          <w:tcPr>
            <w:tcW w:w="0" w:type="dxa"/>
            <w:vAlign w:val="bottom"/>
          </w:tcPr>
          <w:p>
            <w:pPr>
              <w:spacing w:after="0"/>
              <w:rPr>
                <w:sz w:val="1"/>
                <w:szCs w:val="1"/>
                <w:color w:val="auto"/>
              </w:rPr>
            </w:pPr>
          </w:p>
        </w:tc>
      </w:tr>
      <w:tr>
        <w:trPr>
          <w:trHeight w:val="170"/>
        </w:trPr>
        <w:tc>
          <w:tcPr>
            <w:tcW w:w="6040" w:type="dxa"/>
            <w:vAlign w:val="bottom"/>
            <w:gridSpan w:val="2"/>
          </w:tcPr>
          <w:p>
            <w:pPr>
              <w:ind w:left="280"/>
              <w:spacing w:after="0"/>
              <w:rPr>
                <w:sz w:val="20"/>
                <w:szCs w:val="20"/>
                <w:color w:val="auto"/>
              </w:rPr>
            </w:pPr>
            <w:r>
              <w:rPr>
                <w:rFonts w:ascii="Arial" w:cs="Arial" w:eastAsia="Arial" w:hAnsi="Arial"/>
                <w:sz w:val="13"/>
                <w:szCs w:val="13"/>
                <w:color w:val="auto"/>
              </w:rPr>
              <w:t>Granted</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6040" w:type="dxa"/>
            <w:vAlign w:val="bottom"/>
            <w:gridSpan w:val="2"/>
          </w:tcPr>
          <w:p>
            <w:pPr>
              <w:ind w:left="280"/>
              <w:spacing w:after="0"/>
              <w:rPr>
                <w:sz w:val="20"/>
                <w:szCs w:val="20"/>
                <w:color w:val="auto"/>
              </w:rPr>
            </w:pPr>
            <w:r>
              <w:rPr>
                <w:rFonts w:ascii="Arial" w:cs="Arial" w:eastAsia="Arial" w:hAnsi="Arial"/>
                <w:sz w:val="13"/>
                <w:szCs w:val="13"/>
                <w:color w:val="auto"/>
              </w:rPr>
              <w:t>Vested</w:t>
            </w:r>
          </w:p>
        </w:tc>
        <w:tc>
          <w:tcPr>
            <w:tcW w:w="1160" w:type="dxa"/>
            <w:vAlign w:val="bottom"/>
          </w:tcPr>
          <w:p>
            <w:pPr>
              <w:jc w:val="right"/>
              <w:spacing w:after="0"/>
              <w:rPr>
                <w:sz w:val="20"/>
                <w:szCs w:val="20"/>
                <w:color w:val="auto"/>
              </w:rPr>
            </w:pPr>
            <w:r>
              <w:rPr>
                <w:rFonts w:ascii="Arial" w:cs="Arial" w:eastAsia="Arial" w:hAnsi="Arial"/>
                <w:sz w:val="13"/>
                <w:szCs w:val="13"/>
                <w:color w:val="auto"/>
              </w:rPr>
              <w:t>(137,875)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45.30</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(135,723)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
              <w:spacing w:after="0"/>
              <w:rPr>
                <w:sz w:val="20"/>
                <w:szCs w:val="20"/>
                <w:color w:val="auto"/>
              </w:rPr>
            </w:pPr>
            <w:r>
              <w:rPr>
                <w:rFonts w:ascii="Arial" w:cs="Arial" w:eastAsia="Arial" w:hAnsi="Arial"/>
                <w:sz w:val="13"/>
                <w:szCs w:val="13"/>
                <w:color w:val="auto"/>
              </w:rPr>
              <w:t>31.01</w:t>
            </w:r>
          </w:p>
        </w:tc>
        <w:tc>
          <w:tcPr>
            <w:tcW w:w="0" w:type="dxa"/>
            <w:vAlign w:val="bottom"/>
          </w:tcPr>
          <w:p>
            <w:pPr>
              <w:spacing w:after="0"/>
              <w:rPr>
                <w:sz w:val="1"/>
                <w:szCs w:val="1"/>
                <w:color w:val="auto"/>
              </w:rPr>
            </w:pPr>
          </w:p>
        </w:tc>
      </w:tr>
      <w:tr>
        <w:trPr>
          <w:trHeight w:val="171"/>
        </w:trPr>
        <w:tc>
          <w:tcPr>
            <w:tcW w:w="6040" w:type="dxa"/>
            <w:vAlign w:val="bottom"/>
            <w:gridSpan w:val="2"/>
          </w:tcPr>
          <w:p>
            <w:pPr>
              <w:ind w:left="280"/>
              <w:spacing w:after="0"/>
              <w:rPr>
                <w:sz w:val="20"/>
                <w:szCs w:val="20"/>
                <w:color w:val="auto"/>
              </w:rPr>
            </w:pPr>
            <w:r>
              <w:rPr>
                <w:rFonts w:ascii="Arial" w:cs="Arial" w:eastAsia="Arial" w:hAnsi="Arial"/>
                <w:sz w:val="13"/>
                <w:szCs w:val="13"/>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49.52</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040" w:type="dxa"/>
            <w:vAlign w:val="bottom"/>
            <w:gridSpan w:val="2"/>
          </w:tcPr>
          <w:p>
            <w:pPr>
              <w:ind w:left="20"/>
              <w:spacing w:after="0"/>
              <w:rPr>
                <w:sz w:val="20"/>
                <w:szCs w:val="20"/>
                <w:color w:val="auto"/>
              </w:rPr>
            </w:pPr>
            <w:r>
              <w:rPr>
                <w:rFonts w:ascii="Arial" w:cs="Arial" w:eastAsia="Arial" w:hAnsi="Arial"/>
                <w:sz w:val="13"/>
                <w:szCs w:val="13"/>
                <w:color w:val="auto"/>
              </w:rPr>
              <w:t>Balance as of June 30, 2022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136,620</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48.20</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202,807</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
              <w:spacing w:after="0"/>
              <w:rPr>
                <w:sz w:val="20"/>
                <w:szCs w:val="20"/>
                <w:color w:val="auto"/>
              </w:rPr>
            </w:pPr>
            <w:r>
              <w:rPr>
                <w:rFonts w:ascii="Arial" w:cs="Arial" w:eastAsia="Arial" w:hAnsi="Arial"/>
                <w:sz w:val="13"/>
                <w:szCs w:val="13"/>
                <w:color w:val="auto"/>
              </w:rPr>
              <w:t>42.07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900" w:type="dxa"/>
            <w:vAlign w:val="bottom"/>
            <w:tcBorders>
              <w:bottom w:val="single" w:sz="8" w:color="auto"/>
            </w:tcBorders>
          </w:tcPr>
          <w:p>
            <w:pPr>
              <w:spacing w:after="0"/>
              <w:rPr>
                <w:sz w:val="13"/>
                <w:szCs w:val="13"/>
                <w:color w:val="auto"/>
              </w:rPr>
            </w:pPr>
          </w:p>
        </w:tc>
        <w:tc>
          <w:tcPr>
            <w:tcW w:w="5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20" w:hanging="315"/>
        <w:spacing w:after="0" w:line="254" w:lineRule="auto"/>
        <w:tabs>
          <w:tab w:leader="none" w:pos="299" w:val="left"/>
        </w:tabs>
        <w:numPr>
          <w:ilvl w:val="0"/>
          <w:numId w:val="17"/>
        </w:numPr>
        <w:rPr>
          <w:rFonts w:ascii="Arial" w:cs="Arial" w:eastAsia="Arial" w:hAnsi="Arial"/>
          <w:sz w:val="13"/>
          <w:szCs w:val="13"/>
          <w:color w:val="auto"/>
        </w:rPr>
      </w:pPr>
      <w:r>
        <w:rPr>
          <w:rFonts w:ascii="Arial" w:cs="Arial" w:eastAsia="Arial" w:hAnsi="Arial"/>
          <w:sz w:val="13"/>
          <w:szCs w:val="13"/>
          <w:color w:val="auto"/>
        </w:rPr>
        <w:t>Upon completion of the Merger, each unvested Class A Unit held by current, or in certain cases former, employees, officers and directors of Oaktree and its subsidiaries was converted into one unvested OCGH Unit (each, a “Converted OCGH Unit”) and thereafter became subject to the terms and conditions of the OCGH limited partnership agreement. The Converted OCGH Units (i) are subject to the same vesting terms that were applicable to such units prior to the completion of the Merger, (ii) are entitled to receive ongoing distributions in respect of earnings, but not capital distributions and (iii) upon vesting, receive the accumulated value of capital distributions that accrued while such units were unvested. Through 2021, Converted OCGH Units were valued at $49.00 per unit, less the amount of any capital distributions received upon vesting.</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Oaktree Equity Plan</w:t>
      </w:r>
    </w:p>
    <w:p>
      <w:pPr>
        <w:spacing w:after="0" w:line="168" w:lineRule="exact"/>
        <w:rPr>
          <w:sz w:val="20"/>
          <w:szCs w:val="20"/>
          <w:color w:val="auto"/>
        </w:rPr>
      </w:pPr>
    </w:p>
    <w:p>
      <w:pPr>
        <w:ind w:right="180" w:firstLine="509"/>
        <w:spacing w:after="0" w:line="290" w:lineRule="auto"/>
        <w:rPr>
          <w:sz w:val="20"/>
          <w:szCs w:val="20"/>
          <w:color w:val="auto"/>
        </w:rPr>
      </w:pPr>
      <w:r>
        <w:rPr>
          <w:rFonts w:ascii="Arial" w:cs="Arial" w:eastAsia="Arial" w:hAnsi="Arial"/>
          <w:sz w:val="14"/>
          <w:szCs w:val="14"/>
          <w:color w:val="auto"/>
        </w:rPr>
        <w:t>In April 2022, the Company established an equity participation plan (“OEP”), through which certain employees of the Company’s indirect subsidiaries participate in certain equity interests in the Oaktree Operating Group.</w:t>
      </w:r>
    </w:p>
    <w:p>
      <w:pPr>
        <w:spacing w:after="0" w:line="78" w:lineRule="exact"/>
        <w:rPr>
          <w:sz w:val="20"/>
          <w:szCs w:val="20"/>
          <w:color w:val="auto"/>
        </w:rPr>
      </w:pPr>
    </w:p>
    <w:p>
      <w:pPr>
        <w:jc w:val="both"/>
        <w:ind w:right="20" w:firstLine="509"/>
        <w:spacing w:after="0" w:line="265" w:lineRule="auto"/>
        <w:rPr>
          <w:sz w:val="20"/>
          <w:szCs w:val="20"/>
          <w:color w:val="auto"/>
        </w:rPr>
      </w:pPr>
      <w:r>
        <w:rPr>
          <w:rFonts w:ascii="Arial" w:cs="Arial" w:eastAsia="Arial" w:hAnsi="Arial"/>
          <w:sz w:val="14"/>
          <w:szCs w:val="14"/>
          <w:color w:val="auto"/>
        </w:rPr>
        <w:t>During the three months ended June 30, 2022, the Company granted OEP awards valued at $8.0 million to certain employees of the Company and its subsidiaries, subject to annual vesting over a period of approximately 6.5 years. For the three and six months ended June 30, 2022, the Company recognized $0.3 million, and $0.3 million, respectively, of compensation expense related to the OEP awards, which were included in equity-based compensation expense in the combined and consolidated statements of operations. Total unvested units issued were 875,248 units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Valuation</w:t>
      </w:r>
    </w:p>
    <w:p>
      <w:pPr>
        <w:spacing w:after="0" w:line="134"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The Company uses the Black-Scholes option pricing model to determine the grant date fair value of the OEP units. This model requires the Company to estimate the expected volatility and the expected term of the OEP units which are highly complex and subjective variables. The variables take into consideration, among other things, projected OEP unit exercise behavior. The Company uses a predicted volatility of its stock price during the expected life of the units that is based on the historical performance of the Company’s stock price as well as including an estimate using guideline companies. The expected term is computed using the simplified method as the Company’s best estimate given its lack of actual exercise history. The Company has selected a risk-free rate based on the implied yield available on U.S. Treasury securities with a maturity equivalent to the expected term of the award. Forfeitures are recognized as incurred. The OEP units were valued at $9.13 per unit, net of the upfront cash consideration from the employee.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INCOME TAXES AND RELATED PAYMENTS</w:t>
      </w:r>
    </w:p>
    <w:p>
      <w:pPr>
        <w:spacing w:after="0" w:line="136" w:lineRule="exact"/>
        <w:rPr>
          <w:sz w:val="20"/>
          <w:szCs w:val="20"/>
          <w:color w:val="auto"/>
        </w:rPr>
      </w:pPr>
    </w:p>
    <w:p>
      <w:pPr>
        <w:ind w:right="360" w:firstLine="509"/>
        <w:spacing w:after="0" w:line="290" w:lineRule="auto"/>
        <w:rPr>
          <w:sz w:val="20"/>
          <w:szCs w:val="20"/>
          <w:color w:val="auto"/>
        </w:rPr>
      </w:pPr>
      <w:r>
        <w:rPr>
          <w:rFonts w:ascii="Arial" w:cs="Arial" w:eastAsia="Arial" w:hAnsi="Arial"/>
          <w:sz w:val="14"/>
          <w:szCs w:val="14"/>
          <w:color w:val="auto"/>
        </w:rPr>
        <w:t>The Company is a publicly traded partnership and currently holds interests in Oaktree Capital I, L.P. (a non-corporate entity that is not subject to U.S. federal and state corporate income tax) and Oaktree Capital Management (Cayman), L.P. (which holds subsidiaries that are taxable in non-U.S. jurisdictions).</w:t>
      </w:r>
    </w:p>
    <w:p>
      <w:pPr>
        <w:spacing w:after="0" w:line="78"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The Company files its tax returns as prescribed by the tax laws of the jurisdictions in which it operates. In the normal course of business, the Company is subject to examination by federal, state, local and foreign tax regulators. With limited exceptions, the Company is no longer subject to income tax audits by taxing authorities for periods before 2018. The Company believes that it has adequately provided for any reasonably foreseeable outcomes related to its tax examinations and that any settlements related thereto will not have a material adverse effect on the Company’s condensed consolidated financial statements; however, there can be no assurances as to the ultimate outcomes.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COMMITMENTS AND CONTINGENCIES</w:t>
      </w:r>
    </w:p>
    <w:p>
      <w:pPr>
        <w:spacing w:after="0" w:line="136"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In the normal course of business, Oaktree enters into contracts that contain certain representations, warranties and indemnifications. The Company’s exposure under these arrangements would involve future claims that have not yet been asserted. Inasmuch as no such claims currently exist or are expected to arise, the Company has not accrued any liability in connection with these indemnifications.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Actions</w:t>
      </w:r>
    </w:p>
    <w:p>
      <w:pPr>
        <w:spacing w:after="0" w:line="147" w:lineRule="exact"/>
        <w:rPr>
          <w:sz w:val="20"/>
          <w:szCs w:val="20"/>
          <w:color w:val="auto"/>
        </w:rPr>
      </w:pPr>
    </w:p>
    <w:p>
      <w:pPr>
        <w:ind w:right="240" w:firstLine="509"/>
        <w:spacing w:after="0" w:line="262" w:lineRule="auto"/>
        <w:rPr>
          <w:sz w:val="20"/>
          <w:szCs w:val="20"/>
          <w:color w:val="auto"/>
        </w:rPr>
      </w:pPr>
      <w:r>
        <w:rPr>
          <w:rFonts w:ascii="Arial" w:cs="Arial" w:eastAsia="Arial" w:hAnsi="Arial"/>
          <w:sz w:val="14"/>
          <w:szCs w:val="14"/>
          <w:color w:val="auto"/>
        </w:rPr>
        <w:t>Oaktree, its affiliates, investment professionals, and portfolio companies are routinely involved in litigation and other legal actions in the ordinary course of their business and investing activities. In addition, Oaktree is subject to the authority of a number of U.S. and non-U.S. regulators, including the SEC and the Financial Industry Regulatory Authority, and those authorities periodically conduct examinations of Oaktree and make other inquiries that may result in the commencement of regulatory proceedings against Oaktree and its personnel. Oaktree is currently not subject to any pending actions or regulatory proceedings that either individually or in the aggregate are expected to have a material impact on its condensed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Incentive Income</w:t>
      </w:r>
    </w:p>
    <w:p>
      <w:pPr>
        <w:spacing w:after="0" w:line="72"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In addition to the incentive income recognized by the Company, certain of its funds have amounts recorded as potentially allocable to the Company as its share of potential future incentive income, based on each fund’s net asset value. Inasmuch as this incentive income is contingent upon future investment activity and other factors, it is not recognized by the Company as revenue until it is probable that a significant reversal will not occur. As of June 30, 2022 and December 31, 2021, respectively, the aggregate of such amounts recorded at the fund level in excess of incentive income recognized by the Company was $1,573,418 and $1,668,839, for which related direct incentive income compensation expense was estimated to be $820,739 and $868,408, respectively.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to Funds</w:t>
      </w:r>
    </w:p>
    <w:p>
      <w:pPr>
        <w:spacing w:after="0" w:line="136" w:lineRule="exact"/>
        <w:rPr>
          <w:sz w:val="20"/>
          <w:szCs w:val="20"/>
          <w:color w:val="auto"/>
        </w:rPr>
      </w:pPr>
    </w:p>
    <w:p>
      <w:pPr>
        <w:ind w:right="120" w:firstLine="509"/>
        <w:spacing w:after="0" w:line="271" w:lineRule="auto"/>
        <w:rPr>
          <w:sz w:val="20"/>
          <w:szCs w:val="20"/>
          <w:color w:val="auto"/>
        </w:rPr>
      </w:pPr>
      <w:r>
        <w:rPr>
          <w:rFonts w:ascii="Arial" w:cs="Arial" w:eastAsia="Arial" w:hAnsi="Arial"/>
          <w:sz w:val="14"/>
          <w:szCs w:val="14"/>
          <w:color w:val="auto"/>
        </w:rPr>
        <w:t>As of June 30, 2022 and December 31, 2021, the Company, generally in its capacity as general partner, had undrawn capital and other commitments of $525.5 million and $325.8 million, respectively, including commitments to both unconsolidated and consolidated funds. Additionally, as of June 30, 2022 the Company had undrawn capital commitments of $412.5 million in its capacity as a limited partner in Opps XI (as defined in note 16).</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Commitments of the Consolidated Funds</w:t>
      </w:r>
    </w:p>
    <w:p>
      <w:pPr>
        <w:spacing w:after="0" w:line="136"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Certain of the consolidated funds are parties to credit arrangements that provide for the issuance of letters of credit and/or revolving loans, which may require the particular fund to extend loans to investee companies. The consolidated funds use the same investment criteria in making these commitments as they do for investments that are included in the condensed consolidated statements of financial condition. The unfunded liability associated with these credit arrangements is equal to the amount by which the contractual loan commitment exceeds the sum of funded debt and cash held in escrow, if any. As of June 30, 2022 and December 31, 2021, the consolidated funds had potential aggregate commitments of $8.2 million and $13.5 million, respectively. These commitments are expected to be funded by the funds’ cash balances, proceeds from asset sales or drawdowns against existing capital commitments.</w:t>
      </w:r>
    </w:p>
    <w:p>
      <w:pPr>
        <w:spacing w:after="0" w:line="57" w:lineRule="exact"/>
        <w:rPr>
          <w:sz w:val="20"/>
          <w:szCs w:val="20"/>
          <w:color w:val="auto"/>
        </w:rPr>
      </w:pPr>
    </w:p>
    <w:p>
      <w:pPr>
        <w:ind w:right="580" w:firstLine="509"/>
        <w:spacing w:after="0" w:line="290" w:lineRule="auto"/>
        <w:rPr>
          <w:sz w:val="20"/>
          <w:szCs w:val="20"/>
          <w:color w:val="auto"/>
        </w:rPr>
      </w:pPr>
      <w:r>
        <w:rPr>
          <w:rFonts w:ascii="Arial" w:cs="Arial" w:eastAsia="Arial" w:hAnsi="Arial"/>
          <w:sz w:val="14"/>
          <w:szCs w:val="14"/>
          <w:color w:val="auto"/>
        </w:rPr>
        <w:t>A consolidated fund may agree to guarantee the repayment obligations of certain investee companies. As of June 30, 2022 and December 31, 2021, there were no guaranteed amounts under such arrangements.</w:t>
      </w:r>
    </w:p>
    <w:p>
      <w:pPr>
        <w:spacing w:after="0" w:line="35" w:lineRule="exact"/>
        <w:rPr>
          <w:sz w:val="20"/>
          <w:szCs w:val="20"/>
          <w:color w:val="auto"/>
        </w:rPr>
      </w:pPr>
    </w:p>
    <w:p>
      <w:pPr>
        <w:ind w:right="40" w:firstLine="509"/>
        <w:spacing w:after="0" w:line="290" w:lineRule="auto"/>
        <w:rPr>
          <w:sz w:val="20"/>
          <w:szCs w:val="20"/>
          <w:color w:val="auto"/>
        </w:rPr>
      </w:pPr>
      <w:r>
        <w:rPr>
          <w:rFonts w:ascii="Arial" w:cs="Arial" w:eastAsia="Arial" w:hAnsi="Arial"/>
          <w:sz w:val="14"/>
          <w:szCs w:val="14"/>
          <w:color w:val="auto"/>
        </w:rPr>
        <w:t>Certain consolidated funds are investment companies that are required to disclose financial support provided or contractually required to be provided to any of their portfolio companies. During the six months ended June 30, 2022, the consolidated funds did not provide any financial support to portfolio companies.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RELATED-PARTY TRANSACTIONS</w:t>
      </w:r>
    </w:p>
    <w:p>
      <w:pPr>
        <w:spacing w:after="0" w:line="136" w:lineRule="exact"/>
        <w:rPr>
          <w:sz w:val="20"/>
          <w:szCs w:val="20"/>
          <w:color w:val="auto"/>
        </w:rPr>
      </w:pPr>
    </w:p>
    <w:p>
      <w:pPr>
        <w:ind w:right="160" w:firstLine="509"/>
        <w:spacing w:after="0" w:line="264" w:lineRule="auto"/>
        <w:rPr>
          <w:sz w:val="20"/>
          <w:szCs w:val="20"/>
          <w:color w:val="auto"/>
        </w:rPr>
      </w:pPr>
      <w:r>
        <w:rPr>
          <w:rFonts w:ascii="Arial" w:cs="Arial" w:eastAsia="Arial" w:hAnsi="Arial"/>
          <w:sz w:val="14"/>
          <w:szCs w:val="14"/>
          <w:color w:val="auto"/>
        </w:rPr>
        <w:t>The Company considers its senior executives, employees and unconsolidated Oaktree funds to be affiliates (as defined in the FASB ASC Master Glossary). Amounts due from and to affiliates are set forth below. The fair value of amounts due from and to affiliates is a Level III valuation and was valued based on a discounted cash-flow analysis. The carrying value of amounts due from affiliates approximated fair value due to their short-term nature or because their weighted average interest rate approximated the Company’s cost of debt.</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8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w w:val="95"/>
              </w:rPr>
              <w:t>As of</w:t>
            </w: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2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298"/>
              <w:spacing w:after="0"/>
              <w:rPr>
                <w:sz w:val="20"/>
                <w:szCs w:val="20"/>
                <w:color w:val="auto"/>
              </w:rPr>
            </w:pPr>
            <w:r>
              <w:rPr>
                <w:rFonts w:ascii="Arial" w:cs="Arial" w:eastAsia="Arial" w:hAnsi="Arial"/>
                <w:sz w:val="10"/>
                <w:szCs w:val="10"/>
                <w:b w:val="1"/>
                <w:bCs w:val="1"/>
                <w:color w:val="auto"/>
              </w:rPr>
              <w:t>June 30, 2022</w:t>
            </w:r>
          </w:p>
        </w:tc>
        <w:tc>
          <w:tcPr>
            <w:tcW w:w="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160"/>
        </w:trPr>
        <w:tc>
          <w:tcPr>
            <w:tcW w:w="8200" w:type="dxa"/>
            <w:vAlign w:val="bottom"/>
          </w:tcPr>
          <w:p>
            <w:pPr>
              <w:spacing w:after="0"/>
              <w:rPr>
                <w:sz w:val="20"/>
                <w:szCs w:val="20"/>
                <w:color w:val="auto"/>
              </w:rPr>
            </w:pPr>
            <w:r>
              <w:rPr>
                <w:rFonts w:ascii="Arial" w:cs="Arial" w:eastAsia="Arial" w:hAnsi="Arial"/>
                <w:sz w:val="13"/>
                <w:szCs w:val="13"/>
                <w:color w:val="auto"/>
              </w:rPr>
              <w:t>Due from affiliates:</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200" w:type="dxa"/>
            <w:vAlign w:val="bottom"/>
          </w:tcPr>
          <w:p>
            <w:pPr>
              <w:ind w:left="260"/>
              <w:spacing w:after="0"/>
              <w:rPr>
                <w:sz w:val="20"/>
                <w:szCs w:val="20"/>
                <w:color w:val="auto"/>
              </w:rPr>
            </w:pPr>
            <w:r>
              <w:rPr>
                <w:rFonts w:ascii="Arial" w:cs="Arial" w:eastAsia="Arial" w:hAnsi="Arial"/>
                <w:sz w:val="13"/>
                <w:szCs w:val="13"/>
                <w:color w:val="auto"/>
              </w:rPr>
              <w:t>Loans to affiliates and employees</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44,088</w:t>
            </w:r>
          </w:p>
        </w:tc>
        <w:tc>
          <w:tcPr>
            <w:tcW w:w="0" w:type="dxa"/>
            <w:vAlign w:val="bottom"/>
          </w:tcPr>
          <w:p>
            <w:pPr>
              <w:spacing w:after="0"/>
              <w:rPr>
                <w:sz w:val="1"/>
                <w:szCs w:val="1"/>
                <w:color w:val="auto"/>
              </w:rPr>
            </w:pPr>
          </w:p>
        </w:tc>
      </w:tr>
      <w:tr>
        <w:trPr>
          <w:trHeight w:val="170"/>
        </w:trPr>
        <w:tc>
          <w:tcPr>
            <w:tcW w:w="8200" w:type="dxa"/>
            <w:vAlign w:val="bottom"/>
          </w:tcPr>
          <w:p>
            <w:pPr>
              <w:ind w:left="260"/>
              <w:spacing w:after="0"/>
              <w:rPr>
                <w:sz w:val="20"/>
                <w:szCs w:val="20"/>
                <w:color w:val="auto"/>
              </w:rPr>
            </w:pPr>
            <w:r>
              <w:rPr>
                <w:rFonts w:ascii="Arial" w:cs="Arial" w:eastAsia="Arial" w:hAnsi="Arial"/>
                <w:sz w:val="13"/>
                <w:szCs w:val="13"/>
                <w:color w:val="auto"/>
              </w:rPr>
              <w:t>Amounts due from unconsolidated funds</w:t>
            </w: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1,868</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2,829</w:t>
            </w:r>
          </w:p>
        </w:tc>
        <w:tc>
          <w:tcPr>
            <w:tcW w:w="0" w:type="dxa"/>
            <w:vAlign w:val="bottom"/>
          </w:tcPr>
          <w:p>
            <w:pPr>
              <w:spacing w:after="0"/>
              <w:rPr>
                <w:sz w:val="1"/>
                <w:szCs w:val="1"/>
                <w:color w:val="auto"/>
              </w:rPr>
            </w:pPr>
          </w:p>
        </w:tc>
      </w:tr>
      <w:tr>
        <w:trPr>
          <w:trHeight w:val="170"/>
        </w:trPr>
        <w:tc>
          <w:tcPr>
            <w:tcW w:w="8200" w:type="dxa"/>
            <w:vAlign w:val="bottom"/>
          </w:tcPr>
          <w:p>
            <w:pPr>
              <w:ind w:left="260"/>
              <w:spacing w:after="0"/>
              <w:rPr>
                <w:sz w:val="20"/>
                <w:szCs w:val="20"/>
                <w:color w:val="auto"/>
              </w:rPr>
            </w:pPr>
            <w:r>
              <w:rPr>
                <w:rFonts w:ascii="Arial" w:cs="Arial" w:eastAsia="Arial" w:hAnsi="Arial"/>
                <w:sz w:val="13"/>
                <w:szCs w:val="13"/>
                <w:color w:val="auto"/>
              </w:rPr>
              <w:t>Management fees and incentive income due from unconsolidated funds and affiliates</w:t>
            </w: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64,550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289,795</w:t>
            </w:r>
          </w:p>
        </w:tc>
        <w:tc>
          <w:tcPr>
            <w:tcW w:w="0" w:type="dxa"/>
            <w:vAlign w:val="bottom"/>
          </w:tcPr>
          <w:p>
            <w:pPr>
              <w:spacing w:after="0"/>
              <w:rPr>
                <w:sz w:val="1"/>
                <w:szCs w:val="1"/>
                <w:color w:val="auto"/>
              </w:rPr>
            </w:pPr>
          </w:p>
        </w:tc>
      </w:tr>
      <w:tr>
        <w:trPr>
          <w:trHeight w:val="170"/>
        </w:trPr>
        <w:tc>
          <w:tcPr>
            <w:tcW w:w="8200" w:type="dxa"/>
            <w:vAlign w:val="bottom"/>
          </w:tcPr>
          <w:p>
            <w:pPr>
              <w:ind w:left="260"/>
              <w:spacing w:after="0"/>
              <w:rPr>
                <w:sz w:val="20"/>
                <w:szCs w:val="20"/>
                <w:color w:val="auto"/>
              </w:rPr>
            </w:pPr>
            <w:r>
              <w:rPr>
                <w:rFonts w:ascii="Arial" w:cs="Arial" w:eastAsia="Arial" w:hAnsi="Arial"/>
                <w:sz w:val="13"/>
                <w:szCs w:val="13"/>
                <w:color w:val="auto"/>
              </w:rPr>
              <w:t>Payments made on behalf of unconsolidated entities</w:t>
            </w: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10,052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36,001</w:t>
            </w:r>
          </w:p>
        </w:tc>
        <w:tc>
          <w:tcPr>
            <w:tcW w:w="0" w:type="dxa"/>
            <w:vAlign w:val="bottom"/>
          </w:tcPr>
          <w:p>
            <w:pPr>
              <w:spacing w:after="0"/>
              <w:rPr>
                <w:sz w:val="1"/>
                <w:szCs w:val="1"/>
                <w:color w:val="auto"/>
              </w:rPr>
            </w:pPr>
          </w:p>
        </w:tc>
      </w:tr>
      <w:tr>
        <w:trPr>
          <w:trHeight w:val="171"/>
        </w:trPr>
        <w:tc>
          <w:tcPr>
            <w:tcW w:w="8200" w:type="dxa"/>
            <w:vAlign w:val="bottom"/>
          </w:tcPr>
          <w:p>
            <w:pPr>
              <w:ind w:left="260"/>
              <w:spacing w:after="0"/>
              <w:rPr>
                <w:sz w:val="20"/>
                <w:szCs w:val="20"/>
                <w:color w:val="auto"/>
              </w:rPr>
            </w:pPr>
            <w:r>
              <w:rPr>
                <w:rFonts w:ascii="Arial" w:cs="Arial" w:eastAsia="Arial" w:hAnsi="Arial"/>
                <w:sz w:val="13"/>
                <w:szCs w:val="13"/>
                <w:color w:val="auto"/>
              </w:rPr>
              <w:t>Non-interest bearing advances made to certain non-controlling interest holders and employees</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62"/>
        </w:trPr>
        <w:tc>
          <w:tcPr>
            <w:tcW w:w="8200" w:type="dxa"/>
            <w:vAlign w:val="bottom"/>
          </w:tcPr>
          <w:p>
            <w:pPr>
              <w:ind w:left="500"/>
              <w:spacing w:after="0"/>
              <w:rPr>
                <w:sz w:val="20"/>
                <w:szCs w:val="20"/>
                <w:color w:val="auto"/>
              </w:rPr>
            </w:pPr>
            <w:r>
              <w:rPr>
                <w:rFonts w:ascii="Arial" w:cs="Arial" w:eastAsia="Arial" w:hAnsi="Arial"/>
                <w:sz w:val="13"/>
                <w:szCs w:val="13"/>
                <w:color w:val="auto"/>
              </w:rPr>
              <w:t>Total due from affiliates</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76,524</w:t>
            </w:r>
          </w:p>
        </w:tc>
        <w:tc>
          <w:tcPr>
            <w:tcW w:w="4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372,861</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3"/>
                <w:szCs w:val="13"/>
                <w:color w:val="auto"/>
              </w:rPr>
              <w:t>Due to affiliates: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200" w:type="dxa"/>
            <w:vAlign w:val="bottom"/>
          </w:tcPr>
          <w:p>
            <w:pPr>
              <w:ind w:left="260"/>
              <w:spacing w:after="0"/>
              <w:rPr>
                <w:sz w:val="20"/>
                <w:szCs w:val="20"/>
                <w:color w:val="auto"/>
              </w:rPr>
            </w:pPr>
            <w:r>
              <w:rPr>
                <w:rFonts w:ascii="Arial" w:cs="Arial" w:eastAsia="Arial" w:hAnsi="Arial"/>
                <w:sz w:val="13"/>
                <w:szCs w:val="13"/>
                <w:color w:val="auto"/>
              </w:rPr>
              <w:t>Amounts due to unconsolidated entities</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11,266</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4,198</w:t>
            </w:r>
          </w:p>
        </w:tc>
        <w:tc>
          <w:tcPr>
            <w:tcW w:w="0" w:type="dxa"/>
            <w:vAlign w:val="bottom"/>
          </w:tcPr>
          <w:p>
            <w:pPr>
              <w:spacing w:after="0"/>
              <w:rPr>
                <w:sz w:val="1"/>
                <w:szCs w:val="1"/>
                <w:color w:val="auto"/>
              </w:rPr>
            </w:pPr>
          </w:p>
        </w:tc>
      </w:tr>
      <w:tr>
        <w:trPr>
          <w:trHeight w:val="162"/>
        </w:trPr>
        <w:tc>
          <w:tcPr>
            <w:tcW w:w="8200" w:type="dxa"/>
            <w:vAlign w:val="bottom"/>
          </w:tcPr>
          <w:p>
            <w:pPr>
              <w:ind w:left="500"/>
              <w:spacing w:after="0"/>
              <w:rPr>
                <w:sz w:val="20"/>
                <w:szCs w:val="20"/>
                <w:color w:val="auto"/>
              </w:rPr>
            </w:pPr>
            <w:r>
              <w:rPr>
                <w:rFonts w:ascii="Arial" w:cs="Arial" w:eastAsia="Arial" w:hAnsi="Arial"/>
                <w:sz w:val="13"/>
                <w:szCs w:val="13"/>
                <w:color w:val="auto"/>
              </w:rPr>
              <w:t>Total due to affiliates</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11,266</w:t>
            </w:r>
          </w:p>
        </w:tc>
        <w:tc>
          <w:tcPr>
            <w:tcW w:w="4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4,198</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Loans To Affiliates and Employees</w:t>
      </w:r>
    </w:p>
    <w:p>
      <w:pPr>
        <w:spacing w:after="0" w:line="136" w:lineRule="exact"/>
        <w:rPr>
          <w:sz w:val="20"/>
          <w:szCs w:val="20"/>
          <w:color w:val="auto"/>
        </w:rPr>
      </w:pPr>
    </w:p>
    <w:p>
      <w:pPr>
        <w:ind w:right="180" w:firstLine="509"/>
        <w:spacing w:after="0" w:line="290" w:lineRule="auto"/>
        <w:rPr>
          <w:sz w:val="20"/>
          <w:szCs w:val="20"/>
          <w:color w:val="auto"/>
        </w:rPr>
      </w:pPr>
      <w:r>
        <w:rPr>
          <w:rFonts w:ascii="Arial" w:cs="Arial" w:eastAsia="Arial" w:hAnsi="Arial"/>
          <w:sz w:val="14"/>
          <w:szCs w:val="14"/>
          <w:color w:val="auto"/>
        </w:rPr>
        <w:t>Loans primarily consist of (i) interest-bearing loans made to affiliates, and (ii) interest-bearing loans made to certain Oaktree employees to meet tax obligations related to vesting of equity awards.</w:t>
      </w:r>
    </w:p>
    <w:p>
      <w:pPr>
        <w:spacing w:after="0" w:line="78" w:lineRule="exact"/>
        <w:rPr>
          <w:sz w:val="20"/>
          <w:szCs w:val="20"/>
          <w:color w:val="auto"/>
        </w:rPr>
      </w:pPr>
    </w:p>
    <w:p>
      <w:pPr>
        <w:ind w:right="140" w:firstLine="509"/>
        <w:spacing w:after="0" w:line="271" w:lineRule="auto"/>
        <w:rPr>
          <w:sz w:val="20"/>
          <w:szCs w:val="20"/>
          <w:color w:val="auto"/>
        </w:rPr>
      </w:pPr>
      <w:r>
        <w:rPr>
          <w:rFonts w:ascii="Arial" w:cs="Arial" w:eastAsia="Arial" w:hAnsi="Arial"/>
          <w:sz w:val="14"/>
          <w:szCs w:val="14"/>
          <w:color w:val="auto"/>
        </w:rPr>
        <w:t>On May 7, 2021 the Company, through its consolidated subsidiary Oaktree Capital I, L.P, entered into two revolving line of credit notes with Oaktree Capital Management, L.P., one as a borrower and the other as a lender. Both revolving line of credit notes allow for outstanding principal amounts not to exceed $250.0 million and mature on May 7, 2024. There were no loans to affiliates as of June 30, 2022, and no interest income were generated for the six months ended June 30, 2022.</w:t>
      </w:r>
    </w:p>
    <w:p>
      <w:pPr>
        <w:spacing w:after="0" w:line="91"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The employee loans, which are generally recourse to the borrower or secured by vested equity and other collateral, typically bear interest at the Company’s cost of debt. As of June 30, 2022 and December 31, 2021, there were no Company loans to employees. The Company’s loans generated no interest income for the three and six months ended June 30, 2022, and $2 and $3 for the three and six months ended June 30, 2021, respectively.</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June 30, 2022, certain employees had an outstanding note balance of $2.5 million to OCM.</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From Oaktree Funds</w:t>
      </w:r>
    </w:p>
    <w:p>
      <w:pPr>
        <w:spacing w:after="0" w:line="136"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In the normal course of business, the Company advances certain expenses on behalf of Oaktree funds. Amounts advanced on behalf of consolidated funds are eliminated in consolidation. Certain expenses paid by the Company, which typically are employee travel and other costs associated with particular portfolio company holdings, are reimbursed to the Company by the portfolio companies. In addition, the Company recognizes distributions and proceeds from corporate investments in Oaktree funds for which it serves as general partner, and other third-party managed funds and companies as receivables when certain criteria is met.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 Earned From Oaktree Funds</w:t>
      </w:r>
    </w:p>
    <w:p>
      <w:pPr>
        <w:spacing w:after="0" w:line="136" w:lineRule="exact"/>
        <w:rPr>
          <w:sz w:val="20"/>
          <w:szCs w:val="20"/>
          <w:color w:val="auto"/>
        </w:rPr>
      </w:pPr>
    </w:p>
    <w:p>
      <w:pPr>
        <w:ind w:right="280" w:firstLine="509"/>
        <w:spacing w:after="0" w:line="290" w:lineRule="auto"/>
        <w:rPr>
          <w:sz w:val="20"/>
          <w:szCs w:val="20"/>
          <w:color w:val="auto"/>
        </w:rPr>
      </w:pPr>
      <w:r>
        <w:rPr>
          <w:rFonts w:ascii="Arial" w:cs="Arial" w:eastAsia="Arial" w:hAnsi="Arial"/>
          <w:sz w:val="14"/>
          <w:szCs w:val="14"/>
          <w:color w:val="auto"/>
        </w:rPr>
        <w:t>In aggregate, management fees and incentive income earned from unconsolidated Oaktree funds totaled $116.6 million and $179.6 million for the three and six months ended June 30, 2022, respectively, and $94.2 million and $647.2 million for the three and six months ended June 30, 2021,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Investment Transactions</w:t>
      </w:r>
    </w:p>
    <w:p>
      <w:pPr>
        <w:spacing w:after="0" w:line="136"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The Company’s senior executives, directors and senior professionals are permitted to invest their own capital (or the capital of family trusts or other estate planning vehicles they control) in Oaktree funds, for which they typically pay the particular fund’s management fee but not its incentive allocation. To facilitate the funding of capital calls by funds in which employees are invested, the Company periodically advances on a short-term basis the capital calls on certain employees’ behalf. These advances are reimbursed generally toward the end of the calendar quarter in which the capital calls occurred. Amounts advanced by the Company are included within “non-interest bearing advances made to certain non-controlling interest holders and employees” in the table above.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Aircraft Services</w:t>
      </w:r>
    </w:p>
    <w:p>
      <w:pPr>
        <w:spacing w:after="0" w:line="136" w:lineRule="exact"/>
        <w:rPr>
          <w:sz w:val="20"/>
          <w:szCs w:val="20"/>
          <w:color w:val="auto"/>
        </w:rPr>
      </w:pPr>
    </w:p>
    <w:p>
      <w:pPr>
        <w:ind w:right="100" w:firstLine="509"/>
        <w:spacing w:after="0" w:line="265" w:lineRule="auto"/>
        <w:rPr>
          <w:sz w:val="20"/>
          <w:szCs w:val="20"/>
          <w:color w:val="auto"/>
        </w:rPr>
      </w:pPr>
      <w:r>
        <w:rPr>
          <w:rFonts w:ascii="Arial" w:cs="Arial" w:eastAsia="Arial" w:hAnsi="Arial"/>
          <w:sz w:val="14"/>
          <w:szCs w:val="14"/>
          <w:color w:val="auto"/>
        </w:rPr>
        <w:t>OCM owns an aircraft for business purposes. Howard Marks, the Company’s Co-Chairman, may use this aircraft for personal travel and will reimburse OCM to the extent his use of the aircraft for personal travel exceeds a certain threshold pursuant to an Oaktree policy. Oaktree also provides certain senior executives a personal travel allowance for private aircraft usage up to a certain threshold pursuant to the same Oaktree policy. Additionally, Oaktree occasionally makes use of an aircraft owned by one of its senior executives for business purposes at a price to Oaktree that is based on market rates.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Allocations</w:t>
      </w:r>
    </w:p>
    <w:p>
      <w:pPr>
        <w:spacing w:after="0" w:line="136" w:lineRule="exact"/>
        <w:rPr>
          <w:sz w:val="20"/>
          <w:szCs w:val="20"/>
          <w:color w:val="auto"/>
        </w:rPr>
      </w:pPr>
    </w:p>
    <w:p>
      <w:pPr>
        <w:ind w:right="240" w:firstLine="509"/>
        <w:spacing w:after="0" w:line="290" w:lineRule="auto"/>
        <w:rPr>
          <w:sz w:val="20"/>
          <w:szCs w:val="20"/>
          <w:color w:val="auto"/>
        </w:rPr>
      </w:pPr>
      <w:r>
        <w:rPr>
          <w:rFonts w:ascii="Arial" w:cs="Arial" w:eastAsia="Arial" w:hAnsi="Arial"/>
          <w:sz w:val="14"/>
          <w:szCs w:val="14"/>
          <w:color w:val="auto"/>
        </w:rPr>
        <w:t>Certain senior executives receive special allocations based on a percentage of profits of the Oaktree Operating Group. These special allocations, which are recorded as compensation expense, are made on a current basis for so long as they remain senior executives of the Company, with limited exceptions.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Administrative Services</w:t>
      </w:r>
    </w:p>
    <w:p>
      <w:pPr>
        <w:spacing w:after="0" w:line="136" w:lineRule="exact"/>
        <w:rPr>
          <w:sz w:val="20"/>
          <w:szCs w:val="20"/>
          <w:color w:val="auto"/>
        </w:rPr>
      </w:pPr>
    </w:p>
    <w:p>
      <w:pPr>
        <w:ind w:right="20" w:firstLine="509"/>
        <w:spacing w:after="0" w:line="259" w:lineRule="auto"/>
        <w:rPr>
          <w:sz w:val="20"/>
          <w:szCs w:val="20"/>
          <w:color w:val="auto"/>
        </w:rPr>
      </w:pPr>
      <w:r>
        <w:rPr>
          <w:rFonts w:ascii="Arial" w:cs="Arial" w:eastAsia="Arial" w:hAnsi="Arial"/>
          <w:sz w:val="14"/>
          <w:szCs w:val="14"/>
          <w:color w:val="auto"/>
        </w:rPr>
        <w:t>The Company is party to the Services Agreement with OCM. Pursuant to the Services Agreement, OCM provides administrative services to the Company necessary for the operations of the Company, which include providing office facilities, equipment, clerical, bookkeeping and record keeping services at such facilities and such other services as OCM, subject to review by the Company’s Board of Directors, shall from time to time deem to be necessary or useful to perform its obligations under the Services Agreement. OCM may, on behalf of the Company, conduct relations and negotiate agreements with custodians, trustees, depositories, attorneys, underwriters, brokers and dealers, corporate fiduciaries, insurers, banks and such other persons in any such other capacity deemed to be necessary or desirable. OCM makes reports to the Company’s Board of Directors of its performance of obligations under the Services Agreement and furnishes advice and recommendations with respect to such other aspects of the Company’s business and affairs, in each case, as it shall determine to be desirable or as reasonably required by the Company’s Board of Directors.</w:t>
      </w:r>
    </w:p>
    <w:p>
      <w:pPr>
        <w:spacing w:after="0" w:line="9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4"/>
          <w:szCs w:val="14"/>
          <w:color w:val="auto"/>
        </w:rPr>
        <w:t>OCM is responsible for the financial and other records that the Company is required to maintain and prepares, prints and disseminates reports to the Company’s unitholders and all other materials filed with the SEC. In addition, OCM assists the Company in overseeing the preparation and filing of the Company’s tax returns, and generally overseeing the payment of the Company’s expenses and the performance of administrative and professional services rendered to the Company by others.</w:t>
      </w:r>
    </w:p>
    <w:p>
      <w:pPr>
        <w:spacing w:after="0" w:line="91"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On an annual basis the Company will reimburse OCM $750,000 of the costs incurred for providing these administrative services. This reimbursement is payable quarterly, in equal installments, and relates to the Company’s allocable portion of overhead and other expenses (facilities and personnel) incurred by OCM in performing its obligations under the Services Agreement. This amount includes the Company’s allocable portion of (i) the rent of the Company’s principal executive offices (which are located in a building owned by a Brookfield affiliate) at market rates and (ii) the costs of compensation and related expenses of various personnel at Oaktree that perform duties for the Company. The Services Agreement may be terminated by either party without penalty upon 90 days’ written notice to the other.</w:t>
      </w:r>
    </w:p>
    <w:p>
      <w:pPr>
        <w:spacing w:after="0" w:line="97"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The Company incurred administrative services expense of $0.2 million and $0.4 million for the three and six months ended June 30, 2022, respectively, and $0.2 million and $0.4 million for the three and six months ended June 30, 2021, respectively. As of June 30, 2022 and December 31, 2021, no amounts and $0.2 million, respectively were included in “Due to affiliates” in the condensed consolidated statements of financial condition.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in Oaktree Opportunities Fund XI</w:t>
      </w:r>
    </w:p>
    <w:p>
      <w:pPr>
        <w:spacing w:after="0" w:line="136" w:lineRule="exact"/>
        <w:rPr>
          <w:sz w:val="20"/>
          <w:szCs w:val="20"/>
          <w:color w:val="auto"/>
        </w:rPr>
      </w:pPr>
    </w:p>
    <w:p>
      <w:pPr>
        <w:ind w:right="80" w:firstLine="509"/>
        <w:spacing w:after="0" w:line="258" w:lineRule="auto"/>
        <w:rPr>
          <w:sz w:val="20"/>
          <w:szCs w:val="20"/>
          <w:color w:val="auto"/>
        </w:rPr>
      </w:pPr>
      <w:r>
        <w:rPr>
          <w:rFonts w:ascii="Arial" w:cs="Arial" w:eastAsia="Arial" w:hAnsi="Arial"/>
          <w:sz w:val="14"/>
          <w:szCs w:val="14"/>
          <w:color w:val="auto"/>
        </w:rPr>
        <w:t>The Company has subscribed for a limited partner interest in, and made a capital commitment of, $750.0 million to Oaktree Opportunities Fund XI, L.P., a parallel investment vehicle thereof or a feeder fund in respect of one of the foregoing (such limited partner interest, the “Opps XI Investment” and such fund entities collectively, “Opps XI”). In order to make the Opps XI Investment, the Company’s sole Class A unitholder, or one of its affiliates, will contribute cash as a capital contribution (the “Opps XI Investment Cash”) as and to the extent required to satisfy the Company’s obligations to Opps XI. The Company will use the Opps XI Investment Cash solely to fund the Opps XI Investment and satisfy its obligations in respect of Opps XI and distributions from the Opps XI Investment are intended for the benefit of the Class A unitholder, subject to applicable law. The Company’s preferred unitholders should not rely on distributions received by the Company in respect of the Company’s Opps XI Investment for payment of dividends or redemption of the preferred units. During the six months ended June 30, 2022, the Company funded $112.5 million of its capital commitment. As of June 30, 2022, the Company has funded in the aggregate $337.5 million of the $750.0 million capital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4"/>
          <w:szCs w:val="14"/>
          <w:b w:val="1"/>
          <w:bCs w:val="1"/>
          <w:color w:val="auto"/>
        </w:rPr>
        <w:t>Oaktree Capital Group,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SEGMENT REPORTING</w:t>
      </w:r>
    </w:p>
    <w:p>
      <w:pPr>
        <w:spacing w:after="0" w:line="136"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As a global investment manager, the Company provides investment management services through funds, separate accounts and subsidiary services agreements. The Company earns revenues from the management fees and incentive income generated by the funds that it manages or serves as the general partner. Additionally, for acting as a sub-investment manager, or sub-advisor, to certain Oaktree funds, the Company earns sub-advisory fees. Under the subsidiary services agreements, the Company provides certain investment and marketing related services to Oaktree affiliated entities. Management uses a consolidated approach to assess performance and allocate resources. As such, the Company’s business is comprised of one segment, the investment management business.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SUBSEQUENT EVENTS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A Unit Distributions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distribution of $0.38 per Class A unit was paid on August 10, 2022 to holders of record at the close of business on August 3, 2022.</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Unit Distributions</w:t>
      </w:r>
    </w:p>
    <w:p>
      <w:pPr>
        <w:spacing w:after="0" w:line="136"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A distribution of $0.414063 per Series A preferred unit will be paid on September 15, 2022 to Series A preferred unitholders of record at the close of business on September 1, 2022.</w:t>
      </w:r>
    </w:p>
    <w:p>
      <w:pPr>
        <w:spacing w:after="0" w:line="78"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A distribution of $0.409375 per Series B preferred unit will be paid on September 15, 2022 to Series B preferred unitholders of record at the close of business on September 1, 2022.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in 17Capital</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July 15, 2022, the Company completed its acquisition of a majority interest in 17Capital.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38" w:lineRule="exact"/>
        <w:rPr>
          <w:sz w:val="20"/>
          <w:szCs w:val="20"/>
          <w:color w:val="auto"/>
        </w:rPr>
      </w:pPr>
    </w:p>
    <w:p>
      <w:pPr>
        <w:ind w:right="20" w:firstLine="509"/>
        <w:spacing w:after="0" w:line="261" w:lineRule="auto"/>
        <w:rPr>
          <w:sz w:val="20"/>
          <w:szCs w:val="20"/>
          <w:color w:val="auto"/>
        </w:rPr>
      </w:pPr>
      <w:r>
        <w:rPr>
          <w:rFonts w:ascii="Arial" w:cs="Arial" w:eastAsia="Arial" w:hAnsi="Arial"/>
          <w:sz w:val="14"/>
          <w:szCs w:val="14"/>
          <w:i w:val="1"/>
          <w:iCs w:val="1"/>
          <w:color w:val="auto"/>
        </w:rPr>
        <w:t>The following discussion and analysis should be read in conjunction with the unaudited condensed consolidated financial statements of Oaktree Capital Group, LLC and the related notes included within this quarterly report. This discussion contains forward-looking statements that are subject to risks and uncertainties and assumptions relating to our operations, financial results, financial condition, business prospects, growth strategy and liquidity. The factors listed under “Risk Factors” and “Forward-Looking Statements” in this quarterly report and under “Risk Factors” in our annual report provide examples of risks, uncertainties and events that may cause our actual results to differ materially from the expectations described in any forward-looking statements.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36" w:lineRule="exact"/>
        <w:rPr>
          <w:sz w:val="20"/>
          <w:szCs w:val="20"/>
          <w:color w:val="auto"/>
        </w:rPr>
      </w:pPr>
    </w:p>
    <w:p>
      <w:pPr>
        <w:ind w:right="120" w:firstLine="509"/>
        <w:spacing w:after="0" w:line="265" w:lineRule="auto"/>
        <w:rPr>
          <w:sz w:val="20"/>
          <w:szCs w:val="20"/>
          <w:color w:val="auto"/>
        </w:rPr>
      </w:pPr>
      <w:r>
        <w:rPr>
          <w:rFonts w:ascii="Arial" w:cs="Arial" w:eastAsia="Arial" w:hAnsi="Arial"/>
          <w:sz w:val="14"/>
          <w:szCs w:val="14"/>
          <w:color w:val="auto"/>
        </w:rPr>
        <w:t>Oaktree is a leading global alternative investment management firm with expertise in investing in credit, real assets, private equity, and listed equities. Oaktree’s mission is to deliver superior investment results with risk under control and to conduct its business with the highest integrity. Oaktree emphasizes an opportunistic, value-oriented and risk-controlled approach to its investments. Over more than three decades, Oaktree has developed a large and growing client base through its ability to identify and capitalize on opportunities for attractive investment returns in less efficient markets.</w:t>
      </w:r>
    </w:p>
    <w:p>
      <w:pPr>
        <w:spacing w:after="0" w:line="95"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Oaktree was formed in 1995 by a group of individuals who had been investing together since the mid-1980s. Oaktree’s founders were pioneers in the management of high yield bonds, convertible securities and distressed debt. From those roots Oaktree has developed a diversified mix of specialized credit- and equity-oriented strategies. Oaktree operates according to a unifying investment philosophy, which consists of six tenets-risk control, consistency, market inefficiency, specialization, bottom-up analysis and disavowal of market timing-and is complemented by a set of core business principles that articulate our commitment to excellence in investing, commonality of interests with clients, a collaborative and cooperative culture, and a disciplined, opportunistic approach to the expansion of products.</w:t>
      </w:r>
    </w:p>
    <w:p>
      <w:pPr>
        <w:spacing w:after="0" w:line="97"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The Company’s current ownership and operational structure were the results of a merger with an affiliate of Brookfield Asset Management, Inc. (“Brookfield”) completed on September 30, 2019 (the “Merger”) and a subsequent restructuring (“Restructuring”) completed on October 1, 2019 in connection with such Merger. As a result of the Restructuring, references to “Oaktree” in this quarterly report will generally refer to the collective business of the Oaktree Operating Group, of which consolidated subsidiaries of the Company are components. Please see “Item 1. Business — Brookfield Merger and — Restructuring Transaction" within our Annual Report on Form 10-K for the year ended December 31, 2019 filed with the Securities and Exchange Commission for more information regarding the Merger and Restructuring.</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OCM provides certain administrative and other services relating to the operations of the Company’s business pursuant to a Services Agreement between the Company and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OCM.</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Business Environment and Developments</w:t>
      </w:r>
    </w:p>
    <w:p>
      <w:pPr>
        <w:spacing w:after="0" w:line="136"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As a global investment manager, Oaktree is affected by a wide range of factors, including the condition of the global economy and financial markets; the relative attractiveness of Oaktree’s investment strategies and investors’ demand for them; and regulatory or other governmental policies or actions. Global economic conditions can significantly impact the values of Oaktree’s and its funds’ investments and the ability to make new investments or sell existing investments for these funds. Historically, however, Oaktree’s diversified nature, of both its investment strategies and revenue mix, has generally allowed it to benefit from both strong and weak economic environments. Weak economies and the declining financial markets that typically accompany them tend to dampen revenues from asset-based management fees, investment realizations or price appreciation, but their prospect can present opportunities to raise relatively larger amounts of capital for certain strategies, especially opportunistic credit. Additionally, weak financial markets may also present more opportunities for funds to make investments at reduced prices. Conversely, strong financial markets generally increase the value of fund investments, which positions Oaktree, and us, for growth in management fees that are based on asset value, and typically create favorable exit opportunities that enhance the prospect for incentive income and fund-related realized investment income proceeds. Those same markets may delay or diminish opportunities to deploy capital and thus management fees from certain funds.</w:t>
      </w:r>
    </w:p>
    <w:p>
      <w:pPr>
        <w:spacing w:after="0" w:line="101" w:lineRule="exact"/>
        <w:rPr>
          <w:sz w:val="20"/>
          <w:szCs w:val="20"/>
          <w:color w:val="auto"/>
        </w:rPr>
      </w:pPr>
    </w:p>
    <w:p>
      <w:pPr>
        <w:ind w:right="200" w:firstLine="509"/>
        <w:spacing w:after="0" w:line="290" w:lineRule="auto"/>
        <w:rPr>
          <w:sz w:val="20"/>
          <w:szCs w:val="20"/>
          <w:color w:val="auto"/>
        </w:rPr>
      </w:pPr>
      <w:r>
        <w:rPr>
          <w:rFonts w:ascii="Arial" w:cs="Arial" w:eastAsia="Arial" w:hAnsi="Arial"/>
          <w:sz w:val="14"/>
          <w:szCs w:val="14"/>
          <w:color w:val="auto"/>
        </w:rPr>
        <w:t>COVID-19 continues to pose serious threats to the health and economic wellbeing of the worldwide population and the overall economy in light of COVID-19 variants that seem to spread more easily than the original COVID-19 virus. The number of reported COVID-19 infections are rising again in certain countries worldwide likely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2" w:name="page63"/>
    <w:bookmarkEnd w:id="62"/>
    <w:p>
      <w:pPr>
        <w:ind w:right="80"/>
        <w:spacing w:after="0" w:line="259" w:lineRule="auto"/>
        <w:rPr>
          <w:sz w:val="20"/>
          <w:szCs w:val="20"/>
          <w:color w:val="auto"/>
        </w:rPr>
      </w:pPr>
      <w:r>
        <w:rPr>
          <w:rFonts w:ascii="Arial" w:cs="Arial" w:eastAsia="Arial" w:hAnsi="Arial"/>
          <w:sz w:val="14"/>
          <w:szCs w:val="14"/>
          <w:color w:val="auto"/>
        </w:rPr>
        <w:t>due to these variants and the relaxation of certain efforts to mitigate the spread of COVID-19 previously imposed by governmental authorities. There is continued uncertainty as to the duration of the global health and economic impact caused by COVID-19 even with COVID-19 vaccines now available. Actions at the outset of the pandemic that were intended to mitigate the spread of COVID-19 and the worldwide efforts to isolate at home and practice social distancing had caused a dramatic increase in unemployment and economic instability in the United States and in certain other regions in which Oaktree operates. While such instability in certain parts of the world, including in the United States, have shown signs of recovery in large part because of the availability of COVID-19 vaccines, the continued uncertainty of COVID-19 variants may lead to renewed governmental efforts to mitigate COVID-19 spread seen at the beginning of the pandemic. Such renewed mitigation efforts will create significant uncertainty and volatility in Oaktree’s business and its funds’ and their respective portfolio companies’ businesses as compared to pre-pandemic levels.</w:t>
      </w:r>
    </w:p>
    <w:p>
      <w:pPr>
        <w:spacing w:after="0" w:line="99" w:lineRule="exact"/>
        <w:rPr>
          <w:sz w:val="20"/>
          <w:szCs w:val="20"/>
          <w:color w:val="auto"/>
        </w:rPr>
      </w:pPr>
    </w:p>
    <w:p>
      <w:pPr>
        <w:ind w:right="40" w:firstLine="509"/>
        <w:spacing w:after="0" w:line="259" w:lineRule="auto"/>
        <w:rPr>
          <w:sz w:val="20"/>
          <w:szCs w:val="20"/>
          <w:color w:val="auto"/>
        </w:rPr>
      </w:pPr>
      <w:r>
        <w:rPr>
          <w:rFonts w:ascii="Arial" w:cs="Arial" w:eastAsia="Arial" w:hAnsi="Arial"/>
          <w:sz w:val="14"/>
          <w:szCs w:val="14"/>
          <w:color w:val="auto"/>
        </w:rPr>
        <w:t>Prolonged difficult market and economic conditions and uncertainty caused by COVID-19 will adversely impact the valuations of Oaktree’s and its funds’ investments, particularly if the value of an investment is determined in whole or in part by reference to public equity, public debt, or private debt markets. However, while any market dislocation caused by COVID-19 will adversely impact the value of Oaktree’s and its funds’ investments, the increased volatility in the financial markets may also present attractive investment opportunities for certain Oaktree investment strategies. Currently, we are unaware of any material risk to the stability of our condensed consolidated financial statements caused by any COVID-19 uncertainties or the materiality of any effect such uncertainties may have on our business and operations. Please see “Item 1A. Risk Factors— The coronavirus pandemic has significantly disrupted economic conditions and may adversely affect our operations, business, financial performance and operating results" within Oaktree’s annual report.</w:t>
      </w:r>
    </w:p>
    <w:p>
      <w:pPr>
        <w:spacing w:after="0" w:line="99"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The ongoing Russia-Ukraine conflict, including global sanctions imposed on Russia, will create continued uncertainty and volatility in the global financial markets and economy and, as a result, may adversely impact Oaktree’s business and its funds’ and their respective portfolio companies’ business. As of the date of this filing, we are not aware of any material risk to the stability of our condensed consolidated financial statements caused by the Russia-Ukraine conflict or the materiality of any effect such uncertainties may have on our business and operations.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Understanding Our Results—Consolidation of Oaktree Funds</w:t>
      </w:r>
    </w:p>
    <w:p>
      <w:pPr>
        <w:spacing w:after="0" w:line="136"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Generally accepted accounting principles in the United States (“GAAP”) requires us to consolidate entities in which we have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we are the primary beneficiary. For entities that are not VIEs, consolidation is evaluated through a majority voting interest model. Please see note 2 to our condensed consolidated financial statements included elsewhere in this quarterly report for more information.</w:t>
      </w:r>
    </w:p>
    <w:p>
      <w:pPr>
        <w:spacing w:after="0" w:line="97" w:lineRule="exact"/>
        <w:rPr>
          <w:sz w:val="20"/>
          <w:szCs w:val="20"/>
          <w:color w:val="auto"/>
        </w:rPr>
      </w:pPr>
    </w:p>
    <w:p>
      <w:pPr>
        <w:ind w:right="60" w:firstLine="509"/>
        <w:spacing w:after="0" w:line="259" w:lineRule="auto"/>
        <w:rPr>
          <w:sz w:val="20"/>
          <w:szCs w:val="20"/>
          <w:color w:val="auto"/>
        </w:rPr>
      </w:pPr>
      <w:r>
        <w:rPr>
          <w:rFonts w:ascii="Arial" w:cs="Arial" w:eastAsia="Arial" w:hAnsi="Arial"/>
          <w:sz w:val="14"/>
          <w:szCs w:val="14"/>
          <w:color w:val="auto"/>
        </w:rPr>
        <w:t>We do not consolidate most of the Oaktree funds that are VIEs because we are not the primary beneficiary due to the fact that our fee arrangements are considered at-market and thus not deemed to be variable interests, and we do not hold any other interests in those funds that are considered to be more than insignificant. However, investment vehicles in which we have a significant investment, such as CLOs and certain Oaktree funds, are consolidated (“consolidated funds”). When a CLO or fund is consolidated, we reflect the assets, liabilities, revenues, expenses and cash flows of the consolidated funds on a gross basis, and the majority of the economic interests in those consolidated funds, which are held by third-party investors, are reflected as debt obligations of CLOs or non-controlling redeemable interests in consolidated funds in the condensed consolidated financial statements. All of the revenues earned by us as investment manager of the consolidated funds are eliminated in consolidation. However, because the eliminated amounts are earned from and funded by third-party investors, the consolidation of a fund does not impact net income or loss attributable to us.</w:t>
      </w:r>
    </w:p>
    <w:p>
      <w:pPr>
        <w:spacing w:after="0" w:line="99"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Certain entities in which we have the ability to exert significant influence, including unconsolidated Oaktree funds for which we act as general partner, are accounted for under the equity method of accounting. As a result of the Restructuring, we re-assessed our prior variable interest entity consolidation determinations, noting that we were no longer the primary beneficiary of three funds in which our direct ownership interests are held by Oaktree Operating Group entities that are no longer directly controlled by us.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7" w:right="35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4"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Oaktree’s business generates three types of revenue: management fees, incentive income and investment income. Management fees earned from third parties are billed monthly or quarterly based on annual rates and are typically earned for each of the funds that we manage. The contractual terms of management fees generally vary by fund structure. Management fees also may include performance-based fees earned from certain open-end and evergreen fund accounts. Subsequent to the Restructuring, our management fees consist primarily of fees earned from funds managed by OCM Cayman and sub-advisory fees for services provided to OCM. We also have the potential to earn incentive income from most of the closed-end and certain evergreen funds managed by Oaktree in our capacity as the general partner of those funds. These closed-end funds generally provide that we receive incentive income only after we have returned to our investors all of their contributed capital plus an annual preferred return, typically 8%. Once this occurs, we generally receive as incentive income 80% of all distributions otherwise attributable to our investors, and those investors receive the remaining 20% until we have received, as incentive income, 20% of all such distributions in excess of the contributed capital from the inception of the fund. Thereafter, all such future distributions attributable to our investors are distributed 80% to those investors and 20% to us as incentive income. Our third revenue source, investment income, represents our pro-rata share of income or loss from our investments, generally in our capacity as general partner in Oaktree funds and as an investor in our CLOs and third-party managed funds and companies.</w:t>
      </w:r>
    </w:p>
    <w:p>
      <w:pPr>
        <w:spacing w:after="0" w:line="10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may earn incentive income upon deconsolidation of a SPAC arising from the completion of a merger with an identified target. Upon deconsolidation, we will derecognize the net assets of the entity and record any gain or loss related to the remeasurement of its investments to fair value as incentive income in its condensed consolidated statements of operations. Subsequent fair value changes in our investments held in the entity will be recorded in investment income in our condensed consolidated statements of operations.</w:t>
      </w:r>
    </w:p>
    <w:p>
      <w:pPr>
        <w:spacing w:after="0" w:line="9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4"/>
          <w:szCs w:val="14"/>
          <w:color w:val="auto"/>
        </w:rPr>
        <w:t>Our consolidated revenues reflect the elimination of all management fees, incentive income and investment income earned related to consolidated Oaktree funds. Investment income is presented within the other income (loss) section of our condensed consolidated statements of operations. Please see “Business—Structure and Operation of Our Business—Structure of Funds” in our annual report for a detailed discussion of the structure of Oaktree funds.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Compensation and Benefits</w:t>
      </w:r>
    </w:p>
    <w:p>
      <w:pPr>
        <w:spacing w:after="0" w:line="134" w:lineRule="exact"/>
        <w:rPr>
          <w:sz w:val="20"/>
          <w:szCs w:val="20"/>
          <w:color w:val="auto"/>
        </w:rPr>
      </w:pPr>
    </w:p>
    <w:p>
      <w:pPr>
        <w:ind w:right="160" w:firstLine="509"/>
        <w:spacing w:after="0" w:line="259" w:lineRule="auto"/>
        <w:rPr>
          <w:sz w:val="20"/>
          <w:szCs w:val="20"/>
          <w:color w:val="auto"/>
        </w:rPr>
      </w:pPr>
      <w:r>
        <w:rPr>
          <w:rFonts w:ascii="Arial" w:cs="Arial" w:eastAsia="Arial" w:hAnsi="Arial"/>
          <w:sz w:val="14"/>
          <w:szCs w:val="14"/>
          <w:color w:val="auto"/>
        </w:rPr>
        <w:t>Compensation and benefits expense reflects all compensation-related items not directly related to incentive income, investment income or the vesting of Class A units, OCGH units, OCGH equity value units (“EVUs”), deferred equity units and other performance-based units, and includes salaries, bonuses, compensation based on management fees or a definition of profits, employee benefits, payroll taxes and phantom equity awards. Phantom equity awards represent liability-classified awards subject to vesting and remeasurement at the end of each reporting period. Phantom equity award expense reflects the vesting of those liability-classified awards, the equity distribution declared in the period and changes in the OCGH unit fair value. Compensation and benefits expense reflects the gross-up of reimbursable costs incurred on behalf of Oaktree funds in which the Company has determined it is the principal. Subsequent to the Restructuring, our consolidated operating results primarily include compensation and benefits expense related to employees of OCM Cayman.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Equity-based Compensation</w:t>
      </w:r>
    </w:p>
    <w:p>
      <w:pPr>
        <w:spacing w:after="0" w:line="134" w:lineRule="exact"/>
        <w:rPr>
          <w:sz w:val="20"/>
          <w:szCs w:val="20"/>
          <w:color w:val="auto"/>
        </w:rPr>
      </w:pPr>
    </w:p>
    <w:p>
      <w:pPr>
        <w:jc w:val="both"/>
        <w:ind w:right="100" w:firstLine="509"/>
        <w:spacing w:after="0" w:line="271" w:lineRule="auto"/>
        <w:rPr>
          <w:sz w:val="20"/>
          <w:szCs w:val="20"/>
          <w:color w:val="auto"/>
        </w:rPr>
      </w:pPr>
      <w:r>
        <w:rPr>
          <w:rFonts w:ascii="Arial" w:cs="Arial" w:eastAsia="Arial" w:hAnsi="Arial"/>
          <w:sz w:val="14"/>
          <w:szCs w:val="14"/>
          <w:color w:val="auto"/>
        </w:rPr>
        <w:t>Equity-based compensation expense reflects the non-cash charge associated with grants of Class A units, OCGH units, EVUs, OEP units, deferred equity units and other performance-based units. Subsequent to the Restructuring, our consolidated operating results primarily include equity-based compensation expense related to employees of OCM Cayman.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Incentive Income Compensation</w:t>
      </w:r>
    </w:p>
    <w:p>
      <w:pPr>
        <w:spacing w:after="0" w:line="13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Incentive income compensation expense primarily reflects compensation directly related to incentive income, which generally consists of percentage interests (sometimes referred to as “points” or an allocation of shares received upon the completion of a successful SPAC merger) that are granted to Oaktree investment professionals associated with the particular fund or SPAC that generated the incentive income, and secondarily, compensation directly related to investment income. There is no fixed percentage for the incentive income-related portion of this compensation, either by fund, SPAC or strategy. In general, within a particular strategy more recent funds have a higher percentage of aggregate incentive income compensation expense than do older funds. The percentage that consolidated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9" w:right="339" w:bottom="1440" w:gutter="0" w:footer="0" w:header="0"/>
        </w:sectPr>
      </w:pPr>
    </w:p>
    <w:bookmarkStart w:id="64" w:name="page65"/>
    <w:bookmarkEnd w:id="64"/>
    <w:p>
      <w:pPr>
        <w:ind w:right="240"/>
        <w:spacing w:after="0" w:line="290" w:lineRule="auto"/>
        <w:rPr>
          <w:sz w:val="20"/>
          <w:szCs w:val="20"/>
          <w:color w:val="auto"/>
        </w:rPr>
      </w:pPr>
      <w:r>
        <w:rPr>
          <w:rFonts w:ascii="Arial" w:cs="Arial" w:eastAsia="Arial" w:hAnsi="Arial"/>
          <w:sz w:val="14"/>
          <w:szCs w:val="14"/>
          <w:color w:val="auto"/>
        </w:rPr>
        <w:t>incentive income compensation expense represents of the particular period’s consolidated incentive income may not be meaningful because incentive income from consolidated funds or SPACs is eliminated in consolidation, whereas no incentive income compensation expense is eliminated in consolidation.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134"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General and administrative expense includes costs related to occupancy, outside auditors, tax professionals, legal advisers, research, consultants, travel and entertainment, communications and information services, business process outsourcing, foreign-exchange activity, insurance, placement costs, changes in the contingent consideration liability, and other general items related directly to the Company’s operations. These expenses are net of amounts borne by fund investors and are not offset by credits attributable to fund investors’ non-controlling interests in consolidated funds. General and administrative expense reflects the gross-up of reimbursable costs incurred on behalf of Oaktree funds in which the Company has determined it is the principal. Subsequent to the Restructuring, general and administrative expenses primarily include direct and reimbursable expenses incurred by Oaktree Capital I and OCM Cayman and the Company's share of certain expenses through a service agreement with OCM.</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Depreciation and Amortization</w:t>
      </w:r>
    </w:p>
    <w:p>
      <w:pPr>
        <w:spacing w:after="0" w:line="134"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Depreciation and amortization expense includes costs associated with the purchase of furniture and equipment, capitalized software, office leasehold improvements and acquired intangibles. Furniture and equipment and capitalized software costs are depreciated using the straight-line method over the estimated useful life of the asset, which is generally three to five years. Leasehold improvements are amortized using the straight-line method over the shorter of the respective estimated useful life or the lease term. Acquired intangibles primarily relate to contractual rights and are amortized over their estimated useful lives, which range from seven to 25 years. Subsequent to the Restructuring, the majority of Oaktree's acquired intangible assets are no longer included in our consolidated statement of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Consolidated Fund Expenses</w:t>
      </w:r>
    </w:p>
    <w:p>
      <w:pPr>
        <w:spacing w:after="0" w:line="70" w:lineRule="exact"/>
        <w:rPr>
          <w:sz w:val="20"/>
          <w:szCs w:val="20"/>
          <w:color w:val="auto"/>
        </w:rPr>
      </w:pPr>
    </w:p>
    <w:p>
      <w:pPr>
        <w:ind w:right="80" w:firstLine="509"/>
        <w:spacing w:after="0" w:line="265" w:lineRule="auto"/>
        <w:rPr>
          <w:sz w:val="20"/>
          <w:szCs w:val="20"/>
          <w:color w:val="auto"/>
        </w:rPr>
      </w:pPr>
      <w:r>
        <w:rPr>
          <w:rFonts w:ascii="Arial" w:cs="Arial" w:eastAsia="Arial" w:hAnsi="Arial"/>
          <w:sz w:val="14"/>
          <w:szCs w:val="14"/>
          <w:color w:val="auto"/>
        </w:rPr>
        <w:t>Consolidated fund expenses consist primarily of costs, expenses and fees that are incurred by, or arise out of the operation and activities of or otherwise are related to, our consolidated funds, including, without limitation, travel expenses, professional fees, research and software expenses, insurance, and other costs associated with administering and supporting those funds. Inasmuch as most of these fund expenses are borne by third-party investors, they reduce the investors’ interests in the consolidated funds and have no impact on net income or loss attributable to the Company.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(Loss)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Expense</w:t>
      </w:r>
    </w:p>
    <w:p>
      <w:pPr>
        <w:spacing w:after="0" w:line="134" w:lineRule="exact"/>
        <w:rPr>
          <w:sz w:val="20"/>
          <w:szCs w:val="20"/>
          <w:color w:val="auto"/>
        </w:rPr>
      </w:pPr>
    </w:p>
    <w:p>
      <w:pPr>
        <w:ind w:right="160" w:firstLine="509"/>
        <w:spacing w:after="0" w:line="265" w:lineRule="auto"/>
        <w:rPr>
          <w:sz w:val="20"/>
          <w:szCs w:val="20"/>
          <w:color w:val="auto"/>
        </w:rPr>
      </w:pPr>
      <w:r>
        <w:rPr>
          <w:rFonts w:ascii="Arial" w:cs="Arial" w:eastAsia="Arial" w:hAnsi="Arial"/>
          <w:sz w:val="14"/>
          <w:szCs w:val="14"/>
          <w:color w:val="auto"/>
        </w:rPr>
        <w:t>Interest expense primarily reflects the interest expense of the consolidated funds, as well as the interest expense of Oaktree and its operating subsidiaries. Prior to the Restructuring, our financial statements reflected debt service of the entire Oaktree Operating Group. After the Restructuring, our financial statements reflect debt obligations, interest expense or related liabilities associated with our operating subsidiaries only if one of our two remaining Oaktree Operating Group entities, directly borrows or issues notes under Oaktree’s credit agreements, private placement notes or other debt arrangement.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and Dividend Income</w:t>
      </w:r>
    </w:p>
    <w:p>
      <w:pPr>
        <w:spacing w:after="0" w:line="134" w:lineRule="exact"/>
        <w:rPr>
          <w:sz w:val="20"/>
          <w:szCs w:val="20"/>
          <w:color w:val="auto"/>
        </w:rPr>
      </w:pPr>
    </w:p>
    <w:p>
      <w:pPr>
        <w:ind w:right="200" w:firstLine="509"/>
        <w:spacing w:after="0" w:line="290" w:lineRule="auto"/>
        <w:rPr>
          <w:sz w:val="20"/>
          <w:szCs w:val="20"/>
          <w:color w:val="auto"/>
        </w:rPr>
      </w:pPr>
      <w:r>
        <w:rPr>
          <w:rFonts w:ascii="Arial" w:cs="Arial" w:eastAsia="Arial" w:hAnsi="Arial"/>
          <w:sz w:val="14"/>
          <w:szCs w:val="14"/>
          <w:color w:val="auto"/>
        </w:rPr>
        <w:t>Interest and dividend income consists of interest and dividend income earned on the investments held by our consolidated funds, and interest income earned by Oaktree and its operating subsidiaries.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Realized Gain (Loss) on Consolidated Funds’ Investments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Net realized gain (loss) on consolidated funds’ investments consists of realized gains and losses arising from dispositions of investments held by our consolidated funds.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Change in Unrealized Appreciation (Depreciation) on Consolidated Funds’ Investments</w:t>
      </w:r>
    </w:p>
    <w:p>
      <w:pPr>
        <w:spacing w:after="0" w:line="134" w:lineRule="exact"/>
        <w:rPr>
          <w:sz w:val="20"/>
          <w:szCs w:val="20"/>
          <w:color w:val="auto"/>
        </w:rPr>
      </w:pPr>
    </w:p>
    <w:p>
      <w:pPr>
        <w:ind w:right="80" w:firstLine="509"/>
        <w:spacing w:after="0" w:line="290" w:lineRule="auto"/>
        <w:rPr>
          <w:sz w:val="20"/>
          <w:szCs w:val="20"/>
          <w:color w:val="auto"/>
        </w:rPr>
      </w:pPr>
      <w:r>
        <w:rPr>
          <w:rFonts w:ascii="Arial" w:cs="Arial" w:eastAsia="Arial" w:hAnsi="Arial"/>
          <w:sz w:val="14"/>
          <w:szCs w:val="14"/>
          <w:color w:val="auto"/>
        </w:rPr>
        <w:t>Net change in unrealized appreciation (depreciation) on consolidated funds’ investments reflects both unrealized gains and losses on investments held by our consolidated funds and the reversal upon disposition of investments of unrealized gains and losses previously recognized for those investments.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color w:val="auto"/>
        </w:rPr>
        <w:t>Investment Income</w:t>
      </w:r>
    </w:p>
    <w:p>
      <w:pPr>
        <w:spacing w:after="0" w:line="134"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Investment income represents our pro-rata share of income or loss from our investments, generally in our capacity as general partner in certain Oaktree funds and as an investor in our CLOs and third-party managed funds and companies. Investment income, as reflected in our condensed consolidated statements of operations, excludes investment income earned by us from our consolidated funds.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Income (Expense), Net</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income (expense), net represents non-operating income or expense.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34" w:lineRule="exact"/>
        <w:rPr>
          <w:sz w:val="20"/>
          <w:szCs w:val="20"/>
          <w:color w:val="auto"/>
        </w:rPr>
      </w:pPr>
    </w:p>
    <w:p>
      <w:pPr>
        <w:ind w:right="180" w:firstLine="509"/>
        <w:spacing w:after="0" w:line="276" w:lineRule="auto"/>
        <w:rPr>
          <w:sz w:val="20"/>
          <w:szCs w:val="20"/>
          <w:color w:val="auto"/>
        </w:rPr>
      </w:pPr>
      <w:r>
        <w:rPr>
          <w:rFonts w:ascii="Arial" w:cs="Arial" w:eastAsia="Arial" w:hAnsi="Arial"/>
          <w:sz w:val="14"/>
          <w:szCs w:val="14"/>
          <w:color w:val="auto"/>
        </w:rPr>
        <w:t>The Company is a publicly traded partnership. Because it satisfies the qualifying income test, it is not required to be treated as a corporation for U.S. federal and state income tax purposes; rather it is taxed as a partnership. The Company currently holds interests in Oaktree Capital I, L.P. (a non-corporate entity that is not subject to U.S. federal</w:t>
      </w:r>
    </w:p>
    <w:p>
      <w:pPr>
        <w:spacing w:after="0" w:line="1"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corporate income tax) and Oaktree Capital Management (Cayman), L.P. (which holds subsidiaries that are taxable in non-U.S. jurisdictions). Subsequent to the Restructuring, the Company no longer includes on our financial statements economic interests in OCM, Oaktree Capital II, Oaktree Investment Holdings, and Oaktree AIF.</w:t>
      </w:r>
    </w:p>
    <w:p>
      <w:pPr>
        <w:spacing w:after="0" w:line="78" w:lineRule="exact"/>
        <w:rPr>
          <w:sz w:val="20"/>
          <w:szCs w:val="20"/>
          <w:color w:val="auto"/>
        </w:rPr>
      </w:pPr>
    </w:p>
    <w:p>
      <w:pPr>
        <w:ind w:right="80" w:firstLine="509"/>
        <w:spacing w:after="0" w:line="265" w:lineRule="auto"/>
        <w:rPr>
          <w:sz w:val="20"/>
          <w:szCs w:val="20"/>
          <w:color w:val="auto"/>
        </w:rPr>
      </w:pPr>
      <w:r>
        <w:rPr>
          <w:rFonts w:ascii="Arial" w:cs="Arial" w:eastAsia="Arial" w:hAnsi="Arial"/>
          <w:sz w:val="14"/>
          <w:szCs w:val="14"/>
          <w:color w:val="auto"/>
        </w:rPr>
        <w:t>Income taxes are accounted for using the liability method of accounting. Under this method, deferred tax assets and liabilities are recognized for the expected future tax consequences of differences between the carrying amount of assets and liabilities and their respective tax bases, using currently enacted tax rates. The effect on deferred tax assets and liabilities of a change in tax rates is recognized in income in the period when the change is enacted. Deferred tax assets would be reduced by a valuation allowance if it becomes more likely than not that some portion or all of the deferred tax assets will not be realized.</w:t>
      </w:r>
    </w:p>
    <w:p>
      <w:pPr>
        <w:spacing w:after="0" w:line="95" w:lineRule="exact"/>
        <w:rPr>
          <w:sz w:val="20"/>
          <w:szCs w:val="20"/>
          <w:color w:val="auto"/>
        </w:rPr>
      </w:pPr>
    </w:p>
    <w:p>
      <w:pPr>
        <w:jc w:val="both"/>
        <w:ind w:right="160" w:firstLine="509"/>
        <w:spacing w:after="0" w:line="271" w:lineRule="auto"/>
        <w:rPr>
          <w:sz w:val="20"/>
          <w:szCs w:val="20"/>
          <w:color w:val="auto"/>
        </w:rPr>
      </w:pPr>
      <w:r>
        <w:rPr>
          <w:rFonts w:ascii="Arial" w:cs="Arial" w:eastAsia="Arial" w:hAnsi="Arial"/>
          <w:sz w:val="14"/>
          <w:szCs w:val="14"/>
          <w:color w:val="auto"/>
        </w:rPr>
        <w:t>The Company analyzes its tax filing positions for all open tax years in all of the U.S. federal, state, local and foreign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condensed consolidated statements of operations.</w:t>
      </w:r>
    </w:p>
    <w:p>
      <w:pPr>
        <w:spacing w:after="0" w:line="91"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spacing w:after="0" w:line="91" w:lineRule="exact"/>
        <w:rPr>
          <w:sz w:val="20"/>
          <w:szCs w:val="20"/>
          <w:color w:val="auto"/>
        </w:rPr>
      </w:pPr>
    </w:p>
    <w:p>
      <w:pPr>
        <w:ind w:right="440" w:firstLine="509"/>
        <w:spacing w:after="0" w:line="290" w:lineRule="auto"/>
        <w:rPr>
          <w:sz w:val="20"/>
          <w:szCs w:val="20"/>
          <w:color w:val="auto"/>
        </w:rPr>
      </w:pPr>
      <w:r>
        <w:rPr>
          <w:rFonts w:ascii="Arial" w:cs="Arial" w:eastAsia="Arial" w:hAnsi="Arial"/>
          <w:sz w:val="14"/>
          <w:szCs w:val="14"/>
          <w:color w:val="auto"/>
        </w:rPr>
        <w:t>The Oaktree funds are generally not subject to U.S. federal and state income taxes and, consequently, no income tax provision has been made in the accompanying condensed consolidated financial statements because individual partners are responsible for their proportionate share of the taxable income.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Attributable to Non-controlling Interests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Net income attributable to non-controlling interests represents the ownership interests that third parties hold in entities that are consolidated in our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These interests fall into two categories:</w:t>
      </w:r>
    </w:p>
    <w:p>
      <w:pPr>
        <w:spacing w:after="0" w:line="122" w:lineRule="exact"/>
        <w:rPr>
          <w:sz w:val="20"/>
          <w:szCs w:val="20"/>
          <w:color w:val="auto"/>
        </w:rPr>
      </w:pPr>
    </w:p>
    <w:p>
      <w:pPr>
        <w:ind w:left="760" w:right="240" w:hanging="214"/>
        <w:spacing w:after="0" w:line="265" w:lineRule="auto"/>
        <w:tabs>
          <w:tab w:leader="none" w:pos="756" w:val="left"/>
        </w:tabs>
        <w:numPr>
          <w:ilvl w:val="1"/>
          <w:numId w:val="1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Net Income Attributable to Non-controlling Interests in Consolidated Funds. </w:t>
      </w:r>
      <w:r>
        <w:rPr>
          <w:rFonts w:ascii="Arial" w:cs="Arial" w:eastAsia="Arial" w:hAnsi="Arial"/>
          <w:sz w:val="14"/>
          <w:szCs w:val="14"/>
          <w:color w:val="auto"/>
        </w:rPr>
        <w:t>This category represents the economic interests of the unaffiliated investors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consolidated funds, as well as the equity interests held by third-party investors in CLOs that had not yet priced as of the respective period end. Those interests are primarily driven by the investment performance of the consolidated funds. In comparison to net income, this measure excludes our operating results and other items solely attributable to the Company; and,</w:t>
      </w:r>
    </w:p>
    <w:p>
      <w:pPr>
        <w:spacing w:after="0" w:line="95" w:lineRule="exact"/>
        <w:rPr>
          <w:rFonts w:ascii="Arial" w:cs="Arial" w:eastAsia="Arial" w:hAnsi="Arial"/>
          <w:sz w:val="14"/>
          <w:szCs w:val="14"/>
          <w:b w:val="1"/>
          <w:bCs w:val="1"/>
          <w:i w:val="1"/>
          <w:iCs w:val="1"/>
          <w:color w:val="auto"/>
        </w:rPr>
      </w:pPr>
    </w:p>
    <w:p>
      <w:pPr>
        <w:ind w:left="760" w:right="20" w:hanging="246"/>
        <w:spacing w:after="0" w:line="262" w:lineRule="auto"/>
        <w:tabs>
          <w:tab w:leader="none" w:pos="756"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b w:val="1"/>
          <w:bCs w:val="1"/>
          <w:i w:val="1"/>
          <w:iCs w:val="1"/>
          <w:color w:val="auto"/>
        </w:rPr>
        <w:t xml:space="preserve">Net Income Attributable to Non-controlling Interests in Consolidated Subsidiaries. </w:t>
      </w:r>
      <w:r>
        <w:rPr>
          <w:rFonts w:ascii="Arial" w:cs="Arial" w:eastAsia="Arial" w:hAnsi="Arial"/>
          <w:sz w:val="14"/>
          <w:szCs w:val="14"/>
          <w:color w:val="auto"/>
        </w:rPr>
        <w:t>This category primarily represents the economic interest in the Oaktree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Operating Group owned by OCGH (“OCGH non-controlling interest”), as well as the economic interest in certain consolidated subsidiaries held by third parties. Prior to the Restructuring, this category included the OCGH non-controlling interest in all six Oaktree Operating Group entities; subsequent to the Restructuring, it includes only the OCGH non-controlling interest in Oaktree Capital I and OCM Cayman. The OCGH non-controlling interest is determined at the Oaktree Operating Group level based on the weighted average proportionate share of Oaktree Operating Group units held by the OCGH unitholders. Inasmuch as the number of outstanding</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9" w:right="359" w:bottom="1440" w:gutter="0" w:footer="0" w:header="0"/>
        </w:sectPr>
      </w:pPr>
    </w:p>
    <w:bookmarkStart w:id="66" w:name="page67"/>
    <w:bookmarkEnd w:id="66"/>
    <w:p>
      <w:pPr>
        <w:ind w:left="760" w:right="120"/>
        <w:spacing w:after="0" w:line="262" w:lineRule="auto"/>
        <w:rPr>
          <w:sz w:val="20"/>
          <w:szCs w:val="20"/>
          <w:color w:val="auto"/>
        </w:rPr>
      </w:pPr>
      <w:r>
        <w:rPr>
          <w:rFonts w:ascii="Arial" w:cs="Arial" w:eastAsia="Arial" w:hAnsi="Arial"/>
          <w:sz w:val="14"/>
          <w:szCs w:val="14"/>
          <w:color w:val="auto"/>
        </w:rPr>
        <w:t>Oaktree Operating Group units corresponds with the total number of outstanding Class A and OCGH units, changes in the economic interest held by the OCGH unitholders are driven by our additional issuances of Class A and OCGH units, as well as repurchases and forfeitures of, and exchanges between, Class A and OCGH units. Certain of our expenses, such as income tax and related administrative expenses of Oaktree Capital Group, LLC and its Intermediate Holding Companies, are solely attributable to the Class A unitholders. Please see note 11 to our condensed consolidated financial statements included elsewhere in this quarterly report for additional information on the economic interest in the Oaktree Operating Group owned by OCGH.</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Attributable to Preferred Unitholders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This category represents distributions declared, if any, on our preferred units. Please see note 11 to our condensed consolidated financial statements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Metrics</w:t>
      </w:r>
    </w:p>
    <w:p>
      <w:pPr>
        <w:spacing w:after="0" w:line="136"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We monitor certain operating metrics that we believe provide important information and data regarding our business. A substantial portion of our revenues is comprised of incentive income and investment income earned in our capacity as general partner of certain Oaktree funds. To analyze and monitor our operating performance we utilize incentive-creating AUM, incentives created (fund level) and accrued incentives (fund level). These operating metrics provide us with detailed information and insight into the operating performance of the funds we manage.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Incentive-creating Assets Under Management</w:t>
      </w:r>
    </w:p>
    <w:p>
      <w:pPr>
        <w:spacing w:after="0" w:line="134"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Incentive-creating AUM refers to the AUM that may eventually produce incentive income. It generally represents the NAV of Oaktree funds for which we are entitled to receive an incentive allocation, excluding CLOs and investments made by us and our or Oaktree employees and directors (which are not subject to an incentive allocation) and gross assets (including assets acquired with leverage), net of cash, for our BDCs. All funds for which we are entitled to receive an incentive allocation are included in incentive-creating AUM, regardless of whether or not they are currently above their preferred return or high-water mark and therefore generating incentives. Incentive-creating AUM does not include undrawn capital commitments.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Accrued Incentives (Fund Level) and Incentives Created (Fund Level)</w:t>
      </w:r>
    </w:p>
    <w:p>
      <w:pPr>
        <w:spacing w:after="0" w:line="134"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Oaktree funds record as accrued incentives the incentive income that would be paid to us if the funds were liquidated at their reported values as of the date of the financial statements. Incentives created (fund level) refers to the gross amount of potential incentives generated by these funds during the period. We refer to the amount of accrued incentives recognized as revenue by us as incentive income. Amounts recognized by us as incentive income are no longer included in accrued incentives (fund level), the term we use for remaining fund-level accruals. The amount of incentives created may fluctuate substantially as a result of changes in the fair value of the underlying investments of the fund, as well as incentives created in excess of our typical 20% share due to catch-up allocations for applicable closed-end funds. In general, while in the catch-up layer, approximately 80% of any increase or decrease, respectively, in the fund’s NAV results in a commensurate amount of positive or negative incentives created (fund level).</w:t>
      </w:r>
    </w:p>
    <w:p>
      <w:pPr>
        <w:spacing w:after="0" w:line="99"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The same performance and market risks inherent in incentives created (fund level) affect the ability to ultimately realize accrued incentives (fund level). One consequence of the accounting method we follow for incentives created (fund level) is that accrued incentives (fund level) is an off-balance sheet metric, rather than being an on-balance sheet receivable that could require reduction if fund performance suffers. We track accrued incentives (fund level) because it provides an indication of potential future value, though the timing and ultimate realization of that value are uncertain.</w:t>
      </w:r>
    </w:p>
    <w:p>
      <w:pPr>
        <w:spacing w:after="0" w:line="95"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Incentives created (fund level), incentive income and accrued incentives (fund level) are presented gross, without deduction for direct compensation expense that is owed to Oaktree investment professionals associated with the particular fund when we earn the incentive income. We call that charge “incentive income compensation expense.” Incentive income compensation expense varies by the investment strategy and vintage of the particular fund, among many other factors.</w:t>
      </w:r>
    </w:p>
    <w:p>
      <w:pPr>
        <w:spacing w:after="0" w:line="91" w:lineRule="exact"/>
        <w:rPr>
          <w:sz w:val="20"/>
          <w:szCs w:val="20"/>
          <w:color w:val="auto"/>
        </w:rPr>
      </w:pPr>
    </w:p>
    <w:p>
      <w:pPr>
        <w:ind w:right="200" w:firstLine="509"/>
        <w:spacing w:after="0" w:line="290" w:lineRule="auto"/>
        <w:rPr>
          <w:sz w:val="20"/>
          <w:szCs w:val="20"/>
          <w:color w:val="auto"/>
        </w:rPr>
      </w:pPr>
      <w:r>
        <w:rPr>
          <w:rFonts w:ascii="Arial" w:cs="Arial" w:eastAsia="Arial" w:hAnsi="Arial"/>
          <w:sz w:val="14"/>
          <w:szCs w:val="14"/>
          <w:color w:val="auto"/>
        </w:rPr>
        <w:t>Incentives created (fund level) often reflects investments measured at fair value and therefore is subject to risk of substantial fluctuation by the time the underlying investments are liquidated. We earn the incentive income, if any, that the fund is then obligated to pay us with respect to our incentive interest (generally 20%) in the profits of our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67" w:name="page68"/>
    <w:bookmarkEnd w:id="67"/>
    <w:p>
      <w:pPr>
        <w:spacing w:after="0" w:line="265" w:lineRule="auto"/>
        <w:rPr>
          <w:sz w:val="20"/>
          <w:szCs w:val="20"/>
          <w:color w:val="auto"/>
        </w:rPr>
      </w:pPr>
      <w:r>
        <w:rPr>
          <w:rFonts w:ascii="Arial" w:cs="Arial" w:eastAsia="Arial" w:hAnsi="Arial"/>
          <w:sz w:val="14"/>
          <w:szCs w:val="14"/>
          <w:color w:val="auto"/>
        </w:rPr>
        <w:t>unaffiliated investors, subject to an annual preferred return of typically 8%. Incentive income is recognized when it is probable that significant reversal of revenue will not occur. We track incentives created (fund level) because it provides an indication of the value for us currently being created by investment activities of the funds and facilitates comparability with those companies in our industry that account for investments in carry funds as equity-method investments, thus effectively reflecting an accrual-based method for recognizing incentive income in their financial statements.</w:t>
      </w: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93" w:right="4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color w:val="auto"/>
        </w:rPr>
        <w:t>GAAP Consolidated Results of Operations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our unaudited condensed consolidated statements of operations: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5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0" w:type="dxa"/>
            <w:vAlign w:val="bottom"/>
            <w:gridSpan w:val="5"/>
          </w:tcPr>
          <w:p>
            <w:pPr>
              <w:ind w:left="360"/>
              <w:spacing w:after="0"/>
              <w:rPr>
                <w:sz w:val="20"/>
                <w:szCs w:val="20"/>
                <w:color w:val="auto"/>
              </w:rPr>
            </w:pPr>
            <w:r>
              <w:rPr>
                <w:rFonts w:ascii="Arial" w:cs="Arial" w:eastAsia="Arial" w:hAnsi="Arial"/>
                <w:sz w:val="10"/>
                <w:szCs w:val="10"/>
                <w:b w:val="1"/>
                <w:bCs w:val="1"/>
                <w:color w:val="auto"/>
              </w:rPr>
              <w:t>Three months ended June 30,</w:t>
            </w:r>
          </w:p>
        </w:tc>
        <w:tc>
          <w:tcPr>
            <w:tcW w:w="300" w:type="dxa"/>
            <w:vAlign w:val="bottom"/>
          </w:tcPr>
          <w:p>
            <w:pPr>
              <w:spacing w:after="0"/>
              <w:rPr>
                <w:sz w:val="12"/>
                <w:szCs w:val="12"/>
                <w:color w:val="auto"/>
              </w:rPr>
            </w:pPr>
          </w:p>
        </w:tc>
        <w:tc>
          <w:tcPr>
            <w:tcW w:w="2440" w:type="dxa"/>
            <w:vAlign w:val="bottom"/>
            <w:gridSpan w:val="4"/>
          </w:tcPr>
          <w:p>
            <w:pPr>
              <w:jc w:val="right"/>
              <w:ind w:right="677"/>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0"/>
                <w:szCs w:val="10"/>
                <w:b w:val="1"/>
                <w:bCs w:val="1"/>
                <w:color w:val="auto"/>
              </w:rPr>
              <w:t>2022</w:t>
            </w:r>
          </w:p>
        </w:tc>
        <w:tc>
          <w:tcPr>
            <w:tcW w:w="16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0"/>
                <w:szCs w:val="10"/>
                <w:b w:val="1"/>
                <w:bCs w:val="1"/>
                <w:color w:val="auto"/>
              </w:rPr>
              <w:t>2021</w:t>
            </w:r>
          </w:p>
        </w:tc>
        <w:tc>
          <w:tcPr>
            <w:tcW w:w="160" w:type="dxa"/>
            <w:vAlign w:val="bottom"/>
            <w:tcBorders>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0"/>
                <w:szCs w:val="10"/>
                <w:b w:val="1"/>
                <w:bCs w:val="1"/>
                <w:color w:val="auto"/>
              </w:rPr>
              <w:t>2022</w:t>
            </w:r>
          </w:p>
        </w:tc>
        <w:tc>
          <w:tcPr>
            <w:tcW w:w="16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27"/>
        </w:trPr>
        <w:tc>
          <w:tcPr>
            <w:tcW w:w="5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80" w:type="dxa"/>
            <w:vAlign w:val="bottom"/>
            <w:gridSpan w:val="5"/>
          </w:tcPr>
          <w:p>
            <w:pPr>
              <w:ind w:left="220"/>
              <w:spacing w:after="0"/>
              <w:rPr>
                <w:sz w:val="20"/>
                <w:szCs w:val="20"/>
                <w:color w:val="auto"/>
              </w:rPr>
            </w:pPr>
            <w:r>
              <w:rPr>
                <w:rFonts w:ascii="Arial" w:cs="Arial" w:eastAsia="Arial" w:hAnsi="Arial"/>
                <w:sz w:val="10"/>
                <w:szCs w:val="10"/>
                <w:b w:val="1"/>
                <w:bCs w:val="1"/>
                <w:color w:val="auto"/>
              </w:rPr>
              <w:t>(in thousands, except per unit data)</w:t>
            </w: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600" w:type="dxa"/>
            <w:vAlign w:val="bottom"/>
          </w:tcPr>
          <w:p>
            <w:pPr>
              <w:spacing w:after="0"/>
              <w:rPr>
                <w:sz w:val="20"/>
                <w:szCs w:val="20"/>
                <w:color w:val="auto"/>
              </w:rPr>
            </w:pPr>
            <w:r>
              <w:rPr>
                <w:rFonts w:ascii="Arial" w:cs="Arial" w:eastAsia="Arial" w:hAnsi="Arial"/>
                <w:sz w:val="13"/>
                <w:szCs w:val="13"/>
                <w:color w:val="auto"/>
              </w:rPr>
              <w:t>Revenues:</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Management fees</w:t>
            </w:r>
          </w:p>
        </w:tc>
        <w:tc>
          <w:tcPr>
            <w:tcW w:w="3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63,079</w:t>
            </w:r>
          </w:p>
        </w:tc>
        <w:tc>
          <w:tcPr>
            <w:tcW w:w="16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57,894</w:t>
            </w:r>
          </w:p>
        </w:tc>
        <w:tc>
          <w:tcPr>
            <w:tcW w:w="16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123,510</w:t>
            </w:r>
          </w:p>
        </w:tc>
        <w:tc>
          <w:tcPr>
            <w:tcW w:w="160" w:type="dxa"/>
            <w:vAlign w:val="bottom"/>
          </w:tcPr>
          <w:p>
            <w:pPr>
              <w:spacing w:after="0"/>
              <w:rPr>
                <w:sz w:val="14"/>
                <w:szCs w:val="14"/>
                <w:color w:val="auto"/>
              </w:rPr>
            </w:pPr>
          </w:p>
        </w:tc>
        <w:tc>
          <w:tcPr>
            <w:tcW w:w="3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114,220</w:t>
            </w: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Incentive income</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53,504</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92,522</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56,103</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643,947</w:t>
            </w:r>
          </w:p>
        </w:tc>
        <w:tc>
          <w:tcPr>
            <w:tcW w:w="0" w:type="dxa"/>
            <w:vAlign w:val="bottom"/>
          </w:tcPr>
          <w:p>
            <w:pPr>
              <w:spacing w:after="0"/>
              <w:rPr>
                <w:sz w:val="1"/>
                <w:szCs w:val="1"/>
                <w:color w:val="auto"/>
              </w:rPr>
            </w:pPr>
          </w:p>
        </w:tc>
      </w:tr>
      <w:tr>
        <w:trPr>
          <w:trHeight w:val="160"/>
        </w:trPr>
        <w:tc>
          <w:tcPr>
            <w:tcW w:w="5600" w:type="dxa"/>
            <w:vAlign w:val="bottom"/>
          </w:tcPr>
          <w:p>
            <w:pPr>
              <w:ind w:left="500"/>
              <w:spacing w:after="0"/>
              <w:rPr>
                <w:sz w:val="20"/>
                <w:szCs w:val="20"/>
                <w:color w:val="auto"/>
              </w:rPr>
            </w:pPr>
            <w:r>
              <w:rPr>
                <w:rFonts w:ascii="Arial" w:cs="Arial" w:eastAsia="Arial" w:hAnsi="Arial"/>
                <w:sz w:val="13"/>
                <w:szCs w:val="13"/>
                <w:color w:val="auto"/>
              </w:rPr>
              <w:t>Total revenues</w:t>
            </w: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116,583</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150,416</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179,613</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758,167</w:t>
            </w:r>
          </w:p>
        </w:tc>
        <w:tc>
          <w:tcPr>
            <w:tcW w:w="0" w:type="dxa"/>
            <w:vAlign w:val="bottom"/>
          </w:tcPr>
          <w:p>
            <w:pPr>
              <w:spacing w:after="0"/>
              <w:rPr>
                <w:sz w:val="1"/>
                <w:szCs w:val="1"/>
                <w:color w:val="auto"/>
              </w:rPr>
            </w:pPr>
          </w:p>
        </w:tc>
      </w:tr>
      <w:tr>
        <w:trPr>
          <w:trHeight w:val="150"/>
        </w:trPr>
        <w:tc>
          <w:tcPr>
            <w:tcW w:w="5600" w:type="dxa"/>
            <w:vAlign w:val="bottom"/>
          </w:tcPr>
          <w:p>
            <w:pPr>
              <w:spacing w:after="0"/>
              <w:rPr>
                <w:sz w:val="20"/>
                <w:szCs w:val="20"/>
                <w:color w:val="auto"/>
              </w:rPr>
            </w:pPr>
            <w:r>
              <w:rPr>
                <w:rFonts w:ascii="Arial" w:cs="Arial" w:eastAsia="Arial" w:hAnsi="Arial"/>
                <w:sz w:val="13"/>
                <w:szCs w:val="13"/>
                <w:color w:val="auto"/>
              </w:rPr>
              <w:t>Expenses:</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Compensation and benefits</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(37,830)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(38,476)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(81,919)</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(79,723)</w:t>
            </w: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Equity-based compensation</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(1,952)</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(2,562)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(3,450)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(5,965)</w:t>
            </w: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Incentive income compensation</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(12,937)</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(48,553)</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(17,894)</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(314,483)</w:t>
            </w:r>
          </w:p>
        </w:tc>
        <w:tc>
          <w:tcPr>
            <w:tcW w:w="0" w:type="dxa"/>
            <w:vAlign w:val="bottom"/>
          </w:tcPr>
          <w:p>
            <w:pPr>
              <w:spacing w:after="0"/>
              <w:rPr>
                <w:sz w:val="1"/>
                <w:szCs w:val="1"/>
                <w:color w:val="auto"/>
              </w:rPr>
            </w:pPr>
          </w:p>
        </w:tc>
      </w:tr>
      <w:tr>
        <w:trPr>
          <w:trHeight w:val="160"/>
        </w:trPr>
        <w:tc>
          <w:tcPr>
            <w:tcW w:w="5600" w:type="dxa"/>
            <w:vAlign w:val="bottom"/>
          </w:tcPr>
          <w:p>
            <w:pPr>
              <w:ind w:left="500"/>
              <w:spacing w:after="0"/>
              <w:rPr>
                <w:sz w:val="20"/>
                <w:szCs w:val="20"/>
                <w:color w:val="auto"/>
              </w:rPr>
            </w:pPr>
            <w:r>
              <w:rPr>
                <w:rFonts w:ascii="Arial" w:cs="Arial" w:eastAsia="Arial" w:hAnsi="Arial"/>
                <w:sz w:val="13"/>
                <w:szCs w:val="13"/>
                <w:color w:val="auto"/>
              </w:rPr>
              <w:t>Total compensation and benefits expense</w:t>
            </w: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(52,719)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(89,591)</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(103,263)</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(400,171)</w:t>
            </w: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General and administrative</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(6,259)</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(8,631)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(11,297)</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(13,576)</w:t>
            </w: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(586)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(993)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(1,165)</w:t>
            </w: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Consolidated fund expenses</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(15,357)</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(14,013)</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(40,159)</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(24,847)</w:t>
            </w:r>
          </w:p>
        </w:tc>
        <w:tc>
          <w:tcPr>
            <w:tcW w:w="0" w:type="dxa"/>
            <w:vAlign w:val="bottom"/>
          </w:tcPr>
          <w:p>
            <w:pPr>
              <w:spacing w:after="0"/>
              <w:rPr>
                <w:sz w:val="1"/>
                <w:szCs w:val="1"/>
                <w:color w:val="auto"/>
              </w:rPr>
            </w:pPr>
          </w:p>
        </w:tc>
      </w:tr>
      <w:tr>
        <w:trPr>
          <w:trHeight w:val="160"/>
        </w:trPr>
        <w:tc>
          <w:tcPr>
            <w:tcW w:w="5600" w:type="dxa"/>
            <w:vAlign w:val="bottom"/>
          </w:tcPr>
          <w:p>
            <w:pPr>
              <w:ind w:left="500"/>
              <w:spacing w:after="0"/>
              <w:rPr>
                <w:sz w:val="20"/>
                <w:szCs w:val="20"/>
                <w:color w:val="auto"/>
              </w:rPr>
            </w:pPr>
            <w:r>
              <w:rPr>
                <w:rFonts w:ascii="Arial" w:cs="Arial" w:eastAsia="Arial" w:hAnsi="Arial"/>
                <w:sz w:val="13"/>
                <w:szCs w:val="13"/>
                <w:color w:val="auto"/>
              </w:rPr>
              <w:t>Total expenses</w:t>
            </w: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(74,746)</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(112,821)</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(155,712)</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(439,759)</w:t>
            </w:r>
          </w:p>
        </w:tc>
        <w:tc>
          <w:tcPr>
            <w:tcW w:w="0" w:type="dxa"/>
            <w:vAlign w:val="bottom"/>
          </w:tcPr>
          <w:p>
            <w:pPr>
              <w:spacing w:after="0"/>
              <w:rPr>
                <w:sz w:val="1"/>
                <w:szCs w:val="1"/>
                <w:color w:val="auto"/>
              </w:rPr>
            </w:pPr>
          </w:p>
        </w:tc>
      </w:tr>
      <w:tr>
        <w:trPr>
          <w:trHeight w:val="150"/>
        </w:trPr>
        <w:tc>
          <w:tcPr>
            <w:tcW w:w="5600" w:type="dxa"/>
            <w:vAlign w:val="bottom"/>
          </w:tcPr>
          <w:p>
            <w:pPr>
              <w:spacing w:after="0"/>
              <w:rPr>
                <w:sz w:val="20"/>
                <w:szCs w:val="20"/>
                <w:color w:val="auto"/>
              </w:rPr>
            </w:pPr>
            <w:r>
              <w:rPr>
                <w:rFonts w:ascii="Arial" w:cs="Arial" w:eastAsia="Arial" w:hAnsi="Arial"/>
                <w:sz w:val="13"/>
                <w:szCs w:val="13"/>
                <w:color w:val="auto"/>
              </w:rPr>
              <w:t>Other income (loss):</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Interest expense</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(57,849)</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(43,227)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(97,040)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(80,103)</w:t>
            </w: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Interest and dividend income</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129,857</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94,343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253,429</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182,787</w:t>
            </w: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Net realized gain (loss) on consolidated funds’ investments</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16,126</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5,149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(73,099)</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11,193</w:t>
            </w: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Net change in unrealized appreciation (depreciation) on consolidated funds’ investments</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(155,352)</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71,221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(26,993)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125,089</w:t>
            </w: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Investment income (loss)</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(30,674)</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60,540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(18,933)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173,779</w:t>
            </w: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Other income, net</w:t>
            </w:r>
          </w:p>
        </w:tc>
        <w:tc>
          <w:tcPr>
            <w:tcW w:w="3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0"/>
        </w:trPr>
        <w:tc>
          <w:tcPr>
            <w:tcW w:w="5600" w:type="dxa"/>
            <w:vAlign w:val="bottom"/>
          </w:tcPr>
          <w:p>
            <w:pPr>
              <w:ind w:left="500"/>
              <w:spacing w:after="0"/>
              <w:rPr>
                <w:sz w:val="20"/>
                <w:szCs w:val="20"/>
                <w:color w:val="auto"/>
              </w:rPr>
            </w:pPr>
            <w:r>
              <w:rPr>
                <w:rFonts w:ascii="Arial" w:cs="Arial" w:eastAsia="Arial" w:hAnsi="Arial"/>
                <w:sz w:val="13"/>
                <w:szCs w:val="13"/>
                <w:color w:val="auto"/>
              </w:rPr>
              <w:t>Total other income (loss)</w:t>
            </w:r>
          </w:p>
        </w:tc>
        <w:tc>
          <w:tcPr>
            <w:tcW w:w="3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(97,892)</w:t>
            </w:r>
          </w:p>
        </w:tc>
        <w:tc>
          <w:tcPr>
            <w:tcW w:w="1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188,026</w:t>
            </w:r>
          </w:p>
        </w:tc>
        <w:tc>
          <w:tcPr>
            <w:tcW w:w="16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37,364</w:t>
            </w:r>
          </w:p>
        </w:tc>
        <w:tc>
          <w:tcPr>
            <w:tcW w:w="1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412,764</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20"/>
                <w:szCs w:val="20"/>
                <w:color w:val="auto"/>
              </w:rPr>
            </w:pPr>
            <w:r>
              <w:rPr>
                <w:rFonts w:ascii="Arial" w:cs="Arial" w:eastAsia="Arial" w:hAnsi="Arial"/>
                <w:sz w:val="13"/>
                <w:szCs w:val="13"/>
                <w:color w:val="auto"/>
              </w:rPr>
              <w:t>Income (loss) before income taxes</w:t>
            </w: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(56,055)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225,621</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61,265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731,172</w:t>
            </w: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Income taxes</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(3,716)</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(3,165)</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(7,413)</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(5,435)</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20"/>
                <w:szCs w:val="20"/>
                <w:color w:val="auto"/>
              </w:rPr>
            </w:pPr>
            <w:r>
              <w:rPr>
                <w:rFonts w:ascii="Arial" w:cs="Arial" w:eastAsia="Arial" w:hAnsi="Arial"/>
                <w:sz w:val="13"/>
                <w:szCs w:val="13"/>
                <w:color w:val="auto"/>
              </w:rPr>
              <w:t>Net income (loss)</w:t>
            </w: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(59,771)</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222,456</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53,852</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725,737</w:t>
            </w:r>
          </w:p>
        </w:tc>
        <w:tc>
          <w:tcPr>
            <w:tcW w:w="0" w:type="dxa"/>
            <w:vAlign w:val="bottom"/>
          </w:tcPr>
          <w:p>
            <w:pPr>
              <w:spacing w:after="0"/>
              <w:rPr>
                <w:sz w:val="1"/>
                <w:szCs w:val="1"/>
                <w:color w:val="auto"/>
              </w:rPr>
            </w:pPr>
          </w:p>
        </w:tc>
      </w:tr>
      <w:tr>
        <w:trPr>
          <w:trHeight w:val="170"/>
        </w:trPr>
        <w:tc>
          <w:tcPr>
            <w:tcW w:w="5600" w:type="dxa"/>
            <w:vAlign w:val="bottom"/>
          </w:tcPr>
          <w:p>
            <w:pPr>
              <w:spacing w:after="0"/>
              <w:rPr>
                <w:sz w:val="20"/>
                <w:szCs w:val="20"/>
                <w:color w:val="auto"/>
              </w:rPr>
            </w:pPr>
            <w:r>
              <w:rPr>
                <w:rFonts w:ascii="Arial" w:cs="Arial" w:eastAsia="Arial" w:hAnsi="Arial"/>
                <w:sz w:val="13"/>
                <w:szCs w:val="13"/>
                <w:color w:val="auto"/>
              </w:rPr>
              <w:t>Less:</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Net (income) loss attributable to non-controlling interests in consolidated funds</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32,093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(60,586)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(66,850)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(111,891)</w:t>
            </w:r>
          </w:p>
        </w:tc>
        <w:tc>
          <w:tcPr>
            <w:tcW w:w="0" w:type="dxa"/>
            <w:vAlign w:val="bottom"/>
          </w:tcPr>
          <w:p>
            <w:pPr>
              <w:spacing w:after="0"/>
              <w:rPr>
                <w:sz w:val="1"/>
                <w:szCs w:val="1"/>
                <w:color w:val="auto"/>
              </w:rPr>
            </w:pPr>
          </w:p>
        </w:tc>
      </w:tr>
      <w:tr>
        <w:trPr>
          <w:trHeight w:val="170"/>
        </w:trPr>
        <w:tc>
          <w:tcPr>
            <w:tcW w:w="5600" w:type="dxa"/>
            <w:vAlign w:val="bottom"/>
          </w:tcPr>
          <w:p>
            <w:pPr>
              <w:ind w:left="260"/>
              <w:spacing w:after="0"/>
              <w:rPr>
                <w:sz w:val="20"/>
                <w:szCs w:val="20"/>
                <w:color w:val="auto"/>
              </w:rPr>
            </w:pPr>
            <w:r>
              <w:rPr>
                <w:rFonts w:ascii="Arial" w:cs="Arial" w:eastAsia="Arial" w:hAnsi="Arial"/>
                <w:sz w:val="13"/>
                <w:szCs w:val="13"/>
                <w:color w:val="auto"/>
              </w:rPr>
              <w:t>Net (income) loss attributable to non-controlling interests in consolidated subsidiaries</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13,151</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(52,958)</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16,153</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(219,386)</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20"/>
                <w:szCs w:val="20"/>
                <w:color w:val="auto"/>
              </w:rPr>
            </w:pPr>
            <w:r>
              <w:rPr>
                <w:rFonts w:ascii="Arial" w:cs="Arial" w:eastAsia="Arial" w:hAnsi="Arial"/>
                <w:sz w:val="13"/>
                <w:szCs w:val="13"/>
                <w:color w:val="auto"/>
              </w:rPr>
              <w:t>Net income (loss) attributable to OCG</w:t>
            </w: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(14,527)</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108,912</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3,155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394,460</w:t>
            </w:r>
          </w:p>
        </w:tc>
        <w:tc>
          <w:tcPr>
            <w:tcW w:w="0" w:type="dxa"/>
            <w:vAlign w:val="bottom"/>
          </w:tcPr>
          <w:p>
            <w:pPr>
              <w:spacing w:after="0"/>
              <w:rPr>
                <w:sz w:val="1"/>
                <w:szCs w:val="1"/>
                <w:color w:val="auto"/>
              </w:rPr>
            </w:pPr>
          </w:p>
        </w:tc>
      </w:tr>
      <w:tr>
        <w:trPr>
          <w:trHeight w:val="171"/>
        </w:trPr>
        <w:tc>
          <w:tcPr>
            <w:tcW w:w="5600" w:type="dxa"/>
            <w:vAlign w:val="bottom"/>
          </w:tcPr>
          <w:p>
            <w:pPr>
              <w:ind w:left="260"/>
              <w:spacing w:after="0"/>
              <w:rPr>
                <w:sz w:val="20"/>
                <w:szCs w:val="20"/>
                <w:color w:val="auto"/>
              </w:rPr>
            </w:pPr>
            <w:r>
              <w:rPr>
                <w:rFonts w:ascii="Arial" w:cs="Arial" w:eastAsia="Arial" w:hAnsi="Arial"/>
                <w:sz w:val="13"/>
                <w:szCs w:val="13"/>
                <w:color w:val="auto"/>
              </w:rPr>
              <w:t>Net income attributable to preferred unitholders</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(6,829)</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(6,829)</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(13,658)</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(13,658)</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3"/>
                <w:szCs w:val="13"/>
                <w:color w:val="auto"/>
              </w:rPr>
              <w:t>Net income (loss) attributable to OCG Class A unitholders</w:t>
            </w: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(21,356)</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102,083</w:t>
            </w: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(10,503)</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380,802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600" w:type="dxa"/>
            <w:vAlign w:val="bottom"/>
          </w:tcPr>
          <w:p>
            <w:pPr>
              <w:spacing w:after="0"/>
              <w:rPr>
                <w:sz w:val="20"/>
                <w:szCs w:val="20"/>
                <w:color w:val="auto"/>
              </w:rPr>
            </w:pPr>
            <w:r>
              <w:rPr>
                <w:rFonts w:ascii="Arial" w:cs="Arial" w:eastAsia="Arial" w:hAnsi="Arial"/>
                <w:sz w:val="13"/>
                <w:szCs w:val="13"/>
                <w:color w:val="auto"/>
              </w:rPr>
              <w:t>Distributions declared per Class A unit</w:t>
            </w: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0.16</w:t>
            </w:r>
          </w:p>
        </w:tc>
        <w:tc>
          <w:tcPr>
            <w:tcW w:w="160" w:type="dxa"/>
            <w:vAlign w:val="bottom"/>
          </w:tcPr>
          <w:p>
            <w:pPr>
              <w:spacing w:after="0"/>
              <w:rPr>
                <w:sz w:val="24"/>
                <w:szCs w:val="2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c>
          <w:tcPr>
            <w:tcW w:w="160" w:type="dxa"/>
            <w:vAlign w:val="bottom"/>
          </w:tcPr>
          <w:p>
            <w:pPr>
              <w:spacing w:after="0"/>
              <w:rPr>
                <w:sz w:val="24"/>
                <w:szCs w:val="2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160" w:type="dxa"/>
            <w:vAlign w:val="bottom"/>
          </w:tcPr>
          <w:p>
            <w:pPr>
              <w:spacing w:after="0"/>
              <w:rPr>
                <w:sz w:val="24"/>
                <w:szCs w:val="24"/>
                <w:color w:val="auto"/>
              </w:rPr>
            </w:pP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color w:val="auto"/>
              </w:rPr>
              <w:t>Net income (loss) per Class A unit (basic and diluted):</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00" w:type="dxa"/>
            <w:vAlign w:val="bottom"/>
            <w:vMerge w:val="continue"/>
          </w:tcPr>
          <w:p>
            <w:pPr>
              <w:spacing w:after="0"/>
              <w:rPr>
                <w:sz w:val="11"/>
                <w:szCs w:val="11"/>
                <w:color w:val="auto"/>
              </w:rPr>
            </w:pPr>
          </w:p>
        </w:tc>
        <w:tc>
          <w:tcPr>
            <w:tcW w:w="320" w:type="dxa"/>
            <w:vAlign w:val="bottom"/>
            <w:vMerge w:val="restart"/>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(0.21)</w:t>
            </w:r>
          </w:p>
        </w:tc>
        <w:tc>
          <w:tcPr>
            <w:tcW w:w="160" w:type="dxa"/>
            <w:vAlign w:val="bottom"/>
          </w:tcPr>
          <w:p>
            <w:pPr>
              <w:spacing w:after="0"/>
              <w:rPr>
                <w:sz w:val="11"/>
                <w:szCs w:val="11"/>
                <w:color w:val="auto"/>
              </w:rPr>
            </w:pPr>
          </w:p>
        </w:tc>
        <w:tc>
          <w:tcPr>
            <w:tcW w:w="320" w:type="dxa"/>
            <w:vAlign w:val="bottom"/>
            <w:vMerge w:val="restart"/>
          </w:tcPr>
          <w:p>
            <w:pPr>
              <w:jc w:val="right"/>
              <w:ind w:right="176"/>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1.03</w:t>
            </w:r>
          </w:p>
        </w:tc>
        <w:tc>
          <w:tcPr>
            <w:tcW w:w="160" w:type="dxa"/>
            <w:vAlign w:val="bottom"/>
          </w:tcPr>
          <w:p>
            <w:pPr>
              <w:spacing w:after="0"/>
              <w:rPr>
                <w:sz w:val="11"/>
                <w:szCs w:val="11"/>
                <w:color w:val="auto"/>
              </w:rPr>
            </w:pPr>
          </w:p>
        </w:tc>
        <w:tc>
          <w:tcPr>
            <w:tcW w:w="300" w:type="dxa"/>
            <w:vAlign w:val="bottom"/>
            <w:vMerge w:val="restart"/>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(0.10)</w:t>
            </w:r>
          </w:p>
        </w:tc>
        <w:tc>
          <w:tcPr>
            <w:tcW w:w="160" w:type="dxa"/>
            <w:vAlign w:val="bottom"/>
          </w:tcPr>
          <w:p>
            <w:pPr>
              <w:spacing w:after="0"/>
              <w:rPr>
                <w:sz w:val="11"/>
                <w:szCs w:val="11"/>
                <w:color w:val="auto"/>
              </w:rPr>
            </w:pPr>
          </w:p>
        </w:tc>
        <w:tc>
          <w:tcPr>
            <w:tcW w:w="320" w:type="dxa"/>
            <w:vAlign w:val="bottom"/>
            <w:vMerge w:val="restart"/>
          </w:tcPr>
          <w:p>
            <w:pPr>
              <w:jc w:val="right"/>
              <w:ind w:right="156"/>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77"/>
        </w:trPr>
        <w:tc>
          <w:tcPr>
            <w:tcW w:w="5600" w:type="dxa"/>
            <w:vAlign w:val="bottom"/>
          </w:tcPr>
          <w:p>
            <w:pPr>
              <w:ind w:left="260"/>
              <w:spacing w:after="0"/>
              <w:rPr>
                <w:sz w:val="20"/>
                <w:szCs w:val="20"/>
                <w:color w:val="auto"/>
              </w:rPr>
            </w:pPr>
            <w:r>
              <w:rPr>
                <w:rFonts w:ascii="Arial" w:cs="Arial" w:eastAsia="Arial" w:hAnsi="Arial"/>
                <w:sz w:val="13"/>
                <w:szCs w:val="13"/>
                <w:color w:val="auto"/>
              </w:rPr>
              <w:t>Net income (loss) per Class A unit</w:t>
            </w:r>
          </w:p>
        </w:tc>
        <w:tc>
          <w:tcPr>
            <w:tcW w:w="3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600" w:type="dxa"/>
            <w:vAlign w:val="bottom"/>
          </w:tcPr>
          <w:p>
            <w:pPr>
              <w:ind w:left="260"/>
              <w:spacing w:after="0"/>
              <w:rPr>
                <w:sz w:val="20"/>
                <w:szCs w:val="20"/>
                <w:color w:val="auto"/>
              </w:rPr>
            </w:pPr>
            <w:r>
              <w:rPr>
                <w:rFonts w:ascii="Arial" w:cs="Arial" w:eastAsia="Arial" w:hAnsi="Arial"/>
                <w:sz w:val="13"/>
                <w:szCs w:val="13"/>
                <w:color w:val="auto"/>
              </w:rPr>
              <w:t>Weighted average number of Class A units outstanding</w:t>
            </w: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102,820</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99,137</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100,989</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98,923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i w:val="1"/>
          <w:iCs w:val="1"/>
          <w:color w:val="auto"/>
        </w:rPr>
        <w:t>Second Quarter Ended June 30, 2022 Compared to the Second Quarter Ended June 30,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Management Fees</w:t>
      </w:r>
    </w:p>
    <w:p>
      <w:pPr>
        <w:spacing w:after="0" w:line="134" w:lineRule="exact"/>
        <w:rPr>
          <w:sz w:val="20"/>
          <w:szCs w:val="20"/>
          <w:color w:val="auto"/>
        </w:rPr>
      </w:pPr>
    </w:p>
    <w:p>
      <w:pPr>
        <w:ind w:right="360" w:firstLine="509"/>
        <w:spacing w:after="0" w:line="290" w:lineRule="auto"/>
        <w:rPr>
          <w:sz w:val="20"/>
          <w:szCs w:val="20"/>
          <w:color w:val="auto"/>
        </w:rPr>
      </w:pPr>
      <w:r>
        <w:rPr>
          <w:rFonts w:ascii="Arial" w:cs="Arial" w:eastAsia="Arial" w:hAnsi="Arial"/>
          <w:sz w:val="14"/>
          <w:szCs w:val="14"/>
          <w:color w:val="auto"/>
        </w:rPr>
        <w:t>Management fees increased $5.2 million, or 9.0%, to $63.1 million for the second quarter of 2022, from $ 57.9 million for the second quarter of 2021. The increase was primarily due to sub-advisory fees earned, reflecting both growth of Oaktree’s business operations and its impact to the sub-advisory fees we earn from these arrangements.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Incentive Income</w:t>
      </w:r>
    </w:p>
    <w:p>
      <w:pPr>
        <w:spacing w:after="0" w:line="134"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Incentive income decreased $39.0 million to $53.5 million for the second quarter of 2022, from $92.5 million for the second quarter of 2021. The decrease in incentive income was primarily due to lower distributions from Private Equity and Credit closed-end funds that were paying incentive income. Incentive income for the second quarter of 2022 was primarily due to the deconsolidation of a SPAC.</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Compensation and Benefits</w:t>
      </w:r>
    </w:p>
    <w:p>
      <w:pPr>
        <w:spacing w:after="0" w:line="134" w:lineRule="exact"/>
        <w:rPr>
          <w:sz w:val="20"/>
          <w:szCs w:val="20"/>
          <w:color w:val="auto"/>
        </w:rPr>
      </w:pPr>
    </w:p>
    <w:p>
      <w:pPr>
        <w:ind w:right="20" w:firstLine="509"/>
        <w:spacing w:after="0" w:line="290" w:lineRule="auto"/>
        <w:rPr>
          <w:sz w:val="20"/>
          <w:szCs w:val="20"/>
          <w:color w:val="auto"/>
        </w:rPr>
      </w:pPr>
      <w:r>
        <w:rPr>
          <w:rFonts w:ascii="Arial" w:cs="Arial" w:eastAsia="Arial" w:hAnsi="Arial"/>
          <w:sz w:val="14"/>
          <w:szCs w:val="14"/>
          <w:color w:val="auto"/>
        </w:rPr>
        <w:t>Compensation and benefits expense decreased $0.7 million, or 1.8%, to $37.8 million for the second quarter of 2022, from $38.5 million for the second quarter of 2021. The decrease in compensation and benefits expense was primarily due to foreign exchange.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Equity-based Compensation</w:t>
      </w:r>
    </w:p>
    <w:p>
      <w:pPr>
        <w:spacing w:after="0" w:line="134" w:lineRule="exact"/>
        <w:rPr>
          <w:sz w:val="20"/>
          <w:szCs w:val="20"/>
          <w:color w:val="auto"/>
        </w:rPr>
      </w:pPr>
    </w:p>
    <w:p>
      <w:pPr>
        <w:ind w:right="200" w:firstLine="509"/>
        <w:spacing w:after="0" w:line="271" w:lineRule="auto"/>
        <w:rPr>
          <w:sz w:val="20"/>
          <w:szCs w:val="20"/>
          <w:color w:val="auto"/>
        </w:rPr>
      </w:pPr>
      <w:r>
        <w:rPr>
          <w:rFonts w:ascii="Arial" w:cs="Arial" w:eastAsia="Arial" w:hAnsi="Arial"/>
          <w:sz w:val="14"/>
          <w:szCs w:val="14"/>
          <w:color w:val="auto"/>
        </w:rPr>
        <w:t>Equity-based compensation expense decreased $0.6 million, or 23.1%, to $2.0 million for the second quarter of 2022, from $2.6 million for the second quarter of 2021, reflecting that beginning in 2020, deferred compensation was primarily paid in Long-Term Incentive Plan awards rather than equity-based awards, partially offset by the new OEP awards granted during the second quarter of 2022.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Incentive Income Compensation</w:t>
      </w:r>
    </w:p>
    <w:p>
      <w:pPr>
        <w:spacing w:after="0" w:line="134"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Incentive income compensation expense decreased $35.7 million to $12.9 million for the second quarter of 2022, from $48.6 million for the second quarter of 2021, primarily reflecting the decrease in incentive income.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134" w:lineRule="exact"/>
        <w:rPr>
          <w:sz w:val="20"/>
          <w:szCs w:val="20"/>
          <w:color w:val="auto"/>
        </w:rPr>
      </w:pPr>
    </w:p>
    <w:p>
      <w:pPr>
        <w:ind w:right="400" w:firstLine="509"/>
        <w:spacing w:after="0" w:line="290" w:lineRule="auto"/>
        <w:rPr>
          <w:sz w:val="20"/>
          <w:szCs w:val="20"/>
          <w:color w:val="auto"/>
        </w:rPr>
      </w:pPr>
      <w:r>
        <w:rPr>
          <w:rFonts w:ascii="Arial" w:cs="Arial" w:eastAsia="Arial" w:hAnsi="Arial"/>
          <w:sz w:val="14"/>
          <w:szCs w:val="14"/>
          <w:color w:val="auto"/>
        </w:rPr>
        <w:t>General and administrative expense decreased $2.3 million, or 26.7%, to $6.3 million for the second quarter of 2022, from $8.6 million for the second quarter of 2021, primarily reflecting certain one-time research and market data costs incurred during 2021 and foreign exchange.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Depreciation and Amortization</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Depreciation and amortization expense was $0.4 million and $0.6 million for the second quarter of 2022 and 2021,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Consolidated Fund Expenses</w:t>
      </w:r>
    </w:p>
    <w:p>
      <w:pPr>
        <w:spacing w:after="0" w:line="134" w:lineRule="exact"/>
        <w:rPr>
          <w:sz w:val="20"/>
          <w:szCs w:val="20"/>
          <w:color w:val="auto"/>
        </w:rPr>
      </w:pPr>
    </w:p>
    <w:p>
      <w:pPr>
        <w:ind w:right="500" w:firstLine="509"/>
        <w:spacing w:after="0" w:line="290" w:lineRule="auto"/>
        <w:rPr>
          <w:sz w:val="20"/>
          <w:szCs w:val="20"/>
          <w:color w:val="auto"/>
        </w:rPr>
      </w:pPr>
      <w:r>
        <w:rPr>
          <w:rFonts w:ascii="Arial" w:cs="Arial" w:eastAsia="Arial" w:hAnsi="Arial"/>
          <w:sz w:val="14"/>
          <w:szCs w:val="14"/>
          <w:color w:val="auto"/>
        </w:rPr>
        <w:t>Consolidated fund expenses increased $1.4 million, or 10.0%, to $15.4 million for the second quarter of 2022, from $14.0 million for the second quarter of 2021. The increase reflects the impact of general costs incurred by our consolidated funds and changes to the funds that were consolidated during the second quarter of 2022.</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(Loss)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Expense</w:t>
      </w:r>
    </w:p>
    <w:p>
      <w:pPr>
        <w:spacing w:after="0" w:line="134" w:lineRule="exact"/>
        <w:rPr>
          <w:sz w:val="20"/>
          <w:szCs w:val="20"/>
          <w:color w:val="auto"/>
        </w:rPr>
      </w:pPr>
    </w:p>
    <w:p>
      <w:pPr>
        <w:ind w:right="300" w:firstLine="509"/>
        <w:spacing w:after="0" w:line="290" w:lineRule="auto"/>
        <w:rPr>
          <w:sz w:val="20"/>
          <w:szCs w:val="20"/>
          <w:color w:val="auto"/>
        </w:rPr>
      </w:pPr>
      <w:r>
        <w:rPr>
          <w:rFonts w:ascii="Arial" w:cs="Arial" w:eastAsia="Arial" w:hAnsi="Arial"/>
          <w:sz w:val="14"/>
          <w:szCs w:val="14"/>
          <w:color w:val="auto"/>
        </w:rPr>
        <w:t>Interest expense increased $14.6 million, or 33.8%, to $57.8 million for the second quarter of 2022, from $43.2 million for the second quarter of 2021. The increase was primarily attributable to higher interest rates, additional CLO issuances, and increased debt outstanding by our consolidated funds.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44"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color w:val="auto"/>
        </w:rPr>
        <w:t>Interest and Dividend Income</w:t>
      </w:r>
    </w:p>
    <w:p>
      <w:pPr>
        <w:spacing w:after="0" w:line="134" w:lineRule="exact"/>
        <w:rPr>
          <w:sz w:val="20"/>
          <w:szCs w:val="20"/>
          <w:color w:val="auto"/>
        </w:rPr>
      </w:pPr>
    </w:p>
    <w:p>
      <w:pPr>
        <w:ind w:right="320" w:firstLine="509"/>
        <w:spacing w:after="0" w:line="290" w:lineRule="auto"/>
        <w:rPr>
          <w:sz w:val="20"/>
          <w:szCs w:val="20"/>
          <w:color w:val="auto"/>
        </w:rPr>
      </w:pPr>
      <w:r>
        <w:rPr>
          <w:rFonts w:ascii="Arial" w:cs="Arial" w:eastAsia="Arial" w:hAnsi="Arial"/>
          <w:sz w:val="14"/>
          <w:szCs w:val="14"/>
          <w:color w:val="auto"/>
        </w:rPr>
        <w:t>Interest and dividend income increased $35.6 million, or 37.8%, to $129.9 million for the second quarter of 2022, from $94.3 million for the second quarter of 2021. The increase was primarily attributable to our consolidated funds.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Realized Gain (Loss) on Consolidated Funds’ Investments</w:t>
      </w:r>
    </w:p>
    <w:p>
      <w:pPr>
        <w:spacing w:after="0" w:line="134" w:lineRule="exact"/>
        <w:rPr>
          <w:sz w:val="20"/>
          <w:szCs w:val="20"/>
          <w:color w:val="auto"/>
        </w:rPr>
      </w:pPr>
    </w:p>
    <w:p>
      <w:pPr>
        <w:ind w:right="80" w:firstLine="509"/>
        <w:spacing w:after="0" w:line="271" w:lineRule="auto"/>
        <w:rPr>
          <w:sz w:val="20"/>
          <w:szCs w:val="20"/>
          <w:color w:val="auto"/>
        </w:rPr>
      </w:pPr>
      <w:r>
        <w:rPr>
          <w:rFonts w:ascii="Arial" w:cs="Arial" w:eastAsia="Arial" w:hAnsi="Arial"/>
          <w:sz w:val="14"/>
          <w:szCs w:val="14"/>
          <w:color w:val="auto"/>
        </w:rPr>
        <w:t>Net realized gain (loss) on consolidated funds’ investments increased $ 11.0 million, from a gain of $5.1 million for the second quarter of 2021 to a gain of $16.1 million for the second quarter of 2022. The increase in our net realized gain (loss) reflects our consolidated funds’ performance on investments sold and primarily resulted from gains in Opps XI.</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Change in Unrealized Appreciation (Depreciation) on Consolidated Funds’ Investments</w:t>
      </w:r>
    </w:p>
    <w:p>
      <w:pPr>
        <w:spacing w:after="0" w:line="134"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Net change in unrealized appreciation (depreciation) on consolidated funds’ investments decreased $226.6 million, to a loss of $155.4 million for the second quarter of 2022, from a gain of $71.2 million for the second quarter of 2021. Excluding the impact of the reversal of net realized gain (loss) on consolidated funds’ investments, the net change in unrealized appreciation (depreciation) on consolidated funds’ investments decreased $215.6 million, to a net loss of $139.2 million for the second quarter of 2022, from a net gain of $76.4 million for the second quarter of 2021, primarily driven by current market conditions affecting the values of investments held by Opps XI and our CLOs.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Income (Loss)</w:t>
      </w:r>
    </w:p>
    <w:p>
      <w:pPr>
        <w:spacing w:after="0" w:line="134" w:lineRule="exact"/>
        <w:rPr>
          <w:sz w:val="20"/>
          <w:szCs w:val="20"/>
          <w:color w:val="auto"/>
        </w:rPr>
      </w:pPr>
    </w:p>
    <w:p>
      <w:pPr>
        <w:ind w:right="40" w:firstLine="509"/>
        <w:spacing w:after="0" w:line="290" w:lineRule="auto"/>
        <w:rPr>
          <w:sz w:val="20"/>
          <w:szCs w:val="20"/>
          <w:color w:val="auto"/>
        </w:rPr>
      </w:pPr>
      <w:r>
        <w:rPr>
          <w:rFonts w:ascii="Arial" w:cs="Arial" w:eastAsia="Arial" w:hAnsi="Arial"/>
          <w:sz w:val="14"/>
          <w:szCs w:val="14"/>
          <w:color w:val="auto"/>
        </w:rPr>
        <w:t>Investment income (loss) decreased $91.2 million, or 150.7%, to a loss of $30.7 million for the second quarter of 2022, from a gain of $60.5 million for the second quarter of 2021. The decrease is primarily driven by current market conditions affecting the values of our Credit investments.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145" w:lineRule="exact"/>
        <w:rPr>
          <w:sz w:val="20"/>
          <w:szCs w:val="20"/>
          <w:color w:val="auto"/>
        </w:rPr>
      </w:pPr>
    </w:p>
    <w:p>
      <w:pPr>
        <w:jc w:val="both"/>
        <w:ind w:right="460" w:firstLine="509"/>
        <w:spacing w:after="0" w:line="271" w:lineRule="auto"/>
        <w:rPr>
          <w:sz w:val="20"/>
          <w:szCs w:val="20"/>
          <w:color w:val="auto"/>
        </w:rPr>
      </w:pPr>
      <w:r>
        <w:rPr>
          <w:rFonts w:ascii="Arial" w:cs="Arial" w:eastAsia="Arial" w:hAnsi="Arial"/>
          <w:sz w:val="14"/>
          <w:szCs w:val="14"/>
          <w:color w:val="auto"/>
        </w:rPr>
        <w:t>Income taxes increased $0.5 million, or 15.6%, to $3.7 million for the second quarter of 2022, from $3.2 million for the second quarter of 2021. The increase primarily reflected higher taxable net income attributable to our operations outside of the United States during the second quarter of 2022. Please see the Income Taxes section of “— Understanding Our Results—Consolidation of Oaktree Funds” for details.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Loss Attributable to Non-controlling Interests in Consolidated Funds</w:t>
      </w:r>
    </w:p>
    <w:p>
      <w:pPr>
        <w:spacing w:after="0" w:line="13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Net (income) loss attributable to non-controlling interests in consolidated funds decreased $92.7 million, to net loss of $32.1 million for the second quarter of 2022, from net income of $60.6 million for the second quarter of 2021. The decrease reflected our consolidated funds’ performance attributable to third-party investors in each period. These effects are described in more detail under “—Other Income (Loss)” above.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(Loss) Attributable to Oaktree Capital Group, LLC Class A Unitholders</w:t>
      </w:r>
    </w:p>
    <w:p>
      <w:pPr>
        <w:spacing w:after="0" w:line="134" w:lineRule="exact"/>
        <w:rPr>
          <w:sz w:val="20"/>
          <w:szCs w:val="20"/>
          <w:color w:val="auto"/>
        </w:rPr>
      </w:pPr>
    </w:p>
    <w:p>
      <w:pPr>
        <w:ind w:right="60" w:firstLine="509"/>
        <w:spacing w:after="0" w:line="290" w:lineRule="auto"/>
        <w:rPr>
          <w:sz w:val="20"/>
          <w:szCs w:val="20"/>
          <w:color w:val="auto"/>
        </w:rPr>
      </w:pPr>
      <w:r>
        <w:rPr>
          <w:rFonts w:ascii="Arial" w:cs="Arial" w:eastAsia="Arial" w:hAnsi="Arial"/>
          <w:sz w:val="14"/>
          <w:szCs w:val="14"/>
          <w:color w:val="auto"/>
        </w:rPr>
        <w:t>Net income attributable to Oaktree Capital Group, LLC Class A unitholders decreased $123.5 million, or 121.0%, to net loss of $21.4 million for the second quarter of 2022, from net income of $102.1 million for the second quarter of 2021, primarily reflecting unrealized investment losses driven by current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9"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i w:val="1"/>
          <w:iCs w:val="1"/>
          <w:color w:val="auto"/>
        </w:rPr>
        <w:t>Six Months Ended June 30, 2022 Compared to the Six Months Ended June 30,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Management Fees</w:t>
      </w:r>
    </w:p>
    <w:p>
      <w:pPr>
        <w:spacing w:after="0" w:line="134" w:lineRule="exact"/>
        <w:rPr>
          <w:sz w:val="20"/>
          <w:szCs w:val="20"/>
          <w:color w:val="auto"/>
        </w:rPr>
      </w:pPr>
    </w:p>
    <w:p>
      <w:pPr>
        <w:jc w:val="both"/>
        <w:ind w:right="200" w:firstLine="509"/>
        <w:spacing w:after="0" w:line="290" w:lineRule="auto"/>
        <w:rPr>
          <w:sz w:val="20"/>
          <w:szCs w:val="20"/>
          <w:color w:val="auto"/>
        </w:rPr>
      </w:pPr>
      <w:r>
        <w:rPr>
          <w:rFonts w:ascii="Arial" w:cs="Arial" w:eastAsia="Arial" w:hAnsi="Arial"/>
          <w:sz w:val="14"/>
          <w:szCs w:val="14"/>
          <w:color w:val="auto"/>
        </w:rPr>
        <w:t>Management fees increased $9.3 million, or 9.0%, to $123.5 million for the first six months of 2022, from $114.2 million for the first six months of 2021. The increase was primarily due to sub-advisory fees earned, reflecting both growth of Oaktree’s business operations and its impact to the sub-advisory fees we earn from these arrangements.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Incentive Income</w:t>
      </w:r>
    </w:p>
    <w:p>
      <w:pPr>
        <w:spacing w:after="0" w:line="134" w:lineRule="exact"/>
        <w:rPr>
          <w:sz w:val="20"/>
          <w:szCs w:val="20"/>
          <w:color w:val="auto"/>
        </w:rPr>
      </w:pPr>
    </w:p>
    <w:p>
      <w:pPr>
        <w:jc w:val="both"/>
        <w:ind w:right="200" w:firstLine="509"/>
        <w:spacing w:after="0" w:line="271" w:lineRule="auto"/>
        <w:rPr>
          <w:sz w:val="20"/>
          <w:szCs w:val="20"/>
          <w:color w:val="auto"/>
        </w:rPr>
      </w:pPr>
      <w:r>
        <w:rPr>
          <w:rFonts w:ascii="Arial" w:cs="Arial" w:eastAsia="Arial" w:hAnsi="Arial"/>
          <w:sz w:val="14"/>
          <w:szCs w:val="14"/>
          <w:color w:val="auto"/>
        </w:rPr>
        <w:t>Incentive income decreased $587.8 million to $56.1 million for the first six months of 2022, from $643.9 million for the first six months of 2021. The decrease in incentive income was primarily due to higher distributions from Private Equity and Credit closed-end funds that were paying incentive income. Incentive income for first six months of 2022 was primarily due to the deconsolidation of a SPAC during the second quarter.</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Compensation and Benefits</w:t>
      </w:r>
    </w:p>
    <w:p>
      <w:pPr>
        <w:spacing w:after="0" w:line="13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Compensation and benefits expense increased $2.2 million, or 2.8%, to $81.9 million for the first six months of 2022, from $ 79.7 million for the first six months of 2021. The increase in compensation and benefits expense was primarily due to the increased value of phantom equity awards and Long-Term Incentive Plan awards, partially offset by foreign exchange.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Equity-based Compensation</w:t>
      </w:r>
    </w:p>
    <w:p>
      <w:pPr>
        <w:spacing w:after="0" w:line="134" w:lineRule="exact"/>
        <w:rPr>
          <w:sz w:val="20"/>
          <w:szCs w:val="20"/>
          <w:color w:val="auto"/>
        </w:rPr>
      </w:pPr>
    </w:p>
    <w:p>
      <w:pPr>
        <w:ind w:right="180" w:firstLine="509"/>
        <w:spacing w:after="0" w:line="271" w:lineRule="auto"/>
        <w:rPr>
          <w:sz w:val="20"/>
          <w:szCs w:val="20"/>
          <w:color w:val="auto"/>
        </w:rPr>
      </w:pPr>
      <w:r>
        <w:rPr>
          <w:rFonts w:ascii="Arial" w:cs="Arial" w:eastAsia="Arial" w:hAnsi="Arial"/>
          <w:sz w:val="14"/>
          <w:szCs w:val="14"/>
          <w:color w:val="auto"/>
        </w:rPr>
        <w:t>Equity-based compensation expense decreased $2.5 million, or 41.7%, to $3.5 million for the first six months of 2022, from $6.0 million for the first six months of 2021, reflecting that beginning in 2020, deferred compensation was primarily paid in Long-Term Incentive Plan awards rather than equity-based awards, partially offset by the new OEP awards granted during the second quarter of 2022.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Incentive Income Compensation</w:t>
      </w:r>
    </w:p>
    <w:p>
      <w:pPr>
        <w:spacing w:after="0" w:line="134" w:lineRule="exact"/>
        <w:rPr>
          <w:sz w:val="20"/>
          <w:szCs w:val="20"/>
          <w:color w:val="auto"/>
        </w:rPr>
      </w:pPr>
    </w:p>
    <w:p>
      <w:pPr>
        <w:ind w:right="380" w:firstLine="509"/>
        <w:spacing w:after="0" w:line="290" w:lineRule="auto"/>
        <w:rPr>
          <w:sz w:val="20"/>
          <w:szCs w:val="20"/>
          <w:color w:val="auto"/>
        </w:rPr>
      </w:pPr>
      <w:r>
        <w:rPr>
          <w:rFonts w:ascii="Arial" w:cs="Arial" w:eastAsia="Arial" w:hAnsi="Arial"/>
          <w:sz w:val="14"/>
          <w:szCs w:val="14"/>
          <w:color w:val="auto"/>
        </w:rPr>
        <w:t>Incentive income compensation expense decreased $296.6 million to $17.9 million for the first six months of 2022, from $314.5 million for the first six months of 2021, primarily reflecting the decrease in incentive income.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134" w:lineRule="exact"/>
        <w:rPr>
          <w:sz w:val="20"/>
          <w:szCs w:val="20"/>
          <w:color w:val="auto"/>
        </w:rPr>
      </w:pPr>
    </w:p>
    <w:p>
      <w:pPr>
        <w:ind w:right="240" w:firstLine="509"/>
        <w:spacing w:after="0" w:line="290" w:lineRule="auto"/>
        <w:rPr>
          <w:sz w:val="20"/>
          <w:szCs w:val="20"/>
          <w:color w:val="auto"/>
        </w:rPr>
      </w:pPr>
      <w:r>
        <w:rPr>
          <w:rFonts w:ascii="Arial" w:cs="Arial" w:eastAsia="Arial" w:hAnsi="Arial"/>
          <w:sz w:val="14"/>
          <w:szCs w:val="14"/>
          <w:color w:val="auto"/>
        </w:rPr>
        <w:t>General and administrative expense decreased $2.3 million, or 16.9%, to $11.3 million for the first six months of 2022, from $13.6 million for the first six months of 2021, primarily reflecting certain one-time research and market data costs incurred during 2021 and foreign exchange.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Depreciation and Amortization</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Depreciation and amortization expense was $1.0 million and $1.2 million for the first six months of 2022 and 2021,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Consolidated Fund Expenses</w:t>
      </w:r>
    </w:p>
    <w:p>
      <w:pPr>
        <w:spacing w:after="0" w:line="134" w:lineRule="exact"/>
        <w:rPr>
          <w:sz w:val="20"/>
          <w:szCs w:val="20"/>
          <w:color w:val="auto"/>
        </w:rPr>
      </w:pPr>
    </w:p>
    <w:p>
      <w:pPr>
        <w:ind w:right="400" w:firstLine="509"/>
        <w:spacing w:after="0" w:line="290" w:lineRule="auto"/>
        <w:rPr>
          <w:sz w:val="20"/>
          <w:szCs w:val="20"/>
          <w:color w:val="auto"/>
        </w:rPr>
      </w:pPr>
      <w:r>
        <w:rPr>
          <w:rFonts w:ascii="Arial" w:cs="Arial" w:eastAsia="Arial" w:hAnsi="Arial"/>
          <w:sz w:val="14"/>
          <w:szCs w:val="14"/>
          <w:color w:val="auto"/>
        </w:rPr>
        <w:t>Consolidated fund expenses increased $15.4 million, or 62.1%, to $40.2 million for the first six months of 2022, from $24.8 million for the first six months of 2021. The increase reflects the impact of general costs incurred by our consolidated funds and changes to the funds that were consolidated during the first six months of 2022.</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(Loss)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Expense</w:t>
      </w:r>
    </w:p>
    <w:p>
      <w:pPr>
        <w:spacing w:after="0" w:line="134" w:lineRule="exact"/>
        <w:rPr>
          <w:sz w:val="20"/>
          <w:szCs w:val="20"/>
          <w:color w:val="auto"/>
        </w:rPr>
      </w:pPr>
    </w:p>
    <w:p>
      <w:pPr>
        <w:ind w:right="280" w:firstLine="509"/>
        <w:spacing w:after="0" w:line="290" w:lineRule="auto"/>
        <w:rPr>
          <w:sz w:val="20"/>
          <w:szCs w:val="20"/>
          <w:color w:val="auto"/>
        </w:rPr>
      </w:pPr>
      <w:r>
        <w:rPr>
          <w:rFonts w:ascii="Arial" w:cs="Arial" w:eastAsia="Arial" w:hAnsi="Arial"/>
          <w:sz w:val="14"/>
          <w:szCs w:val="14"/>
          <w:color w:val="auto"/>
        </w:rPr>
        <w:t>Interest expense increased $16.9 million, or 21.1%, to $97.0 million for the first six months of 2022, from $80.1 million for the first six months of 2021. The increase was primarily attributable to higher interest rates, additional CLO issuances, and increased debt outstanding by our consolidated funds.</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44" w:right="35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color w:val="auto"/>
        </w:rPr>
        <w:t>Interest and Dividend Income</w:t>
      </w:r>
    </w:p>
    <w:p>
      <w:pPr>
        <w:spacing w:after="0" w:line="134" w:lineRule="exact"/>
        <w:rPr>
          <w:sz w:val="20"/>
          <w:szCs w:val="20"/>
          <w:color w:val="auto"/>
        </w:rPr>
      </w:pPr>
    </w:p>
    <w:p>
      <w:pPr>
        <w:ind w:right="220" w:firstLine="509"/>
        <w:spacing w:after="0" w:line="290" w:lineRule="auto"/>
        <w:rPr>
          <w:sz w:val="20"/>
          <w:szCs w:val="20"/>
          <w:color w:val="auto"/>
        </w:rPr>
      </w:pPr>
      <w:r>
        <w:rPr>
          <w:rFonts w:ascii="Arial" w:cs="Arial" w:eastAsia="Arial" w:hAnsi="Arial"/>
          <w:sz w:val="14"/>
          <w:szCs w:val="14"/>
          <w:color w:val="auto"/>
        </w:rPr>
        <w:t>Interest and dividend income increased $70.6 million, or 38.6%, to $253.4 million for the first six months of 2022, from $182.8 million for the first six months of 2021. The increase was primarily attributable to our consolidated funds.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Realized Gain (Loss) on Consolidated Funds’ Investments</w:t>
      </w:r>
    </w:p>
    <w:p>
      <w:pPr>
        <w:spacing w:after="0" w:line="134"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Net realized gain (loss) on consolidated funds’ investments decreased by $84.3 million, from a gain of $11.2 million for the first six months of 2021 to a loss of $73.1 million for the first six months of 2022. The net realized loss during the first six months of 2022 reflects our consolidated funds’ performance on investments sold and is primarily due to realized losses on our Real Assets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Change in Unrealized Appreciation (Depreciation) on Consolidated Funds’ Investments</w:t>
      </w:r>
    </w:p>
    <w:p>
      <w:pPr>
        <w:spacing w:after="0" w:line="134"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Net change in unrealized appreciation (depreciation) on consolidated funds’ investments decreased $152.1 million, to a depreciation of $27.0 million for the first six months of 2022, from an appreciation of $125.1 million for the first six months of 2021. Excluding the impact of the reversal of net realized gain (loss) on consolidated funds’ investments, the net change in unrealized appreciation (depreciation) on consolidated funds’ investments decreased $236.4 million, to a net loss of $100.1 million for the first six months of 2022, from a net gain of $136.3 million for the first six months of 2021, primarily driven by current market conditions affecting the values of investments held by Opps XI and our CLOs.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Income (Loss)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Investment loss decreased $192.7 million, or 110.9%, to a loss of $18.9 million for the first six months of 2022, from a gain of $173.8 million for the first six months of 2021.</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decrease is primarily driven by current market conditions affecting the values of our Credit and Private Equity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145" w:lineRule="exact"/>
        <w:rPr>
          <w:sz w:val="20"/>
          <w:szCs w:val="20"/>
          <w:color w:val="auto"/>
        </w:rPr>
      </w:pPr>
    </w:p>
    <w:p>
      <w:pPr>
        <w:jc w:val="both"/>
        <w:ind w:right="440" w:firstLine="509"/>
        <w:spacing w:after="0" w:line="271" w:lineRule="auto"/>
        <w:rPr>
          <w:sz w:val="20"/>
          <w:szCs w:val="20"/>
          <w:color w:val="auto"/>
        </w:rPr>
      </w:pPr>
      <w:r>
        <w:rPr>
          <w:rFonts w:ascii="Arial" w:cs="Arial" w:eastAsia="Arial" w:hAnsi="Arial"/>
          <w:sz w:val="14"/>
          <w:szCs w:val="14"/>
          <w:color w:val="auto"/>
        </w:rPr>
        <w:t>Income taxes increased $2.0 million, or 37.0%, to $7.4 million for the first six months of 2022, from $ 5.4 million for the first six months of 2021. The increase primarily reflected higher taxable net income attributable to our operations outside of the United States during the first six months of 2022. Please see the Income Taxes section of “— Understanding Our Results—Consolidation of Oaktree Funds” for details.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Loss Attributable to Non-controlling Interests in Consolidated Funds</w:t>
      </w:r>
    </w:p>
    <w:p>
      <w:pPr>
        <w:spacing w:after="0" w:line="134"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4"/>
          <w:szCs w:val="14"/>
          <w:color w:val="auto"/>
        </w:rPr>
        <w:t>Net (income) loss attributable to non-controlling interests in consolidated funds decreased $45.0 million, to net income of $66.9 million for the first six months of 2022, from net income of $111.9 million for the first six months of 2021. The decrease reflected our consolidated funds’ performance attributable to third-party investors in each period. These effects are described in more detail under “—Other Income (Loss)” above.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(Loss) Attributable to Oaktree Capital Group, LLC Class A Unitholders</w:t>
      </w:r>
    </w:p>
    <w:p>
      <w:pPr>
        <w:spacing w:after="0" w:line="134" w:lineRule="exact"/>
        <w:rPr>
          <w:sz w:val="20"/>
          <w:szCs w:val="20"/>
          <w:color w:val="auto"/>
        </w:rPr>
      </w:pPr>
    </w:p>
    <w:p>
      <w:pPr>
        <w:ind w:right="240" w:firstLine="509"/>
        <w:spacing w:after="0" w:line="290" w:lineRule="auto"/>
        <w:rPr>
          <w:sz w:val="20"/>
          <w:szCs w:val="20"/>
          <w:color w:val="auto"/>
        </w:rPr>
      </w:pPr>
      <w:r>
        <w:rPr>
          <w:rFonts w:ascii="Arial" w:cs="Arial" w:eastAsia="Arial" w:hAnsi="Arial"/>
          <w:sz w:val="14"/>
          <w:szCs w:val="14"/>
          <w:color w:val="auto"/>
        </w:rPr>
        <w:t>Net loss attributable to Oaktree Capital Group, LLC Class A unitholders decreased $391.3 million, or 102.8%, to net loss of $10.5 million for the first six months of 2022, from net income of $380.8 million for the first six months of 2021, primarily reflecting unrealized investment losses driven by current market conditions.</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9" w:right="35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color w:val="auto"/>
        </w:rPr>
        <w:t>Operating Metrics</w:t>
      </w:r>
    </w:p>
    <w:p>
      <w:pPr>
        <w:spacing w:after="0" w:line="136" w:lineRule="exact"/>
        <w:rPr>
          <w:sz w:val="20"/>
          <w:szCs w:val="20"/>
          <w:color w:val="auto"/>
        </w:rPr>
      </w:pPr>
    </w:p>
    <w:p>
      <w:pPr>
        <w:ind w:right="260" w:firstLine="509"/>
        <w:spacing w:after="0" w:line="290" w:lineRule="auto"/>
        <w:rPr>
          <w:sz w:val="20"/>
          <w:szCs w:val="20"/>
          <w:color w:val="auto"/>
        </w:rPr>
      </w:pPr>
      <w:r>
        <w:rPr>
          <w:rFonts w:ascii="Arial" w:cs="Arial" w:eastAsia="Arial" w:hAnsi="Arial"/>
          <w:sz w:val="14"/>
          <w:szCs w:val="14"/>
          <w:color w:val="auto"/>
        </w:rPr>
        <w:t>We monitor certain operating metrics that we believe provide important data regarding our business. These operating metrics include incentive-creating AUM, incentives created (fund level), and accrued incentives (fund level).</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Incentive-creating AUM</w:t>
      </w:r>
    </w:p>
    <w:p>
      <w:pPr>
        <w:spacing w:after="0" w:line="134" w:lineRule="exact"/>
        <w:rPr>
          <w:sz w:val="20"/>
          <w:szCs w:val="20"/>
          <w:color w:val="auto"/>
        </w:rPr>
      </w:pPr>
    </w:p>
    <w:p>
      <w:pPr>
        <w:ind w:right="120" w:firstLine="509"/>
        <w:spacing w:after="0" w:line="276" w:lineRule="auto"/>
        <w:rPr>
          <w:sz w:val="20"/>
          <w:szCs w:val="20"/>
          <w:color w:val="auto"/>
        </w:rPr>
      </w:pPr>
      <w:r>
        <w:rPr>
          <w:rFonts w:ascii="Arial" w:cs="Arial" w:eastAsia="Arial" w:hAnsi="Arial"/>
          <w:sz w:val="14"/>
          <w:szCs w:val="14"/>
          <w:color w:val="auto"/>
        </w:rPr>
        <w:t>Our incentive-creating AUM is set forth below and includes only incentive-creating AUM generated by our indirect subsidiaries, Oaktree Capital I and OCM Cayman for the periods ended June 30, 2022 and December 31, 2021. Incentive-creating AUM does not include undrawn capital commitments and is set forth below:</w:t>
      </w:r>
    </w:p>
    <w:p>
      <w:pPr>
        <w:sectPr>
          <w:pgSz w:w="11900" w:h="16838" w:orient="portrait"/>
          <w:cols w:equalWidth="0" w:num="1">
            <w:col w:w="11280"/>
          </w:cols>
          <w:pgMar w:left="300" w:top="942" w:right="319" w:bottom="1440" w:gutter="0" w:footer="0" w:header="0"/>
        </w:sect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Incentive-creating AUM:</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Closed-end funds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3"/>
          <w:szCs w:val="13"/>
          <w:color w:val="auto"/>
        </w:rPr>
        <w:t>Evergreen funds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br w:type="column"/>
      </w:r>
    </w:p>
    <w:p>
      <w:pPr>
        <w:ind w:left="2380"/>
        <w:spacing w:after="0"/>
        <w:rPr>
          <w:sz w:val="20"/>
          <w:szCs w:val="20"/>
          <w:color w:val="auto"/>
        </w:rPr>
      </w:pPr>
      <w:r>
        <w:rPr>
          <w:rFonts w:ascii="Arial" w:cs="Arial" w:eastAsia="Arial" w:hAnsi="Arial"/>
          <w:sz w:val="10"/>
          <w:szCs w:val="10"/>
          <w:b w:val="1"/>
          <w:bCs w:val="1"/>
          <w:color w:val="auto"/>
        </w:rPr>
        <w:t>As of</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80" w:type="dxa"/>
            <w:vAlign w:val="bottom"/>
            <w:tcBorders>
              <w:top w:val="single" w:sz="8" w:color="auto"/>
              <w:bottom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June 30, 2022</w:t>
            </w:r>
          </w:p>
        </w:tc>
        <w:tc>
          <w:tcPr>
            <w:tcW w:w="240" w:type="dxa"/>
            <w:vAlign w:val="bottom"/>
            <w:tcBorders>
              <w:top w:val="single" w:sz="8" w:color="auto"/>
              <w:bottom w:val="single" w:sz="8" w:color="auto"/>
            </w:tcBorders>
          </w:tcPr>
          <w:p>
            <w:pPr>
              <w:spacing w:after="0"/>
              <w:rPr>
                <w:sz w:val="11"/>
                <w:szCs w:val="11"/>
                <w:color w:val="auto"/>
              </w:rPr>
            </w:pPr>
          </w:p>
        </w:tc>
        <w:tc>
          <w:tcPr>
            <w:tcW w:w="1480" w:type="dxa"/>
            <w:vAlign w:val="bottom"/>
            <w:tcBorders>
              <w:top w:val="single" w:sz="8" w:color="auto"/>
              <w:bottom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8"/>
              </w:rPr>
              <w:t>March 31, 2022</w:t>
            </w:r>
          </w:p>
        </w:tc>
        <w:tc>
          <w:tcPr>
            <w:tcW w:w="20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December 31, 2021</w:t>
            </w:r>
          </w:p>
        </w:tc>
      </w:tr>
      <w:tr>
        <w:trPr>
          <w:trHeight w:val="126"/>
        </w:trPr>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9"/>
              </w:rPr>
              <w:t>(in millions)</w:t>
            </w: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91"/>
        </w:trPr>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39,743</w:t>
            </w:r>
          </w:p>
        </w:tc>
        <w:tc>
          <w:tcPr>
            <w:tcW w:w="200" w:type="dxa"/>
            <w:vAlign w:val="bottom"/>
          </w:tcPr>
          <w:p>
            <w:pPr>
              <w:spacing w:after="0"/>
              <w:rPr>
                <w:sz w:val="16"/>
                <w:szCs w:val="16"/>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2"/>
              <w:spacing w:after="0"/>
              <w:rPr>
                <w:sz w:val="20"/>
                <w:szCs w:val="20"/>
                <w:color w:val="auto"/>
              </w:rPr>
            </w:pPr>
            <w:r>
              <w:rPr>
                <w:rFonts w:ascii="Arial" w:cs="Arial" w:eastAsia="Arial" w:hAnsi="Arial"/>
                <w:sz w:val="13"/>
                <w:szCs w:val="13"/>
                <w:color w:val="auto"/>
              </w:rPr>
              <w:t>40,356</w:t>
            </w:r>
          </w:p>
        </w:tc>
        <w:tc>
          <w:tcPr>
            <w:tcW w:w="18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36,726</w:t>
            </w:r>
          </w:p>
        </w:tc>
      </w:tr>
      <w:tr>
        <w:trPr>
          <w:trHeight w:val="171"/>
        </w:trPr>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4,239</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4,219</w:t>
            </w:r>
          </w:p>
        </w:tc>
      </w:tr>
      <w:tr>
        <w:trPr>
          <w:trHeight w:val="160"/>
        </w:trPr>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43,230</w:t>
            </w:r>
          </w:p>
        </w:tc>
        <w:tc>
          <w:tcPr>
            <w:tcW w:w="2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44,595</w:t>
            </w:r>
          </w:p>
        </w:tc>
        <w:tc>
          <w:tcPr>
            <w:tcW w:w="1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40,945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60" w:space="720"/>
            <w:col w:w="5000"/>
          </w:cols>
          <w:pgMar w:left="300" w:top="942" w:right="31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Second Quarter Ended June 30, 2022</w:t>
      </w:r>
    </w:p>
    <w:p>
      <w:pPr>
        <w:spacing w:after="0" w:line="134" w:lineRule="exact"/>
        <w:rPr>
          <w:sz w:val="20"/>
          <w:szCs w:val="20"/>
          <w:color w:val="auto"/>
        </w:rPr>
      </w:pPr>
    </w:p>
    <w:p>
      <w:pPr>
        <w:ind w:right="100" w:firstLine="509"/>
        <w:spacing w:after="0" w:line="290" w:lineRule="auto"/>
        <w:rPr>
          <w:sz w:val="20"/>
          <w:szCs w:val="20"/>
          <w:color w:val="auto"/>
        </w:rPr>
      </w:pPr>
      <w:r>
        <w:rPr>
          <w:rFonts w:ascii="Arial" w:cs="Arial" w:eastAsia="Arial" w:hAnsi="Arial"/>
          <w:sz w:val="14"/>
          <w:szCs w:val="14"/>
          <w:color w:val="auto"/>
        </w:rPr>
        <w:t>Incentive-creating AUM decreased $1.4 billion, or 3.1%, to $43.2 billion as of June 30, 2022, from $44.6 billion as of March 31, 2022. This decrease reflected $1.3 billion of market-value depreciation, inclusive of the impact of foreign currency fluctuations, and $0.1 billion of net distributions in the second quarter of 2022.</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2022</w:t>
      </w:r>
    </w:p>
    <w:p>
      <w:pPr>
        <w:spacing w:after="0" w:line="134" w:lineRule="exact"/>
        <w:rPr>
          <w:sz w:val="20"/>
          <w:szCs w:val="20"/>
          <w:color w:val="auto"/>
        </w:rPr>
      </w:pPr>
    </w:p>
    <w:p>
      <w:pPr>
        <w:ind w:right="100" w:firstLine="509"/>
        <w:spacing w:after="0" w:line="290" w:lineRule="auto"/>
        <w:rPr>
          <w:sz w:val="20"/>
          <w:szCs w:val="20"/>
          <w:color w:val="auto"/>
        </w:rPr>
      </w:pPr>
      <w:r>
        <w:rPr>
          <w:rFonts w:ascii="Arial" w:cs="Arial" w:eastAsia="Arial" w:hAnsi="Arial"/>
          <w:sz w:val="14"/>
          <w:szCs w:val="14"/>
          <w:color w:val="auto"/>
        </w:rPr>
        <w:t>Incentive-creating AUM increased $2.3 billion, or 5.6%, to $43.2 billion as of June 30, 2022, from $40.9 billion as of December 31, 2021. This increase reflected $1.5 billion of net contributions and $0.8 billion of market-value appreciation, inclusive of the impact of foreign currency fluctuations, during the six months ended 2022.</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Accrued Incentives (Fund Level) and Incentives Created (Fund Level)</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Accrued incentives (fund level), gross and net of incentive income compensation expense, as well as changes in accrued incentives (fund level), are set forth below.</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5"/>
          </w:tcPr>
          <w:p>
            <w:pPr>
              <w:ind w:left="80"/>
              <w:spacing w:after="0"/>
              <w:rPr>
                <w:sz w:val="20"/>
                <w:szCs w:val="20"/>
                <w:color w:val="auto"/>
              </w:rPr>
            </w:pPr>
            <w:r>
              <w:rPr>
                <w:rFonts w:ascii="Arial" w:cs="Arial" w:eastAsia="Arial" w:hAnsi="Arial"/>
                <w:sz w:val="10"/>
                <w:szCs w:val="10"/>
                <w:b w:val="1"/>
                <w:bCs w:val="1"/>
                <w:color w:val="auto"/>
              </w:rPr>
              <w:t>As of or for the Three Months Ended June 30,</w:t>
            </w:r>
          </w:p>
        </w:tc>
        <w:tc>
          <w:tcPr>
            <w:tcW w:w="240" w:type="dxa"/>
            <w:vAlign w:val="bottom"/>
          </w:tcPr>
          <w:p>
            <w:pPr>
              <w:spacing w:after="0"/>
              <w:rPr>
                <w:sz w:val="12"/>
                <w:szCs w:val="12"/>
                <w:color w:val="auto"/>
              </w:rPr>
            </w:pPr>
          </w:p>
        </w:tc>
        <w:tc>
          <w:tcPr>
            <w:tcW w:w="2360" w:type="dxa"/>
            <w:vAlign w:val="bottom"/>
            <w:gridSpan w:val="4"/>
          </w:tcPr>
          <w:p>
            <w:pPr>
              <w:jc w:val="right"/>
              <w:ind w:right="238"/>
              <w:spacing w:after="0"/>
              <w:rPr>
                <w:sz w:val="20"/>
                <w:szCs w:val="20"/>
                <w:color w:val="auto"/>
              </w:rPr>
            </w:pPr>
            <w:r>
              <w:rPr>
                <w:rFonts w:ascii="Arial" w:cs="Arial" w:eastAsia="Arial" w:hAnsi="Arial"/>
                <w:sz w:val="10"/>
                <w:szCs w:val="10"/>
                <w:b w:val="1"/>
                <w:bCs w:val="1"/>
                <w:color w:val="auto"/>
              </w:rPr>
              <w:t>As of or for the Six Months Ended June 30,</w:t>
            </w:r>
          </w:p>
        </w:tc>
      </w:tr>
      <w:tr>
        <w:trPr>
          <w:trHeight w:val="136"/>
        </w:trPr>
        <w:tc>
          <w:tcPr>
            <w:tcW w:w="57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0"/>
                <w:szCs w:val="10"/>
                <w:b w:val="1"/>
                <w:bCs w:val="1"/>
                <w:color w:val="auto"/>
              </w:rPr>
              <w:t>2022</w:t>
            </w:r>
          </w:p>
        </w:tc>
        <w:tc>
          <w:tcPr>
            <w:tcW w:w="2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0"/>
                <w:szCs w:val="10"/>
                <w:b w:val="1"/>
                <w:bCs w:val="1"/>
                <w:color w:val="auto"/>
              </w:rPr>
              <w:t>2022</w:t>
            </w:r>
          </w:p>
        </w:tc>
        <w:tc>
          <w:tcPr>
            <w:tcW w:w="2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0"/>
                <w:szCs w:val="10"/>
                <w:b w:val="1"/>
                <w:bCs w:val="1"/>
                <w:color w:val="auto"/>
              </w:rPr>
              <w:t>2021</w:t>
            </w:r>
          </w:p>
        </w:tc>
      </w:tr>
      <w:tr>
        <w:trPr>
          <w:trHeight w:val="156"/>
        </w:trPr>
        <w:tc>
          <w:tcPr>
            <w:tcW w:w="5780" w:type="dxa"/>
            <w:vAlign w:val="bottom"/>
          </w:tcPr>
          <w:p>
            <w:pPr>
              <w:spacing w:after="0"/>
              <w:rPr>
                <w:sz w:val="20"/>
                <w:szCs w:val="20"/>
                <w:color w:val="auto"/>
              </w:rPr>
            </w:pPr>
            <w:r>
              <w:rPr>
                <w:rFonts w:ascii="Arial" w:cs="Arial" w:eastAsia="Arial" w:hAnsi="Arial"/>
                <w:sz w:val="13"/>
                <w:szCs w:val="13"/>
                <w:b w:val="1"/>
                <w:bCs w:val="1"/>
                <w:color w:val="auto"/>
              </w:rPr>
              <w:t>Accrued Incentives (Fund Level):</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7"/>
        </w:trPr>
        <w:tc>
          <w:tcPr>
            <w:tcW w:w="5780" w:type="dxa"/>
            <w:vAlign w:val="bottom"/>
          </w:tcPr>
          <w:p>
            <w:pPr>
              <w:spacing w:after="0"/>
              <w:rPr>
                <w:sz w:val="20"/>
                <w:szCs w:val="20"/>
                <w:color w:val="auto"/>
              </w:rPr>
            </w:pPr>
            <w:r>
              <w:rPr>
                <w:rFonts w:ascii="Arial" w:cs="Arial" w:eastAsia="Arial" w:hAnsi="Arial"/>
                <w:sz w:val="13"/>
                <w:szCs w:val="13"/>
                <w:color w:val="auto"/>
              </w:rPr>
              <w:t>Beginning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1,666,345</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1,540,648</w:t>
            </w: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1,668,838</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1,314,443</w:t>
            </w:r>
          </w:p>
        </w:tc>
      </w:tr>
      <w:tr>
        <w:trPr>
          <w:trHeight w:val="150"/>
        </w:trPr>
        <w:tc>
          <w:tcPr>
            <w:tcW w:w="5780" w:type="dxa"/>
            <w:vAlign w:val="bottom"/>
          </w:tcPr>
          <w:p>
            <w:pPr>
              <w:spacing w:after="0"/>
              <w:rPr>
                <w:sz w:val="20"/>
                <w:szCs w:val="20"/>
                <w:color w:val="auto"/>
              </w:rPr>
            </w:pPr>
            <w:r>
              <w:rPr>
                <w:rFonts w:ascii="Arial" w:cs="Arial" w:eastAsia="Arial" w:hAnsi="Arial"/>
                <w:sz w:val="13"/>
                <w:szCs w:val="13"/>
                <w:color w:val="auto"/>
              </w:rPr>
              <w:t>Incentives created (fund level):</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0"/>
        </w:trPr>
        <w:tc>
          <w:tcPr>
            <w:tcW w:w="5780" w:type="dxa"/>
            <w:vAlign w:val="bottom"/>
          </w:tcPr>
          <w:p>
            <w:pPr>
              <w:ind w:left="260"/>
              <w:spacing w:after="0"/>
              <w:rPr>
                <w:sz w:val="20"/>
                <w:szCs w:val="20"/>
                <w:color w:val="auto"/>
              </w:rPr>
            </w:pPr>
            <w:r>
              <w:rPr>
                <w:rFonts w:ascii="Arial" w:cs="Arial" w:eastAsia="Arial" w:hAnsi="Arial"/>
                <w:sz w:val="13"/>
                <w:szCs w:val="13"/>
                <w:color w:val="auto"/>
              </w:rPr>
              <w:t>Closed-end funds</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(33,348)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394,273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123,733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1,190,832</w:t>
            </w:r>
          </w:p>
        </w:tc>
      </w:tr>
      <w:tr>
        <w:trPr>
          <w:trHeight w:val="170"/>
        </w:trPr>
        <w:tc>
          <w:tcPr>
            <w:tcW w:w="5780" w:type="dxa"/>
            <w:vAlign w:val="bottom"/>
          </w:tcPr>
          <w:p>
            <w:pPr>
              <w:ind w:left="260"/>
              <w:spacing w:after="0"/>
              <w:rPr>
                <w:sz w:val="20"/>
                <w:szCs w:val="20"/>
                <w:color w:val="auto"/>
              </w:rPr>
            </w:pPr>
            <w:r>
              <w:rPr>
                <w:rFonts w:ascii="Arial" w:cs="Arial" w:eastAsia="Arial" w:hAnsi="Arial"/>
                <w:sz w:val="13"/>
                <w:szCs w:val="13"/>
                <w:color w:val="auto"/>
              </w:rPr>
              <w:t>Evergreen funds</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(6,075)</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19,610</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614</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43,167</w:t>
            </w:r>
          </w:p>
        </w:tc>
      </w:tr>
      <w:tr>
        <w:trPr>
          <w:trHeight w:val="160"/>
        </w:trPr>
        <w:tc>
          <w:tcPr>
            <w:tcW w:w="5780" w:type="dxa"/>
            <w:vAlign w:val="bottom"/>
          </w:tcPr>
          <w:p>
            <w:pPr>
              <w:ind w:left="500"/>
              <w:spacing w:after="0"/>
              <w:rPr>
                <w:sz w:val="20"/>
                <w:szCs w:val="20"/>
                <w:color w:val="auto"/>
              </w:rPr>
            </w:pPr>
            <w:r>
              <w:rPr>
                <w:rFonts w:ascii="Arial" w:cs="Arial" w:eastAsia="Arial" w:hAnsi="Arial"/>
                <w:sz w:val="13"/>
                <w:szCs w:val="13"/>
                <w:color w:val="auto"/>
              </w:rPr>
              <w:t>Total incentives created (fund level)</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(39,423)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413,883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124,347</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1,233,999</w:t>
            </w:r>
          </w:p>
        </w:tc>
      </w:tr>
      <w:tr>
        <w:trPr>
          <w:trHeight w:val="171"/>
        </w:trPr>
        <w:tc>
          <w:tcPr>
            <w:tcW w:w="5780" w:type="dxa"/>
            <w:vAlign w:val="bottom"/>
          </w:tcPr>
          <w:p>
            <w:pPr>
              <w:spacing w:after="0"/>
              <w:rPr>
                <w:sz w:val="20"/>
                <w:szCs w:val="20"/>
                <w:color w:val="auto"/>
              </w:rPr>
            </w:pPr>
            <w:r>
              <w:rPr>
                <w:rFonts w:ascii="Arial" w:cs="Arial" w:eastAsia="Arial" w:hAnsi="Arial"/>
                <w:sz w:val="13"/>
                <w:szCs w:val="13"/>
                <w:color w:val="auto"/>
              </w:rPr>
              <w:t>Less: incentive income recognized by us</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(53,504)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(92,522)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(219,767)</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(686,433)</w:t>
            </w: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1,573,418</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1,862,009</w:t>
            </w: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1,573,418</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1,862,009</w:t>
            </w: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2"/>
        </w:trPr>
        <w:tc>
          <w:tcPr>
            <w:tcW w:w="5780" w:type="dxa"/>
            <w:vAlign w:val="bottom"/>
          </w:tcPr>
          <w:p>
            <w:pPr>
              <w:spacing w:after="0"/>
              <w:rPr>
                <w:sz w:val="20"/>
                <w:szCs w:val="20"/>
                <w:color w:val="auto"/>
              </w:rPr>
            </w:pPr>
            <w:r>
              <w:rPr>
                <w:rFonts w:ascii="Arial" w:cs="Arial" w:eastAsia="Arial" w:hAnsi="Arial"/>
                <w:sz w:val="13"/>
                <w:szCs w:val="13"/>
                <w:color w:val="auto"/>
              </w:rPr>
              <w:t>Accrued incentives (fund level), net of associated incentive income compensation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752,679</w:t>
            </w:r>
          </w:p>
        </w:tc>
        <w:tc>
          <w:tcPr>
            <w:tcW w:w="26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859,066</w:t>
            </w:r>
          </w:p>
        </w:tc>
        <w:tc>
          <w:tcPr>
            <w:tcW w:w="26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752,679</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859,066</w:t>
            </w: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4"/>
          <w:szCs w:val="14"/>
          <w:color w:val="auto"/>
        </w:rPr>
        <w:t>As of June 30, 2022 and 2021, the portion of net accrued incentives (fund level) represented by funds that were currently paying incentives was $21.0 million (or 2.8%) and $131.7 million (or 15.3%), respectively, with the remainder arising from funds that as of that date were not at the stage of their cash distribution waterfall where Oaktree was entitled to receive incentives, other than possibly tax-related distributions.</w:t>
      </w:r>
    </w:p>
    <w:p>
      <w:pPr>
        <w:spacing w:after="0" w:line="91" w:lineRule="exact"/>
        <w:rPr>
          <w:sz w:val="20"/>
          <w:szCs w:val="20"/>
          <w:color w:val="auto"/>
        </w:rPr>
      </w:pPr>
    </w:p>
    <w:p>
      <w:pPr>
        <w:ind w:right="600" w:firstLine="446"/>
        <w:spacing w:after="0" w:line="290" w:lineRule="auto"/>
        <w:rPr>
          <w:sz w:val="20"/>
          <w:szCs w:val="20"/>
          <w:color w:val="auto"/>
        </w:rPr>
      </w:pPr>
      <w:r>
        <w:rPr>
          <w:rFonts w:ascii="Arial" w:cs="Arial" w:eastAsia="Arial" w:hAnsi="Arial"/>
          <w:sz w:val="14"/>
          <w:szCs w:val="14"/>
          <w:color w:val="auto"/>
        </w:rPr>
        <w:t>As of June 30, 2022, $ 323.0 million, or 42.9%, of the net accrued incentives (fund level) were in evergreen or closed-end funds that were incentive paying or in their liquidation period. Please see “—Critical Accounting Policies—Fair Value of Financial Instruments” for a discussion of the fair-value hierarchy level established by GAAP.</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4"/>
          <w:szCs w:val="14"/>
          <w:i w:val="1"/>
          <w:iCs w:val="1"/>
          <w:color w:val="auto"/>
        </w:rPr>
        <w:t>Second Quarter Ended June 30, 2022</w:t>
      </w:r>
    </w:p>
    <w:p>
      <w:pPr>
        <w:spacing w:after="0" w:line="134" w:lineRule="exact"/>
        <w:rPr>
          <w:sz w:val="20"/>
          <w:szCs w:val="20"/>
          <w:color w:val="auto"/>
        </w:rPr>
      </w:pPr>
    </w:p>
    <w:p>
      <w:pPr>
        <w:ind w:right="120" w:firstLine="446"/>
        <w:spacing w:after="0" w:line="290" w:lineRule="auto"/>
        <w:rPr>
          <w:sz w:val="20"/>
          <w:szCs w:val="20"/>
          <w:color w:val="auto"/>
        </w:rPr>
      </w:pPr>
      <w:r>
        <w:rPr>
          <w:rFonts w:ascii="Arial" w:cs="Arial" w:eastAsia="Arial" w:hAnsi="Arial"/>
          <w:sz w:val="14"/>
          <w:szCs w:val="14"/>
          <w:color w:val="auto"/>
        </w:rPr>
        <w:t>Incentives created (fund level) was $(39.4) million for the second quarter of June 30, 2022, primarily reflecting $(73.8) million from Private Equity funds and $(16.3) million from Credit funds, partially offset by $52.6 million from Listed Equities funds.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2022</w:t>
      </w:r>
    </w:p>
    <w:p>
      <w:pPr>
        <w:spacing w:after="0" w:line="134" w:lineRule="exact"/>
        <w:rPr>
          <w:sz w:val="20"/>
          <w:szCs w:val="20"/>
          <w:color w:val="auto"/>
        </w:rPr>
      </w:pPr>
    </w:p>
    <w:p>
      <w:pPr>
        <w:ind w:firstLine="446"/>
        <w:spacing w:after="0" w:line="290" w:lineRule="auto"/>
        <w:rPr>
          <w:sz w:val="20"/>
          <w:szCs w:val="20"/>
          <w:color w:val="auto"/>
        </w:rPr>
      </w:pPr>
      <w:r>
        <w:rPr>
          <w:rFonts w:ascii="Arial" w:cs="Arial" w:eastAsia="Arial" w:hAnsi="Arial"/>
          <w:sz w:val="14"/>
          <w:szCs w:val="14"/>
          <w:color w:val="auto"/>
        </w:rPr>
        <w:t>Incentives created (fund level) was $124.4 million for the first six months of June 30, 2022, primarily reflecting $108.5 million from Credit funds and $52.6 million from Listed Equities, partially offset by $(36.9) million from Private Equity funds.</w:t>
      </w: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859" w:right="4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color w:val="auto"/>
        </w:rPr>
        <w:t>GAAP Statement of Financial Condition (Unaudited)</w:t>
      </w:r>
    </w:p>
    <w:p>
      <w:pPr>
        <w:spacing w:after="0" w:line="72"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We manage our financial condition without the consolidation of the Oaktree funds in which we serve as general partner. Since Oaktree’s founding, Oaktree and, by extension, we have managed our financial condition in a way that builds our capital base and maintains sufficient liquidity for known and anticipated uses of cash. Our assets do not include accrued incentives (fund level), an off-balance sheet metric.</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our unaudited condensed consolidating statement of financial condition:</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5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June 30, 2022</w:t>
            </w:r>
          </w:p>
        </w:tc>
        <w:tc>
          <w:tcPr>
            <w:tcW w:w="9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5440" w:type="dxa"/>
            <w:vAlign w:val="bottom"/>
          </w:tcPr>
          <w:p>
            <w:pPr>
              <w:spacing w:after="0"/>
              <w:rPr>
                <w:sz w:val="7"/>
                <w:szCs w:val="7"/>
                <w:color w:val="auto"/>
              </w:rPr>
            </w:pPr>
          </w:p>
        </w:tc>
        <w:tc>
          <w:tcPr>
            <w:tcW w:w="1520" w:type="dxa"/>
            <w:vAlign w:val="bottom"/>
            <w:gridSpan w:val="3"/>
          </w:tcPr>
          <w:p>
            <w:pPr>
              <w:jc w:val="center"/>
              <w:ind w:right="300"/>
              <w:spacing w:after="0" w:line="90" w:lineRule="exact"/>
              <w:rPr>
                <w:sz w:val="20"/>
                <w:szCs w:val="20"/>
                <w:color w:val="auto"/>
              </w:rPr>
            </w:pPr>
            <w:r>
              <w:rPr>
                <w:rFonts w:ascii="Arial" w:cs="Arial" w:eastAsia="Arial" w:hAnsi="Arial"/>
                <w:sz w:val="10"/>
                <w:szCs w:val="10"/>
                <w:b w:val="1"/>
                <w:bCs w:val="1"/>
                <w:color w:val="auto"/>
                <w:w w:val="98"/>
              </w:rPr>
              <w:t>Oaktree and Operating</w:t>
            </w:r>
          </w:p>
        </w:tc>
        <w:tc>
          <w:tcPr>
            <w:tcW w:w="100" w:type="dxa"/>
            <w:vAlign w:val="bottom"/>
          </w:tcPr>
          <w:p>
            <w:pPr>
              <w:spacing w:after="0"/>
              <w:rPr>
                <w:sz w:val="7"/>
                <w:szCs w:val="7"/>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Consolidated Funds</w:t>
            </w:r>
          </w:p>
        </w:tc>
        <w:tc>
          <w:tcPr>
            <w:tcW w:w="32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Eliminations</w:t>
            </w:r>
          </w:p>
        </w:tc>
        <w:tc>
          <w:tcPr>
            <w:tcW w:w="200" w:type="dxa"/>
            <w:vAlign w:val="bottom"/>
          </w:tcPr>
          <w:p>
            <w:pPr>
              <w:spacing w:after="0"/>
              <w:rPr>
                <w:sz w:val="7"/>
                <w:szCs w:val="7"/>
                <w:color w:val="auto"/>
              </w:rPr>
            </w:pPr>
          </w:p>
        </w:tc>
        <w:tc>
          <w:tcPr>
            <w:tcW w:w="1040" w:type="dxa"/>
            <w:vAlign w:val="bottom"/>
            <w:vMerge w:val="restart"/>
          </w:tcPr>
          <w:p>
            <w:pPr>
              <w:jc w:val="right"/>
              <w:ind w:right="237"/>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45"/>
        </w:trPr>
        <w:tc>
          <w:tcPr>
            <w:tcW w:w="5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97"/>
              </w:rPr>
              <w:t>Subsidiaries</w:t>
            </w: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jc w:val="right"/>
              <w:ind w:right="56"/>
              <w:spacing w:after="0"/>
              <w:rPr>
                <w:sz w:val="20"/>
                <w:szCs w:val="20"/>
                <w:color w:val="auto"/>
              </w:rPr>
            </w:pPr>
            <w:r>
              <w:rPr>
                <w:rFonts w:ascii="Arial" w:cs="Arial" w:eastAsia="Arial" w:hAnsi="Arial"/>
                <w:sz w:val="10"/>
                <w:szCs w:val="10"/>
                <w:b w:val="1"/>
                <w:bCs w:val="1"/>
                <w:color w:val="auto"/>
              </w:rPr>
              <w:t>(in thousands)</w:t>
            </w: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44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440" w:type="dxa"/>
            <w:vAlign w:val="bottom"/>
          </w:tcPr>
          <w:p>
            <w:pPr>
              <w:spacing w:after="0"/>
              <w:rPr>
                <w:sz w:val="20"/>
                <w:szCs w:val="20"/>
                <w:color w:val="auto"/>
              </w:rPr>
            </w:pPr>
            <w:r>
              <w:rPr>
                <w:rFonts w:ascii="Arial" w:cs="Arial" w:eastAsia="Arial" w:hAnsi="Arial"/>
                <w:sz w:val="13"/>
                <w:szCs w:val="13"/>
                <w:color w:val="auto"/>
              </w:rPr>
              <w:t>Cash and cash-equivalents</w:t>
            </w:r>
          </w:p>
        </w:tc>
        <w:tc>
          <w:tcPr>
            <w:tcW w:w="200" w:type="dxa"/>
            <w:vAlign w:val="bottom"/>
          </w:tcPr>
          <w:p>
            <w:pPr>
              <w:jc w:val="right"/>
              <w:ind w:right="59"/>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348,040</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348,040</w:t>
            </w:r>
          </w:p>
        </w:tc>
        <w:tc>
          <w:tcPr>
            <w:tcW w:w="0" w:type="dxa"/>
            <w:vAlign w:val="bottom"/>
          </w:tcPr>
          <w:p>
            <w:pPr>
              <w:spacing w:after="0"/>
              <w:rPr>
                <w:sz w:val="1"/>
                <w:szCs w:val="1"/>
                <w:color w:val="auto"/>
              </w:rPr>
            </w:pPr>
          </w:p>
        </w:tc>
      </w:tr>
      <w:tr>
        <w:trPr>
          <w:trHeight w:val="170"/>
        </w:trPr>
        <w:tc>
          <w:tcPr>
            <w:tcW w:w="5440" w:type="dxa"/>
            <w:vAlign w:val="bottom"/>
          </w:tcPr>
          <w:p>
            <w:pPr>
              <w:spacing w:after="0"/>
              <w:rPr>
                <w:sz w:val="20"/>
                <w:szCs w:val="20"/>
                <w:color w:val="auto"/>
              </w:rPr>
            </w:pPr>
            <w:r>
              <w:rPr>
                <w:rFonts w:ascii="Arial" w:cs="Arial" w:eastAsia="Arial" w:hAnsi="Arial"/>
                <w:sz w:val="13"/>
                <w:szCs w:val="13"/>
                <w:color w:val="auto"/>
              </w:rPr>
              <w:t>U.S. Treasury and other securities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6,285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6,285</w:t>
            </w:r>
          </w:p>
        </w:tc>
        <w:tc>
          <w:tcPr>
            <w:tcW w:w="0" w:type="dxa"/>
            <w:vAlign w:val="bottom"/>
          </w:tcPr>
          <w:p>
            <w:pPr>
              <w:spacing w:after="0"/>
              <w:rPr>
                <w:sz w:val="1"/>
                <w:szCs w:val="1"/>
                <w:color w:val="auto"/>
              </w:rPr>
            </w:pPr>
          </w:p>
        </w:tc>
      </w:tr>
      <w:tr>
        <w:trPr>
          <w:trHeight w:val="170"/>
        </w:trPr>
        <w:tc>
          <w:tcPr>
            <w:tcW w:w="5440" w:type="dxa"/>
            <w:vAlign w:val="bottom"/>
          </w:tcPr>
          <w:p>
            <w:pPr>
              <w:spacing w:after="0"/>
              <w:rPr>
                <w:sz w:val="20"/>
                <w:szCs w:val="20"/>
                <w:color w:val="auto"/>
              </w:rPr>
            </w:pPr>
            <w:r>
              <w:rPr>
                <w:rFonts w:ascii="Arial" w:cs="Arial" w:eastAsia="Arial" w:hAnsi="Arial"/>
                <w:sz w:val="13"/>
                <w:szCs w:val="13"/>
                <w:color w:val="auto"/>
              </w:rPr>
              <w:t>Corporate investments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2,080,181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(946,514)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1,133,667</w:t>
            </w:r>
          </w:p>
        </w:tc>
        <w:tc>
          <w:tcPr>
            <w:tcW w:w="0" w:type="dxa"/>
            <w:vAlign w:val="bottom"/>
          </w:tcPr>
          <w:p>
            <w:pPr>
              <w:spacing w:after="0"/>
              <w:rPr>
                <w:sz w:val="1"/>
                <w:szCs w:val="1"/>
                <w:color w:val="auto"/>
              </w:rPr>
            </w:pPr>
          </w:p>
        </w:tc>
      </w:tr>
      <w:tr>
        <w:trPr>
          <w:trHeight w:val="170"/>
        </w:trPr>
        <w:tc>
          <w:tcPr>
            <w:tcW w:w="5440" w:type="dxa"/>
            <w:vAlign w:val="bottom"/>
          </w:tcPr>
          <w:p>
            <w:pPr>
              <w:spacing w:after="0"/>
              <w:rPr>
                <w:sz w:val="20"/>
                <w:szCs w:val="20"/>
                <w:color w:val="auto"/>
              </w:rPr>
            </w:pPr>
            <w:r>
              <w:rPr>
                <w:rFonts w:ascii="Arial" w:cs="Arial" w:eastAsia="Arial" w:hAnsi="Arial"/>
                <w:sz w:val="13"/>
                <w:szCs w:val="13"/>
                <w:color w:val="auto"/>
              </w:rPr>
              <w:t>Deferred tax assets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3,653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3,653</w:t>
            </w:r>
          </w:p>
        </w:tc>
        <w:tc>
          <w:tcPr>
            <w:tcW w:w="0" w:type="dxa"/>
            <w:vAlign w:val="bottom"/>
          </w:tcPr>
          <w:p>
            <w:pPr>
              <w:spacing w:after="0"/>
              <w:rPr>
                <w:sz w:val="1"/>
                <w:szCs w:val="1"/>
                <w:color w:val="auto"/>
              </w:rPr>
            </w:pPr>
          </w:p>
        </w:tc>
      </w:tr>
      <w:tr>
        <w:trPr>
          <w:trHeight w:val="170"/>
        </w:trPr>
        <w:tc>
          <w:tcPr>
            <w:tcW w:w="5440" w:type="dxa"/>
            <w:vAlign w:val="bottom"/>
          </w:tcPr>
          <w:p>
            <w:pPr>
              <w:spacing w:after="0"/>
              <w:rPr>
                <w:sz w:val="20"/>
                <w:szCs w:val="20"/>
                <w:color w:val="auto"/>
              </w:rPr>
            </w:pPr>
            <w:r>
              <w:rPr>
                <w:rFonts w:ascii="Arial" w:cs="Arial" w:eastAsia="Arial" w:hAnsi="Arial"/>
                <w:sz w:val="13"/>
                <w:szCs w:val="13"/>
                <w:color w:val="auto"/>
              </w:rPr>
              <w:t>Right-of-use assets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28,075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28,075</w:t>
            </w:r>
          </w:p>
        </w:tc>
        <w:tc>
          <w:tcPr>
            <w:tcW w:w="0" w:type="dxa"/>
            <w:vAlign w:val="bottom"/>
          </w:tcPr>
          <w:p>
            <w:pPr>
              <w:spacing w:after="0"/>
              <w:rPr>
                <w:sz w:val="1"/>
                <w:szCs w:val="1"/>
                <w:color w:val="auto"/>
              </w:rPr>
            </w:pPr>
          </w:p>
        </w:tc>
      </w:tr>
      <w:tr>
        <w:trPr>
          <w:trHeight w:val="170"/>
        </w:trPr>
        <w:tc>
          <w:tcPr>
            <w:tcW w:w="5440" w:type="dxa"/>
            <w:vAlign w:val="bottom"/>
          </w:tcPr>
          <w:p>
            <w:pPr>
              <w:spacing w:after="0"/>
              <w:rPr>
                <w:sz w:val="20"/>
                <w:szCs w:val="20"/>
                <w:color w:val="auto"/>
              </w:rPr>
            </w:pPr>
            <w:r>
              <w:rPr>
                <w:rFonts w:ascii="Arial" w:cs="Arial" w:eastAsia="Arial" w:hAnsi="Arial"/>
                <w:sz w:val="13"/>
                <w:szCs w:val="13"/>
                <w:color w:val="auto"/>
              </w:rPr>
              <w:t>Receivables and other assets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137,959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774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138,733</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Arial" w:cs="Arial" w:eastAsia="Arial" w:hAnsi="Arial"/>
                <w:sz w:val="13"/>
                <w:szCs w:val="13"/>
                <w:color w:val="auto"/>
              </w:rPr>
              <w:t>Assets of consolidated funds</w:t>
            </w:r>
          </w:p>
        </w:tc>
        <w:tc>
          <w:tcPr>
            <w:tcW w:w="20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12,756,222</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12,756,222</w:t>
            </w:r>
          </w:p>
        </w:tc>
        <w:tc>
          <w:tcPr>
            <w:tcW w:w="0" w:type="dxa"/>
            <w:vAlign w:val="bottom"/>
          </w:tcPr>
          <w:p>
            <w:pPr>
              <w:spacing w:after="0"/>
              <w:rPr>
                <w:sz w:val="1"/>
                <w:szCs w:val="1"/>
                <w:color w:val="auto"/>
              </w:rPr>
            </w:pPr>
          </w:p>
        </w:tc>
      </w:tr>
      <w:tr>
        <w:trPr>
          <w:trHeight w:val="162"/>
        </w:trPr>
        <w:tc>
          <w:tcPr>
            <w:tcW w:w="5440" w:type="dxa"/>
            <w:vAlign w:val="bottom"/>
          </w:tcPr>
          <w:p>
            <w:pPr>
              <w:ind w:left="260"/>
              <w:spacing w:after="0"/>
              <w:rPr>
                <w:sz w:val="20"/>
                <w:szCs w:val="20"/>
                <w:color w:val="auto"/>
              </w:rPr>
            </w:pPr>
            <w:r>
              <w:rPr>
                <w:rFonts w:ascii="Arial" w:cs="Arial" w:eastAsia="Arial" w:hAnsi="Arial"/>
                <w:sz w:val="13"/>
                <w:szCs w:val="13"/>
                <w:color w:val="auto"/>
              </w:rPr>
              <w:t>Total assets</w:t>
            </w: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2,604,193</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12,756,222</w:t>
            </w:r>
          </w:p>
        </w:tc>
        <w:tc>
          <w:tcPr>
            <w:tcW w:w="3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(945,740)</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14,414,675</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Capital:</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40" w:type="dxa"/>
            <w:vAlign w:val="bottom"/>
          </w:tcPr>
          <w:p>
            <w:pPr>
              <w:spacing w:after="0"/>
              <w:rPr>
                <w:sz w:val="20"/>
                <w:szCs w:val="20"/>
                <w:color w:val="auto"/>
              </w:rPr>
            </w:pPr>
            <w:r>
              <w:rPr>
                <w:rFonts w:ascii="Arial" w:cs="Arial" w:eastAsia="Arial" w:hAnsi="Arial"/>
                <w:sz w:val="13"/>
                <w:szCs w:val="13"/>
                <w:color w:val="auto"/>
              </w:rPr>
              <w:t>Liabilities: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40" w:type="dxa"/>
            <w:vAlign w:val="bottom"/>
          </w:tcPr>
          <w:p>
            <w:pPr>
              <w:ind w:left="260"/>
              <w:spacing w:after="0"/>
              <w:rPr>
                <w:sz w:val="20"/>
                <w:szCs w:val="20"/>
                <w:color w:val="auto"/>
              </w:rPr>
            </w:pPr>
            <w:r>
              <w:rPr>
                <w:rFonts w:ascii="Arial" w:cs="Arial" w:eastAsia="Arial" w:hAnsi="Arial"/>
                <w:sz w:val="13"/>
                <w:szCs w:val="13"/>
                <w:color w:val="auto"/>
              </w:rPr>
              <w:t>Accounts payable and accrued expenses</w:t>
            </w:r>
          </w:p>
        </w:tc>
        <w:tc>
          <w:tcPr>
            <w:tcW w:w="200" w:type="dxa"/>
            <w:vAlign w:val="bottom"/>
          </w:tcPr>
          <w:p>
            <w:pPr>
              <w:jc w:val="right"/>
              <w:ind w:right="59"/>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156,038</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156,038</w:t>
            </w:r>
          </w:p>
        </w:tc>
        <w:tc>
          <w:tcPr>
            <w:tcW w:w="0" w:type="dxa"/>
            <w:vAlign w:val="bottom"/>
          </w:tcPr>
          <w:p>
            <w:pPr>
              <w:spacing w:after="0"/>
              <w:rPr>
                <w:sz w:val="1"/>
                <w:szCs w:val="1"/>
                <w:color w:val="auto"/>
              </w:rPr>
            </w:pPr>
          </w:p>
        </w:tc>
      </w:tr>
      <w:tr>
        <w:trPr>
          <w:trHeight w:val="170"/>
        </w:trPr>
        <w:tc>
          <w:tcPr>
            <w:tcW w:w="5440" w:type="dxa"/>
            <w:vAlign w:val="bottom"/>
          </w:tcPr>
          <w:p>
            <w:pPr>
              <w:ind w:left="260"/>
              <w:spacing w:after="0"/>
              <w:rPr>
                <w:sz w:val="20"/>
                <w:szCs w:val="20"/>
                <w:color w:val="auto"/>
              </w:rPr>
            </w:pPr>
            <w:r>
              <w:rPr>
                <w:rFonts w:ascii="Arial" w:cs="Arial" w:eastAsia="Arial" w:hAnsi="Arial"/>
                <w:sz w:val="13"/>
                <w:szCs w:val="13"/>
                <w:color w:val="auto"/>
              </w:rPr>
              <w:t>Due to affiliates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11,266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11,266</w:t>
            </w:r>
          </w:p>
        </w:tc>
        <w:tc>
          <w:tcPr>
            <w:tcW w:w="0" w:type="dxa"/>
            <w:vAlign w:val="bottom"/>
          </w:tcPr>
          <w:p>
            <w:pPr>
              <w:spacing w:after="0"/>
              <w:rPr>
                <w:sz w:val="1"/>
                <w:szCs w:val="1"/>
                <w:color w:val="auto"/>
              </w:rPr>
            </w:pPr>
          </w:p>
        </w:tc>
      </w:tr>
      <w:tr>
        <w:trPr>
          <w:trHeight w:val="170"/>
        </w:trPr>
        <w:tc>
          <w:tcPr>
            <w:tcW w:w="5440" w:type="dxa"/>
            <w:vAlign w:val="bottom"/>
          </w:tcPr>
          <w:p>
            <w:pPr>
              <w:ind w:left="260"/>
              <w:spacing w:after="0"/>
              <w:rPr>
                <w:sz w:val="20"/>
                <w:szCs w:val="20"/>
                <w:color w:val="auto"/>
              </w:rPr>
            </w:pPr>
            <w:r>
              <w:rPr>
                <w:rFonts w:ascii="Arial" w:cs="Arial" w:eastAsia="Arial" w:hAnsi="Arial"/>
                <w:sz w:val="13"/>
                <w:szCs w:val="13"/>
                <w:color w:val="auto"/>
              </w:rPr>
              <w:t>Debt obligations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213,754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213,754</w:t>
            </w:r>
          </w:p>
        </w:tc>
        <w:tc>
          <w:tcPr>
            <w:tcW w:w="0" w:type="dxa"/>
            <w:vAlign w:val="bottom"/>
          </w:tcPr>
          <w:p>
            <w:pPr>
              <w:spacing w:after="0"/>
              <w:rPr>
                <w:sz w:val="1"/>
                <w:szCs w:val="1"/>
                <w:color w:val="auto"/>
              </w:rPr>
            </w:pPr>
          </w:p>
        </w:tc>
      </w:tr>
      <w:tr>
        <w:trPr>
          <w:trHeight w:val="170"/>
        </w:trPr>
        <w:tc>
          <w:tcPr>
            <w:tcW w:w="5440" w:type="dxa"/>
            <w:vAlign w:val="bottom"/>
          </w:tcPr>
          <w:p>
            <w:pPr>
              <w:ind w:left="260"/>
              <w:spacing w:after="0"/>
              <w:rPr>
                <w:sz w:val="20"/>
                <w:szCs w:val="20"/>
                <w:color w:val="auto"/>
              </w:rPr>
            </w:pPr>
            <w:r>
              <w:rPr>
                <w:rFonts w:ascii="Arial" w:cs="Arial" w:eastAsia="Arial" w:hAnsi="Arial"/>
                <w:sz w:val="13"/>
                <w:szCs w:val="13"/>
                <w:color w:val="auto"/>
              </w:rPr>
              <w:t>Operating lease liabilities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33,361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33,361</w:t>
            </w:r>
          </w:p>
        </w:tc>
        <w:tc>
          <w:tcPr>
            <w:tcW w:w="0" w:type="dxa"/>
            <w:vAlign w:val="bottom"/>
          </w:tcPr>
          <w:p>
            <w:pPr>
              <w:spacing w:after="0"/>
              <w:rPr>
                <w:sz w:val="1"/>
                <w:szCs w:val="1"/>
                <w:color w:val="auto"/>
              </w:rPr>
            </w:pPr>
          </w:p>
        </w:tc>
      </w:tr>
      <w:tr>
        <w:trPr>
          <w:trHeight w:val="170"/>
        </w:trPr>
        <w:tc>
          <w:tcPr>
            <w:tcW w:w="5440" w:type="dxa"/>
            <w:vAlign w:val="bottom"/>
          </w:tcPr>
          <w:p>
            <w:pPr>
              <w:ind w:left="260"/>
              <w:spacing w:after="0"/>
              <w:rPr>
                <w:sz w:val="20"/>
                <w:szCs w:val="20"/>
                <w:color w:val="auto"/>
              </w:rPr>
            </w:pPr>
            <w:r>
              <w:rPr>
                <w:rFonts w:ascii="Arial" w:cs="Arial" w:eastAsia="Arial" w:hAnsi="Arial"/>
                <w:sz w:val="13"/>
                <w:szCs w:val="13"/>
                <w:color w:val="auto"/>
              </w:rPr>
              <w:t>Liabilities of consolidated funds</w:t>
            </w:r>
          </w:p>
        </w:tc>
        <w:tc>
          <w:tcPr>
            <w:tcW w:w="20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9,858,844</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(4,070)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9,854,774</w:t>
            </w:r>
          </w:p>
        </w:tc>
        <w:tc>
          <w:tcPr>
            <w:tcW w:w="0" w:type="dxa"/>
            <w:vAlign w:val="bottom"/>
          </w:tcPr>
          <w:p>
            <w:pPr>
              <w:spacing w:after="0"/>
              <w:rPr>
                <w:sz w:val="1"/>
                <w:szCs w:val="1"/>
                <w:color w:val="auto"/>
              </w:rPr>
            </w:pPr>
          </w:p>
        </w:tc>
      </w:tr>
      <w:tr>
        <w:trPr>
          <w:trHeight w:val="160"/>
        </w:trPr>
        <w:tc>
          <w:tcPr>
            <w:tcW w:w="5440" w:type="dxa"/>
            <w:vAlign w:val="bottom"/>
          </w:tcPr>
          <w:p>
            <w:pPr>
              <w:ind w:left="500"/>
              <w:spacing w:after="0"/>
              <w:rPr>
                <w:sz w:val="20"/>
                <w:szCs w:val="20"/>
                <w:color w:val="auto"/>
              </w:rPr>
            </w:pPr>
            <w:r>
              <w:rPr>
                <w:rFonts w:ascii="Arial" w:cs="Arial" w:eastAsia="Arial" w:hAnsi="Arial"/>
                <w:sz w:val="13"/>
                <w:szCs w:val="13"/>
                <w:color w:val="auto"/>
              </w:rPr>
              <w:t>Total liabilities</w:t>
            </w: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414,419</w:t>
            </w: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9,858,844</w:t>
            </w:r>
          </w:p>
        </w:tc>
        <w:tc>
          <w:tcPr>
            <w:tcW w:w="3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(4,070)</w:t>
            </w: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10,269,193</w:t>
            </w:r>
          </w:p>
        </w:tc>
        <w:tc>
          <w:tcPr>
            <w:tcW w:w="0" w:type="dxa"/>
            <w:vAlign w:val="bottom"/>
          </w:tcPr>
          <w:p>
            <w:pPr>
              <w:spacing w:after="0"/>
              <w:rPr>
                <w:sz w:val="1"/>
                <w:szCs w:val="1"/>
                <w:color w:val="auto"/>
              </w:rPr>
            </w:pPr>
          </w:p>
        </w:tc>
      </w:tr>
      <w:tr>
        <w:trPr>
          <w:trHeight w:val="160"/>
        </w:trPr>
        <w:tc>
          <w:tcPr>
            <w:tcW w:w="5440" w:type="dxa"/>
            <w:vAlign w:val="bottom"/>
          </w:tcPr>
          <w:p>
            <w:pPr>
              <w:spacing w:after="0"/>
              <w:rPr>
                <w:sz w:val="20"/>
                <w:szCs w:val="20"/>
                <w:color w:val="auto"/>
              </w:rPr>
            </w:pPr>
            <w:r>
              <w:rPr>
                <w:rFonts w:ascii="Arial" w:cs="Arial" w:eastAsia="Arial" w:hAnsi="Arial"/>
                <w:sz w:val="13"/>
                <w:szCs w:val="13"/>
                <w:color w:val="auto"/>
              </w:rPr>
              <w:t>Non-controlling redeemable interests in consolidated funds</w:t>
            </w:r>
          </w:p>
        </w:tc>
        <w:tc>
          <w:tcPr>
            <w:tcW w:w="200" w:type="dxa"/>
            <w:vAlign w:val="bottom"/>
          </w:tcPr>
          <w:p>
            <w:pPr>
              <w:spacing w:after="0"/>
              <w:rPr>
                <w:sz w:val="13"/>
                <w:szCs w:val="1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1,955,708</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1,955,708</w:t>
            </w:r>
          </w:p>
        </w:tc>
        <w:tc>
          <w:tcPr>
            <w:tcW w:w="0" w:type="dxa"/>
            <w:vAlign w:val="bottom"/>
          </w:tcPr>
          <w:p>
            <w:pPr>
              <w:spacing w:after="0"/>
              <w:rPr>
                <w:sz w:val="1"/>
                <w:szCs w:val="1"/>
                <w:color w:val="auto"/>
              </w:rPr>
            </w:pPr>
          </w:p>
        </w:tc>
      </w:tr>
      <w:tr>
        <w:trPr>
          <w:trHeight w:val="170"/>
        </w:trPr>
        <w:tc>
          <w:tcPr>
            <w:tcW w:w="5440" w:type="dxa"/>
            <w:vAlign w:val="bottom"/>
          </w:tcPr>
          <w:p>
            <w:pPr>
              <w:spacing w:after="0"/>
              <w:rPr>
                <w:sz w:val="20"/>
                <w:szCs w:val="20"/>
                <w:color w:val="auto"/>
              </w:rPr>
            </w:pPr>
            <w:r>
              <w:rPr>
                <w:rFonts w:ascii="Arial" w:cs="Arial" w:eastAsia="Arial" w:hAnsi="Arial"/>
                <w:sz w:val="13"/>
                <w:szCs w:val="13"/>
                <w:color w:val="auto"/>
              </w:rPr>
              <w:t>Capital:</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40" w:type="dxa"/>
            <w:vAlign w:val="bottom"/>
          </w:tcPr>
          <w:p>
            <w:pPr>
              <w:ind w:left="260"/>
              <w:spacing w:after="0"/>
              <w:rPr>
                <w:sz w:val="20"/>
                <w:szCs w:val="20"/>
                <w:color w:val="auto"/>
              </w:rPr>
            </w:pPr>
            <w:r>
              <w:rPr>
                <w:rFonts w:ascii="Arial" w:cs="Arial" w:eastAsia="Arial" w:hAnsi="Arial"/>
                <w:sz w:val="13"/>
                <w:szCs w:val="13"/>
                <w:color w:val="auto"/>
              </w:rPr>
              <w:t>Capital attributable to OCG preferred unitholders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400,584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400,584</w:t>
            </w:r>
          </w:p>
        </w:tc>
        <w:tc>
          <w:tcPr>
            <w:tcW w:w="0" w:type="dxa"/>
            <w:vAlign w:val="bottom"/>
          </w:tcPr>
          <w:p>
            <w:pPr>
              <w:spacing w:after="0"/>
              <w:rPr>
                <w:sz w:val="1"/>
                <w:szCs w:val="1"/>
                <w:color w:val="auto"/>
              </w:rPr>
            </w:pPr>
          </w:p>
        </w:tc>
      </w:tr>
      <w:tr>
        <w:trPr>
          <w:trHeight w:val="170"/>
        </w:trPr>
        <w:tc>
          <w:tcPr>
            <w:tcW w:w="5440" w:type="dxa"/>
            <w:vAlign w:val="bottom"/>
          </w:tcPr>
          <w:p>
            <w:pPr>
              <w:ind w:left="260"/>
              <w:spacing w:after="0"/>
              <w:rPr>
                <w:sz w:val="20"/>
                <w:szCs w:val="20"/>
                <w:color w:val="auto"/>
              </w:rPr>
            </w:pPr>
            <w:r>
              <w:rPr>
                <w:rFonts w:ascii="Arial" w:cs="Arial" w:eastAsia="Arial" w:hAnsi="Arial"/>
                <w:sz w:val="13"/>
                <w:szCs w:val="13"/>
                <w:color w:val="auto"/>
              </w:rPr>
              <w:t>Capital attributable to OCG Class A unitholders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1,303,837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607,000</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(607,000)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1,303,837</w:t>
            </w:r>
          </w:p>
        </w:tc>
        <w:tc>
          <w:tcPr>
            <w:tcW w:w="0" w:type="dxa"/>
            <w:vAlign w:val="bottom"/>
          </w:tcPr>
          <w:p>
            <w:pPr>
              <w:spacing w:after="0"/>
              <w:rPr>
                <w:sz w:val="1"/>
                <w:szCs w:val="1"/>
                <w:color w:val="auto"/>
              </w:rPr>
            </w:pPr>
          </w:p>
        </w:tc>
      </w:tr>
      <w:tr>
        <w:trPr>
          <w:trHeight w:val="170"/>
        </w:trPr>
        <w:tc>
          <w:tcPr>
            <w:tcW w:w="5440" w:type="dxa"/>
            <w:vAlign w:val="bottom"/>
          </w:tcPr>
          <w:p>
            <w:pPr>
              <w:ind w:left="260"/>
              <w:spacing w:after="0"/>
              <w:rPr>
                <w:sz w:val="20"/>
                <w:szCs w:val="20"/>
                <w:color w:val="auto"/>
              </w:rPr>
            </w:pPr>
            <w:r>
              <w:rPr>
                <w:rFonts w:ascii="Arial" w:cs="Arial" w:eastAsia="Arial" w:hAnsi="Arial"/>
                <w:sz w:val="13"/>
                <w:szCs w:val="13"/>
                <w:color w:val="auto"/>
              </w:rPr>
              <w:t>Non-controlling interest in consolidated subsidiaries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485,353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334,670</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(334,670)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485,353</w:t>
            </w:r>
          </w:p>
        </w:tc>
        <w:tc>
          <w:tcPr>
            <w:tcW w:w="0" w:type="dxa"/>
            <w:vAlign w:val="bottom"/>
          </w:tcPr>
          <w:p>
            <w:pPr>
              <w:spacing w:after="0"/>
              <w:rPr>
                <w:sz w:val="1"/>
                <w:szCs w:val="1"/>
                <w:color w:val="auto"/>
              </w:rPr>
            </w:pPr>
          </w:p>
        </w:tc>
      </w:tr>
      <w:tr>
        <w:trPr>
          <w:trHeight w:val="170"/>
        </w:trPr>
        <w:tc>
          <w:tcPr>
            <w:tcW w:w="5440" w:type="dxa"/>
            <w:vAlign w:val="bottom"/>
          </w:tcPr>
          <w:p>
            <w:pPr>
              <w:ind w:left="260"/>
              <w:spacing w:after="0"/>
              <w:rPr>
                <w:sz w:val="20"/>
                <w:szCs w:val="20"/>
                <w:color w:val="auto"/>
              </w:rPr>
            </w:pPr>
            <w:r>
              <w:rPr>
                <w:rFonts w:ascii="Arial" w:cs="Arial" w:eastAsia="Arial" w:hAnsi="Arial"/>
                <w:sz w:val="13"/>
                <w:szCs w:val="13"/>
                <w:color w:val="auto"/>
              </w:rPr>
              <w:t>Non-controlling interest in consolidated funds</w:t>
            </w:r>
          </w:p>
        </w:tc>
        <w:tc>
          <w:tcPr>
            <w:tcW w:w="20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1,955,708</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(1,955,708)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440" w:type="dxa"/>
            <w:vAlign w:val="bottom"/>
          </w:tcPr>
          <w:p>
            <w:pPr>
              <w:ind w:left="500"/>
              <w:spacing w:after="0"/>
              <w:rPr>
                <w:sz w:val="20"/>
                <w:szCs w:val="20"/>
                <w:color w:val="auto"/>
              </w:rPr>
            </w:pPr>
            <w:r>
              <w:rPr>
                <w:rFonts w:ascii="Arial" w:cs="Arial" w:eastAsia="Arial" w:hAnsi="Arial"/>
                <w:sz w:val="13"/>
                <w:szCs w:val="13"/>
                <w:color w:val="auto"/>
              </w:rPr>
              <w:t>Total capital</w:t>
            </w: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2,189,774</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2,897,378</w:t>
            </w:r>
          </w:p>
        </w:tc>
        <w:tc>
          <w:tcPr>
            <w:tcW w:w="3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(2,897,378)</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2,189,774</w:t>
            </w:r>
          </w:p>
        </w:tc>
        <w:tc>
          <w:tcPr>
            <w:tcW w:w="0" w:type="dxa"/>
            <w:vAlign w:val="bottom"/>
          </w:tcPr>
          <w:p>
            <w:pPr>
              <w:spacing w:after="0"/>
              <w:rPr>
                <w:sz w:val="1"/>
                <w:szCs w:val="1"/>
                <w:color w:val="auto"/>
              </w:rPr>
            </w:pPr>
          </w:p>
        </w:tc>
      </w:tr>
      <w:tr>
        <w:trPr>
          <w:trHeight w:val="162"/>
        </w:trPr>
        <w:tc>
          <w:tcPr>
            <w:tcW w:w="5440" w:type="dxa"/>
            <w:vAlign w:val="bottom"/>
          </w:tcPr>
          <w:p>
            <w:pPr>
              <w:ind w:left="500"/>
              <w:spacing w:after="0"/>
              <w:rPr>
                <w:sz w:val="20"/>
                <w:szCs w:val="20"/>
                <w:color w:val="auto"/>
              </w:rPr>
            </w:pPr>
            <w:r>
              <w:rPr>
                <w:rFonts w:ascii="Arial" w:cs="Arial" w:eastAsia="Arial" w:hAnsi="Arial"/>
                <w:sz w:val="13"/>
                <w:szCs w:val="13"/>
                <w:color w:val="auto"/>
              </w:rPr>
              <w:t>Total liabilities and capital</w:t>
            </w:r>
          </w:p>
        </w:tc>
        <w:tc>
          <w:tcPr>
            <w:tcW w:w="2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2,604,193</w:t>
            </w:r>
          </w:p>
        </w:tc>
        <w:tc>
          <w:tcPr>
            <w:tcW w:w="3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12,756,222</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(945,740)</w:t>
            </w:r>
          </w:p>
        </w:tc>
        <w:tc>
          <w:tcPr>
            <w:tcW w:w="280" w:type="dxa"/>
            <w:vAlign w:val="bottom"/>
          </w:tcPr>
          <w:p>
            <w:pPr>
              <w:spacing w:after="0"/>
              <w:rPr>
                <w:sz w:val="14"/>
                <w:szCs w:val="14"/>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14,414,675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7" w:right="35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i w:val="1"/>
          <w:iCs w:val="1"/>
          <w:color w:val="auto"/>
        </w:rPr>
        <w:t>Corporate Investments</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60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0"/>
                <w:szCs w:val="10"/>
                <w:b w:val="1"/>
                <w:bCs w:val="1"/>
                <w:color w:val="auto"/>
              </w:rPr>
              <w:t>As of</w:t>
            </w: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r>
        <w:trPr>
          <w:trHeight w:val="131"/>
        </w:trPr>
        <w:tc>
          <w:tcPr>
            <w:tcW w:w="60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June 30, 2022</w:t>
            </w:r>
          </w:p>
        </w:tc>
        <w:tc>
          <w:tcPr>
            <w:tcW w:w="2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0"/>
                <w:szCs w:val="10"/>
                <w:b w:val="1"/>
                <w:bCs w:val="1"/>
                <w:color w:val="auto"/>
                <w:w w:val="98"/>
              </w:rPr>
              <w:t>March 31, 2022</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June 30, 2021</w:t>
            </w:r>
          </w:p>
        </w:tc>
      </w:tr>
      <w:tr>
        <w:trPr>
          <w:trHeight w:val="127"/>
        </w:trPr>
        <w:tc>
          <w:tcPr>
            <w:tcW w:w="6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8"/>
              </w:rPr>
              <w:t>(in thousands)</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70"/>
        </w:trPr>
        <w:tc>
          <w:tcPr>
            <w:tcW w:w="6040" w:type="dxa"/>
            <w:vAlign w:val="bottom"/>
          </w:tcPr>
          <w:p>
            <w:pPr>
              <w:spacing w:after="0"/>
              <w:rPr>
                <w:sz w:val="20"/>
                <w:szCs w:val="20"/>
                <w:color w:val="auto"/>
              </w:rPr>
            </w:pPr>
            <w:r>
              <w:rPr>
                <w:rFonts w:ascii="Arial" w:cs="Arial" w:eastAsia="Arial" w:hAnsi="Arial"/>
                <w:sz w:val="13"/>
                <w:szCs w:val="13"/>
                <w:color w:val="auto"/>
              </w:rPr>
              <w:t>Oaktree funds:</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6040" w:type="dxa"/>
            <w:vAlign w:val="bottom"/>
          </w:tcPr>
          <w:p>
            <w:pPr>
              <w:ind w:left="260"/>
              <w:spacing w:after="0"/>
              <w:rPr>
                <w:sz w:val="20"/>
                <w:szCs w:val="20"/>
                <w:color w:val="auto"/>
              </w:rPr>
            </w:pPr>
            <w:r>
              <w:rPr>
                <w:rFonts w:ascii="Arial" w:cs="Arial" w:eastAsia="Arial" w:hAnsi="Arial"/>
                <w:sz w:val="13"/>
                <w:szCs w:val="13"/>
                <w:color w:val="auto"/>
              </w:rPr>
              <w:t>Credit</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1,707,113</w:t>
            </w:r>
          </w:p>
        </w:tc>
        <w:tc>
          <w:tcPr>
            <w:tcW w:w="2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1,845,362</w:t>
            </w:r>
          </w:p>
        </w:tc>
        <w:tc>
          <w:tcPr>
            <w:tcW w:w="3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1,177,639</w:t>
            </w:r>
          </w:p>
        </w:tc>
      </w:tr>
      <w:tr>
        <w:trPr>
          <w:trHeight w:val="170"/>
        </w:trPr>
        <w:tc>
          <w:tcPr>
            <w:tcW w:w="6040" w:type="dxa"/>
            <w:vAlign w:val="bottom"/>
          </w:tcPr>
          <w:p>
            <w:pPr>
              <w:ind w:left="260"/>
              <w:spacing w:after="0"/>
              <w:rPr>
                <w:sz w:val="20"/>
                <w:szCs w:val="20"/>
                <w:color w:val="auto"/>
              </w:rPr>
            </w:pPr>
            <w:r>
              <w:rPr>
                <w:rFonts w:ascii="Arial" w:cs="Arial" w:eastAsia="Arial" w:hAnsi="Arial"/>
                <w:sz w:val="13"/>
                <w:szCs w:val="13"/>
                <w:color w:val="auto"/>
              </w:rPr>
              <w:t>Private Equity</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239,810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242,251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274,982</w:t>
            </w:r>
          </w:p>
        </w:tc>
      </w:tr>
      <w:tr>
        <w:trPr>
          <w:trHeight w:val="170"/>
        </w:trPr>
        <w:tc>
          <w:tcPr>
            <w:tcW w:w="6040" w:type="dxa"/>
            <w:vAlign w:val="bottom"/>
          </w:tcPr>
          <w:p>
            <w:pPr>
              <w:ind w:left="260"/>
              <w:spacing w:after="0"/>
              <w:rPr>
                <w:sz w:val="20"/>
                <w:szCs w:val="20"/>
                <w:color w:val="auto"/>
              </w:rPr>
            </w:pPr>
            <w:r>
              <w:rPr>
                <w:rFonts w:ascii="Arial" w:cs="Arial" w:eastAsia="Arial" w:hAnsi="Arial"/>
                <w:sz w:val="13"/>
                <w:szCs w:val="13"/>
                <w:color w:val="auto"/>
              </w:rPr>
              <w:t>Real Assets</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27,764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27,265</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103,367</w:t>
            </w:r>
          </w:p>
        </w:tc>
      </w:tr>
      <w:tr>
        <w:trPr>
          <w:trHeight w:val="170"/>
        </w:trPr>
        <w:tc>
          <w:tcPr>
            <w:tcW w:w="6040" w:type="dxa"/>
            <w:vAlign w:val="bottom"/>
          </w:tcPr>
          <w:p>
            <w:pPr>
              <w:ind w:left="260"/>
              <w:spacing w:after="0"/>
              <w:rPr>
                <w:sz w:val="20"/>
                <w:szCs w:val="20"/>
                <w:color w:val="auto"/>
              </w:rPr>
            </w:pPr>
            <w:r>
              <w:rPr>
                <w:rFonts w:ascii="Arial" w:cs="Arial" w:eastAsia="Arial" w:hAnsi="Arial"/>
                <w:sz w:val="13"/>
                <w:szCs w:val="13"/>
                <w:color w:val="auto"/>
              </w:rPr>
              <w:t>Listed Equities</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38,016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26,120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32,983</w:t>
            </w:r>
          </w:p>
        </w:tc>
      </w:tr>
      <w:tr>
        <w:trPr>
          <w:trHeight w:val="170"/>
        </w:trPr>
        <w:tc>
          <w:tcPr>
            <w:tcW w:w="6040" w:type="dxa"/>
            <w:vAlign w:val="bottom"/>
          </w:tcPr>
          <w:p>
            <w:pPr>
              <w:spacing w:after="0"/>
              <w:rPr>
                <w:sz w:val="20"/>
                <w:szCs w:val="20"/>
                <w:color w:val="auto"/>
              </w:rPr>
            </w:pPr>
            <w:r>
              <w:rPr>
                <w:rFonts w:ascii="Arial" w:cs="Arial" w:eastAsia="Arial" w:hAnsi="Arial"/>
                <w:sz w:val="13"/>
                <w:szCs w:val="13"/>
                <w:color w:val="auto"/>
              </w:rPr>
              <w:t>Non-Oaktree</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67,478</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20,138</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55,313</w:t>
            </w:r>
          </w:p>
        </w:tc>
      </w:tr>
      <w:tr>
        <w:trPr>
          <w:trHeight w:val="160"/>
        </w:trPr>
        <w:tc>
          <w:tcPr>
            <w:tcW w:w="6040" w:type="dxa"/>
            <w:vAlign w:val="bottom"/>
          </w:tcPr>
          <w:p>
            <w:pPr>
              <w:spacing w:after="0"/>
              <w:rPr>
                <w:sz w:val="20"/>
                <w:szCs w:val="20"/>
                <w:color w:val="auto"/>
              </w:rPr>
            </w:pPr>
            <w:r>
              <w:rPr>
                <w:rFonts w:ascii="Arial" w:cs="Arial" w:eastAsia="Arial" w:hAnsi="Arial"/>
                <w:sz w:val="13"/>
                <w:szCs w:val="13"/>
                <w:color w:val="auto"/>
              </w:rPr>
              <w:t>Total corporate investments – Oaktree and operating subsidiaries</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2,080,181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2,161,136</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1,644,284</w:t>
            </w:r>
          </w:p>
        </w:tc>
      </w:tr>
      <w:tr>
        <w:trPr>
          <w:trHeight w:val="171"/>
        </w:trPr>
        <w:tc>
          <w:tcPr>
            <w:tcW w:w="6040" w:type="dxa"/>
            <w:vAlign w:val="bottom"/>
          </w:tcPr>
          <w:p>
            <w:pPr>
              <w:ind w:left="120"/>
              <w:spacing w:after="0"/>
              <w:rPr>
                <w:sz w:val="20"/>
                <w:szCs w:val="20"/>
                <w:color w:val="auto"/>
              </w:rPr>
            </w:pPr>
            <w:r>
              <w:rPr>
                <w:rFonts w:ascii="Arial" w:cs="Arial" w:eastAsia="Arial" w:hAnsi="Arial"/>
                <w:sz w:val="13"/>
                <w:szCs w:val="13"/>
                <w:color w:val="auto"/>
              </w:rPr>
              <w:t>Eliminations</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(946,514)</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(1,139,649)</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(626,138)</w:t>
            </w:r>
          </w:p>
        </w:tc>
      </w:tr>
      <w:tr>
        <w:trPr>
          <w:trHeight w:val="162"/>
        </w:trPr>
        <w:tc>
          <w:tcPr>
            <w:tcW w:w="6040" w:type="dxa"/>
            <w:vAlign w:val="bottom"/>
          </w:tcPr>
          <w:p>
            <w:pPr>
              <w:spacing w:after="0"/>
              <w:rPr>
                <w:sz w:val="20"/>
                <w:szCs w:val="20"/>
                <w:color w:val="auto"/>
              </w:rPr>
            </w:pPr>
            <w:r>
              <w:rPr>
                <w:rFonts w:ascii="Arial" w:cs="Arial" w:eastAsia="Arial" w:hAnsi="Arial"/>
                <w:sz w:val="13"/>
                <w:szCs w:val="13"/>
                <w:color w:val="auto"/>
              </w:rPr>
              <w:t>Total corporate investments – Consolidated</w:t>
            </w: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1,133,667</w:t>
            </w:r>
          </w:p>
        </w:tc>
        <w:tc>
          <w:tcPr>
            <w:tcW w:w="2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1,021,487</w:t>
            </w:r>
          </w:p>
        </w:tc>
        <w:tc>
          <w:tcPr>
            <w:tcW w:w="3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1,018,146</w:t>
            </w: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36" w:lineRule="exact"/>
        <w:rPr>
          <w:sz w:val="20"/>
          <w:szCs w:val="20"/>
          <w:color w:val="auto"/>
        </w:rPr>
      </w:pPr>
    </w:p>
    <w:p>
      <w:pPr>
        <w:ind w:right="60" w:firstLine="509"/>
        <w:spacing w:after="0" w:line="259" w:lineRule="auto"/>
        <w:rPr>
          <w:sz w:val="20"/>
          <w:szCs w:val="20"/>
          <w:color w:val="auto"/>
        </w:rPr>
      </w:pPr>
      <w:r>
        <w:rPr>
          <w:rFonts w:ascii="Arial" w:cs="Arial" w:eastAsia="Arial" w:hAnsi="Arial"/>
          <w:sz w:val="14"/>
          <w:szCs w:val="14"/>
          <w:color w:val="auto"/>
        </w:rPr>
        <w:t>We manage our liquidity and capital requirements by focusing on our cash flows before the consolidation of Oaktree funds and the effect of normal changes in short-term assets and liabilities. Our primary cash flow activities on an unconsolidated basis involve (a) generating cash flow from operations, (b) generating income from investment activities, including strategic investments in certain third parties, (c) funding capital commitments that we have made to Oaktree funds in which we act as general partner, (d) funding our growth initiatives, (e) distributing cash flow to our Class A, OCGH and OEP unitholders, (f) borrowings, interest payments and repayments under credit agreements, our senior notes and other borrowing arrangements, and (g) issuances of, and distributions made on, our preferred units. As of June 30, 2022, the Company had $354.3 million of cash and U.S. Treasury and other securities and $213.8 million of debt obligations. See the Future Sources and Uses of Liquidity section for additional details of Oaktree and its indirect subsidiaries financing activities in 2021.</w:t>
      </w:r>
    </w:p>
    <w:p>
      <w:pPr>
        <w:spacing w:after="0" w:line="99"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Ongoing sources of cash include (a) management and sub-advisory fees, which are collected monthly or quarterly, (b) incentive income, which is volatile and largely unpredictable as to amount and timing, and (c) distributions stemming from our corporate investments in funds and companies. We primarily use cash flow from operations and distributions from our corporate investments to pay compensation and related expenses, general and administrative expenses, income taxes, debt service, capital expenditures and distributions. This same cash flow, together with proceeds from equity and debt issuances, is also used to fund corporate investments, fixed assets and other capital items. Subject to applicable law and certain consent rights contained in our operating agreement, pursuant to a covenant in our operating agreement we plan to cause the Oaktree Operating Group, including our indirect subsidiaries Oaktree Capital I and OCM Cayman, to distribute, on a quarterly basis, at least 85% of its adjusted distributable earnings, as defined in our operating agreement, and we plan to distribute amounts we receive in respect of such distributions, less any tax and tax receivable obligations, to holders of our Class A units. Distributions from each Operating Group entity may not be proportionate to its share of adjusted distributable earnings.</w:t>
      </w:r>
    </w:p>
    <w:p>
      <w:pPr>
        <w:spacing w:after="0" w:line="101" w:lineRule="exact"/>
        <w:rPr>
          <w:sz w:val="20"/>
          <w:szCs w:val="20"/>
          <w:color w:val="auto"/>
        </w:rPr>
      </w:pPr>
    </w:p>
    <w:p>
      <w:pPr>
        <w:ind w:right="100" w:firstLine="509"/>
        <w:spacing w:after="0" w:line="265" w:lineRule="auto"/>
        <w:rPr>
          <w:sz w:val="20"/>
          <w:szCs w:val="20"/>
          <w:color w:val="auto"/>
        </w:rPr>
      </w:pPr>
      <w:r>
        <w:rPr>
          <w:rFonts w:ascii="Arial" w:cs="Arial" w:eastAsia="Arial" w:hAnsi="Arial"/>
          <w:sz w:val="14"/>
          <w:szCs w:val="14"/>
          <w:color w:val="auto"/>
        </w:rPr>
        <w:t>Distributions on the preferred units are discretionary and non-cumulative. We may redeem, at our option, out of funds legally available, the preferred units, in whole or in part, at any time on or after June 15, 2023 in respect of the Series A preferred units or September 15, 2023 in respect of the Series B preferred units, at a price of $25.00 per preferred unit plus declared and unpaid distributions to, but excluding, the redemption date, without payment of any undeclared distributions. Holders of the preferred units have no right to require the redemption of such preferred units.</w:t>
      </w:r>
    </w:p>
    <w:p>
      <w:pPr>
        <w:spacing w:after="0" w:line="95" w:lineRule="exact"/>
        <w:rPr>
          <w:sz w:val="20"/>
          <w:szCs w:val="20"/>
          <w:color w:val="auto"/>
        </w:rPr>
      </w:pPr>
    </w:p>
    <w:p>
      <w:pPr>
        <w:ind w:right="100" w:firstLine="509"/>
        <w:spacing w:after="0" w:line="260" w:lineRule="auto"/>
        <w:rPr>
          <w:sz w:val="20"/>
          <w:szCs w:val="20"/>
          <w:color w:val="auto"/>
        </w:rPr>
      </w:pPr>
      <w:r>
        <w:rPr>
          <w:rFonts w:ascii="Arial" w:cs="Arial" w:eastAsia="Arial" w:hAnsi="Arial"/>
          <w:sz w:val="14"/>
          <w:szCs w:val="14"/>
          <w:color w:val="auto"/>
        </w:rPr>
        <w:t>The Company has subscribed for a limited partner interest in, and made a capital commitment of, $750 million to Oaktree Opportunities Fund XI, L.P., a parallel investment vehicle thereof or a feeder fund in respect of one of the foregoing (such limited partner interest, the “Opps XI Investment” and such fund entities collectively, “Opps XI”). In order to fund the Opps XI Investment, the Company’s sole Class A unitholder, or one of its affiliates, will contribute cash as a capital contribution (the “Opps XI Investment Cash”) as and to the extent required to satisfy the Company’s obligations to Opps XI. The Company will use the Opps XI Investment Cash solely to fund the Opps XI Investment and satisfy its obligations in respect of Opps XI and distributions from the Opps XI Investment are intended for the benefit of the Class A unitholder, subject to applicable law. The Company’s preferred unitholders should not rely on distributions received by the Company in respect of the Company’s Opps XI Investment for payment of dividends 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6"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auto"/>
        </w:rPr>
        <w:t>redemption of the preferred units. As of June 30, 2022, $337.5 million of the $750.0 million capital commitment was funded.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Cash Flows</w:t>
      </w:r>
    </w:p>
    <w:p>
      <w:pPr>
        <w:spacing w:after="0" w:line="70" w:lineRule="exact"/>
        <w:rPr>
          <w:sz w:val="20"/>
          <w:szCs w:val="20"/>
          <w:color w:val="auto"/>
        </w:rPr>
      </w:pPr>
    </w:p>
    <w:p>
      <w:pPr>
        <w:ind w:right="120" w:firstLine="509"/>
        <w:spacing w:after="0" w:line="271" w:lineRule="auto"/>
        <w:rPr>
          <w:sz w:val="20"/>
          <w:szCs w:val="20"/>
          <w:color w:val="auto"/>
        </w:rPr>
      </w:pPr>
      <w:r>
        <w:rPr>
          <w:rFonts w:ascii="Arial" w:cs="Arial" w:eastAsia="Arial" w:hAnsi="Arial"/>
          <w:sz w:val="14"/>
          <w:szCs w:val="14"/>
          <w:color w:val="auto"/>
        </w:rPr>
        <w:t>The accompanying condensed consolidated statements of cash flows include our consolidated funds, despite the fact that we typically have only a minority economic interest in those funds. The assets of consolidated funds, on a gross basis, are larger than the assets of our business and, accordingly, have a substantial effect on the cash flows reflected in our condensed consolidated statements of cash flows. The primary cash flow activities of our consolidated funds involve:</w:t>
      </w:r>
    </w:p>
    <w:p>
      <w:pPr>
        <w:spacing w:after="0" w:line="28" w:lineRule="exact"/>
        <w:rPr>
          <w:sz w:val="20"/>
          <w:szCs w:val="20"/>
          <w:color w:val="auto"/>
        </w:rPr>
      </w:pPr>
    </w:p>
    <w:p>
      <w:pPr>
        <w:ind w:left="640" w:hanging="126"/>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raising capital from third-party investors;</w:t>
      </w:r>
    </w:p>
    <w:p>
      <w:pPr>
        <w:spacing w:after="0" w:line="72" w:lineRule="exact"/>
        <w:rPr>
          <w:rFonts w:ascii="Arial" w:cs="Arial" w:eastAsia="Arial" w:hAnsi="Arial"/>
          <w:sz w:val="14"/>
          <w:szCs w:val="14"/>
          <w:color w:val="auto"/>
        </w:rPr>
      </w:pPr>
    </w:p>
    <w:p>
      <w:pPr>
        <w:ind w:left="640" w:hanging="126"/>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using the capital provided by us and third-party investors to fund investments and operating expenses;</w:t>
      </w:r>
    </w:p>
    <w:p>
      <w:pPr>
        <w:spacing w:after="0" w:line="72" w:lineRule="exact"/>
        <w:rPr>
          <w:rFonts w:ascii="Arial" w:cs="Arial" w:eastAsia="Arial" w:hAnsi="Arial"/>
          <w:sz w:val="14"/>
          <w:szCs w:val="14"/>
          <w:color w:val="auto"/>
        </w:rPr>
      </w:pPr>
    </w:p>
    <w:p>
      <w:pPr>
        <w:ind w:left="640" w:hanging="126"/>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financing certain investments with indebtedness;</w:t>
      </w:r>
    </w:p>
    <w:p>
      <w:pPr>
        <w:spacing w:after="0" w:line="72" w:lineRule="exact"/>
        <w:rPr>
          <w:rFonts w:ascii="Arial" w:cs="Arial" w:eastAsia="Arial" w:hAnsi="Arial"/>
          <w:sz w:val="14"/>
          <w:szCs w:val="14"/>
          <w:color w:val="auto"/>
        </w:rPr>
      </w:pPr>
    </w:p>
    <w:p>
      <w:pPr>
        <w:ind w:left="640" w:hanging="126"/>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generating cash flows through the realization of investments, as well as the collection of interest and dividend income; and</w:t>
      </w:r>
    </w:p>
    <w:p>
      <w:pPr>
        <w:spacing w:after="0" w:line="72" w:lineRule="exact"/>
        <w:rPr>
          <w:rFonts w:ascii="Arial" w:cs="Arial" w:eastAsia="Arial" w:hAnsi="Arial"/>
          <w:sz w:val="14"/>
          <w:szCs w:val="14"/>
          <w:color w:val="auto"/>
        </w:rPr>
      </w:pPr>
    </w:p>
    <w:p>
      <w:pPr>
        <w:ind w:left="640" w:hanging="126"/>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distributing net cash flows to fund investors and to us.</w:t>
      </w:r>
    </w:p>
    <w:p>
      <w:pPr>
        <w:spacing w:after="0" w:line="136" w:lineRule="exact"/>
        <w:rPr>
          <w:sz w:val="20"/>
          <w:szCs w:val="20"/>
          <w:color w:val="auto"/>
        </w:rPr>
      </w:pPr>
    </w:p>
    <w:p>
      <w:pPr>
        <w:ind w:right="100" w:firstLine="509"/>
        <w:spacing w:after="0" w:line="271" w:lineRule="auto"/>
        <w:rPr>
          <w:sz w:val="20"/>
          <w:szCs w:val="20"/>
          <w:color w:val="auto"/>
        </w:rPr>
      </w:pPr>
      <w:r>
        <w:rPr>
          <w:rFonts w:ascii="Arial" w:cs="Arial" w:eastAsia="Arial" w:hAnsi="Arial"/>
          <w:sz w:val="14"/>
          <w:szCs w:val="14"/>
          <w:color w:val="auto"/>
        </w:rPr>
        <w:t>Because our consolidated funds are either treated as investment companies for accounting purposes or represent CLOs whose primary operations are investing activities, their investing cash flow amounts are included in our cash flows from operations. We believe that we and each of the consolidated funds has sufficient access to cash to fund our and their respective operations in the near term.</w:t>
      </w:r>
    </w:p>
    <w:p>
      <w:pPr>
        <w:spacing w:after="0" w:line="91" w:lineRule="exact"/>
        <w:rPr>
          <w:sz w:val="20"/>
          <w:szCs w:val="20"/>
          <w:color w:val="auto"/>
        </w:rPr>
      </w:pPr>
    </w:p>
    <w:p>
      <w:pPr>
        <w:ind w:right="1260" w:firstLine="509"/>
        <w:spacing w:after="0" w:line="395" w:lineRule="auto"/>
        <w:rPr>
          <w:sz w:val="20"/>
          <w:szCs w:val="20"/>
          <w:color w:val="auto"/>
        </w:rPr>
      </w:pPr>
      <w:r>
        <w:rPr>
          <w:rFonts w:ascii="Arial" w:cs="Arial" w:eastAsia="Arial" w:hAnsi="Arial"/>
          <w:sz w:val="14"/>
          <w:szCs w:val="14"/>
          <w:color w:val="auto"/>
        </w:rPr>
        <w:t xml:space="preserve">Significant amounts from our condensed consolidated statements of cash flows for the six months ended June 30, 2022 and 2021 are discussed below. </w:t>
      </w:r>
      <w:r>
        <w:rPr>
          <w:rFonts w:ascii="Arial" w:cs="Arial" w:eastAsia="Arial" w:hAnsi="Arial"/>
          <w:sz w:val="14"/>
          <w:szCs w:val="14"/>
          <w:i w:val="1"/>
          <w:iCs w:val="1"/>
          <w:color w:val="auto"/>
        </w:rPr>
        <w:t>Operating Activities</w:t>
      </w:r>
    </w:p>
    <w:p>
      <w:pPr>
        <w:spacing w:after="0" w:line="1" w:lineRule="exact"/>
        <w:rPr>
          <w:sz w:val="20"/>
          <w:szCs w:val="20"/>
          <w:color w:val="auto"/>
        </w:rPr>
      </w:pPr>
    </w:p>
    <w:p>
      <w:pPr>
        <w:jc w:val="both"/>
        <w:ind w:right="180" w:firstLine="509"/>
        <w:spacing w:after="0" w:line="271" w:lineRule="auto"/>
        <w:rPr>
          <w:sz w:val="20"/>
          <w:szCs w:val="20"/>
          <w:color w:val="auto"/>
        </w:rPr>
      </w:pPr>
      <w:r>
        <w:rPr>
          <w:rFonts w:ascii="Arial" w:cs="Arial" w:eastAsia="Arial" w:hAnsi="Arial"/>
          <w:sz w:val="14"/>
          <w:szCs w:val="14"/>
          <w:color w:val="auto"/>
        </w:rPr>
        <w:t>Operating activities used $ 957.3 million and $795.5 million of cash for the first six months of 2022 and 2021, respectively. These amounts principally reflected net income (loss), purchases of securities, net of non -cash adjustments, and net realized and unrealized (gain) loss from consolidated fund investments in each of the respective periods as well as net purchases of securities of the consolidated funds.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70" w:lineRule="exact"/>
        <w:rPr>
          <w:sz w:val="20"/>
          <w:szCs w:val="20"/>
          <w:color w:val="auto"/>
        </w:rPr>
      </w:pPr>
    </w:p>
    <w:p>
      <w:pPr>
        <w:jc w:val="both"/>
        <w:ind w:right="40" w:firstLine="509"/>
        <w:spacing w:after="0" w:line="268" w:lineRule="auto"/>
        <w:rPr>
          <w:sz w:val="20"/>
          <w:szCs w:val="20"/>
          <w:color w:val="auto"/>
        </w:rPr>
      </w:pPr>
      <w:r>
        <w:rPr>
          <w:rFonts w:ascii="Arial" w:cs="Arial" w:eastAsia="Arial" w:hAnsi="Arial"/>
          <w:sz w:val="14"/>
          <w:szCs w:val="14"/>
          <w:color w:val="auto"/>
        </w:rPr>
        <w:t>Investing activities used $11.3 million and provided $67.3 million of cash for the first six months of 2022 and 2021, respectively. Net activity from purchases, maturities and sales of U.S. Treasury and other securities included net purchases of $4.4 million and net proceeds of $7.5 million for the first six months of 2022 and 2021, respectively. Corporate investments in funds and companies of $30.1 million and $90.7 million for the first six months of 2022 and 2021, respectively, consisted of the following: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85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0"/>
                <w:szCs w:val="10"/>
                <w:b w:val="1"/>
                <w:bCs w:val="1"/>
                <w:color w:val="auto"/>
              </w:rPr>
              <w:t>Six months ended June 30,</w:t>
            </w:r>
          </w:p>
        </w:tc>
      </w:tr>
      <w:tr>
        <w:trPr>
          <w:trHeight w:val="298"/>
        </w:trPr>
        <w:tc>
          <w:tcPr>
            <w:tcW w:w="8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2021</w:t>
            </w:r>
          </w:p>
        </w:tc>
      </w:tr>
      <w:tr>
        <w:trPr>
          <w:trHeight w:val="129"/>
        </w:trPr>
        <w:tc>
          <w:tcPr>
            <w:tcW w:w="8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gridSpan w:val="3"/>
          </w:tcPr>
          <w:p>
            <w:pPr>
              <w:jc w:val="right"/>
              <w:ind w:right="76"/>
              <w:spacing w:after="0"/>
              <w:rPr>
                <w:sz w:val="20"/>
                <w:szCs w:val="20"/>
                <w:color w:val="auto"/>
              </w:rPr>
            </w:pPr>
            <w:r>
              <w:rPr>
                <w:rFonts w:ascii="Arial" w:cs="Arial" w:eastAsia="Arial" w:hAnsi="Arial"/>
                <w:sz w:val="10"/>
                <w:szCs w:val="10"/>
                <w:b w:val="1"/>
                <w:bCs w:val="1"/>
                <w:color w:val="auto"/>
              </w:rPr>
              <w:t>(in thousands)</w:t>
            </w:r>
          </w:p>
        </w:tc>
        <w:tc>
          <w:tcPr>
            <w:tcW w:w="840" w:type="dxa"/>
            <w:vAlign w:val="bottom"/>
          </w:tcPr>
          <w:p>
            <w:pPr>
              <w:spacing w:after="0"/>
              <w:rPr>
                <w:sz w:val="11"/>
                <w:szCs w:val="11"/>
                <w:color w:val="auto"/>
              </w:rPr>
            </w:pPr>
          </w:p>
        </w:tc>
      </w:tr>
      <w:tr>
        <w:trPr>
          <w:trHeight w:val="170"/>
        </w:trPr>
        <w:tc>
          <w:tcPr>
            <w:tcW w:w="8580" w:type="dxa"/>
            <w:vAlign w:val="bottom"/>
          </w:tcPr>
          <w:p>
            <w:pPr>
              <w:spacing w:after="0"/>
              <w:rPr>
                <w:sz w:val="20"/>
                <w:szCs w:val="20"/>
                <w:color w:val="auto"/>
              </w:rPr>
            </w:pPr>
            <w:r>
              <w:rPr>
                <w:rFonts w:ascii="Arial" w:cs="Arial" w:eastAsia="Arial" w:hAnsi="Arial"/>
                <w:sz w:val="13"/>
                <w:szCs w:val="13"/>
                <w:color w:val="auto"/>
              </w:rPr>
              <w:t>Funds</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
              <w:spacing w:after="0"/>
              <w:rPr>
                <w:sz w:val="20"/>
                <w:szCs w:val="20"/>
                <w:color w:val="auto"/>
              </w:rPr>
            </w:pPr>
            <w:r>
              <w:rPr>
                <w:rFonts w:ascii="Arial" w:cs="Arial" w:eastAsia="Arial" w:hAnsi="Arial"/>
                <w:sz w:val="13"/>
                <w:szCs w:val="13"/>
                <w:color w:val="auto"/>
              </w:rPr>
              <w:t>313,109</w:t>
            </w:r>
          </w:p>
        </w:tc>
        <w:tc>
          <w:tcPr>
            <w:tcW w:w="2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182,374</w:t>
            </w:r>
          </w:p>
        </w:tc>
      </w:tr>
      <w:tr>
        <w:trPr>
          <w:trHeight w:val="171"/>
        </w:trPr>
        <w:tc>
          <w:tcPr>
            <w:tcW w:w="8580" w:type="dxa"/>
            <w:vAlign w:val="bottom"/>
          </w:tcPr>
          <w:p>
            <w:pPr>
              <w:spacing w:after="0"/>
              <w:rPr>
                <w:sz w:val="20"/>
                <w:szCs w:val="20"/>
                <w:color w:val="auto"/>
              </w:rPr>
            </w:pPr>
            <w:r>
              <w:rPr>
                <w:rFonts w:ascii="Arial" w:cs="Arial" w:eastAsia="Arial" w:hAnsi="Arial"/>
                <w:sz w:val="13"/>
                <w:szCs w:val="13"/>
                <w:color w:val="auto"/>
              </w:rPr>
              <w:t>Eliminated in consolidation</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(283,011)</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(91,690)</w:t>
            </w:r>
          </w:p>
        </w:tc>
      </w:tr>
      <w:tr>
        <w:trPr>
          <w:trHeight w:val="162"/>
        </w:trPr>
        <w:tc>
          <w:tcPr>
            <w:tcW w:w="8580" w:type="dxa"/>
            <w:vAlign w:val="bottom"/>
          </w:tcPr>
          <w:p>
            <w:pPr>
              <w:spacing w:after="0"/>
              <w:rPr>
                <w:sz w:val="20"/>
                <w:szCs w:val="20"/>
                <w:color w:val="auto"/>
              </w:rPr>
            </w:pPr>
            <w:r>
              <w:rPr>
                <w:rFonts w:ascii="Arial" w:cs="Arial" w:eastAsia="Arial" w:hAnsi="Arial"/>
                <w:sz w:val="13"/>
                <w:szCs w:val="13"/>
                <w:color w:val="auto"/>
              </w:rPr>
              <w:t>Total investments</w:t>
            </w: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color w:val="auto"/>
              </w:rPr>
              <w:t>30,098</w:t>
            </w:r>
          </w:p>
        </w:tc>
        <w:tc>
          <w:tcPr>
            <w:tcW w:w="2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90,684</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7" w:right="359" w:bottom="1440" w:gutter="0" w:footer="0" w:header="0"/>
        </w:sectPr>
      </w:pPr>
    </w:p>
    <w:bookmarkStart w:id="78" w:name="page79"/>
    <w:bookmarkEnd w:id="78"/>
    <w:p>
      <w:pPr>
        <w:jc w:val="both"/>
        <w:ind w:right="180" w:firstLine="509"/>
        <w:spacing w:after="0" w:line="276" w:lineRule="auto"/>
        <w:rPr>
          <w:sz w:val="20"/>
          <w:szCs w:val="20"/>
          <w:color w:val="auto"/>
        </w:rPr>
      </w:pPr>
      <w:r>
        <w:rPr>
          <w:rFonts w:ascii="Arial" w:cs="Arial" w:eastAsia="Arial" w:hAnsi="Arial"/>
          <w:sz w:val="14"/>
          <w:szCs w:val="14"/>
          <w:color w:val="auto"/>
        </w:rPr>
        <w:t>Distributions and proceeds from corporate investments in funds and companies of $23.3 million and $150.6 million for the first six months of 2022 and 2021, respectively, consisted of the following: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85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0"/>
                <w:szCs w:val="10"/>
                <w:b w:val="1"/>
                <w:bCs w:val="1"/>
                <w:color w:val="auto"/>
              </w:rPr>
              <w:t>Six months ended June 30,</w:t>
            </w:r>
          </w:p>
        </w:tc>
      </w:tr>
      <w:tr>
        <w:trPr>
          <w:trHeight w:val="131"/>
        </w:trPr>
        <w:tc>
          <w:tcPr>
            <w:tcW w:w="85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2021</w:t>
            </w:r>
          </w:p>
        </w:tc>
      </w:tr>
      <w:tr>
        <w:trPr>
          <w:trHeight w:val="127"/>
        </w:trPr>
        <w:tc>
          <w:tcPr>
            <w:tcW w:w="8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gridSpan w:val="3"/>
          </w:tcPr>
          <w:p>
            <w:pPr>
              <w:jc w:val="right"/>
              <w:ind w:right="76"/>
              <w:spacing w:after="0"/>
              <w:rPr>
                <w:sz w:val="20"/>
                <w:szCs w:val="20"/>
                <w:color w:val="auto"/>
              </w:rPr>
            </w:pPr>
            <w:r>
              <w:rPr>
                <w:rFonts w:ascii="Arial" w:cs="Arial" w:eastAsia="Arial" w:hAnsi="Arial"/>
                <w:sz w:val="10"/>
                <w:szCs w:val="10"/>
                <w:b w:val="1"/>
                <w:bCs w:val="1"/>
                <w:color w:val="auto"/>
              </w:rPr>
              <w:t>(in thousands)</w:t>
            </w:r>
          </w:p>
        </w:tc>
        <w:tc>
          <w:tcPr>
            <w:tcW w:w="840" w:type="dxa"/>
            <w:vAlign w:val="bottom"/>
          </w:tcPr>
          <w:p>
            <w:pPr>
              <w:spacing w:after="0"/>
              <w:rPr>
                <w:sz w:val="11"/>
                <w:szCs w:val="11"/>
                <w:color w:val="auto"/>
              </w:rPr>
            </w:pPr>
          </w:p>
        </w:tc>
      </w:tr>
      <w:tr>
        <w:trPr>
          <w:trHeight w:val="170"/>
        </w:trPr>
        <w:tc>
          <w:tcPr>
            <w:tcW w:w="8580" w:type="dxa"/>
            <w:vAlign w:val="bottom"/>
          </w:tcPr>
          <w:p>
            <w:pPr>
              <w:spacing w:after="0"/>
              <w:rPr>
                <w:sz w:val="20"/>
                <w:szCs w:val="20"/>
                <w:color w:val="auto"/>
              </w:rPr>
            </w:pPr>
            <w:r>
              <w:rPr>
                <w:rFonts w:ascii="Arial" w:cs="Arial" w:eastAsia="Arial" w:hAnsi="Arial"/>
                <w:sz w:val="13"/>
                <w:szCs w:val="13"/>
                <w:color w:val="auto"/>
              </w:rPr>
              <w:t>Funds</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
              <w:spacing w:after="0"/>
              <w:rPr>
                <w:sz w:val="20"/>
                <w:szCs w:val="20"/>
                <w:color w:val="auto"/>
              </w:rPr>
            </w:pPr>
            <w:r>
              <w:rPr>
                <w:rFonts w:ascii="Arial" w:cs="Arial" w:eastAsia="Arial" w:hAnsi="Arial"/>
                <w:sz w:val="13"/>
                <w:szCs w:val="13"/>
                <w:color w:val="auto"/>
              </w:rPr>
              <w:t>178,861</w:t>
            </w:r>
          </w:p>
        </w:tc>
        <w:tc>
          <w:tcPr>
            <w:tcW w:w="2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204,346</w:t>
            </w:r>
          </w:p>
        </w:tc>
      </w:tr>
      <w:tr>
        <w:trPr>
          <w:trHeight w:val="171"/>
        </w:trPr>
        <w:tc>
          <w:tcPr>
            <w:tcW w:w="8580" w:type="dxa"/>
            <w:vAlign w:val="bottom"/>
          </w:tcPr>
          <w:p>
            <w:pPr>
              <w:spacing w:after="0"/>
              <w:rPr>
                <w:sz w:val="20"/>
                <w:szCs w:val="20"/>
                <w:color w:val="auto"/>
              </w:rPr>
            </w:pPr>
            <w:r>
              <w:rPr>
                <w:rFonts w:ascii="Arial" w:cs="Arial" w:eastAsia="Arial" w:hAnsi="Arial"/>
                <w:sz w:val="13"/>
                <w:szCs w:val="13"/>
                <w:color w:val="auto"/>
              </w:rPr>
              <w:t>Eliminated in consolidation</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(155,518)</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(53,755)</w:t>
            </w:r>
          </w:p>
        </w:tc>
      </w:tr>
      <w:tr>
        <w:trPr>
          <w:trHeight w:val="162"/>
        </w:trPr>
        <w:tc>
          <w:tcPr>
            <w:tcW w:w="8580" w:type="dxa"/>
            <w:vAlign w:val="bottom"/>
          </w:tcPr>
          <w:p>
            <w:pPr>
              <w:spacing w:after="0"/>
              <w:rPr>
                <w:sz w:val="20"/>
                <w:szCs w:val="20"/>
                <w:color w:val="auto"/>
              </w:rPr>
            </w:pPr>
            <w:r>
              <w:rPr>
                <w:rFonts w:ascii="Arial" w:cs="Arial" w:eastAsia="Arial" w:hAnsi="Arial"/>
                <w:sz w:val="13"/>
                <w:szCs w:val="13"/>
                <w:color w:val="auto"/>
              </w:rPr>
              <w:t>Total proceeds</w:t>
            </w: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color w:val="auto"/>
              </w:rPr>
              <w:t>23,343</w:t>
            </w:r>
          </w:p>
        </w:tc>
        <w:tc>
          <w:tcPr>
            <w:tcW w:w="2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150,591</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Purchases of fixed assets were $0.1 million and $0.2 million for the first six months of 2022 and 2021,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134" w:lineRule="exact"/>
        <w:rPr>
          <w:sz w:val="20"/>
          <w:szCs w:val="20"/>
          <w:color w:val="auto"/>
        </w:rPr>
      </w:pPr>
    </w:p>
    <w:p>
      <w:pPr>
        <w:jc w:val="both"/>
        <w:ind w:right="180" w:firstLine="509"/>
        <w:spacing w:after="0" w:line="262" w:lineRule="auto"/>
        <w:rPr>
          <w:sz w:val="20"/>
          <w:szCs w:val="20"/>
          <w:color w:val="auto"/>
        </w:rPr>
      </w:pPr>
      <w:r>
        <w:rPr>
          <w:rFonts w:ascii="Arial" w:cs="Arial" w:eastAsia="Arial" w:hAnsi="Arial"/>
          <w:sz w:val="14"/>
          <w:szCs w:val="14"/>
          <w:color w:val="auto"/>
        </w:rPr>
        <w:t>Financing activities provided $1.2 billion and $940.2 million of cash for the first six months of 2022 and 2021, respectively, and included: (a) net contributions from non-controlling interests of consolidated funds of $ 414.1 million and $215.3 million; (b) distributions to unitholders of $206.8 million and $550.0 million; (c) net capital contributions of $110.5 million and $ 34.9 million; (d) proceeds from CLO debt obligations of $1.7 billion and $1.6 billion and repayments of $807.5 million and $926.4 million, and (e) payments of debt issuance costs of $7.3 million and $1.8 million. Additionally, the first six months of 2022 and 2021 included borrowings of $403.7 million and $575.6 million, respectively, and $547.6 million repayments and $0.0 million of repayments, respectively, related to consolidated funds.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Sources and Uses of Liquidity</w:t>
      </w:r>
    </w:p>
    <w:p>
      <w:pPr>
        <w:spacing w:after="0" w:line="134" w:lineRule="exact"/>
        <w:rPr>
          <w:sz w:val="20"/>
          <w:szCs w:val="20"/>
          <w:color w:val="auto"/>
        </w:rPr>
      </w:pPr>
    </w:p>
    <w:p>
      <w:pPr>
        <w:ind w:right="100" w:firstLine="509"/>
        <w:spacing w:after="0" w:line="265" w:lineRule="auto"/>
        <w:rPr>
          <w:sz w:val="20"/>
          <w:szCs w:val="20"/>
          <w:color w:val="auto"/>
        </w:rPr>
      </w:pPr>
      <w:r>
        <w:rPr>
          <w:rFonts w:ascii="Arial" w:cs="Arial" w:eastAsia="Arial" w:hAnsi="Arial"/>
          <w:sz w:val="14"/>
          <w:szCs w:val="14"/>
          <w:color w:val="auto"/>
        </w:rPr>
        <w:t>We expect to continue to make distributions to our preferred unitholders in accordance with their contractual terms and our Class A unitholders pursuant to our distribution policy for our common units as described in our operating agreement. In the future, subject to our operating agreement we may also issue additional units or debt and other equity securities with the objective of increasing our available capital. In addition, we may, from time to time, repurchase our preferred units in open market or privately negotiated purchases or otherwise, redeem our preferred units pursuant to the terms of their respective governing documents, or repurchase OCGH or OEP units.</w:t>
      </w:r>
    </w:p>
    <w:p>
      <w:pPr>
        <w:spacing w:after="0" w:line="95" w:lineRule="exact"/>
        <w:rPr>
          <w:sz w:val="20"/>
          <w:szCs w:val="20"/>
          <w:color w:val="auto"/>
        </w:rPr>
      </w:pPr>
    </w:p>
    <w:p>
      <w:pPr>
        <w:ind w:right="20" w:firstLine="509"/>
        <w:spacing w:after="0" w:line="259" w:lineRule="auto"/>
        <w:rPr>
          <w:sz w:val="20"/>
          <w:szCs w:val="20"/>
          <w:color w:val="auto"/>
        </w:rPr>
      </w:pPr>
      <w:r>
        <w:rPr>
          <w:rFonts w:ascii="Arial" w:cs="Arial" w:eastAsia="Arial" w:hAnsi="Arial"/>
          <w:sz w:val="14"/>
          <w:szCs w:val="14"/>
          <w:color w:val="auto"/>
        </w:rPr>
        <w:t>In addition to our ongoing sources of cash that include management and sub-advisory fees, incentive income and distributions related to our corporate investments in funds and companies, we also have access to liquidity through our debt financings, credit agreements and equity financings. Prior to the Restructuring, our financial statements reflected debt and debt service of the entire Oaktree Operating Group. Until 2022, OCM had historically been the only direct borrower or issuer under credit agreements and private placement notes with third parties and made all payments of principal and interest. While certain Oaktree Operating Group entities (including Oaktree Capital I) are co-obligors and jointly and severally liable, debt obligations are reflected in the condensed consolidated financial statements based upon the entity that actually made the borrowing and received the related proceeds. Accordingly, our financial statements after the Restructuring generally will not reflect debt obligations, interest expense or related liabilities associated with OCM, Oaktree Capital II and Oaktree AIF.</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believe that the sources of liquidity described below will be sufficient to fund our working capital requirements for at least the next twelve months.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Debt Financings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June 2022, our consolidated subsidiary Oaktree Capital I issued and sold to certain accredited investors €50 million of its 2.20% Senior Notes, Series A, due 2032, €75</w:t>
      </w:r>
    </w:p>
    <w:p>
      <w:pPr>
        <w:spacing w:after="0" w:line="41" w:lineRule="exact"/>
        <w:rPr>
          <w:sz w:val="20"/>
          <w:szCs w:val="20"/>
          <w:color w:val="auto"/>
        </w:rPr>
      </w:pPr>
    </w:p>
    <w:p>
      <w:pPr>
        <w:ind w:right="280"/>
        <w:spacing w:after="0" w:line="276" w:lineRule="auto"/>
        <w:rPr>
          <w:sz w:val="20"/>
          <w:szCs w:val="20"/>
          <w:color w:val="auto"/>
        </w:rPr>
      </w:pPr>
      <w:r>
        <w:rPr>
          <w:rFonts w:ascii="Arial" w:cs="Arial" w:eastAsia="Arial" w:hAnsi="Arial"/>
          <w:sz w:val="14"/>
          <w:szCs w:val="14"/>
          <w:color w:val="auto"/>
        </w:rPr>
        <w:t>million of its 2.40% Senior Notes, Series B, due 2034, and €75 million of its 2.58% Senior Notes, Series C, due 2037. These series of notes are senior unsecured obligations of Oaktree Capital I, jointly and severally guaranteed by our former indirect subsidiaries OCM, Oaktree Capital II and Oaktree AIF. These notes provide for certain affirmative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negative covenants, including financial covenants relating to the issuer’s and guarantors’ combined leverage ratio and minimum assets under management. In addition, these notes</w:t>
      </w:r>
    </w:p>
    <w:p>
      <w:pPr>
        <w:spacing w:after="0" w:line="41" w:lineRule="exact"/>
        <w:rPr>
          <w:sz w:val="20"/>
          <w:szCs w:val="20"/>
          <w:color w:val="auto"/>
        </w:rPr>
      </w:pPr>
    </w:p>
    <w:p>
      <w:pPr>
        <w:jc w:val="both"/>
        <w:ind w:right="380"/>
        <w:spacing w:after="0" w:line="271" w:lineRule="auto"/>
        <w:rPr>
          <w:sz w:val="20"/>
          <w:szCs w:val="20"/>
          <w:color w:val="auto"/>
        </w:rPr>
      </w:pPr>
      <w:r>
        <w:rPr>
          <w:rFonts w:ascii="Arial" w:cs="Arial" w:eastAsia="Arial" w:hAnsi="Arial"/>
          <w:sz w:val="14"/>
          <w:szCs w:val="14"/>
          <w:color w:val="auto"/>
        </w:rPr>
        <w:t>contain customary representations and warranties of the issuer and the guarantors, and customary events of default, in certain cases, subject to cure periods. The issuer may prepay all, or from time to time any part of, any series of these notes at any time, subject, in the case of optional prepayment prior to the date that is three months prior to the maturity of the notes, to the issuer’s payment of the applicable make-whole amount and</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79" w:name="page80"/>
    <w:bookmarkEnd w:id="79"/>
    <w:p>
      <w:pPr>
        <w:ind w:right="260"/>
        <w:spacing w:after="0" w:line="290" w:lineRule="auto"/>
        <w:rPr>
          <w:sz w:val="20"/>
          <w:szCs w:val="20"/>
          <w:color w:val="auto"/>
        </w:rPr>
      </w:pPr>
      <w:r>
        <w:rPr>
          <w:rFonts w:ascii="Arial" w:cs="Arial" w:eastAsia="Arial" w:hAnsi="Arial"/>
          <w:sz w:val="14"/>
          <w:szCs w:val="14"/>
          <w:color w:val="auto"/>
        </w:rPr>
        <w:t>swap breakage loss, if any, determined with respect to such principal amount prepaid. Upon the occurrence of a change of control, the issuer will be required to make an offer to prepay each series of these notes without any make-whole amount.</w:t>
      </w:r>
    </w:p>
    <w:p>
      <w:pPr>
        <w:spacing w:after="0" w:line="110" w:lineRule="exact"/>
        <w:rPr>
          <w:sz w:val="20"/>
          <w:szCs w:val="20"/>
          <w:color w:val="auto"/>
        </w:rPr>
      </w:pPr>
    </w:p>
    <w:p>
      <w:pPr>
        <w:ind w:right="220" w:firstLine="509"/>
        <w:spacing w:after="0" w:line="305" w:lineRule="auto"/>
        <w:rPr>
          <w:sz w:val="20"/>
          <w:szCs w:val="20"/>
          <w:color w:val="auto"/>
        </w:rPr>
      </w:pPr>
      <w:r>
        <w:rPr>
          <w:rFonts w:ascii="Arial" w:cs="Arial" w:eastAsia="Arial" w:hAnsi="Arial"/>
          <w:sz w:val="14"/>
          <w:szCs w:val="14"/>
          <w:color w:val="auto"/>
        </w:rPr>
        <w:t>In January 2022, OCM issued and sold to certain accredited investors $200 million of 3.06% senior notes due 2037 (the “2037 Notes”). The 2037 Notes are senior unsecured obligations of OCM, jointly and severally guaranteed by Oaktree Capital I, Oaktree Capital II and Oaktree AIF. The 2037 Notes provide for certain affirmative and negative covenants, including financial covenants relating to the issuer’s and guarantors’ combined leverage ratio and minimum assets under management. In addition, the 2037</w:t>
      </w: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Notes contain customary representations and warranties of the issuer and the guarantors, and customary events of default, in certain cases, subject to cure periods. The issuer may prepay all, or from time to time any part of, the 2037 Notes at any time, subject in the case of optional prepayment prior to the date that is three months prior to the maturity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notes, to the issuer’s payment of the applicable make-whole amount determined with respect to such principal amount prepaid. Upon the occurrence of a change of control, the</w:t>
      </w:r>
    </w:p>
    <w:p>
      <w:pPr>
        <w:spacing w:after="0" w:line="41"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issuer will be required to make an offer to prepay the 2037 Notes without any make-whole amount. As OCM is the issuer of such senior unsecured notes, the outstanding principal and interest payments guaranteed by Oaktree Capital I will not be included in our financial statements unless an event of default occurs.</w:t>
      </w:r>
    </w:p>
    <w:p>
      <w:pPr>
        <w:spacing w:after="0" w:line="78"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In July 2020, OCM issued and sold to certain accredited investors $ 200 million aggregate principal amount of 3.64% Senior Notes, Series A, due 2030 (the “Series A 2030 Notes”) and $50 million aggregate principal amount of 3.84% Senior Notes, Series B, due 2035 (the “Series B 2035 Notes”) pursuant to a note and guaranty agreement. Both series of notes are senior unsecured obligations of the issuer, jointly and severally guaranteed by Oaktree Capital I, Oaktree Capital II and Oaktree AIF. Both series of notes provide for certain affirmative and negative covenants, including financial covenants relating to the issuer’s and guarantors’ combined leverage ratio and minimum assets under management. In addition, the Series A 2030 Notes and Series B 2035 Notes contain customary representations and warranties of the issuer and the guarantors, and customary events of default, in certain cases, subject to cure periods. The issuer may prepay all, or from time to time any part of, the Series A 2030 Notes and Series B 2035 Notes at any time, subject in the case of optional prepayment prior to the date that is three months prior to the maturity of the notes, to the issuer’s payment of the applicable make-whole amount determined with respect to such principal amount prepaid. Upon the occurrence of a change of control, the issuer will be required to make an offer to prepay both series of notes without any make-whole amount. As OCM is the issuer of such senior unsecured notes, the outstanding principal and interest payments guaranteed by Oaktree Capital I will not be included in our financial statements unless an event of default occurs.</w:t>
      </w:r>
    </w:p>
    <w:p>
      <w:pPr>
        <w:spacing w:after="0" w:line="101"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In May 2020, Oaktree Capital I, along with certain other Oaktree Operating Group members as co-borrowers, entered into a credit agreement with a subsidiary of Brookfield that provides for a subordinated credit facility maturing on May 19, 2023. The subordinated credit facility has a revolving loan commitment of $250 million and borrowings generally bear interest at a spread to either LIBOR or an alternative base rate. Borrowings on the subordinated credit facility are subordinate to the outstanding debt obligations and borrowings on the primary credit facility of Oaktree Capital I and its co-borrowers as detailed in note 8 to our condensed consolidated financial statements included elsewhere in this quarterly report. Oaktree Capital I is jointly and severally liable, along with its co-obligors for outstanding borrowings on the subordinated credit facility. As set forth in such note 8, the Company’s financial statements generally will not reflect debt obligations, interest expense or related liabilities associated with its operating subsidiaries until such time as Oaktree Capital I directly borrows from the subordinated credit facility. In March 2022, the Company entered into an amendment to the credit facility to extend the revolving credit maturity date from May 19, 2023 to September 14, 2026. No amounts were outstanding on the subordinated credit facility as of June 30, 2022.</w:t>
      </w:r>
    </w:p>
    <w:p>
      <w:pPr>
        <w:spacing w:after="0" w:line="101"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In December 2019, OCM, Oaktree Capital II, Oaktree AIF, and Oaktree Capital I (collectively, the “Borrowers”) entered into the Fifth Amendment to Credit Agreement (the “Fifth Amendment”), which amended the credit agreement dated as of March 31, 2014 (as amended through and including the Fifth Amendment, the “Credit Agreement”). The Fifth Amendment extended the maturity date of the Credit Agreement from March 29, 2023 to December 13, 2024, increased the revolving credit facility (the “Revolver”) from $500 million to $650 million, provided for the refinancing of the then-outstanding $150 million term loan balance with revolving loans, and provides the Borrowers with the option to extend the new maturity date by one year up to two times if the lenders holding at least 50% of the aggregate amount of the revolving loan commitment thereunder on the date of the Borrowers’ extension request consent to such extension. The Fifth Amendment also favorably updated the commitment fee and interest rate margins in the corporate ratings-based pricing grid, increased the AUM covenant threshold from $60 billion to $65 billion and made certain other amendments to the provisions of the Credit Agreement. Borrowings under the Credit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80" w:name="page81"/>
    <w:bookmarkEnd w:id="80"/>
    <w:p>
      <w:pPr>
        <w:ind w:right="80"/>
        <w:spacing w:after="0" w:line="259" w:lineRule="auto"/>
        <w:rPr>
          <w:sz w:val="20"/>
          <w:szCs w:val="20"/>
          <w:color w:val="auto"/>
        </w:rPr>
      </w:pPr>
      <w:r>
        <w:rPr>
          <w:rFonts w:ascii="Arial" w:cs="Arial" w:eastAsia="Arial" w:hAnsi="Arial"/>
          <w:sz w:val="14"/>
          <w:szCs w:val="14"/>
          <w:color w:val="auto"/>
        </w:rPr>
        <w:t>generally bear interest at a spread to either LIBOR or an alternative base rate. Based on the current credit ratings of OCM, the interest rate on borrowings is LIBOR plus 0.88% per annum and the commitment fee on the unused portions of the Revolver is 0.08% per annum. The Credit Agreement contains customary financial covenants and restrictions, including (after giving effect to the Fifth Amendment) covenants regarding a maximum leverage ratio of 3.50x-to-1.00x and a minimum required level of assets under management (as defined in the credit agreement). In September 2021, the Borrowers entered into the Sixth Amendment to Credit Agreement (the “Sixth Agreement”). The Sixth Amendment extended the maturity date of the Credit Agreement from December 13, 2024 to September 14, 2026, modified the AUM covenant threshold from $65 billion of AUM to $ 57.5 billion of management fee-generating AUM, and increased the maximum leverage ratio to 4.00x-to-1.00x. As of June 30, 2022, OCM had no outstanding borrowings under the $650 million revolving credit facility.</w:t>
      </w:r>
    </w:p>
    <w:p>
      <w:pPr>
        <w:spacing w:after="0" w:line="99"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In December 2017, OCM issued and sold to certain accredited investors $250 million of 3.78% senior notes due 2032 (the “2032 Notes”). The 2032 Notes are senior unsecured obligations of the issuer, jointly and severally guaranteed by Oaktree Capital I, Oaktree Capital II and Oaktree AIF. The proceeds from the sale of the 2032 Notes and cash on hand were used to redeem the $250 million of 6.75% Senior Notes due 2019 and to pay the related make-whole premium to holders thereof. In connection with the Notes offering, we entered into a cross-currency swap agreement to euros, reducing the interest cost to 1.95% per year. The 2032 Notes provide for certain affirmative and negative covenants, including financial covenants relating to the issuer’s and guarantors’ combined leverage ratio and minimum assets under management. In addition, the 2032 Notes contain customary representations and warranties of the issuer and the guarantors, and customary events of default, in certain cases, subject to cure periods. The issuer may prepay all, or from time to time any part of, the 2032 Notes at any time, subject to the issuer’s payment of the applicable make-whole amount determined with respect to such principal amount prepaid. Upon the occurrence of a change of control, the issuer will be required to make an offer to prepay the 2032 Notes together with the applicable make-whole amount determined with respect to such principal amount prepaid.</w:t>
      </w:r>
    </w:p>
    <w:p>
      <w:pPr>
        <w:spacing w:after="0" w:line="104" w:lineRule="exact"/>
        <w:rPr>
          <w:sz w:val="20"/>
          <w:szCs w:val="20"/>
          <w:color w:val="auto"/>
        </w:rPr>
      </w:pPr>
    </w:p>
    <w:p>
      <w:pPr>
        <w:ind w:right="220" w:firstLine="509"/>
        <w:spacing w:after="0" w:line="258" w:lineRule="auto"/>
        <w:rPr>
          <w:sz w:val="20"/>
          <w:szCs w:val="20"/>
          <w:color w:val="auto"/>
        </w:rPr>
      </w:pPr>
      <w:r>
        <w:rPr>
          <w:rFonts w:ascii="Arial" w:cs="Arial" w:eastAsia="Arial" w:hAnsi="Arial"/>
          <w:sz w:val="14"/>
          <w:szCs w:val="14"/>
          <w:color w:val="auto"/>
        </w:rPr>
        <w:t>In July 2016, OCM, issued and sold to certain accredited investors $100 million of 3.69% senior notes due July 12, 2031 (the “2031 Notes”). The 2031 Notes are senior unsecured obligations of the issuer, jointly and severally guaranteed by Oaktree Capital I, Oaktree Capital II and Oaktree AIF pursuant to a note and guaranty agreement. The proceeds from the sale of the 2031 Notes were used to simultaneously repay $100 million of borrowings outstanding under the $250 million term loan due March 31, 2021. The 2031 Notes provide for certain affirmative and negative covenants, including financial covenants relating to the issuer’s and guarantors’ combined leverage ratio and minimum assets under management. In addition, the 2031 Notes contain customary representations and warranties of the issuer and the guarantors, and customary events of default, in certain cases, subject to cure periods. The issuer may prepay all, or from time to time any part of, the 2031 Notes at any time, subject to the issuer’s payment of the applicable make-whole amount determined with respect to such principal amount prepaid. Upon the occurrence of a change of control, the issuer will be required to make an offer to prepay the 2031 Notes together with the applicable make-whole amount determined with respect to such principal amount prepaid.</w:t>
      </w:r>
    </w:p>
    <w:p>
      <w:pPr>
        <w:spacing w:after="0" w:line="101"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In September 2014, OCM issued and sold to certain accredited investors $50 million aggregate principal amount of 3.91% Senior Notes, Series A, due September 3, 2024 (the “Series A Notes”), $100 million aggregate principal amount of 4.01% Senior Notes, Series B, due September 3, 2026 (the “Series B Notes”) and $100 million aggregate principal amount of 4.21% Senior Notes, Series C, due September 3, 2029 (the “Series C Notes” and together with the Series A Notes and the Series B Notes, the “Senior Notes”) pursuant to a note and guarantee agreement. The Senior Notes are senior unsecured obligations of the issuer, guaranteed on a joint and several basis by Oaktree Capital I, Oaktree Capital II and Oaktree AIF. Interest on the 2014 Notes is payable semi-annually. The Senior Notes provide for certain affirmative and negative covenants, including financial covenants relating to the issuer’s and guarantors’ combined leverage ratio and minimum assets under management. In addition, the Senior Notes contain customary representations and warranties of the issuer and the guarantors, and customary events of default, in certain cases, subject to cure periods. The issuer may prepay all, or from time to time any part of, the Senior Notes at any time, subject to the issuer’s payment of the applicable make-whole amount determined with respect to such principal amount prepaid. Upon the occurrence of a change of control, the issuer will be required to make an offer to prepay the Senior Notes together with the applicable make-whole amount determined with respect to such principal amount prepaid.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i w:val="1"/>
          <w:iCs w:val="1"/>
          <w:color w:val="auto"/>
        </w:rPr>
        <w:t>Preferred Unit Issuances</w:t>
      </w:r>
    </w:p>
    <w:p>
      <w:pPr>
        <w:spacing w:after="0" w:line="134" w:lineRule="exact"/>
        <w:rPr>
          <w:sz w:val="20"/>
          <w:szCs w:val="20"/>
          <w:color w:val="auto"/>
        </w:rPr>
      </w:pPr>
    </w:p>
    <w:p>
      <w:pPr>
        <w:jc w:val="both"/>
        <w:ind w:right="220" w:firstLine="509"/>
        <w:spacing w:after="0" w:line="271" w:lineRule="auto"/>
        <w:rPr>
          <w:sz w:val="20"/>
          <w:szCs w:val="20"/>
          <w:color w:val="auto"/>
        </w:rPr>
      </w:pPr>
      <w:r>
        <w:rPr>
          <w:rFonts w:ascii="Arial" w:cs="Arial" w:eastAsia="Arial" w:hAnsi="Arial"/>
          <w:sz w:val="14"/>
          <w:szCs w:val="14"/>
          <w:color w:val="auto"/>
        </w:rPr>
        <w:t>On May 17, 2018, we issued 7,200,000 of our 6.625% Series A preferred units representing limited liability company interests with a liquidation preference of $25.00 per unit. The issuance resulted in $173.7 million in net proceeds to us. Distributions on the Series A preferred units, when and if declared by the board of directors of Oaktree, will be paid quarterly on March 15, June 15, September 15 and December 15 of each year. Distributions on the Series A preferred units are non-cumulative.</w:t>
      </w:r>
    </w:p>
    <w:p>
      <w:pPr>
        <w:spacing w:after="0" w:line="91" w:lineRule="exact"/>
        <w:rPr>
          <w:sz w:val="20"/>
          <w:szCs w:val="20"/>
          <w:color w:val="auto"/>
        </w:rPr>
      </w:pPr>
    </w:p>
    <w:p>
      <w:pPr>
        <w:jc w:val="both"/>
        <w:ind w:right="140" w:firstLine="509"/>
        <w:spacing w:after="0" w:line="271" w:lineRule="auto"/>
        <w:rPr>
          <w:sz w:val="20"/>
          <w:szCs w:val="20"/>
          <w:color w:val="auto"/>
        </w:rPr>
      </w:pPr>
      <w:r>
        <w:rPr>
          <w:rFonts w:ascii="Arial" w:cs="Arial" w:eastAsia="Arial" w:hAnsi="Arial"/>
          <w:sz w:val="14"/>
          <w:szCs w:val="14"/>
          <w:color w:val="auto"/>
        </w:rPr>
        <w:t>On August 9, 2018, we issued 9,400,000 of our 6.550% Series B preferred units representing limited liability company interests with a liquidation preference of $25.00 per unit. The issuance resulted in $226.9 million in net proceeds to us. Distributions on the Series B preferred units, when and if declared by the board of directors of Oaktree, will be paid quarterly on March 15, June 15, September 15 and December 15 of each year. Distributions on the Series B preferred units are non-cumulative.</w:t>
      </w:r>
    </w:p>
    <w:p>
      <w:pPr>
        <w:spacing w:after="0" w:line="91"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Unless distributions have been declared and paid or declared and set apart for payment on the preferred units for a quarterly distribution period, during the remainder of that distribution period we may not repurchase any common units or any other units that are junior in rank, as to the payment of distributions, to the preferred units and we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spacing w:after="0" w:line="95" w:lineRule="exact"/>
        <w:rPr>
          <w:sz w:val="20"/>
          <w:szCs w:val="20"/>
          <w:color w:val="auto"/>
        </w:rPr>
      </w:pPr>
    </w:p>
    <w:p>
      <w:pPr>
        <w:ind w:right="120" w:firstLine="509"/>
        <w:spacing w:after="0" w:line="271" w:lineRule="auto"/>
        <w:rPr>
          <w:sz w:val="20"/>
          <w:szCs w:val="20"/>
          <w:color w:val="auto"/>
        </w:rPr>
      </w:pPr>
      <w:r>
        <w:rPr>
          <w:rFonts w:ascii="Arial" w:cs="Arial" w:eastAsia="Arial" w:hAnsi="Arial"/>
          <w:sz w:val="14"/>
          <w:szCs w:val="14"/>
          <w:color w:val="auto"/>
        </w:rPr>
        <w:t>We may redeem, at our option, out of funds legally available, the preferred units, in whole or in part, at any time on or after June 15, 2023 in respect of the Series A preferred units or September 15, 2023 in respect of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91"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If a Change of Control Event (as defined in the applicable Preferred Unit Designation) occurs prior to June 15, 2023 in respect of the Series A preferred units or September 15, 2023 in respect of the Series B preferred units, we may, at our option, out of funds legally available, redeem the applicable preferred units, in whole but not in part, upon at least 30 days’ notice, within 60 days of the occurrence of such Change of Control Event, at a price of $25.25 per preferred unit, plus declared and unpaid distributions to, but excluding, the redemption date, without payment of any undeclared distributions.</w:t>
      </w:r>
    </w:p>
    <w:p>
      <w:pPr>
        <w:spacing w:after="0" w:line="95"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If a Tax Redemption Event or Rating Agency Event (each, as defined in the applicable Preferred Unit Designation) occurs prior to June 15, 2023 in respect of the Series A preferred units or September 15, 2023 in respect of the Series B preferred units, we may, at our option, out of funds legally available, redeem the applicable preferred units, in whole but not in part, upon at least 30 days’ notice, within 60 days of the occurrence of such Tax Redemption Event or Rating Agency Event, at a price of $25.50 per preferred unit, plus declared and unpaid distributions to, but excluding, the redemption date, without payment of any undeclared distributions.</w:t>
      </w:r>
    </w:p>
    <w:p>
      <w:pPr>
        <w:spacing w:after="0" w:line="95" w:lineRule="exact"/>
        <w:rPr>
          <w:sz w:val="20"/>
          <w:szCs w:val="20"/>
          <w:color w:val="auto"/>
        </w:rPr>
      </w:pPr>
    </w:p>
    <w:p>
      <w:pPr>
        <w:ind w:right="80" w:firstLine="509"/>
        <w:spacing w:after="0" w:line="290" w:lineRule="auto"/>
        <w:rPr>
          <w:sz w:val="20"/>
          <w:szCs w:val="20"/>
          <w:color w:val="auto"/>
        </w:rPr>
      </w:pPr>
      <w:r>
        <w:rPr>
          <w:rFonts w:ascii="Arial" w:cs="Arial" w:eastAsia="Arial" w:hAnsi="Arial"/>
          <w:sz w:val="14"/>
          <w:szCs w:val="14"/>
          <w:color w:val="auto"/>
        </w:rPr>
        <w:t>The preferred units are not convertible into Class A units or any other class or series of our interests or any other security. Holders of the preferred units do not have any of the voting rights given to holders of our Class A units, except that holders of the preferred units are entitled to certain voting rights under certain conditions.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9"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color w:val="auto"/>
        </w:rPr>
        <w:t>Contractual Obligations, Commitments and Contingencies</w:t>
      </w:r>
    </w:p>
    <w:p>
      <w:pPr>
        <w:spacing w:after="0" w:line="72" w:lineRule="exact"/>
        <w:rPr>
          <w:sz w:val="20"/>
          <w:szCs w:val="20"/>
          <w:color w:val="auto"/>
        </w:rPr>
      </w:pPr>
    </w:p>
    <w:p>
      <w:pPr>
        <w:ind w:right="40" w:firstLine="509"/>
        <w:spacing w:after="0" w:line="276" w:lineRule="auto"/>
        <w:rPr>
          <w:sz w:val="20"/>
          <w:szCs w:val="20"/>
          <w:color w:val="auto"/>
        </w:rPr>
      </w:pPr>
      <w:r>
        <w:rPr>
          <w:rFonts w:ascii="Arial" w:cs="Arial" w:eastAsia="Arial" w:hAnsi="Arial"/>
          <w:sz w:val="14"/>
          <w:szCs w:val="14"/>
          <w:color w:val="auto"/>
        </w:rPr>
        <w:t>In the ordinary course of business, we and our consolidated funds enter into contractual arrangements that may require future cash payments. The following table sets forth information related to anticipated future cash payments as of June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Remainder of 2022</w:t>
            </w: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2023-2024</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0"/>
                <w:szCs w:val="10"/>
                <w:b w:val="1"/>
                <w:bCs w:val="1"/>
                <w:color w:val="auto"/>
              </w:rPr>
              <w:t>2025-2026</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Thereafter</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140"/>
              <w:spacing w:after="0"/>
              <w:rPr>
                <w:sz w:val="20"/>
                <w:szCs w:val="20"/>
                <w:color w:val="auto"/>
              </w:rPr>
            </w:pPr>
            <w:r>
              <w:rPr>
                <w:rFonts w:ascii="Arial" w:cs="Arial" w:eastAsia="Arial" w:hAnsi="Arial"/>
                <w:sz w:val="10"/>
                <w:szCs w:val="10"/>
                <w:b w:val="1"/>
                <w:bCs w:val="1"/>
                <w:color w:val="auto"/>
              </w:rPr>
              <w:t>(in thousands)</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ind w:left="20"/>
              <w:spacing w:after="0"/>
              <w:rPr>
                <w:sz w:val="20"/>
                <w:szCs w:val="20"/>
                <w:color w:val="auto"/>
              </w:rPr>
            </w:pPr>
            <w:r>
              <w:rPr>
                <w:rFonts w:ascii="Arial" w:cs="Arial" w:eastAsia="Arial" w:hAnsi="Arial"/>
                <w:sz w:val="13"/>
                <w:szCs w:val="13"/>
                <w:b w:val="1"/>
                <w:bCs w:val="1"/>
                <w:color w:val="auto"/>
              </w:rPr>
              <w:t>Oaktree and Operating Subsidiaries:</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6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 xml:space="preserve">Operating lease obligations </w:t>
            </w:r>
            <w:r>
              <w:rPr>
                <w:rFonts w:ascii="Arial" w:cs="Arial" w:eastAsia="Arial" w:hAnsi="Arial"/>
                <w:sz w:val="16"/>
                <w:szCs w:val="16"/>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3,022</w:t>
            </w:r>
          </w:p>
        </w:tc>
        <w:tc>
          <w:tcPr>
            <w:tcW w:w="2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9,578</w:t>
            </w:r>
          </w:p>
        </w:tc>
        <w:tc>
          <w:tcPr>
            <w:tcW w:w="2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8,310</w:t>
            </w:r>
          </w:p>
        </w:tc>
        <w:tc>
          <w:tcPr>
            <w:tcW w:w="2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19,126</w:t>
            </w:r>
          </w:p>
        </w:tc>
        <w:tc>
          <w:tcPr>
            <w:tcW w:w="180" w:type="dxa"/>
            <w:vAlign w:val="bottom"/>
          </w:tcPr>
          <w:p>
            <w:pPr>
              <w:spacing w:after="0"/>
              <w:rPr>
                <w:sz w:val="14"/>
                <w:szCs w:val="14"/>
                <w:color w:val="auto"/>
              </w:rPr>
            </w:pPr>
          </w:p>
        </w:tc>
        <w:tc>
          <w:tcPr>
            <w:tcW w:w="3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40,036</w:t>
            </w:r>
          </w:p>
        </w:tc>
        <w:tc>
          <w:tcPr>
            <w:tcW w:w="0" w:type="dxa"/>
            <w:vAlign w:val="bottom"/>
          </w:tcPr>
          <w:p>
            <w:pPr>
              <w:spacing w:after="0"/>
              <w:rPr>
                <w:sz w:val="1"/>
                <w:szCs w:val="1"/>
                <w:color w:val="auto"/>
              </w:rPr>
            </w:pPr>
          </w:p>
        </w:tc>
      </w:tr>
      <w:tr>
        <w:trPr>
          <w:trHeight w:val="170"/>
        </w:trPr>
        <w:tc>
          <w:tcPr>
            <w:tcW w:w="406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 xml:space="preserve">Senior note principal repayment </w:t>
            </w:r>
            <w:r>
              <w:rPr>
                <w:rFonts w:ascii="Arial" w:cs="Arial" w:eastAsia="Arial" w:hAnsi="Arial"/>
                <w:sz w:val="16"/>
                <w:szCs w:val="16"/>
                <w:color w:val="auto"/>
                <w:vertAlign w:val="superscript"/>
              </w:rPr>
              <w:t>(2)</w:t>
            </w:r>
          </w:p>
        </w:tc>
        <w:tc>
          <w:tcPr>
            <w:tcW w:w="14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214,896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214,896</w:t>
            </w:r>
          </w:p>
        </w:tc>
        <w:tc>
          <w:tcPr>
            <w:tcW w:w="0" w:type="dxa"/>
            <w:vAlign w:val="bottom"/>
          </w:tcPr>
          <w:p>
            <w:pPr>
              <w:spacing w:after="0"/>
              <w:rPr>
                <w:sz w:val="1"/>
                <w:szCs w:val="1"/>
                <w:color w:val="auto"/>
              </w:rPr>
            </w:pPr>
          </w:p>
        </w:tc>
      </w:tr>
      <w:tr>
        <w:trPr>
          <w:trHeight w:val="170"/>
        </w:trPr>
        <w:tc>
          <w:tcPr>
            <w:tcW w:w="406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 xml:space="preserve">OCG limited partner commitments to Oaktree funds </w:t>
            </w:r>
            <w:r>
              <w:rPr>
                <w:rFonts w:ascii="Arial" w:cs="Arial" w:eastAsia="Arial" w:hAnsi="Arial"/>
                <w:sz w:val="16"/>
                <w:szCs w:val="16"/>
                <w:color w:val="auto"/>
                <w:vertAlign w:val="superscript"/>
              </w:rPr>
              <w:t>(3)</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412,500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412,500</w:t>
            </w:r>
          </w:p>
        </w:tc>
        <w:tc>
          <w:tcPr>
            <w:tcW w:w="0" w:type="dxa"/>
            <w:vAlign w:val="bottom"/>
          </w:tcPr>
          <w:p>
            <w:pPr>
              <w:spacing w:after="0"/>
              <w:rPr>
                <w:sz w:val="1"/>
                <w:szCs w:val="1"/>
                <w:color w:val="auto"/>
              </w:rPr>
            </w:pPr>
          </w:p>
        </w:tc>
      </w:tr>
      <w:tr>
        <w:trPr>
          <w:trHeight w:val="127"/>
        </w:trPr>
        <w:tc>
          <w:tcPr>
            <w:tcW w:w="406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Oaktree Capital I general partner commitments to Oaktree and third-</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525,487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525,487</w:t>
            </w:r>
          </w:p>
        </w:tc>
        <w:tc>
          <w:tcPr>
            <w:tcW w:w="0" w:type="dxa"/>
            <w:vAlign w:val="bottom"/>
          </w:tcPr>
          <w:p>
            <w:pPr>
              <w:spacing w:after="0"/>
              <w:rPr>
                <w:sz w:val="1"/>
                <w:szCs w:val="1"/>
                <w:color w:val="auto"/>
              </w:rPr>
            </w:pPr>
          </w:p>
        </w:tc>
      </w:tr>
      <w:tr>
        <w:trPr>
          <w:trHeight w:val="170"/>
        </w:trPr>
        <w:tc>
          <w:tcPr>
            <w:tcW w:w="4060" w:type="dxa"/>
            <w:vAlign w:val="bottom"/>
            <w:gridSpan w:val="2"/>
          </w:tcPr>
          <w:p>
            <w:pPr>
              <w:ind w:left="140"/>
              <w:spacing w:after="0" w:line="170" w:lineRule="exact"/>
              <w:rPr>
                <w:sz w:val="20"/>
                <w:szCs w:val="20"/>
                <w:color w:val="auto"/>
              </w:rPr>
            </w:pPr>
            <w:r>
              <w:rPr>
                <w:rFonts w:ascii="Arial" w:cs="Arial" w:eastAsia="Arial" w:hAnsi="Arial"/>
                <w:sz w:val="13"/>
                <w:szCs w:val="13"/>
                <w:color w:val="auto"/>
              </w:rPr>
              <w:t xml:space="preserve">party funds </w:t>
            </w:r>
            <w:r>
              <w:rPr>
                <w:rFonts w:ascii="Arial" w:cs="Arial" w:eastAsia="Arial" w:hAnsi="Arial"/>
                <w:sz w:val="16"/>
                <w:szCs w:val="16"/>
                <w:color w:val="auto"/>
                <w:vertAlign w:val="superscript"/>
              </w:rPr>
              <w:t>(3)</w:t>
            </w: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60" w:type="dxa"/>
            <w:vAlign w:val="bottom"/>
            <w:gridSpan w:val="2"/>
          </w:tcPr>
          <w:p>
            <w:pPr>
              <w:ind w:left="280"/>
              <w:spacing w:after="0"/>
              <w:rPr>
                <w:sz w:val="20"/>
                <w:szCs w:val="20"/>
                <w:color w:val="auto"/>
              </w:rPr>
            </w:pPr>
            <w:r>
              <w:rPr>
                <w:rFonts w:ascii="Arial" w:cs="Arial" w:eastAsia="Arial" w:hAnsi="Arial"/>
                <w:sz w:val="13"/>
                <w:szCs w:val="13"/>
                <w:color w:val="auto"/>
              </w:rPr>
              <w:t>Subtotal</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941,009</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9,578</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8,310</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234,022</w:t>
            </w:r>
          </w:p>
        </w:tc>
        <w:tc>
          <w:tcPr>
            <w:tcW w:w="1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1,192,919</w:t>
            </w:r>
          </w:p>
        </w:tc>
        <w:tc>
          <w:tcPr>
            <w:tcW w:w="0" w:type="dxa"/>
            <w:vAlign w:val="bottom"/>
          </w:tcPr>
          <w:p>
            <w:pPr>
              <w:spacing w:after="0"/>
              <w:rPr>
                <w:sz w:val="1"/>
                <w:szCs w:val="1"/>
                <w:color w:val="auto"/>
              </w:rPr>
            </w:pPr>
          </w:p>
        </w:tc>
      </w:tr>
      <w:tr>
        <w:trPr>
          <w:trHeight w:val="172"/>
        </w:trPr>
        <w:tc>
          <w:tcPr>
            <w:tcW w:w="406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Consolidated Funds:</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6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 xml:space="preserve">Debt obligations payable </w:t>
            </w:r>
            <w:r>
              <w:rPr>
                <w:rFonts w:ascii="Arial" w:cs="Arial" w:eastAsia="Arial" w:hAnsi="Arial"/>
                <w:sz w:val="16"/>
                <w:szCs w:val="16"/>
                <w:color w:val="auto"/>
                <w:vertAlign w:val="superscript"/>
              </w:rPr>
              <w:t>(2)</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917,980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20,000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937,980</w:t>
            </w:r>
          </w:p>
        </w:tc>
        <w:tc>
          <w:tcPr>
            <w:tcW w:w="0" w:type="dxa"/>
            <w:vAlign w:val="bottom"/>
          </w:tcPr>
          <w:p>
            <w:pPr>
              <w:spacing w:after="0"/>
              <w:rPr>
                <w:sz w:val="1"/>
                <w:szCs w:val="1"/>
                <w:color w:val="auto"/>
              </w:rPr>
            </w:pPr>
          </w:p>
        </w:tc>
      </w:tr>
      <w:tr>
        <w:trPr>
          <w:trHeight w:val="170"/>
        </w:trPr>
        <w:tc>
          <w:tcPr>
            <w:tcW w:w="406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 xml:space="preserve">Interest obligations on debt </w:t>
            </w:r>
            <w:r>
              <w:rPr>
                <w:rFonts w:ascii="Arial" w:cs="Arial" w:eastAsia="Arial" w:hAnsi="Arial"/>
                <w:sz w:val="16"/>
                <w:szCs w:val="16"/>
                <w:color w:val="auto"/>
                <w:vertAlign w:val="superscript"/>
              </w:rPr>
              <w:t>(4)</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2,997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3,535</w:t>
            </w:r>
          </w:p>
        </w:tc>
        <w:tc>
          <w:tcPr>
            <w:tcW w:w="0" w:type="dxa"/>
            <w:vAlign w:val="bottom"/>
          </w:tcPr>
          <w:p>
            <w:pPr>
              <w:spacing w:after="0"/>
              <w:rPr>
                <w:sz w:val="1"/>
                <w:szCs w:val="1"/>
                <w:color w:val="auto"/>
              </w:rPr>
            </w:pPr>
          </w:p>
        </w:tc>
      </w:tr>
      <w:tr>
        <w:trPr>
          <w:trHeight w:val="170"/>
        </w:trPr>
        <w:tc>
          <w:tcPr>
            <w:tcW w:w="406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 xml:space="preserve">Debt obligations of CLOs </w:t>
            </w:r>
            <w:r>
              <w:rPr>
                <w:rFonts w:ascii="Arial" w:cs="Arial" w:eastAsia="Arial" w:hAnsi="Arial"/>
                <w:sz w:val="16"/>
                <w:szCs w:val="16"/>
                <w:color w:val="auto"/>
                <w:vertAlign w:val="superscript"/>
              </w:rPr>
              <w:t>(2)</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27,825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8,467,324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8,495,149</w:t>
            </w:r>
          </w:p>
        </w:tc>
        <w:tc>
          <w:tcPr>
            <w:tcW w:w="0" w:type="dxa"/>
            <w:vAlign w:val="bottom"/>
          </w:tcPr>
          <w:p>
            <w:pPr>
              <w:spacing w:after="0"/>
              <w:rPr>
                <w:sz w:val="1"/>
                <w:szCs w:val="1"/>
                <w:color w:val="auto"/>
              </w:rPr>
            </w:pPr>
          </w:p>
        </w:tc>
      </w:tr>
      <w:tr>
        <w:trPr>
          <w:trHeight w:val="170"/>
        </w:trPr>
        <w:tc>
          <w:tcPr>
            <w:tcW w:w="406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 xml:space="preserve">Interest on debt obligations of CLOs </w:t>
            </w:r>
            <w:r>
              <w:rPr>
                <w:rFonts w:ascii="Arial" w:cs="Arial" w:eastAsia="Arial" w:hAnsi="Arial"/>
                <w:sz w:val="16"/>
                <w:szCs w:val="16"/>
                <w:color w:val="auto"/>
                <w:vertAlign w:val="superscript"/>
              </w:rPr>
              <w:t>(4)</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100,116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400,465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400,465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1,305,304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2,206,350</w:t>
            </w:r>
          </w:p>
        </w:tc>
        <w:tc>
          <w:tcPr>
            <w:tcW w:w="0" w:type="dxa"/>
            <w:vAlign w:val="bottom"/>
          </w:tcPr>
          <w:p>
            <w:pPr>
              <w:spacing w:after="0"/>
              <w:rPr>
                <w:sz w:val="1"/>
                <w:szCs w:val="1"/>
                <w:color w:val="auto"/>
              </w:rPr>
            </w:pPr>
          </w:p>
        </w:tc>
      </w:tr>
      <w:tr>
        <w:trPr>
          <w:trHeight w:val="170"/>
        </w:trPr>
        <w:tc>
          <w:tcPr>
            <w:tcW w:w="406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 xml:space="preserve">Commitments to fund investments </w:t>
            </w:r>
            <w:r>
              <w:rPr>
                <w:rFonts w:ascii="Arial" w:cs="Arial" w:eastAsia="Arial" w:hAnsi="Arial"/>
                <w:sz w:val="16"/>
                <w:szCs w:val="16"/>
                <w:color w:val="auto"/>
                <w:vertAlign w:val="superscript"/>
              </w:rPr>
              <w:t>(5)</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8,163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8,163</w:t>
            </w:r>
          </w:p>
        </w:tc>
        <w:tc>
          <w:tcPr>
            <w:tcW w:w="0" w:type="dxa"/>
            <w:vAlign w:val="bottom"/>
          </w:tcPr>
          <w:p>
            <w:pPr>
              <w:spacing w:after="0"/>
              <w:rPr>
                <w:sz w:val="1"/>
                <w:szCs w:val="1"/>
                <w:color w:val="auto"/>
              </w:rPr>
            </w:pPr>
          </w:p>
        </w:tc>
      </w:tr>
      <w:tr>
        <w:trPr>
          <w:trHeight w:val="160"/>
        </w:trPr>
        <w:tc>
          <w:tcPr>
            <w:tcW w:w="4060" w:type="dxa"/>
            <w:vAlign w:val="bottom"/>
            <w:gridSpan w:val="2"/>
          </w:tcPr>
          <w:p>
            <w:pPr>
              <w:ind w:left="280"/>
              <w:spacing w:after="0"/>
              <w:rPr>
                <w:sz w:val="20"/>
                <w:szCs w:val="20"/>
                <w:color w:val="auto"/>
              </w:rPr>
            </w:pPr>
            <w:r>
              <w:rPr>
                <w:rFonts w:ascii="Arial" w:cs="Arial" w:eastAsia="Arial" w:hAnsi="Arial"/>
                <w:sz w:val="13"/>
                <w:szCs w:val="13"/>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1,998,090</w:t>
            </w:r>
          </w:p>
        </w:tc>
        <w:tc>
          <w:tcPr>
            <w:tcW w:w="2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430,581</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408,775</w:t>
            </w:r>
          </w:p>
        </w:tc>
        <w:tc>
          <w:tcPr>
            <w:tcW w:w="2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10,006,650</w:t>
            </w:r>
          </w:p>
        </w:tc>
        <w:tc>
          <w:tcPr>
            <w:tcW w:w="1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12,844,096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80" w:type="dxa"/>
            <w:vAlign w:val="bottom"/>
            <w:tcBorders>
              <w:bottom w:val="single" w:sz="8" w:color="auto"/>
            </w:tcBorders>
          </w:tcPr>
          <w:p>
            <w:pPr>
              <w:spacing w:after="0"/>
              <w:rPr>
                <w:sz w:val="10"/>
                <w:szCs w:val="10"/>
                <w:color w:val="auto"/>
              </w:rPr>
            </w:pPr>
          </w:p>
        </w:tc>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20" w:right="320" w:hanging="315"/>
        <w:spacing w:after="0" w:line="256" w:lineRule="auto"/>
        <w:tabs>
          <w:tab w:leader="none" w:pos="284"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lease our office space under agreements that expire periodically through 2031. The table includes both guaranteed and expected minimum lease payments for these leases and does not project other lease-related payments.</w:t>
      </w:r>
    </w:p>
    <w:p>
      <w:pPr>
        <w:ind w:left="300" w:hanging="295"/>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These obligations represent future principal payments, gross of debt issuance costs, and for CLOs, the par value.</w:t>
      </w:r>
    </w:p>
    <w:p>
      <w:pPr>
        <w:ind w:left="320" w:right="20" w:hanging="315"/>
        <w:spacing w:after="0" w:line="247" w:lineRule="auto"/>
        <w:tabs>
          <w:tab w:leader="none" w:pos="296"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These obligations represent commitments by us to provide limited and general partner capital funding to our funds, limited partner capital funding to funds managed by unaffiliated third parties and commitments to support investments by our funds. These amounts are generally due on demand and are therefore presented in the 2022 column. Capital commitments are generally expected to be called over a period of several years.</w:t>
      </w:r>
    </w:p>
    <w:p>
      <w:pPr>
        <w:spacing w:after="0" w:line="1" w:lineRule="exact"/>
        <w:rPr>
          <w:rFonts w:ascii="Arial" w:cs="Arial" w:eastAsia="Arial" w:hAnsi="Arial"/>
          <w:sz w:val="13"/>
          <w:szCs w:val="13"/>
          <w:color w:val="auto"/>
        </w:rPr>
      </w:pPr>
    </w:p>
    <w:p>
      <w:pPr>
        <w:ind w:left="280" w:hanging="275"/>
        <w:spacing w:after="0"/>
        <w:tabs>
          <w:tab w:leader="none" w:pos="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Interest obligations include accrued interest on outstanding indebtedness. Where applicable, current interest rates are applied to estimate future interest obligations on variable-rate debt.</w:t>
      </w:r>
    </w:p>
    <w:p>
      <w:pPr>
        <w:spacing w:after="0" w:line="2" w:lineRule="exact"/>
        <w:rPr>
          <w:rFonts w:ascii="Arial" w:cs="Arial" w:eastAsia="Arial" w:hAnsi="Arial"/>
          <w:sz w:val="13"/>
          <w:szCs w:val="13"/>
          <w:color w:val="auto"/>
        </w:rPr>
      </w:pPr>
    </w:p>
    <w:p>
      <w:pPr>
        <w:ind w:left="320" w:right="560" w:hanging="315"/>
        <w:spacing w:after="0" w:line="247" w:lineRule="auto"/>
        <w:tabs>
          <w:tab w:leader="none" w:pos="296"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These obligations represent commitments by our funds to make investments or fund uncalled contingent commitments. These amounts are generally due either on demand or by various contractual dates that vary by investment and are therefore presented in the 2022 column. Capital commitments are expected to be called over a period of several years.</w:t>
      </w:r>
    </w:p>
    <w:p>
      <w:pPr>
        <w:spacing w:after="0" w:line="111" w:lineRule="exact"/>
        <w:rPr>
          <w:sz w:val="20"/>
          <w:szCs w:val="20"/>
          <w:color w:val="auto"/>
        </w:rPr>
      </w:pPr>
    </w:p>
    <w:p>
      <w:pPr>
        <w:ind w:right="80" w:firstLine="509"/>
        <w:spacing w:after="0" w:line="271" w:lineRule="auto"/>
        <w:rPr>
          <w:sz w:val="20"/>
          <w:szCs w:val="20"/>
          <w:color w:val="auto"/>
        </w:rPr>
      </w:pPr>
      <w:r>
        <w:rPr>
          <w:rFonts w:ascii="Arial" w:cs="Arial" w:eastAsia="Arial" w:hAnsi="Arial"/>
          <w:sz w:val="14"/>
          <w:szCs w:val="14"/>
          <w:color w:val="auto"/>
        </w:rPr>
        <w:t>In some of our service contracts or management agreements, we have agreed to indemnify third-party service providers or separate account clients under certain circumstances. The terms of the indemnities vary from contract to contract and the amount of indemnification liability, if any, cannot be determined and has neither been included in the above table nor recorded in our condensed consolidated financial statements as of June 30, 2022.</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72" w:lineRule="exact"/>
        <w:rPr>
          <w:sz w:val="20"/>
          <w:szCs w:val="20"/>
          <w:color w:val="auto"/>
        </w:rPr>
      </w:pPr>
    </w:p>
    <w:p>
      <w:pPr>
        <w:ind w:right="80" w:firstLine="509"/>
        <w:spacing w:after="0" w:line="290" w:lineRule="auto"/>
        <w:rPr>
          <w:sz w:val="20"/>
          <w:szCs w:val="20"/>
          <w:color w:val="auto"/>
        </w:rPr>
      </w:pPr>
      <w:r>
        <w:rPr>
          <w:rFonts w:ascii="Arial" w:cs="Arial" w:eastAsia="Arial" w:hAnsi="Arial"/>
          <w:sz w:val="14"/>
          <w:szCs w:val="14"/>
          <w:color w:val="auto"/>
        </w:rPr>
        <w:t>We do not have any off-balance sheet arrangements. Please see note 15 to our condensed consolidated financial statements included elsewhere in this quarterly report for information on our commitments and contingencies.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72" w:lineRule="exact"/>
        <w:rPr>
          <w:sz w:val="20"/>
          <w:szCs w:val="20"/>
          <w:color w:val="auto"/>
        </w:rPr>
      </w:pPr>
    </w:p>
    <w:p>
      <w:pPr>
        <w:ind w:right="60" w:firstLine="509"/>
        <w:spacing w:after="0" w:line="257" w:lineRule="auto"/>
        <w:rPr>
          <w:sz w:val="20"/>
          <w:szCs w:val="20"/>
          <w:color w:val="auto"/>
        </w:rPr>
      </w:pPr>
      <w:r>
        <w:rPr>
          <w:rFonts w:ascii="Arial" w:cs="Arial" w:eastAsia="Arial" w:hAnsi="Arial"/>
          <w:sz w:val="14"/>
          <w:szCs w:val="14"/>
          <w:color w:val="auto"/>
        </w:rPr>
        <w:t>We prepare our condensed consolidated financial statements in accordance with GAAP. In applying many of these accounting principles, we need to make assumptions, estimates or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or judgments, however, are both subjective and subject to change, and actual results may differ from our assumptions and estimates. If actual amounts are ultimately different from our estimates, the revisions are included in our results of operations for the period in which the actual amounts become known. We believe our critical accounting policies could potentially produce materially different results if we were to change underlying assumptions, estimates or judgments. Our most significant assumptions and estimates are related to the valuation of our corporate investments and the investments of our consolidated funds, and the determination of grant date fair value of our equity-based awards. For a summary of our significant accounting policies and estimates, please see the notes to our condensed consolidated financial statements included elsewhere in this quarterly report. For a summary of our critical accounting policies, please see “Management’s Discussion and Analysis of Financial Condition and Result of Operations—Critical Accounting Estimates” in our annual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Developments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Please see note 2 to our condensed consolidated financial statements included elsewhere in this quarterly report for information regarding recent accounting developments.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36"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or financial market dislocations.</w:t>
      </w:r>
    </w:p>
    <w:p>
      <w:pPr>
        <w:spacing w:after="0" w:line="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Our predominant exposure to market risk is related to our role as general partner or investment adviser to our funds and as an investor in our CLOs, and the sensitivities to movements in the fair value of their investments on management fees, incentive income and investment income, as applicable. The fair value of the financial assets and liabilities of our funds and CLOs may fluctuate in response to changes in, among many factors, the fair value of securities, foreign-exchange rates, commodities prices and interest rates.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 Risk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Net Change in Unrealized Appreciation (Depreciation) on Consolidated Funds’ Investments</w:t>
      </w:r>
    </w:p>
    <w:p>
      <w:pPr>
        <w:spacing w:after="0" w:line="134"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As of June 30, 2022, we had investments, at fair value of $11.6 billion related to our consolidated funds, primarily consisting of investments held by our CLOs. We estimate that a 10% decline in market values would result in a decrease in unrealized appreciation (depreciation) on the consolidated funds’ investments of $1.2 billion. Of this decline, approximately $301.8 million would impact net income and $187.3 million would impact net income attributable to OCG Class A unitholders, with the remainder attributable to non-controlling interests and third-party debt holders in our CLOs. The magnitude of the impact on net income is largely affected by the percentage of our equity ownership interest and levered nature of our CLO investments.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Management Fees (before consolidation of funds)</w:t>
      </w:r>
    </w:p>
    <w:p>
      <w:pPr>
        <w:spacing w:after="0" w:line="134"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Management fees are generally assessed in the case of (a) our open-end and evergreen funds, based on NAV, and (b) our closed-end funds, based on committed capital, drawn capital or cost basis during the investment period and, during the liquidation period, based on the lesser of (i) the total funded committed capital or (ii) the cost basis of assets remaining in the fund. Management fees are affected by changes in market values to the extent they are based on NAV. For the six months ended June 30, 2022 and 2021, NAV-based management fees represented approximately 2% and 2%, respectively, of total management fees. Based on investments held as of June 30, 2022, we estimate that a 10% decline in market values of the investments held in our funds would result in an approximate $0.1 million decrease in the amount of quarterly management fees. These estimated effects are without regard to a number of factors that would be expected to increase or decrease the magnitude of the change to degrees that are not readily quantifiable, such as the use of leverage facilities in certain of our funds, the timing of fund flows, or the impact on our sub-advisory fees which are excluded from this analysis.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Incentive Income (before consolidation of funds)</w:t>
      </w:r>
    </w:p>
    <w:p>
      <w:pPr>
        <w:spacing w:after="0" w:line="134"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Incentive income is recognized only when it is probable that a significant reversal will not occur, which in the case of (a) our closed-end funds, generally occurs only after all contributed capital and an annual preferred return on that capital (typically 8%) have been distributed to the fund’s investors and (b) our active evergreen funds, generally occurs as of December 31, based on the increase in the fund’s NAV during the year, subject to any high-water marks or hurdle rates. In the case of closed-end funds, the link between short-term fluctuations in market values and a particular period’s incentive income may in part be indirect. Thus the effect on incentive income of a 10% decline in market values is not readily quantifiable. A decline in market values would be expected to cause a decline in incentive income.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31" w:right="35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i w:val="1"/>
          <w:iCs w:val="1"/>
          <w:color w:val="auto"/>
        </w:rPr>
        <w:t>Impact on Investment Income (before consolidation of funds)</w:t>
      </w:r>
    </w:p>
    <w:p>
      <w:pPr>
        <w:spacing w:after="0" w:line="134"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Investment income or loss arises from our pro-rata share of income or loss from our investments, generally in our capacity as general partner in our funds and as an investor in our CLOs and third-party managed funds or companies. This income is directly affected by changes in market risk factors. Based on investments held as of June 30, 2022, a 10% decline in fair values of the investments held in our funds and other holdings would result in a $ 276.0 million decrease in the amount of investment income. The estimated decline of $276.0 million is greater than 10% of the June 30, 2022 corporate investments balance primarily due to the levered nature of our CLO investments. These estimated effects are without regard to a number of factors that would be expected to increase or decrease the magnitude of the change to degrees that are not readily quantifiable, such as the use of leverage facilities in certain of our funds, the timing of fund flows or the timing of new investments or realizations.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Exchange-rate Risk</w:t>
      </w:r>
    </w:p>
    <w:p>
      <w:pPr>
        <w:spacing w:after="0" w:line="136"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Our business is affected by movements in the exchange rate between the U.S. dollar and non-U.S. dollar currencies in the case of (a) management fees that vary based on the NAV of our funds that hold investments denominated in non-U.S. dollar currencies, (b) management fees received in non-U.S. dollar currencies, (c) operating expenses for our foreign offices that are denominated in non-U.S. dollar currencies, and (d) cash and other balances we hold in non-U.S. dollar currencies. We manage our exposure to exchange-rate risks through our regular operating activities and, when appropriate, through the use of derivative instruments.</w:t>
      </w:r>
    </w:p>
    <w:p>
      <w:pPr>
        <w:spacing w:after="0" w:line="95" w:lineRule="exact"/>
        <w:rPr>
          <w:sz w:val="20"/>
          <w:szCs w:val="20"/>
          <w:color w:val="auto"/>
        </w:rPr>
      </w:pPr>
    </w:p>
    <w:p>
      <w:pPr>
        <w:ind w:right="260" w:firstLine="509"/>
        <w:spacing w:after="0" w:line="290" w:lineRule="auto"/>
        <w:rPr>
          <w:sz w:val="20"/>
          <w:szCs w:val="20"/>
          <w:color w:val="auto"/>
        </w:rPr>
      </w:pPr>
      <w:r>
        <w:rPr>
          <w:rFonts w:ascii="Arial" w:cs="Arial" w:eastAsia="Arial" w:hAnsi="Arial"/>
          <w:sz w:val="14"/>
          <w:szCs w:val="14"/>
          <w:color w:val="auto"/>
        </w:rPr>
        <w:t>We estimate that for the six months ended June 30, 2022, without considering the impact of derivative instruments, corporate investments or consolidated funds, a 10% decline in the average exchange rate of the U.S. dollar would have resulted in the following approximate effects on our operating results:</w:t>
      </w:r>
    </w:p>
    <w:p>
      <w:pPr>
        <w:spacing w:after="0" w:line="78" w:lineRule="exact"/>
        <w:rPr>
          <w:sz w:val="20"/>
          <w:szCs w:val="20"/>
          <w:color w:val="auto"/>
        </w:rPr>
      </w:pPr>
    </w:p>
    <w:p>
      <w:pPr>
        <w:ind w:left="860" w:hanging="314"/>
        <w:spacing w:after="0"/>
        <w:tabs>
          <w:tab w:leader="none" w:pos="8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our management fees (relating to (a) and (b) above) would have increased by $13.2 million;</w:t>
      </w:r>
    </w:p>
    <w:p>
      <w:pPr>
        <w:spacing w:after="0" w:line="135" w:lineRule="exact"/>
        <w:rPr>
          <w:rFonts w:ascii="Times New Roman" w:cs="Times New Roman" w:eastAsia="Times New Roman" w:hAnsi="Times New Roman"/>
          <w:sz w:val="14"/>
          <w:szCs w:val="14"/>
          <w:color w:val="auto"/>
        </w:rPr>
      </w:pPr>
    </w:p>
    <w:p>
      <w:pPr>
        <w:ind w:left="860" w:hanging="314"/>
        <w:spacing w:after="0"/>
        <w:tabs>
          <w:tab w:leader="none" w:pos="8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our operating expenses would have increased by $10.0 million;</w:t>
      </w:r>
    </w:p>
    <w:p>
      <w:pPr>
        <w:spacing w:after="0" w:line="135" w:lineRule="exact"/>
        <w:rPr>
          <w:rFonts w:ascii="Times New Roman" w:cs="Times New Roman" w:eastAsia="Times New Roman" w:hAnsi="Times New Roman"/>
          <w:sz w:val="14"/>
          <w:szCs w:val="14"/>
          <w:color w:val="auto"/>
        </w:rPr>
      </w:pPr>
    </w:p>
    <w:p>
      <w:pPr>
        <w:ind w:left="860" w:hanging="314"/>
        <w:spacing w:after="0"/>
        <w:tabs>
          <w:tab w:leader="none" w:pos="8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OCGH interest in net income of consolidated subsidiaries would have increased by $1.7 million; and</w:t>
      </w:r>
    </w:p>
    <w:p>
      <w:pPr>
        <w:spacing w:after="0" w:line="135" w:lineRule="exact"/>
        <w:rPr>
          <w:rFonts w:ascii="Times New Roman" w:cs="Times New Roman" w:eastAsia="Times New Roman" w:hAnsi="Times New Roman"/>
          <w:sz w:val="14"/>
          <w:szCs w:val="14"/>
          <w:color w:val="auto"/>
        </w:rPr>
      </w:pPr>
    </w:p>
    <w:p>
      <w:pPr>
        <w:ind w:left="860" w:hanging="314"/>
        <w:spacing w:after="0"/>
        <w:tabs>
          <w:tab w:leader="none" w:pos="86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our income tax expense would have increase by $0.7 million.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These movements would have increased our net income attributable to OCG Class A unitholders by $2.1 million.</w:t>
      </w:r>
    </w:p>
    <w:p>
      <w:pPr>
        <w:spacing w:after="0" w:line="136"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At any point in time, some of the investments held by our closed-end and evergreen funds may be denominated in non-U.S. dollar currencies on an unhedged basis. Changes in currency rates could affect incentive income, incentives created (fund level) and investment income with respect to such closed-end and evergreen funds; however, the degree of impact is not readily determinable because of the many indirect effects that currency movements may have on individual investments.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Risk</w:t>
      </w:r>
    </w:p>
    <w:p>
      <w:pPr>
        <w:spacing w:after="0" w:line="136" w:lineRule="exact"/>
        <w:rPr>
          <w:sz w:val="20"/>
          <w:szCs w:val="20"/>
          <w:color w:val="auto"/>
        </w:rPr>
      </w:pPr>
    </w:p>
    <w:p>
      <w:pPr>
        <w:ind w:right="80" w:firstLine="509"/>
        <w:spacing w:after="0" w:line="265" w:lineRule="auto"/>
        <w:rPr>
          <w:sz w:val="20"/>
          <w:szCs w:val="20"/>
          <w:color w:val="auto"/>
        </w:rPr>
      </w:pPr>
      <w:r>
        <w:rPr>
          <w:rFonts w:ascii="Arial" w:cs="Arial" w:eastAsia="Arial" w:hAnsi="Arial"/>
          <w:sz w:val="14"/>
          <w:szCs w:val="14"/>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to reputable financial institutions the counterparties with which we enter into financial transactions. In other circumstances, availability of financing from financial institutions may be uncertain due to market events, and we may not be able to access these financing markets.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Interest-rate Risk</w:t>
      </w:r>
    </w:p>
    <w:p>
      <w:pPr>
        <w:spacing w:after="0" w:line="136" w:lineRule="exact"/>
        <w:rPr>
          <w:sz w:val="20"/>
          <w:szCs w:val="20"/>
          <w:color w:val="auto"/>
        </w:rPr>
      </w:pPr>
    </w:p>
    <w:p>
      <w:pPr>
        <w:ind w:right="220" w:firstLine="509"/>
        <w:spacing w:after="0" w:line="262" w:lineRule="auto"/>
        <w:rPr>
          <w:sz w:val="20"/>
          <w:szCs w:val="20"/>
          <w:color w:val="auto"/>
        </w:rPr>
      </w:pPr>
      <w:r>
        <w:rPr>
          <w:rFonts w:ascii="Arial" w:cs="Arial" w:eastAsia="Arial" w:hAnsi="Arial"/>
          <w:sz w:val="14"/>
          <w:szCs w:val="14"/>
          <w:color w:val="auto"/>
        </w:rPr>
        <w:t>As of June 30, 2022, the Company and its operating subsidiaries had no debt obligations outstanding under the three senior notes issuances and two revolving credit facilities in its condensed consolidated statements of financial condition for which it is jointly and severally liable. Each senior notes issuance accrues interest at a fixed rate. The revolving credit facilities accrue interest at a variable rate. Of the $0.4 billion of aggregate cash and U.S. Treasury and other securities as of June 30, 2022, we estimate that the Company and its operating subsidiaries would generate an additional $3.5 million in interest income on an annualized basis as a result of a 100-basis point increase in interest rates.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9" w:right="359" w:bottom="1440" w:gutter="0" w:footer="0" w:header="0"/>
        </w:sectPr>
      </w:pPr>
    </w:p>
    <w:bookmarkStart w:id="86" w:name="page87"/>
    <w:bookmarkEnd w:id="86"/>
    <w:p>
      <w:pPr>
        <w:ind w:right="80" w:firstLine="509"/>
        <w:spacing w:after="0" w:line="265" w:lineRule="auto"/>
        <w:rPr>
          <w:sz w:val="20"/>
          <w:szCs w:val="20"/>
          <w:color w:val="auto"/>
        </w:rPr>
      </w:pPr>
      <w:r>
        <w:rPr>
          <w:rFonts w:ascii="Arial" w:cs="Arial" w:eastAsia="Arial" w:hAnsi="Arial"/>
          <w:sz w:val="14"/>
          <w:szCs w:val="14"/>
          <w:color w:val="auto"/>
        </w:rPr>
        <w:t>Our consolidated funds have debt obligations, most of which accrue interest at variable rates. Changes in these rates would affect the amount of interest payments that our funds would have to make, impacting future earnings and cash flows. As of June 30, 2022, the consolidated funds had $7.1 billion of principal or par value, as applicable, outstanding under these debt obligations. We estimate that interest expense relating to variable-rate debt would increase on an annualized basis by $70.8 million in the event interest rates were to increase by 100 basis points.</w:t>
      </w:r>
    </w:p>
    <w:p>
      <w:pPr>
        <w:spacing w:after="0" w:line="95"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As credit-oriented investors, we are also subject to interest-rate risk through the securities we hold in our consolidated funds. A 100-basis point increase in interest rates would be expected to negatively affect prices of securities that accrue interest income at fixed rates and therefore negatively impact the net change in unrealized appreciation (depreciation) on consolidated funds’ investments. The actual impact is dependent on the average duration of such holdings. Conversely, securities that accrue interest at variable rates would be expected to benefit from a 100-basis point increase in interest rates because these securities would generate higher levels of current income and therefore positively impact interest and dividend income. In cases where our funds pay management fees based on NAV, we would expect our management fees to experience a change in direction and magnitude corresponding to that experienced by the underlying portfolios.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94" w:lineRule="exact"/>
        <w:rPr>
          <w:sz w:val="20"/>
          <w:szCs w:val="20"/>
          <w:color w:val="auto"/>
        </w:rPr>
      </w:pPr>
    </w:p>
    <w:p>
      <w:pPr>
        <w:ind w:right="20" w:firstLine="509"/>
        <w:spacing w:after="0" w:line="259" w:lineRule="auto"/>
        <w:rPr>
          <w:sz w:val="20"/>
          <w:szCs w:val="20"/>
          <w:color w:val="auto"/>
        </w:rPr>
      </w:pPr>
      <w:r>
        <w:rPr>
          <w:rFonts w:ascii="Arial" w:cs="Arial" w:eastAsia="Arial" w:hAnsi="Arial"/>
          <w:sz w:val="14"/>
          <w:szCs w:val="14"/>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57"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Our management, including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at the reasonable assurance level to accomplish their objectives of ensuring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4" w:lineRule="exact"/>
        <w:rPr>
          <w:sz w:val="20"/>
          <w:szCs w:val="20"/>
          <w:color w:val="auto"/>
        </w:rPr>
      </w:pPr>
    </w:p>
    <w:p>
      <w:pPr>
        <w:ind w:right="380" w:firstLine="509"/>
        <w:spacing w:after="0" w:line="290" w:lineRule="auto"/>
        <w:rPr>
          <w:sz w:val="20"/>
          <w:szCs w:val="20"/>
          <w:color w:val="auto"/>
        </w:rPr>
      </w:pPr>
      <w:r>
        <w:rPr>
          <w:rFonts w:ascii="Arial" w:cs="Arial" w:eastAsia="Arial" w:hAnsi="Arial"/>
          <w:sz w:val="14"/>
          <w:szCs w:val="14"/>
          <w:color w:val="auto"/>
        </w:rPr>
        <w:t>No changes in our internal control over financial reporting (as such term is defined in Rules 13a-15(f) and 15d-15(f) under the Exchange Act) occurred during our most recent quarter, that have materially affected, or are reasonably likely to materially affect, our internal control over financial reporting.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4"/>
          <w:szCs w:val="14"/>
          <w:b w:val="1"/>
          <w:bCs w:val="1"/>
          <w:color w:val="auto"/>
        </w:rPr>
        <w:t>PART II. 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36"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For a discussion of legal proceedings, please see the section entitled “Legal Actions” in note 15 to our condensed consolidated financial statements included elsewhere in this quarterly report, which section is incorporated herein by reference. Also, please see “Item 1A. Risk Factors—Risks Related to Our Business—Extensive regulation in the United States and abroad affects our activities and creates the potential for significant liabilities and penalties that could adversely affect our business and results of operations” in our annual report.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36" w:lineRule="exact"/>
        <w:rPr>
          <w:sz w:val="20"/>
          <w:szCs w:val="20"/>
          <w:color w:val="auto"/>
        </w:rPr>
      </w:pPr>
    </w:p>
    <w:p>
      <w:pPr>
        <w:ind w:right="100" w:firstLine="509"/>
        <w:spacing w:after="0" w:line="290" w:lineRule="auto"/>
        <w:rPr>
          <w:sz w:val="20"/>
          <w:szCs w:val="20"/>
          <w:color w:val="auto"/>
        </w:rPr>
      </w:pPr>
      <w:r>
        <w:rPr>
          <w:rFonts w:ascii="Arial" w:cs="Arial" w:eastAsia="Arial" w:hAnsi="Arial"/>
          <w:sz w:val="14"/>
          <w:szCs w:val="14"/>
          <w:color w:val="auto"/>
        </w:rPr>
        <w:t>For a discussion of our potential risks and uncertainties, please see the information under “Risk Factors” in our annual report. There have been no material changes to the risk factors disclosed in those reports.</w:t>
      </w:r>
    </w:p>
    <w:p>
      <w:pPr>
        <w:spacing w:after="0" w:line="78" w:lineRule="exact"/>
        <w:rPr>
          <w:sz w:val="20"/>
          <w:szCs w:val="20"/>
          <w:color w:val="auto"/>
        </w:rPr>
      </w:pPr>
    </w:p>
    <w:p>
      <w:pPr>
        <w:ind w:right="540" w:firstLine="509"/>
        <w:spacing w:after="0" w:line="290" w:lineRule="auto"/>
        <w:rPr>
          <w:sz w:val="20"/>
          <w:szCs w:val="20"/>
          <w:color w:val="auto"/>
        </w:rPr>
      </w:pPr>
      <w:r>
        <w:rPr>
          <w:rFonts w:ascii="Arial" w:cs="Arial" w:eastAsia="Arial" w:hAnsi="Arial"/>
          <w:sz w:val="14"/>
          <w:szCs w:val="14"/>
          <w:color w:val="auto"/>
        </w:rPr>
        <w:t>The risks described in our annual report are not the only risks facing us. Additional risks and uncertainties not currently known to us or that we currently deem to be immaterial also may materially adversely affect our business, financial condition or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7" w:right="35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color w:val="auto"/>
        </w:rPr>
        <w:t>Item 6. Exhibits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a list of exhibits filed with this report, refer to the Exhibits Index on the page immediately preceding the exhibits, which Exhibit Index is incorporated herein by reference.</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31" w:right="3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4"/>
          <w:szCs w:val="14"/>
          <w:b w:val="1"/>
          <w:bCs w:val="1"/>
          <w:color w:val="auto"/>
        </w:rPr>
        <w:t>SIGNATURE</w:t>
      </w:r>
    </w:p>
    <w:p>
      <w:pPr>
        <w:spacing w:after="0" w:line="136" w:lineRule="exact"/>
        <w:rPr>
          <w:sz w:val="20"/>
          <w:szCs w:val="20"/>
          <w:color w:val="auto"/>
        </w:rPr>
      </w:pPr>
    </w:p>
    <w:p>
      <w:pPr>
        <w:ind w:right="60" w:firstLine="509"/>
        <w:spacing w:after="0" w:line="290"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thereunto duly authorized.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Date: August 12, 2022</w:t>
      </w:r>
    </w:p>
    <w:p>
      <w:pPr>
        <w:spacing w:after="0" w:line="41"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Oaktree Capital Group, LLC</w:t>
      </w:r>
    </w:p>
    <w:p>
      <w:pPr>
        <w:spacing w:after="0" w:line="33" w:lineRule="exact"/>
        <w:rPr>
          <w:sz w:val="20"/>
          <w:szCs w:val="20"/>
          <w:color w:val="auto"/>
        </w:rPr>
      </w:pPr>
    </w:p>
    <w:tbl>
      <w:tblPr>
        <w:tblLayout w:type="fixed"/>
        <w:tblInd w:w="6400" w:type="dxa"/>
        <w:tblCellMar>
          <w:top w:w="0" w:type="dxa"/>
          <w:left w:w="0" w:type="dxa"/>
          <w:bottom w:w="0" w:type="dxa"/>
          <w:right w:w="0" w:type="dxa"/>
        </w:tblCellMar>
      </w:tblPr>
      <w:tr>
        <w:trPr>
          <w:trHeight w:val="171"/>
        </w:trPr>
        <w:tc>
          <w:tcPr>
            <w:tcW w:w="640" w:type="dxa"/>
            <w:vAlign w:val="bottom"/>
          </w:tcPr>
          <w:p>
            <w:pPr>
              <w:spacing w:after="0"/>
              <w:rPr>
                <w:sz w:val="20"/>
                <w:szCs w:val="20"/>
                <w:color w:val="auto"/>
              </w:rPr>
            </w:pPr>
            <w:r>
              <w:rPr>
                <w:rFonts w:ascii="Arial" w:cs="Arial" w:eastAsia="Arial" w:hAnsi="Arial"/>
                <w:sz w:val="14"/>
                <w:szCs w:val="14"/>
                <w:color w:val="auto"/>
              </w:rPr>
              <w:t>By:</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Daniel D. Levin</w:t>
            </w:r>
          </w:p>
        </w:tc>
      </w:tr>
      <w:tr>
        <w:trPr>
          <w:trHeight w:val="126"/>
        </w:trPr>
        <w:tc>
          <w:tcPr>
            <w:tcW w:w="64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4220" w:type="dxa"/>
            <w:vAlign w:val="bottom"/>
          </w:tcPr>
          <w:p>
            <w:pPr>
              <w:jc w:val="center"/>
              <w:spacing w:after="0"/>
              <w:rPr>
                <w:sz w:val="20"/>
                <w:szCs w:val="20"/>
                <w:color w:val="auto"/>
              </w:rPr>
            </w:pPr>
            <w:r>
              <w:rPr>
                <w:rFonts w:ascii="Arial" w:cs="Arial" w:eastAsia="Arial" w:hAnsi="Arial"/>
                <w:sz w:val="10"/>
                <w:szCs w:val="10"/>
                <w:b w:val="1"/>
                <w:bCs w:val="1"/>
                <w:color w:val="auto"/>
                <w:w w:val="97"/>
              </w:rPr>
              <w:t>Daniel D. Levin</w:t>
            </w:r>
          </w:p>
        </w:tc>
      </w:tr>
      <w:tr>
        <w:trPr>
          <w:trHeight w:val="176"/>
        </w:trPr>
        <w:tc>
          <w:tcPr>
            <w:tcW w:w="640" w:type="dxa"/>
            <w:vAlign w:val="bottom"/>
          </w:tcPr>
          <w:p>
            <w:pPr>
              <w:spacing w:after="0"/>
              <w:rPr>
                <w:sz w:val="20"/>
                <w:szCs w:val="20"/>
                <w:color w:val="auto"/>
              </w:rPr>
            </w:pPr>
            <w:r>
              <w:rPr>
                <w:rFonts w:ascii="Arial" w:cs="Arial" w:eastAsia="Arial" w:hAnsi="Arial"/>
                <w:sz w:val="10"/>
                <w:szCs w:val="10"/>
                <w:b w:val="1"/>
                <w:bCs w:val="1"/>
                <w:color w:val="auto"/>
              </w:rPr>
              <w:t>Title:</w:t>
            </w:r>
          </w:p>
        </w:tc>
        <w:tc>
          <w:tcPr>
            <w:tcW w:w="4220" w:type="dxa"/>
            <w:vAlign w:val="bottom"/>
          </w:tcPr>
          <w:p>
            <w:pPr>
              <w:ind w:left="20"/>
              <w:spacing w:after="0"/>
              <w:rPr>
                <w:sz w:val="20"/>
                <w:szCs w:val="20"/>
                <w:color w:val="auto"/>
              </w:rPr>
            </w:pPr>
            <w:r>
              <w:rPr>
                <w:rFonts w:ascii="Arial" w:cs="Arial" w:eastAsia="Arial" w:hAnsi="Arial"/>
                <w:sz w:val="10"/>
                <w:szCs w:val="10"/>
                <w:b w:val="1"/>
                <w:bCs w:val="1"/>
                <w:color w:val="auto"/>
              </w:rPr>
              <w:t>Chief Financial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90" w:name="page91"/>
    <w:bookmarkEnd w:id="90"/>
    <w:tbl>
      <w:tblPr>
        <w:tblLayout w:type="fixed"/>
        <w:tblInd w:w="20" w:type="dxa"/>
        <w:tblCellMar>
          <w:top w:w="0" w:type="dxa"/>
          <w:left w:w="0" w:type="dxa"/>
          <w:bottom w:w="0" w:type="dxa"/>
          <w:right w:w="0" w:type="dxa"/>
        </w:tblCellMar>
      </w:tblPr>
      <w:tr>
        <w:trPr>
          <w:trHeight w:val="194"/>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80" w:type="dxa"/>
            <w:vAlign w:val="bottom"/>
            <w:gridSpan w:val="14"/>
          </w:tcPr>
          <w:p>
            <w:pPr>
              <w:ind w:left="180"/>
              <w:spacing w:after="0"/>
              <w:rPr>
                <w:sz w:val="20"/>
                <w:szCs w:val="20"/>
                <w:color w:val="auto"/>
              </w:rPr>
            </w:pPr>
            <w:r>
              <w:rPr>
                <w:rFonts w:ascii="Arial" w:cs="Arial" w:eastAsia="Arial" w:hAnsi="Arial"/>
                <w:sz w:val="14"/>
                <w:szCs w:val="14"/>
                <w:b w:val="1"/>
                <w:bCs w:val="1"/>
                <w:color w:val="auto"/>
              </w:rPr>
              <w:t>EXHIBITS INDEX</w:t>
            </w:r>
          </w:p>
        </w:tc>
        <w:tc>
          <w:tcPr>
            <w:tcW w:w="0" w:type="dxa"/>
            <w:vAlign w:val="bottom"/>
          </w:tcPr>
          <w:p>
            <w:pPr>
              <w:spacing w:after="0"/>
              <w:rPr>
                <w:sz w:val="1"/>
                <w:szCs w:val="1"/>
                <w:color w:val="auto"/>
              </w:rPr>
            </w:pPr>
          </w:p>
        </w:tc>
      </w:tr>
      <w:tr>
        <w:trPr>
          <w:trHeight w:val="118"/>
        </w:trPr>
        <w:tc>
          <w:tcPr>
            <w:tcW w:w="1320" w:type="dxa"/>
            <w:vAlign w:val="bottom"/>
            <w:gridSpan w:val="4"/>
          </w:tcPr>
          <w:p>
            <w:pPr>
              <w:spacing w:after="0"/>
              <w:rPr>
                <w:sz w:val="20"/>
                <w:szCs w:val="20"/>
                <w:color w:val="auto"/>
              </w:rPr>
            </w:pPr>
            <w:r>
              <w:rPr>
                <w:rFonts w:ascii="Arial" w:cs="Arial" w:eastAsia="Arial" w:hAnsi="Arial"/>
                <w:sz w:val="10"/>
                <w:szCs w:val="10"/>
                <w:b w:val="1"/>
                <w:bCs w:val="1"/>
                <w:color w:val="auto"/>
              </w:rPr>
              <w:t>Exhibit No.</w:t>
            </w: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380" w:type="dxa"/>
            <w:vAlign w:val="bottom"/>
            <w:gridSpan w:val="13"/>
          </w:tcPr>
          <w:p>
            <w:pPr>
              <w:spacing w:after="0"/>
              <w:rPr>
                <w:sz w:val="20"/>
                <w:szCs w:val="20"/>
                <w:color w:val="auto"/>
              </w:rPr>
            </w:pPr>
            <w:r>
              <w:rPr>
                <w:rFonts w:ascii="Arial" w:cs="Arial" w:eastAsia="Arial" w:hAnsi="Arial"/>
                <w:sz w:val="10"/>
                <w:szCs w:val="10"/>
                <w:b w:val="1"/>
                <w:bCs w:val="1"/>
                <w:color w:val="auto"/>
              </w:rPr>
              <w:t>Description of Exhibit</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0" w:type="dxa"/>
            <w:vAlign w:val="bottom"/>
            <w:gridSpan w:val="2"/>
          </w:tcPr>
          <w:p>
            <w:pPr>
              <w:spacing w:after="0"/>
              <w:rPr>
                <w:rFonts w:ascii="Arial" w:cs="Arial" w:eastAsia="Arial" w:hAnsi="Arial"/>
                <w:sz w:val="14"/>
                <w:szCs w:val="14"/>
                <w:color w:val="0000FF"/>
              </w:rPr>
            </w:pPr>
            <w:hyperlink r:id="rId106">
              <w:r>
                <w:rPr>
                  <w:rFonts w:ascii="Arial" w:cs="Arial" w:eastAsia="Arial" w:hAnsi="Arial"/>
                  <w:sz w:val="14"/>
                  <w:szCs w:val="14"/>
                  <w:color w:val="0000FF"/>
                </w:rPr>
                <w:t>3.</w:t>
              </w:r>
              <w:r>
                <w:rPr>
                  <w:rFonts w:ascii="Arial" w:cs="Arial" w:eastAsia="Arial" w:hAnsi="Arial"/>
                  <w:sz w:val="14"/>
                  <w:szCs w:val="14"/>
                  <w:u w:val="single" w:color="auto"/>
                  <w:color w:val="0000FF"/>
                </w:rPr>
                <w:t>1</w:t>
              </w:r>
            </w:hyperlink>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40" w:type="dxa"/>
            <w:vAlign w:val="bottom"/>
            <w:gridSpan w:val="20"/>
          </w:tcPr>
          <w:p>
            <w:pPr>
              <w:spacing w:after="0"/>
              <w:rPr>
                <w:rFonts w:ascii="Arial" w:cs="Arial" w:eastAsia="Arial" w:hAnsi="Arial"/>
                <w:sz w:val="14"/>
                <w:szCs w:val="14"/>
                <w:color w:val="0000FF"/>
              </w:rPr>
            </w:pPr>
            <w:hyperlink r:id="rId106">
              <w:r>
                <w:rPr>
                  <w:rFonts w:ascii="Arial" w:cs="Arial" w:eastAsia="Arial" w:hAnsi="Arial"/>
                  <w:sz w:val="14"/>
                  <w:szCs w:val="14"/>
                  <w:color w:val="0000FF"/>
                </w:rPr>
                <w:t>Restated Certificate of Formation of the registrant (incorporated by reference to Exhibit 3.1 to the registrant’s Registration Statement on Form S-1, filed with</w:t>
              </w:r>
            </w:hyperlink>
          </w:p>
        </w:tc>
        <w:tc>
          <w:tcPr>
            <w:tcW w:w="0" w:type="dxa"/>
            <w:vAlign w:val="bottom"/>
          </w:tcPr>
          <w:p>
            <w:pPr>
              <w:spacing w:after="0"/>
              <w:rPr>
                <w:sz w:val="1"/>
                <w:szCs w:val="1"/>
                <w:color w:val="auto"/>
              </w:rPr>
            </w:pPr>
          </w:p>
        </w:tc>
      </w:tr>
      <w:tr>
        <w:trPr>
          <w:trHeight w:val="118"/>
        </w:trPr>
        <w:tc>
          <w:tcPr>
            <w:tcW w:w="2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106">
              <w:r>
                <w:rPr>
                  <w:rFonts w:ascii="Arial" w:cs="Arial" w:eastAsia="Arial" w:hAnsi="Arial"/>
                  <w:sz w:val="13"/>
                  <w:szCs w:val="13"/>
                  <w:color w:val="0000FF"/>
                </w:rPr>
                <w:t>the SEC on June 17, 2011).</w:t>
              </w:r>
            </w:hyperlink>
          </w:p>
        </w:tc>
        <w:tc>
          <w:tcPr>
            <w:tcW w:w="7960" w:type="dxa"/>
            <w:vAlign w:val="bottom"/>
            <w:tcBorders>
              <w:top w:val="single" w:sz="8" w:color="0000FF"/>
            </w:tcBorders>
            <w:gridSpan w:val="13"/>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80" w:type="dxa"/>
            <w:vAlign w:val="bottom"/>
            <w:gridSpan w:val="2"/>
          </w:tcPr>
          <w:p>
            <w:pPr>
              <w:spacing w:after="0"/>
              <w:rPr>
                <w:rFonts w:ascii="Arial" w:cs="Arial" w:eastAsia="Arial" w:hAnsi="Arial"/>
                <w:sz w:val="14"/>
                <w:szCs w:val="14"/>
                <w:color w:val="0000FF"/>
              </w:rPr>
            </w:pPr>
            <w:hyperlink r:id="rId107">
              <w:r>
                <w:rPr>
                  <w:rFonts w:ascii="Arial" w:cs="Arial" w:eastAsia="Arial" w:hAnsi="Arial"/>
                  <w:sz w:val="14"/>
                  <w:szCs w:val="14"/>
                  <w:color w:val="0000FF"/>
                </w:rPr>
                <w:t>3.</w:t>
              </w:r>
              <w:r>
                <w:rPr>
                  <w:rFonts w:ascii="Arial" w:cs="Arial" w:eastAsia="Arial" w:hAnsi="Arial"/>
                  <w:sz w:val="14"/>
                  <w:szCs w:val="14"/>
                  <w:u w:val="single" w:color="auto"/>
                  <w:color w:val="0000FF"/>
                </w:rPr>
                <w:t>2</w:t>
              </w:r>
            </w:hyperlink>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40" w:type="dxa"/>
            <w:vAlign w:val="bottom"/>
            <w:gridSpan w:val="20"/>
          </w:tcPr>
          <w:p>
            <w:pPr>
              <w:spacing w:after="0"/>
              <w:rPr>
                <w:rFonts w:ascii="Arial" w:cs="Arial" w:eastAsia="Arial" w:hAnsi="Arial"/>
                <w:sz w:val="14"/>
                <w:szCs w:val="14"/>
                <w:color w:val="0000FF"/>
              </w:rPr>
            </w:pPr>
            <w:hyperlink r:id="rId107">
              <w:r>
                <w:rPr>
                  <w:rFonts w:ascii="Arial" w:cs="Arial" w:eastAsia="Arial" w:hAnsi="Arial"/>
                  <w:sz w:val="14"/>
                  <w:szCs w:val="14"/>
                  <w:color w:val="0000FF"/>
                </w:rPr>
                <w:t>Fifth Amended and Restated Operating Agreement of the registrant dated as of September 30, 2019 and effective as of October 1, 2019 (including Unit</w:t>
              </w:r>
            </w:hyperlink>
          </w:p>
        </w:tc>
        <w:tc>
          <w:tcPr>
            <w:tcW w:w="0" w:type="dxa"/>
            <w:vAlign w:val="bottom"/>
          </w:tcPr>
          <w:p>
            <w:pPr>
              <w:spacing w:after="0"/>
              <w:rPr>
                <w:sz w:val="1"/>
                <w:szCs w:val="1"/>
                <w:color w:val="auto"/>
              </w:rPr>
            </w:pPr>
          </w:p>
        </w:tc>
      </w:tr>
      <w:tr>
        <w:trPr>
          <w:trHeight w:val="127"/>
        </w:trPr>
        <w:tc>
          <w:tcPr>
            <w:tcW w:w="2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60" w:type="dxa"/>
            <w:vAlign w:val="bottom"/>
            <w:tcBorders>
              <w:top w:val="single" w:sz="8" w:color="0000FF"/>
            </w:tcBorders>
            <w:gridSpan w:val="13"/>
          </w:tcPr>
          <w:p>
            <w:pPr>
              <w:spacing w:after="0" w:line="127" w:lineRule="exact"/>
              <w:rPr>
                <w:rFonts w:ascii="Arial" w:cs="Arial" w:eastAsia="Arial" w:hAnsi="Arial"/>
                <w:sz w:val="14"/>
                <w:szCs w:val="14"/>
                <w:color w:val="0000FF"/>
              </w:rPr>
            </w:pPr>
            <w:hyperlink r:id="rId107">
              <w:r>
                <w:rPr>
                  <w:rFonts w:ascii="Arial" w:cs="Arial" w:eastAsia="Arial" w:hAnsi="Arial"/>
                  <w:sz w:val="14"/>
                  <w:szCs w:val="14"/>
                  <w:color w:val="0000FF"/>
                </w:rPr>
                <w:t>Designation, dated as of November 16, 2015, Unit Designation with respect to the Series A Preferred Units, dated May 17, 2018, and Unit Designation</w:t>
              </w:r>
            </w:hyperlink>
          </w:p>
        </w:tc>
        <w:tc>
          <w:tcPr>
            <w:tcW w:w="380" w:type="dxa"/>
            <w:vAlign w:val="bottom"/>
            <w:gridSpan w:val="7"/>
          </w:tcPr>
          <w:p>
            <w:pPr>
              <w:spacing w:after="0" w:line="127" w:lineRule="exact"/>
              <w:rPr>
                <w:rFonts w:ascii="Arial" w:cs="Arial" w:eastAsia="Arial" w:hAnsi="Arial"/>
                <w:sz w:val="14"/>
                <w:szCs w:val="14"/>
                <w:color w:val="0000FF"/>
              </w:rPr>
            </w:pPr>
            <w:hyperlink r:id="rId107">
              <w:r>
                <w:rPr>
                  <w:rFonts w:ascii="Arial" w:cs="Arial" w:eastAsia="Arial" w:hAnsi="Arial"/>
                  <w:sz w:val="14"/>
                  <w:szCs w:val="14"/>
                  <w:color w:val="0000FF"/>
                </w:rPr>
                <w:t>with</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94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40" w:type="dxa"/>
            <w:vAlign w:val="bottom"/>
            <w:gridSpan w:val="20"/>
          </w:tcPr>
          <w:p>
            <w:pPr>
              <w:spacing w:after="0" w:line="129" w:lineRule="exact"/>
              <w:rPr>
                <w:rFonts w:ascii="Arial" w:cs="Arial" w:eastAsia="Arial" w:hAnsi="Arial"/>
                <w:sz w:val="14"/>
                <w:szCs w:val="14"/>
                <w:color w:val="0000FF"/>
              </w:rPr>
            </w:pPr>
            <w:hyperlink r:id="rId107">
              <w:r>
                <w:rPr>
                  <w:rFonts w:ascii="Arial" w:cs="Arial" w:eastAsia="Arial" w:hAnsi="Arial"/>
                  <w:sz w:val="14"/>
                  <w:szCs w:val="14"/>
                  <w:color w:val="0000FF"/>
                </w:rPr>
                <w:t>respect to the Series B Preferred Units, dated August 9, 2018) (incorporated by reference to Exhibit 3.1 to the Registrant’s Current Report on Form 8-K dated</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56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rPr>
            </w:pPr>
            <w:hyperlink r:id="rId107">
              <w:r>
                <w:rPr>
                  <w:rFonts w:ascii="Arial" w:cs="Arial" w:eastAsia="Arial" w:hAnsi="Arial"/>
                  <w:sz w:val="13"/>
                  <w:szCs w:val="13"/>
                  <w:color w:val="0000FF"/>
                </w:rPr>
                <w:t>October 4, 2019, filed with the SEC on October 4, 2019).</w:t>
              </w:r>
            </w:hyperlink>
          </w:p>
        </w:tc>
        <w:tc>
          <w:tcPr>
            <w:tcW w:w="626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80" w:type="dxa"/>
            <w:vAlign w:val="bottom"/>
            <w:gridSpan w:val="2"/>
          </w:tcPr>
          <w:p>
            <w:pPr>
              <w:spacing w:after="0"/>
              <w:rPr>
                <w:sz w:val="20"/>
                <w:szCs w:val="20"/>
                <w:color w:val="auto"/>
              </w:rPr>
            </w:pPr>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1</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40" w:type="dxa"/>
            <w:vAlign w:val="bottom"/>
            <w:gridSpan w:val="20"/>
          </w:tcPr>
          <w:p>
            <w:pPr>
              <w:spacing w:after="0"/>
              <w:rPr>
                <w:sz w:val="20"/>
                <w:szCs w:val="20"/>
                <w:color w:val="auto"/>
              </w:rPr>
            </w:pPr>
            <w:r>
              <w:rPr>
                <w:rFonts w:ascii="Arial" w:cs="Arial" w:eastAsia="Arial" w:hAnsi="Arial"/>
                <w:sz w:val="14"/>
                <w:szCs w:val="14"/>
                <w:color w:val="0000FF"/>
              </w:rPr>
              <w:t>Fourth Amended and Restated Limited Partnership Agreement of Oaktree Capital I, L.P., dated as of April 7, 2022 (including Unit Designation with respect to</w:t>
            </w:r>
          </w:p>
        </w:tc>
        <w:tc>
          <w:tcPr>
            <w:tcW w:w="0" w:type="dxa"/>
            <w:vAlign w:val="bottom"/>
          </w:tcPr>
          <w:p>
            <w:pPr>
              <w:spacing w:after="0"/>
              <w:rPr>
                <w:sz w:val="1"/>
                <w:szCs w:val="1"/>
                <w:color w:val="auto"/>
              </w:rPr>
            </w:pPr>
          </w:p>
        </w:tc>
      </w:tr>
      <w:tr>
        <w:trPr>
          <w:trHeight w:val="118"/>
        </w:trPr>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0" w:type="dxa"/>
            <w:vAlign w:val="bottom"/>
            <w:tcBorders>
              <w:top w:val="single" w:sz="8" w:color="0000FF"/>
            </w:tcBorders>
            <w:gridSpan w:val="18"/>
          </w:tcPr>
          <w:p>
            <w:pPr>
              <w:spacing w:after="0" w:line="118" w:lineRule="exact"/>
              <w:rPr>
                <w:sz w:val="20"/>
                <w:szCs w:val="20"/>
                <w:color w:val="auto"/>
              </w:rPr>
            </w:pPr>
            <w:r>
              <w:rPr>
                <w:rFonts w:ascii="Arial" w:cs="Arial" w:eastAsia="Arial" w:hAnsi="Arial"/>
                <w:sz w:val="13"/>
                <w:szCs w:val="13"/>
                <w:color w:val="0000FF"/>
              </w:rPr>
              <w:t>the Series A Preferred Mirror Units of Oaktree Capital I, L.P., dated May 17, 2018, and Unit Designation with respect to the Series B Preferred Mirror Units of</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780" w:type="dxa"/>
            <w:vAlign w:val="bottom"/>
            <w:tcBorders>
              <w:top w:val="single" w:sz="8" w:color="0000FF"/>
            </w:tcBorders>
            <w:gridSpan w:val="17"/>
          </w:tcPr>
          <w:p>
            <w:pPr>
              <w:spacing w:after="0" w:line="129" w:lineRule="exact"/>
              <w:rPr>
                <w:sz w:val="20"/>
                <w:szCs w:val="20"/>
                <w:color w:val="auto"/>
              </w:rPr>
            </w:pPr>
            <w:r>
              <w:rPr>
                <w:rFonts w:ascii="Arial" w:cs="Arial" w:eastAsia="Arial" w:hAnsi="Arial"/>
                <w:sz w:val="14"/>
                <w:szCs w:val="14"/>
                <w:color w:val="0000FF"/>
              </w:rPr>
              <w:t xml:space="preserve">Oaktree Capital I, L.P., dated August 9, 2018). </w:t>
            </w:r>
            <w:r>
              <w:rPr>
                <w:rFonts w:ascii="Arial" w:cs="Arial" w:eastAsia="Arial" w:hAnsi="Arial"/>
                <w:sz w:val="14"/>
                <w:szCs w:val="14"/>
                <w:color w:val="000000"/>
              </w:rPr>
              <w:t>†</w:t>
            </w: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0" w:type="dxa"/>
            <w:vAlign w:val="bottom"/>
            <w:gridSpan w:val="2"/>
          </w:tcPr>
          <w:p>
            <w:pPr>
              <w:spacing w:after="0"/>
              <w:rPr>
                <w:sz w:val="20"/>
                <w:szCs w:val="20"/>
                <w:color w:val="auto"/>
              </w:rPr>
            </w:pPr>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2</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40" w:type="dxa"/>
            <w:vAlign w:val="bottom"/>
            <w:gridSpan w:val="20"/>
          </w:tcPr>
          <w:p>
            <w:pPr>
              <w:spacing w:after="0"/>
              <w:rPr>
                <w:sz w:val="20"/>
                <w:szCs w:val="20"/>
                <w:color w:val="auto"/>
              </w:rPr>
            </w:pPr>
            <w:r>
              <w:rPr>
                <w:rFonts w:ascii="Arial" w:cs="Arial" w:eastAsia="Arial" w:hAnsi="Arial"/>
                <w:sz w:val="14"/>
                <w:szCs w:val="14"/>
                <w:color w:val="0000FF"/>
              </w:rPr>
              <w:t xml:space="preserve">Third Amended and Restated Limited Partnership Agreement of Oaktree Capital Management (Cayman), L.P., dated as of April 7, 2022.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0"/>
        </w:trPr>
        <w:tc>
          <w:tcPr>
            <w:tcW w:w="2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680" w:type="dxa"/>
            <w:vAlign w:val="bottom"/>
            <w:gridSpan w:val="5"/>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80" w:type="dxa"/>
            <w:vAlign w:val="bottom"/>
            <w:gridSpan w:val="2"/>
          </w:tcPr>
          <w:p>
            <w:pPr>
              <w:spacing w:after="0"/>
              <w:rPr>
                <w:sz w:val="20"/>
                <w:szCs w:val="20"/>
                <w:color w:val="auto"/>
              </w:rPr>
            </w:pPr>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3</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40" w:type="dxa"/>
            <w:vAlign w:val="bottom"/>
            <w:gridSpan w:val="20"/>
          </w:tcPr>
          <w:p>
            <w:pPr>
              <w:spacing w:after="0"/>
              <w:rPr>
                <w:sz w:val="20"/>
                <w:szCs w:val="20"/>
                <w:color w:val="auto"/>
              </w:rPr>
            </w:pPr>
            <w:r>
              <w:rPr>
                <w:rFonts w:ascii="Arial" w:cs="Arial" w:eastAsia="Arial" w:hAnsi="Arial"/>
                <w:sz w:val="14"/>
                <w:szCs w:val="14"/>
                <w:color w:val="0000FF"/>
              </w:rPr>
              <w:t>Second Amended &amp; Restated Services Agreement, dated as June 1, 2022, between Oaktree Capital Management, L.P. and Oaktree Capital Management</w:t>
            </w:r>
          </w:p>
        </w:tc>
        <w:tc>
          <w:tcPr>
            <w:tcW w:w="0" w:type="dxa"/>
            <w:vAlign w:val="bottom"/>
          </w:tcPr>
          <w:p>
            <w:pPr>
              <w:spacing w:after="0"/>
              <w:rPr>
                <w:sz w:val="1"/>
                <w:szCs w:val="1"/>
                <w:color w:val="auto"/>
              </w:rPr>
            </w:pPr>
          </w:p>
        </w:tc>
      </w:tr>
      <w:tr>
        <w:trPr>
          <w:trHeight w:val="139"/>
        </w:trPr>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80" w:type="dxa"/>
            <w:vAlign w:val="bottom"/>
            <w:tcBorders>
              <w:top w:val="single" w:sz="8" w:color="0000FF"/>
            </w:tcBorders>
            <w:gridSpan w:val="15"/>
          </w:tcPr>
          <w:p>
            <w:pPr>
              <w:spacing w:after="0" w:line="139" w:lineRule="exact"/>
              <w:rPr>
                <w:sz w:val="20"/>
                <w:szCs w:val="20"/>
                <w:color w:val="auto"/>
              </w:rPr>
            </w:pPr>
            <w:r>
              <w:rPr>
                <w:rFonts w:ascii="Arial" w:cs="Arial" w:eastAsia="Arial" w:hAnsi="Arial"/>
                <w:sz w:val="14"/>
                <w:szCs w:val="14"/>
                <w:color w:val="0000FF"/>
              </w:rPr>
              <w:t xml:space="preserve">(UK) LLP. </w:t>
            </w:r>
            <w:r>
              <w:rPr>
                <w:rFonts w:ascii="Arial" w:cs="Arial" w:eastAsia="Arial" w:hAnsi="Arial"/>
                <w:sz w:val="14"/>
                <w:szCs w:val="14"/>
                <w:color w:val="000000"/>
              </w:rPr>
              <w:t>†</w:t>
            </w:r>
          </w:p>
        </w:tc>
        <w:tc>
          <w:tcPr>
            <w:tcW w:w="1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80" w:type="dxa"/>
            <w:vAlign w:val="bottom"/>
            <w:gridSpan w:val="2"/>
          </w:tcPr>
          <w:p>
            <w:pPr>
              <w:spacing w:after="0"/>
              <w:rPr>
                <w:sz w:val="20"/>
                <w:szCs w:val="20"/>
                <w:color w:val="auto"/>
              </w:rPr>
            </w:pPr>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4</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40" w:type="dxa"/>
            <w:vAlign w:val="bottom"/>
            <w:gridSpan w:val="20"/>
          </w:tcPr>
          <w:p>
            <w:pPr>
              <w:spacing w:after="0"/>
              <w:rPr>
                <w:sz w:val="20"/>
                <w:szCs w:val="20"/>
                <w:color w:val="auto"/>
              </w:rPr>
            </w:pPr>
            <w:r>
              <w:rPr>
                <w:rFonts w:ascii="Arial" w:cs="Arial" w:eastAsia="Arial" w:hAnsi="Arial"/>
                <w:sz w:val="14"/>
                <w:szCs w:val="14"/>
                <w:color w:val="0000FF"/>
              </w:rPr>
              <w:t>Amended &amp; Restated Services Agreement, dated as of June 1, 2022, between Oaktree Capital Management, L.P. and Oaktree Capital Management</w:t>
            </w:r>
          </w:p>
        </w:tc>
        <w:tc>
          <w:tcPr>
            <w:tcW w:w="0" w:type="dxa"/>
            <w:vAlign w:val="bottom"/>
          </w:tcPr>
          <w:p>
            <w:pPr>
              <w:spacing w:after="0"/>
              <w:rPr>
                <w:sz w:val="1"/>
                <w:szCs w:val="1"/>
                <w:color w:val="auto"/>
              </w:rPr>
            </w:pPr>
          </w:p>
        </w:tc>
      </w:tr>
      <w:tr>
        <w:trPr>
          <w:trHeight w:val="139"/>
        </w:trPr>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80" w:type="dxa"/>
            <w:vAlign w:val="bottom"/>
            <w:tcBorders>
              <w:top w:val="single" w:sz="8" w:color="0000FF"/>
            </w:tcBorders>
            <w:gridSpan w:val="10"/>
          </w:tcPr>
          <w:p>
            <w:pPr>
              <w:spacing w:after="0" w:line="139" w:lineRule="exact"/>
              <w:rPr>
                <w:sz w:val="20"/>
                <w:szCs w:val="20"/>
                <w:color w:val="auto"/>
              </w:rPr>
            </w:pPr>
            <w:r>
              <w:rPr>
                <w:rFonts w:ascii="Arial" w:cs="Arial" w:eastAsia="Arial" w:hAnsi="Arial"/>
                <w:sz w:val="14"/>
                <w:szCs w:val="14"/>
                <w:color w:val="0000FF"/>
              </w:rPr>
              <w:t xml:space="preserve">(International) Limited. </w:t>
            </w:r>
            <w:r>
              <w:rPr>
                <w:rFonts w:ascii="Arial" w:cs="Arial" w:eastAsia="Arial" w:hAnsi="Arial"/>
                <w:sz w:val="14"/>
                <w:szCs w:val="14"/>
                <w:color w:val="000000"/>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2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spacing w:after="0"/>
              <w:rPr>
                <w:sz w:val="20"/>
                <w:szCs w:val="20"/>
                <w:color w:val="auto"/>
              </w:rPr>
            </w:pPr>
            <w:r>
              <w:rPr>
                <w:rFonts w:ascii="Arial" w:cs="Arial" w:eastAsia="Arial" w:hAnsi="Arial"/>
                <w:sz w:val="14"/>
                <w:szCs w:val="14"/>
                <w:color w:val="0000FF"/>
                <w:w w:val="95"/>
              </w:rPr>
              <w:t>31.</w:t>
            </w:r>
            <w:r>
              <w:rPr>
                <w:rFonts w:ascii="Arial" w:cs="Arial" w:eastAsia="Arial" w:hAnsi="Arial"/>
                <w:sz w:val="14"/>
                <w:szCs w:val="14"/>
                <w:u w:val="single" w:color="auto"/>
                <w:color w:val="0000FF"/>
                <w:w w:val="95"/>
              </w:rPr>
              <w:t>1</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5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8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40" w:type="dxa"/>
            <w:vAlign w:val="bottom"/>
            <w:gridSpan w:val="20"/>
          </w:tcPr>
          <w:p>
            <w:pPr>
              <w:spacing w:after="0"/>
              <w:rPr>
                <w:sz w:val="20"/>
                <w:szCs w:val="20"/>
                <w:color w:val="auto"/>
              </w:rPr>
            </w:pPr>
            <w:r>
              <w:rPr>
                <w:rFonts w:ascii="Arial" w:cs="Arial" w:eastAsia="Arial" w:hAnsi="Arial"/>
                <w:sz w:val="14"/>
                <w:szCs w:val="14"/>
                <w:color w:val="0000FF"/>
              </w:rPr>
              <w:t>Certification of the Principal Executive Officer pursuant to Rule 13a-14(a) or 15d-14(a) of the Exchange Act, as adopted, pursuant to Section 302 of the</w:t>
            </w:r>
          </w:p>
        </w:tc>
        <w:tc>
          <w:tcPr>
            <w:tcW w:w="0" w:type="dxa"/>
            <w:vAlign w:val="bottom"/>
          </w:tcPr>
          <w:p>
            <w:pPr>
              <w:spacing w:after="0"/>
              <w:rPr>
                <w:sz w:val="1"/>
                <w:szCs w:val="1"/>
                <w:color w:val="auto"/>
              </w:rPr>
            </w:pPr>
          </w:p>
        </w:tc>
      </w:tr>
      <w:tr>
        <w:trPr>
          <w:trHeight w:val="170"/>
        </w:trPr>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20" w:type="dxa"/>
            <w:vAlign w:val="bottom"/>
            <w:tcBorders>
              <w:top w:val="single" w:sz="8" w:color="0000FF"/>
            </w:tcBorders>
            <w:gridSpan w:val="12"/>
          </w:tcPr>
          <w:p>
            <w:pPr>
              <w:spacing w:after="0"/>
              <w:rPr>
                <w:sz w:val="20"/>
                <w:szCs w:val="20"/>
                <w:color w:val="auto"/>
              </w:rPr>
            </w:pPr>
            <w:r>
              <w:rPr>
                <w:rFonts w:ascii="Arial" w:cs="Arial" w:eastAsia="Arial" w:hAnsi="Arial"/>
                <w:sz w:val="14"/>
                <w:szCs w:val="14"/>
                <w:color w:val="0000FF"/>
              </w:rPr>
              <w:t xml:space="preserve">Sarbanes-Oxley Act of 2002. </w:t>
            </w:r>
            <w:r>
              <w:rPr>
                <w:rFonts w:ascii="Arial" w:cs="Arial" w:eastAsia="Arial" w:hAnsi="Arial"/>
                <w:sz w:val="14"/>
                <w:szCs w:val="14"/>
                <w:color w:val="000000"/>
              </w:rPr>
              <w:t>†</w:t>
            </w:r>
          </w:p>
        </w:tc>
        <w:tc>
          <w:tcPr>
            <w:tcW w:w="4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spacing w:after="0"/>
              <w:rPr>
                <w:sz w:val="20"/>
                <w:szCs w:val="20"/>
                <w:color w:val="auto"/>
              </w:rPr>
            </w:pPr>
            <w:r>
              <w:rPr>
                <w:rFonts w:ascii="Arial" w:cs="Arial" w:eastAsia="Arial" w:hAnsi="Arial"/>
                <w:sz w:val="14"/>
                <w:szCs w:val="14"/>
                <w:color w:val="0000FF"/>
                <w:w w:val="95"/>
              </w:rPr>
              <w:t>31.</w:t>
            </w:r>
            <w:r>
              <w:rPr>
                <w:rFonts w:ascii="Arial" w:cs="Arial" w:eastAsia="Arial" w:hAnsi="Arial"/>
                <w:sz w:val="14"/>
                <w:szCs w:val="14"/>
                <w:u w:val="single" w:color="auto"/>
                <w:color w:val="0000FF"/>
                <w:w w:val="95"/>
              </w:rPr>
              <w:t>2</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756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40" w:type="dxa"/>
            <w:vAlign w:val="bottom"/>
            <w:gridSpan w:val="20"/>
          </w:tcPr>
          <w:p>
            <w:pPr>
              <w:spacing w:after="0"/>
              <w:rPr>
                <w:sz w:val="20"/>
                <w:szCs w:val="20"/>
                <w:color w:val="auto"/>
              </w:rPr>
            </w:pPr>
            <w:r>
              <w:rPr>
                <w:rFonts w:ascii="Arial" w:cs="Arial" w:eastAsia="Arial" w:hAnsi="Arial"/>
                <w:sz w:val="14"/>
                <w:szCs w:val="14"/>
                <w:color w:val="0000FF"/>
              </w:rPr>
              <w:t>Certification of the Principal Financial Officer pursuant to Rule 13a-14(a) or 15d-14(a) of the Exchange Act, as adopted, pursuant to Section 302 of the</w:t>
            </w:r>
          </w:p>
        </w:tc>
        <w:tc>
          <w:tcPr>
            <w:tcW w:w="0" w:type="dxa"/>
            <w:vAlign w:val="bottom"/>
          </w:tcPr>
          <w:p>
            <w:pPr>
              <w:spacing w:after="0"/>
              <w:rPr>
                <w:sz w:val="1"/>
                <w:szCs w:val="1"/>
                <w:color w:val="auto"/>
              </w:rPr>
            </w:pPr>
          </w:p>
        </w:tc>
      </w:tr>
      <w:tr>
        <w:trPr>
          <w:trHeight w:val="170"/>
        </w:trPr>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380" w:type="dxa"/>
            <w:vAlign w:val="bottom"/>
            <w:tcBorders>
              <w:top w:val="single" w:sz="8" w:color="0000FF"/>
            </w:tcBorders>
            <w:gridSpan w:val="11"/>
          </w:tcPr>
          <w:p>
            <w:pPr>
              <w:spacing w:after="0"/>
              <w:rPr>
                <w:sz w:val="20"/>
                <w:szCs w:val="20"/>
                <w:color w:val="auto"/>
              </w:rPr>
            </w:pPr>
            <w:r>
              <w:rPr>
                <w:rFonts w:ascii="Arial" w:cs="Arial" w:eastAsia="Arial" w:hAnsi="Arial"/>
                <w:sz w:val="14"/>
                <w:szCs w:val="14"/>
                <w:color w:val="0000FF"/>
              </w:rPr>
              <w:t xml:space="preserve">Sarbanes-Oxley Act of 2002. </w:t>
            </w:r>
            <w:r>
              <w:rPr>
                <w:rFonts w:ascii="Arial" w:cs="Arial" w:eastAsia="Arial" w:hAnsi="Arial"/>
                <w:sz w:val="14"/>
                <w:szCs w:val="14"/>
                <w:color w:val="000000"/>
              </w:rPr>
              <w:t>†</w:t>
            </w:r>
          </w:p>
        </w:tc>
        <w:tc>
          <w:tcPr>
            <w:tcW w:w="4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spacing w:after="0"/>
              <w:rPr>
                <w:sz w:val="20"/>
                <w:szCs w:val="20"/>
                <w:color w:val="auto"/>
              </w:rPr>
            </w:pPr>
            <w:r>
              <w:rPr>
                <w:rFonts w:ascii="Arial" w:cs="Arial" w:eastAsia="Arial" w:hAnsi="Arial"/>
                <w:sz w:val="14"/>
                <w:szCs w:val="14"/>
                <w:color w:val="0000FF"/>
                <w:w w:val="95"/>
              </w:rPr>
              <w:t>32.</w:t>
            </w:r>
            <w:r>
              <w:rPr>
                <w:rFonts w:ascii="Arial" w:cs="Arial" w:eastAsia="Arial" w:hAnsi="Arial"/>
                <w:sz w:val="14"/>
                <w:szCs w:val="14"/>
                <w:u w:val="single" w:color="auto"/>
                <w:color w:val="0000FF"/>
                <w:w w:val="95"/>
              </w:rPr>
              <w:t>1</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7800" w:type="dxa"/>
            <w:vAlign w:val="bottom"/>
            <w:gridSpan w:val="10"/>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80" w:type="dxa"/>
            <w:vAlign w:val="bottom"/>
            <w:tcBorders>
              <w:bottom w:val="single" w:sz="8" w:color="0000FF"/>
            </w:tcBorders>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40" w:type="dxa"/>
            <w:vAlign w:val="bottom"/>
            <w:gridSpan w:val="20"/>
            <w:vMerge w:val="restart"/>
          </w:tcPr>
          <w:p>
            <w:pPr>
              <w:spacing w:after="0"/>
              <w:rPr>
                <w:sz w:val="20"/>
                <w:szCs w:val="20"/>
                <w:color w:val="auto"/>
              </w:rPr>
            </w:pPr>
            <w:r>
              <w:rPr>
                <w:rFonts w:ascii="Arial" w:cs="Arial" w:eastAsia="Arial" w:hAnsi="Arial"/>
                <w:sz w:val="14"/>
                <w:szCs w:val="14"/>
                <w:color w:val="0000FF"/>
              </w:rPr>
              <w:t xml:space="preserve">Certification of the Principal Executive Officer pursuant to 18 U.S.C. Section 1350, as adopted pursuant to section 906 of the Sarbanes-Oxley Act of 2002.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spacing w:after="0"/>
              <w:rPr>
                <w:sz w:val="20"/>
                <w:szCs w:val="20"/>
                <w:color w:val="auto"/>
              </w:rPr>
            </w:pPr>
            <w:r>
              <w:rPr>
                <w:rFonts w:ascii="Arial" w:cs="Arial" w:eastAsia="Arial" w:hAnsi="Arial"/>
                <w:sz w:val="14"/>
                <w:szCs w:val="14"/>
                <w:color w:val="0000FF"/>
                <w:w w:val="95"/>
              </w:rPr>
              <w:t>32.</w:t>
            </w:r>
            <w:r>
              <w:rPr>
                <w:rFonts w:ascii="Arial" w:cs="Arial" w:eastAsia="Arial" w:hAnsi="Arial"/>
                <w:sz w:val="14"/>
                <w:szCs w:val="14"/>
                <w:u w:val="single" w:color="auto"/>
                <w:color w:val="0000FF"/>
                <w:w w:val="95"/>
              </w:rPr>
              <w:t>2</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40" w:type="dxa"/>
            <w:vAlign w:val="bottom"/>
            <w:gridSpan w:val="2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20" w:type="dxa"/>
            <w:vAlign w:val="bottom"/>
            <w:tcBorders>
              <w:right w:val="single" w:sz="8" w:color="0000FF"/>
            </w:tcBorders>
            <w:gridSpan w:val="14"/>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0" w:type="dxa"/>
            <w:vAlign w:val="bottom"/>
            <w:tcBorders>
              <w:bottom w:val="single" w:sz="8" w:color="0000FF"/>
            </w:tcBorders>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40" w:type="dxa"/>
            <w:vAlign w:val="bottom"/>
            <w:gridSpan w:val="20"/>
            <w:vMerge w:val="restart"/>
          </w:tcPr>
          <w:p>
            <w:pPr>
              <w:spacing w:after="0"/>
              <w:rPr>
                <w:sz w:val="20"/>
                <w:szCs w:val="20"/>
                <w:color w:val="auto"/>
              </w:rPr>
            </w:pPr>
            <w:r>
              <w:rPr>
                <w:rFonts w:ascii="Arial" w:cs="Arial" w:eastAsia="Arial" w:hAnsi="Arial"/>
                <w:sz w:val="14"/>
                <w:szCs w:val="14"/>
                <w:color w:val="0000FF"/>
              </w:rPr>
              <w:t xml:space="preserve">Certification of the Principal Financial Officer pursuant to 18 U.S.C. Section 1350, as adopted pursuant to section 906 of the Sarbanes-Oxley Act of 2002.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40" w:type="dxa"/>
            <w:vAlign w:val="bottom"/>
            <w:gridSpan w:val="2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320" w:type="dxa"/>
            <w:vAlign w:val="bottom"/>
            <w:gridSpan w:val="4"/>
          </w:tcPr>
          <w:p>
            <w:pPr>
              <w:spacing w:after="0"/>
              <w:rPr>
                <w:sz w:val="20"/>
                <w:szCs w:val="20"/>
                <w:color w:val="auto"/>
              </w:rPr>
            </w:pPr>
            <w:r>
              <w:rPr>
                <w:rFonts w:ascii="Arial" w:cs="Arial" w:eastAsia="Arial" w:hAnsi="Arial"/>
                <w:sz w:val="14"/>
                <w:szCs w:val="14"/>
                <w:color w:val="auto"/>
              </w:rPr>
              <w:t>101.INS</w:t>
            </w:r>
          </w:p>
        </w:tc>
        <w:tc>
          <w:tcPr>
            <w:tcW w:w="9620" w:type="dxa"/>
            <w:vAlign w:val="bottom"/>
            <w:tcBorders>
              <w:top w:val="single" w:sz="8" w:color="0000FF"/>
            </w:tcBorders>
            <w:gridSpan w:val="14"/>
          </w:tcPr>
          <w:p>
            <w:pPr>
              <w:spacing w:after="0"/>
              <w:rPr>
                <w:sz w:val="20"/>
                <w:szCs w:val="20"/>
                <w:color w:val="auto"/>
              </w:rPr>
            </w:pPr>
            <w:r>
              <w:rPr>
                <w:rFonts w:ascii="Arial" w:cs="Arial" w:eastAsia="Arial" w:hAnsi="Arial"/>
                <w:sz w:val="14"/>
                <w:szCs w:val="14"/>
                <w:color w:val="auto"/>
              </w:rPr>
              <w:t>XBRL Instance Document.</w:t>
            </w:r>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320" w:type="dxa"/>
            <w:vAlign w:val="bottom"/>
            <w:gridSpan w:val="4"/>
          </w:tcPr>
          <w:p>
            <w:pPr>
              <w:spacing w:after="0"/>
              <w:rPr>
                <w:sz w:val="20"/>
                <w:szCs w:val="20"/>
                <w:color w:val="auto"/>
              </w:rPr>
            </w:pPr>
            <w:r>
              <w:rPr>
                <w:rFonts w:ascii="Arial" w:cs="Arial" w:eastAsia="Arial" w:hAnsi="Arial"/>
                <w:sz w:val="14"/>
                <w:szCs w:val="14"/>
                <w:color w:val="auto"/>
              </w:rPr>
              <w:t>101.SCH</w:t>
            </w:r>
          </w:p>
        </w:tc>
        <w:tc>
          <w:tcPr>
            <w:tcW w:w="9840" w:type="dxa"/>
            <w:vAlign w:val="bottom"/>
            <w:gridSpan w:val="20"/>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265"/>
        </w:trPr>
        <w:tc>
          <w:tcPr>
            <w:tcW w:w="1320" w:type="dxa"/>
            <w:vAlign w:val="bottom"/>
            <w:gridSpan w:val="4"/>
          </w:tcPr>
          <w:p>
            <w:pPr>
              <w:spacing w:after="0"/>
              <w:rPr>
                <w:sz w:val="20"/>
                <w:szCs w:val="20"/>
                <w:color w:val="auto"/>
              </w:rPr>
            </w:pPr>
            <w:r>
              <w:rPr>
                <w:rFonts w:ascii="Arial" w:cs="Arial" w:eastAsia="Arial" w:hAnsi="Arial"/>
                <w:sz w:val="14"/>
                <w:szCs w:val="14"/>
                <w:color w:val="auto"/>
              </w:rPr>
              <w:t>101.CAL</w:t>
            </w:r>
          </w:p>
        </w:tc>
        <w:tc>
          <w:tcPr>
            <w:tcW w:w="9840" w:type="dxa"/>
            <w:vAlign w:val="bottom"/>
            <w:gridSpan w:val="20"/>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265"/>
        </w:trPr>
        <w:tc>
          <w:tcPr>
            <w:tcW w:w="1320" w:type="dxa"/>
            <w:vAlign w:val="bottom"/>
            <w:gridSpan w:val="4"/>
          </w:tcPr>
          <w:p>
            <w:pPr>
              <w:spacing w:after="0"/>
              <w:rPr>
                <w:sz w:val="20"/>
                <w:szCs w:val="20"/>
                <w:color w:val="auto"/>
              </w:rPr>
            </w:pPr>
            <w:r>
              <w:rPr>
                <w:rFonts w:ascii="Arial" w:cs="Arial" w:eastAsia="Arial" w:hAnsi="Arial"/>
                <w:sz w:val="14"/>
                <w:szCs w:val="14"/>
                <w:color w:val="auto"/>
              </w:rPr>
              <w:t>101.LAB</w:t>
            </w:r>
          </w:p>
        </w:tc>
        <w:tc>
          <w:tcPr>
            <w:tcW w:w="9840" w:type="dxa"/>
            <w:vAlign w:val="bottom"/>
            <w:gridSpan w:val="20"/>
          </w:tcPr>
          <w:p>
            <w:pPr>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265"/>
        </w:trPr>
        <w:tc>
          <w:tcPr>
            <w:tcW w:w="1320" w:type="dxa"/>
            <w:vAlign w:val="bottom"/>
            <w:gridSpan w:val="4"/>
          </w:tcPr>
          <w:p>
            <w:pPr>
              <w:spacing w:after="0"/>
              <w:rPr>
                <w:sz w:val="20"/>
                <w:szCs w:val="20"/>
                <w:color w:val="auto"/>
              </w:rPr>
            </w:pPr>
            <w:r>
              <w:rPr>
                <w:rFonts w:ascii="Arial" w:cs="Arial" w:eastAsia="Arial" w:hAnsi="Arial"/>
                <w:sz w:val="14"/>
                <w:szCs w:val="14"/>
                <w:color w:val="auto"/>
              </w:rPr>
              <w:t>101.PRE</w:t>
            </w:r>
          </w:p>
        </w:tc>
        <w:tc>
          <w:tcPr>
            <w:tcW w:w="9840" w:type="dxa"/>
            <w:vAlign w:val="bottom"/>
            <w:gridSpan w:val="20"/>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r>
        <w:trPr>
          <w:trHeight w:val="265"/>
        </w:trPr>
        <w:tc>
          <w:tcPr>
            <w:tcW w:w="1320" w:type="dxa"/>
            <w:vAlign w:val="bottom"/>
            <w:gridSpan w:val="4"/>
          </w:tcPr>
          <w:p>
            <w:pPr>
              <w:spacing w:after="0"/>
              <w:rPr>
                <w:sz w:val="20"/>
                <w:szCs w:val="20"/>
                <w:color w:val="auto"/>
              </w:rPr>
            </w:pPr>
            <w:r>
              <w:rPr>
                <w:rFonts w:ascii="Arial" w:cs="Arial" w:eastAsia="Arial" w:hAnsi="Arial"/>
                <w:sz w:val="14"/>
                <w:szCs w:val="14"/>
                <w:color w:val="auto"/>
              </w:rPr>
              <w:t>101.DEF</w:t>
            </w:r>
          </w:p>
        </w:tc>
        <w:tc>
          <w:tcPr>
            <w:tcW w:w="9840" w:type="dxa"/>
            <w:vAlign w:val="bottom"/>
            <w:gridSpan w:val="20"/>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56578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65785" cy="698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160"/>
          </w:cols>
          <w:pgMar w:left="300" w:top="729" w:right="439" w:bottom="1440"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6" w:name="page227"/>
    <w:bookmarkEnd w:id="226"/>
    <w:p>
      <w:pPr>
        <w:jc w:val="right"/>
        <w:spacing w:after="0"/>
        <w:rPr>
          <w:sz w:val="20"/>
          <w:szCs w:val="20"/>
          <w:color w:val="auto"/>
        </w:rPr>
      </w:pPr>
      <w:r>
        <w:rPr>
          <w:rFonts w:ascii="Arial" w:cs="Arial" w:eastAsia="Arial" w:hAnsi="Arial"/>
          <w:sz w:val="14"/>
          <w:szCs w:val="14"/>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Verdana" w:cs="Verdana" w:eastAsia="Verdana" w:hAnsi="Verdana"/>
          <w:sz w:val="30"/>
          <w:szCs w:val="30"/>
          <w:color w:val="auto"/>
        </w:rPr>
        <w:t>Amended &amp; Restated</w:t>
      </w:r>
    </w:p>
    <w:p>
      <w:pPr>
        <w:spacing w:after="0" w:line="17" w:lineRule="exact"/>
        <w:rPr>
          <w:sz w:val="20"/>
          <w:szCs w:val="20"/>
          <w:color w:val="auto"/>
        </w:rPr>
      </w:pPr>
    </w:p>
    <w:p>
      <w:pPr>
        <w:spacing w:after="0"/>
        <w:rPr>
          <w:sz w:val="20"/>
          <w:szCs w:val="20"/>
          <w:color w:val="auto"/>
        </w:rPr>
      </w:pPr>
      <w:r>
        <w:rPr>
          <w:rFonts w:ascii="Verdana" w:cs="Verdana" w:eastAsia="Verdana" w:hAnsi="Verdana"/>
          <w:sz w:val="30"/>
          <w:szCs w:val="30"/>
          <w:color w:val="auto"/>
        </w:rPr>
        <w:t>Services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Verdana" w:cs="Verdana" w:eastAsia="Verdana" w:hAnsi="Verdana"/>
          <w:sz w:val="23"/>
          <w:szCs w:val="23"/>
          <w:color w:val="auto"/>
        </w:rPr>
        <w:t>Oaktree Capital Management, L.P.</w:t>
      </w:r>
    </w:p>
    <w:p>
      <w:pPr>
        <w:spacing w:after="0" w:line="159" w:lineRule="exact"/>
        <w:rPr>
          <w:sz w:val="20"/>
          <w:szCs w:val="20"/>
          <w:color w:val="auto"/>
        </w:rPr>
      </w:pPr>
    </w:p>
    <w:p>
      <w:pPr>
        <w:spacing w:after="0"/>
        <w:rPr>
          <w:sz w:val="20"/>
          <w:szCs w:val="20"/>
          <w:color w:val="auto"/>
        </w:rPr>
      </w:pPr>
      <w:r>
        <w:rPr>
          <w:rFonts w:ascii="Verdana" w:cs="Verdana" w:eastAsia="Verdana" w:hAnsi="Verdana"/>
          <w:sz w:val="17"/>
          <w:szCs w:val="17"/>
          <w:color w:val="auto"/>
        </w:rPr>
        <w:t>and</w:t>
      </w:r>
    </w:p>
    <w:p>
      <w:pPr>
        <w:spacing w:after="0" w:line="172" w:lineRule="exact"/>
        <w:rPr>
          <w:sz w:val="20"/>
          <w:szCs w:val="20"/>
          <w:color w:val="auto"/>
        </w:rPr>
      </w:pPr>
    </w:p>
    <w:p>
      <w:pPr>
        <w:spacing w:after="0"/>
        <w:rPr>
          <w:sz w:val="20"/>
          <w:szCs w:val="20"/>
          <w:color w:val="auto"/>
        </w:rPr>
      </w:pPr>
      <w:r>
        <w:rPr>
          <w:rFonts w:ascii="Verdana" w:cs="Verdana" w:eastAsia="Verdana" w:hAnsi="Verdana"/>
          <w:sz w:val="23"/>
          <w:szCs w:val="23"/>
          <w:color w:val="auto"/>
        </w:rPr>
        <w:t>Oaktree Capital Management (UK) LLP</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0"/>
        <w:spacing w:after="0"/>
        <w:rPr>
          <w:sz w:val="20"/>
          <w:szCs w:val="20"/>
          <w:color w:val="auto"/>
        </w:rPr>
      </w:pPr>
      <w:r>
        <w:rPr>
          <w:rFonts w:ascii="Verdana" w:cs="Verdana" w:eastAsia="Verdana" w:hAnsi="Verdana"/>
          <w:sz w:val="17"/>
          <w:szCs w:val="17"/>
          <w:color w:val="auto"/>
        </w:rPr>
        <w:t>1 June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Verdana" w:cs="Verdana" w:eastAsia="Verdana" w:hAnsi="Verdana"/>
          <w:sz w:val="13"/>
          <w:szCs w:val="13"/>
          <w:color w:val="auto"/>
        </w:rPr>
        <w:t>1</w:t>
      </w:r>
    </w:p>
    <w:p>
      <w:pPr>
        <w:sectPr>
          <w:pgSz w:w="11900" w:h="16838" w:orient="portrait"/>
          <w:cols w:equalWidth="0" w:num="1">
            <w:col w:w="11260"/>
          </w:cols>
          <w:pgMar w:left="320" w:top="1345" w:right="319" w:bottom="1440" w:gutter="0" w:footer="0" w:header="0"/>
        </w:sectPr>
      </w:pPr>
    </w:p>
    <w:bookmarkStart w:id="227" w:name="page228"/>
    <w:bookmarkEnd w:id="227"/>
    <w:p>
      <w:pPr>
        <w:spacing w:after="0"/>
        <w:rPr>
          <w:sz w:val="20"/>
          <w:szCs w:val="20"/>
          <w:color w:val="auto"/>
        </w:rPr>
      </w:pPr>
      <w:r>
        <w:rPr>
          <w:rFonts w:ascii="Verdana" w:cs="Verdana" w:eastAsia="Verdana" w:hAnsi="Verdana"/>
          <w:sz w:val="13"/>
          <w:szCs w:val="13"/>
          <w:b w:val="1"/>
          <w:bCs w:val="1"/>
          <w:color w:val="auto"/>
        </w:rPr>
        <w:t xml:space="preserve">THIS SERVICES AGREEMENT </w:t>
      </w:r>
      <w:r>
        <w:rPr>
          <w:rFonts w:ascii="Verdana" w:cs="Verdana" w:eastAsia="Verdana" w:hAnsi="Verdana"/>
          <w:sz w:val="13"/>
          <w:szCs w:val="13"/>
          <w:color w:val="auto"/>
        </w:rPr>
        <w:t>(this “</w:t>
      </w:r>
      <w:r>
        <w:rPr>
          <w:rFonts w:ascii="Verdana" w:cs="Verdana" w:eastAsia="Verdana" w:hAnsi="Verdana"/>
          <w:sz w:val="13"/>
          <w:szCs w:val="13"/>
          <w:b w:val="1"/>
          <w:bCs w:val="1"/>
          <w:color w:val="auto"/>
        </w:rPr>
        <w:t>Agreement</w:t>
      </w:r>
      <w:r>
        <w:rPr>
          <w:rFonts w:ascii="Verdana" w:cs="Verdana" w:eastAsia="Verdana" w:hAnsi="Verdana"/>
          <w:sz w:val="13"/>
          <w:szCs w:val="13"/>
          <w:color w:val="auto"/>
        </w:rPr>
        <w:t>”) is made on 1 June 2022</w:t>
      </w:r>
    </w:p>
    <w:p>
      <w:pPr>
        <w:spacing w:after="0" w:line="160"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BETWEEN:</w:t>
      </w:r>
    </w:p>
    <w:p>
      <w:pPr>
        <w:spacing w:after="0" w:line="160" w:lineRule="exact"/>
        <w:rPr>
          <w:sz w:val="20"/>
          <w:szCs w:val="20"/>
          <w:color w:val="auto"/>
        </w:rPr>
      </w:pPr>
    </w:p>
    <w:p>
      <w:pPr>
        <w:ind w:left="560" w:hanging="555"/>
        <w:spacing w:after="0"/>
        <w:tabs>
          <w:tab w:leader="none" w:pos="560" w:val="left"/>
        </w:tabs>
        <w:numPr>
          <w:ilvl w:val="0"/>
          <w:numId w:val="22"/>
        </w:numPr>
        <w:rPr>
          <w:rFonts w:ascii="Verdana" w:cs="Verdana" w:eastAsia="Verdana" w:hAnsi="Verdana"/>
          <w:sz w:val="13"/>
          <w:szCs w:val="13"/>
          <w:color w:val="auto"/>
        </w:rPr>
      </w:pPr>
      <w:r>
        <w:rPr>
          <w:rFonts w:ascii="Verdana" w:cs="Verdana" w:eastAsia="Verdana" w:hAnsi="Verdana"/>
          <w:sz w:val="13"/>
          <w:szCs w:val="13"/>
          <w:b w:val="1"/>
          <w:bCs w:val="1"/>
          <w:color w:val="auto"/>
        </w:rPr>
        <w:t xml:space="preserve">Oaktree Capital Management, L.P. </w:t>
      </w:r>
      <w:r>
        <w:rPr>
          <w:rFonts w:ascii="Verdana" w:cs="Verdana" w:eastAsia="Verdana" w:hAnsi="Verdana"/>
          <w:sz w:val="13"/>
          <w:szCs w:val="13"/>
          <w:color w:val="auto"/>
        </w:rPr>
        <w:t>a Delaware limited partnership of 333 South Grand Avenue, 28</w:t>
      </w:r>
      <w:r>
        <w:rPr>
          <w:rFonts w:ascii="Verdana" w:cs="Verdana" w:eastAsia="Verdana" w:hAnsi="Verdana"/>
          <w:sz w:val="16"/>
          <w:szCs w:val="16"/>
          <w:color w:val="auto"/>
          <w:vertAlign w:val="superscript"/>
        </w:rPr>
        <w:t>th</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Floor, Los Angeles, CA 90071 (</w:t>
      </w:r>
      <w:r>
        <w:rPr>
          <w:rFonts w:ascii="Verdana" w:cs="Verdana" w:eastAsia="Verdana" w:hAnsi="Verdana"/>
          <w:sz w:val="13"/>
          <w:szCs w:val="13"/>
          <w:b w:val="1"/>
          <w:bCs w:val="1"/>
          <w:color w:val="auto"/>
        </w:rPr>
        <w:t>"Oaktree US"</w:t>
      </w:r>
      <w:r>
        <w:rPr>
          <w:rFonts w:ascii="Verdana" w:cs="Verdana" w:eastAsia="Verdana" w:hAnsi="Verdana"/>
          <w:sz w:val="13"/>
          <w:szCs w:val="13"/>
          <w:color w:val="auto"/>
        </w:rPr>
        <w:t>); and</w:t>
      </w:r>
    </w:p>
    <w:p>
      <w:pPr>
        <w:spacing w:after="0" w:line="123" w:lineRule="exact"/>
        <w:rPr>
          <w:rFonts w:ascii="Verdana" w:cs="Verdana" w:eastAsia="Verdana" w:hAnsi="Verdana"/>
          <w:sz w:val="13"/>
          <w:szCs w:val="13"/>
          <w:color w:val="auto"/>
        </w:rPr>
      </w:pPr>
    </w:p>
    <w:p>
      <w:pPr>
        <w:ind w:left="560" w:hanging="555"/>
        <w:spacing w:after="0" w:line="253" w:lineRule="auto"/>
        <w:tabs>
          <w:tab w:leader="none" w:pos="553" w:val="left"/>
        </w:tabs>
        <w:numPr>
          <w:ilvl w:val="0"/>
          <w:numId w:val="22"/>
        </w:numPr>
        <w:rPr>
          <w:rFonts w:ascii="Verdana" w:cs="Verdana" w:eastAsia="Verdana" w:hAnsi="Verdana"/>
          <w:sz w:val="13"/>
          <w:szCs w:val="13"/>
          <w:color w:val="auto"/>
        </w:rPr>
      </w:pPr>
      <w:r>
        <w:rPr>
          <w:rFonts w:ascii="Verdana" w:cs="Verdana" w:eastAsia="Verdana" w:hAnsi="Verdana"/>
          <w:sz w:val="13"/>
          <w:szCs w:val="13"/>
          <w:b w:val="1"/>
          <w:bCs w:val="1"/>
          <w:color w:val="auto"/>
        </w:rPr>
        <w:t>Oaktree Capital Management (UK) LLP</w:t>
      </w:r>
      <w:r>
        <w:rPr>
          <w:rFonts w:ascii="Verdana" w:cs="Verdana" w:eastAsia="Verdana" w:hAnsi="Verdana"/>
          <w:sz w:val="13"/>
          <w:szCs w:val="13"/>
          <w:color w:val="auto"/>
        </w:rPr>
        <w:t>, a limited liability partnership (registered number OC363917) registered in England and Wales of Verde, 10 Bressenden</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 xml:space="preserve">Place, London SW1E 5DH (the </w:t>
      </w:r>
      <w:r>
        <w:rPr>
          <w:rFonts w:ascii="Verdana" w:cs="Verdana" w:eastAsia="Verdana" w:hAnsi="Verdana"/>
          <w:sz w:val="13"/>
          <w:szCs w:val="13"/>
          <w:b w:val="1"/>
          <w:bCs w:val="1"/>
          <w:color w:val="auto"/>
        </w:rPr>
        <w:t>"LLP"</w:t>
      </w:r>
      <w:r>
        <w:rPr>
          <w:rFonts w:ascii="Verdana" w:cs="Verdana" w:eastAsia="Verdana" w:hAnsi="Verdana"/>
          <w:sz w:val="13"/>
          <w:szCs w:val="13"/>
          <w:color w:val="auto"/>
        </w:rPr>
        <w:t>).</w:t>
      </w:r>
    </w:p>
    <w:p>
      <w:pPr>
        <w:spacing w:after="0" w:line="144"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RECITALS</w:t>
      </w:r>
    </w:p>
    <w:p>
      <w:pPr>
        <w:spacing w:after="0" w:line="160" w:lineRule="exact"/>
        <w:rPr>
          <w:sz w:val="20"/>
          <w:szCs w:val="20"/>
          <w:color w:val="auto"/>
        </w:rPr>
      </w:pPr>
    </w:p>
    <w:p>
      <w:pPr>
        <w:jc w:val="both"/>
        <w:ind w:left="560" w:hanging="555"/>
        <w:spacing w:after="0" w:line="255" w:lineRule="auto"/>
        <w:tabs>
          <w:tab w:leader="none" w:pos="560" w:val="left"/>
        </w:tabs>
        <w:numPr>
          <w:ilvl w:val="0"/>
          <w:numId w:val="23"/>
        </w:numPr>
        <w:rPr>
          <w:rFonts w:ascii="Verdana" w:cs="Verdana" w:eastAsia="Verdana" w:hAnsi="Verdana"/>
          <w:sz w:val="13"/>
          <w:szCs w:val="13"/>
          <w:color w:val="auto"/>
        </w:rPr>
      </w:pPr>
      <w:r>
        <w:rPr>
          <w:rFonts w:ascii="Verdana" w:cs="Verdana" w:eastAsia="Verdana" w:hAnsi="Verdana"/>
          <w:sz w:val="13"/>
          <w:szCs w:val="13"/>
          <w:color w:val="auto"/>
        </w:rPr>
        <w:t xml:space="preserve">The LLP has been constituted for the purposes of carrying on the business of an investment manager and advisor in the United Kingdom. The LLP is authorised and regulated by the United Kingdom’s Financial Conduct Authority (or any successor body or bodies) (the </w:t>
      </w:r>
      <w:r>
        <w:rPr>
          <w:rFonts w:ascii="Verdana" w:cs="Verdana" w:eastAsia="Verdana" w:hAnsi="Verdana"/>
          <w:sz w:val="13"/>
          <w:szCs w:val="13"/>
          <w:b w:val="1"/>
          <w:bCs w:val="1"/>
          <w:color w:val="auto"/>
        </w:rPr>
        <w:t>"FCA"</w:t>
      </w:r>
      <w:r>
        <w:rPr>
          <w:rFonts w:ascii="Verdana" w:cs="Verdana" w:eastAsia="Verdana" w:hAnsi="Verdana"/>
          <w:sz w:val="13"/>
          <w:szCs w:val="13"/>
          <w:color w:val="auto"/>
        </w:rPr>
        <w:t>) under Part 4A of the Financial Services and Markets Act 2000 (</w:t>
      </w:r>
      <w:r>
        <w:rPr>
          <w:rFonts w:ascii="Verdana" w:cs="Verdana" w:eastAsia="Verdana" w:hAnsi="Verdana"/>
          <w:sz w:val="13"/>
          <w:szCs w:val="13"/>
          <w:b w:val="1"/>
          <w:bCs w:val="1"/>
          <w:color w:val="auto"/>
        </w:rPr>
        <w:t>"FSMA"</w:t>
      </w:r>
      <w:r>
        <w:rPr>
          <w:rFonts w:ascii="Verdana" w:cs="Verdana" w:eastAsia="Verdana" w:hAnsi="Verdana"/>
          <w:sz w:val="13"/>
          <w:szCs w:val="13"/>
          <w:color w:val="auto"/>
        </w:rPr>
        <w:t>) (with registration number 550908).</w:t>
      </w:r>
    </w:p>
    <w:p>
      <w:pPr>
        <w:spacing w:after="0" w:line="143" w:lineRule="exact"/>
        <w:rPr>
          <w:rFonts w:ascii="Verdana" w:cs="Verdana" w:eastAsia="Verdana" w:hAnsi="Verdana"/>
          <w:sz w:val="13"/>
          <w:szCs w:val="13"/>
          <w:color w:val="auto"/>
        </w:rPr>
      </w:pPr>
    </w:p>
    <w:p>
      <w:pPr>
        <w:ind w:left="560" w:hanging="555"/>
        <w:spacing w:after="0"/>
        <w:tabs>
          <w:tab w:leader="none" w:pos="560" w:val="left"/>
        </w:tabs>
        <w:numPr>
          <w:ilvl w:val="0"/>
          <w:numId w:val="23"/>
        </w:numPr>
        <w:rPr>
          <w:rFonts w:ascii="Verdana" w:cs="Verdana" w:eastAsia="Verdana" w:hAnsi="Verdana"/>
          <w:sz w:val="13"/>
          <w:szCs w:val="13"/>
          <w:color w:val="auto"/>
        </w:rPr>
      </w:pPr>
      <w:r>
        <w:rPr>
          <w:rFonts w:ascii="Verdana" w:cs="Verdana" w:eastAsia="Verdana" w:hAnsi="Verdana"/>
          <w:sz w:val="13"/>
          <w:szCs w:val="13"/>
          <w:color w:val="auto"/>
        </w:rPr>
        <w:t>This deed was entered into originally on 20 May 2013 by Oaktree US and the LLP and amended on a number of occasions thereafter (the “</w:t>
      </w:r>
      <w:r>
        <w:rPr>
          <w:rFonts w:ascii="Verdana" w:cs="Verdana" w:eastAsia="Verdana" w:hAnsi="Verdana"/>
          <w:sz w:val="13"/>
          <w:szCs w:val="13"/>
          <w:b w:val="1"/>
          <w:bCs w:val="1"/>
          <w:color w:val="auto"/>
        </w:rPr>
        <w:t>Original Agreement</w:t>
      </w:r>
      <w:r>
        <w:rPr>
          <w:rFonts w:ascii="Verdana" w:cs="Verdana" w:eastAsia="Verdana" w:hAnsi="Verdana"/>
          <w:sz w:val="13"/>
          <w:szCs w:val="13"/>
          <w:color w:val="auto"/>
        </w:rPr>
        <w:t>”).</w:t>
      </w:r>
    </w:p>
    <w:p>
      <w:pPr>
        <w:spacing w:after="0" w:line="160" w:lineRule="exact"/>
        <w:rPr>
          <w:rFonts w:ascii="Verdana" w:cs="Verdana" w:eastAsia="Verdana" w:hAnsi="Verdana"/>
          <w:sz w:val="13"/>
          <w:szCs w:val="13"/>
          <w:color w:val="auto"/>
        </w:rPr>
      </w:pPr>
    </w:p>
    <w:p>
      <w:pPr>
        <w:ind w:left="540" w:hanging="535"/>
        <w:spacing w:after="0"/>
        <w:tabs>
          <w:tab w:leader="none" w:pos="540" w:val="left"/>
        </w:tabs>
        <w:numPr>
          <w:ilvl w:val="0"/>
          <w:numId w:val="23"/>
        </w:numPr>
        <w:rPr>
          <w:rFonts w:ascii="Verdana" w:cs="Verdana" w:eastAsia="Verdana" w:hAnsi="Verdana"/>
          <w:sz w:val="13"/>
          <w:szCs w:val="13"/>
          <w:color w:val="auto"/>
        </w:rPr>
      </w:pPr>
      <w:r>
        <w:rPr>
          <w:rFonts w:ascii="Verdana" w:cs="Verdana" w:eastAsia="Verdana" w:hAnsi="Verdana"/>
          <w:sz w:val="13"/>
          <w:szCs w:val="13"/>
          <w:color w:val="auto"/>
        </w:rPr>
        <w:t>The parties have agreed to enter into this deed to amend and restate the Original Agreement with effect from the date hereof.</w:t>
      </w:r>
    </w:p>
    <w:p>
      <w:pPr>
        <w:spacing w:after="0" w:line="160"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THE PARTIES AGREE AS FOLLOWS:</w:t>
      </w:r>
    </w:p>
    <w:p>
      <w:pPr>
        <w:spacing w:after="0" w:line="160" w:lineRule="exact"/>
        <w:rPr>
          <w:sz w:val="20"/>
          <w:szCs w:val="20"/>
          <w:color w:val="auto"/>
        </w:rPr>
      </w:pPr>
    </w:p>
    <w:p>
      <w:pPr>
        <w:ind w:left="560" w:hanging="555"/>
        <w:spacing w:after="0"/>
        <w:tabs>
          <w:tab w:leader="none" w:pos="560" w:val="left"/>
        </w:tabs>
        <w:numPr>
          <w:ilvl w:val="0"/>
          <w:numId w:val="24"/>
        </w:numPr>
        <w:rPr>
          <w:rFonts w:ascii="Verdana" w:cs="Verdana" w:eastAsia="Verdana" w:hAnsi="Verdana"/>
          <w:sz w:val="13"/>
          <w:szCs w:val="13"/>
          <w:color w:val="auto"/>
        </w:rPr>
      </w:pPr>
      <w:r>
        <w:rPr>
          <w:rFonts w:ascii="Verdana" w:cs="Verdana" w:eastAsia="Verdana" w:hAnsi="Verdana"/>
          <w:sz w:val="13"/>
          <w:szCs w:val="13"/>
          <w:b w:val="1"/>
          <w:bCs w:val="1"/>
          <w:color w:val="auto"/>
        </w:rPr>
        <w:t>AMENDMENT AND RESTATEMENT</w:t>
      </w:r>
    </w:p>
    <w:p>
      <w:pPr>
        <w:spacing w:after="0" w:line="160" w:lineRule="exact"/>
        <w:rPr>
          <w:sz w:val="20"/>
          <w:szCs w:val="20"/>
          <w:color w:val="auto"/>
        </w:rPr>
      </w:pPr>
    </w:p>
    <w:p>
      <w:pPr>
        <w:ind w:left="560" w:hanging="552"/>
        <w:spacing w:after="0" w:line="269" w:lineRule="auto"/>
        <w:tabs>
          <w:tab w:leader="none" w:pos="540" w:val="left"/>
        </w:tabs>
        <w:rPr>
          <w:sz w:val="20"/>
          <w:szCs w:val="20"/>
          <w:color w:val="auto"/>
        </w:rPr>
      </w:pPr>
      <w:r>
        <w:rPr>
          <w:rFonts w:ascii="Verdana" w:cs="Verdana" w:eastAsia="Verdana" w:hAnsi="Verdana"/>
          <w:sz w:val="13"/>
          <w:szCs w:val="13"/>
          <w:color w:val="auto"/>
        </w:rPr>
        <w:t>1.1</w:t>
      </w:r>
      <w:r>
        <w:rPr>
          <w:sz w:val="20"/>
          <w:szCs w:val="20"/>
          <w:color w:val="auto"/>
        </w:rPr>
        <w:tab/>
      </w:r>
      <w:r>
        <w:rPr>
          <w:rFonts w:ascii="Verdana" w:cs="Verdana" w:eastAsia="Verdana" w:hAnsi="Verdana"/>
          <w:sz w:val="13"/>
          <w:szCs w:val="13"/>
          <w:color w:val="auto"/>
        </w:rPr>
        <w:t>With effect from the date hereof, the parties hereby agree to amend and restate the Original Agreement, which is replaced and superseded in its entirety by this Agreement with effect from 1 June 2022 (the "</w:t>
      </w:r>
      <w:r>
        <w:rPr>
          <w:rFonts w:ascii="Verdana" w:cs="Verdana" w:eastAsia="Verdana" w:hAnsi="Verdana"/>
          <w:sz w:val="13"/>
          <w:szCs w:val="13"/>
          <w:b w:val="1"/>
          <w:bCs w:val="1"/>
          <w:color w:val="auto"/>
        </w:rPr>
        <w:t>Effective Date</w:t>
      </w:r>
      <w:r>
        <w:rPr>
          <w:rFonts w:ascii="Verdana" w:cs="Verdana" w:eastAsia="Verdana" w:hAnsi="Verdana"/>
          <w:sz w:val="13"/>
          <w:szCs w:val="13"/>
          <w:color w:val="auto"/>
        </w:rPr>
        <w:t>").</w:t>
      </w:r>
    </w:p>
    <w:p>
      <w:pPr>
        <w:spacing w:after="0" w:line="134" w:lineRule="exact"/>
        <w:rPr>
          <w:sz w:val="20"/>
          <w:szCs w:val="20"/>
          <w:color w:val="auto"/>
        </w:rPr>
      </w:pPr>
    </w:p>
    <w:p>
      <w:pPr>
        <w:ind w:left="560" w:hanging="555"/>
        <w:spacing w:after="0"/>
        <w:tabs>
          <w:tab w:leader="none" w:pos="560" w:val="left"/>
        </w:tabs>
        <w:numPr>
          <w:ilvl w:val="0"/>
          <w:numId w:val="25"/>
        </w:numPr>
        <w:rPr>
          <w:rFonts w:ascii="Verdana" w:cs="Verdana" w:eastAsia="Verdana" w:hAnsi="Verdana"/>
          <w:sz w:val="13"/>
          <w:szCs w:val="13"/>
          <w:color w:val="auto"/>
        </w:rPr>
      </w:pPr>
      <w:r>
        <w:rPr>
          <w:rFonts w:ascii="Verdana" w:cs="Verdana" w:eastAsia="Verdana" w:hAnsi="Verdana"/>
          <w:sz w:val="13"/>
          <w:szCs w:val="13"/>
          <w:b w:val="1"/>
          <w:bCs w:val="1"/>
          <w:color w:val="auto"/>
        </w:rPr>
        <w:t>APPOINTMENT AND SCOPE OF AUTHORITY</w:t>
      </w:r>
    </w:p>
    <w:p>
      <w:pPr>
        <w:spacing w:after="0" w:line="160" w:lineRule="exact"/>
        <w:rPr>
          <w:sz w:val="20"/>
          <w:szCs w:val="20"/>
          <w:color w:val="auto"/>
        </w:rPr>
      </w:pPr>
    </w:p>
    <w:p>
      <w:pPr>
        <w:jc w:val="both"/>
        <w:ind w:left="560" w:hanging="552"/>
        <w:spacing w:after="0" w:line="251" w:lineRule="auto"/>
        <w:tabs>
          <w:tab w:leader="none" w:pos="540" w:val="left"/>
        </w:tabs>
        <w:rPr>
          <w:sz w:val="20"/>
          <w:szCs w:val="20"/>
          <w:color w:val="auto"/>
        </w:rPr>
      </w:pPr>
      <w:r>
        <w:rPr>
          <w:rFonts w:ascii="Verdana" w:cs="Verdana" w:eastAsia="Verdana" w:hAnsi="Verdana"/>
          <w:sz w:val="13"/>
          <w:szCs w:val="13"/>
          <w:color w:val="auto"/>
        </w:rPr>
        <w:t>2.1</w:t>
      </w:r>
      <w:r>
        <w:rPr>
          <w:sz w:val="20"/>
          <w:szCs w:val="20"/>
          <w:color w:val="auto"/>
        </w:rPr>
        <w:tab/>
      </w:r>
      <w:r>
        <w:rPr>
          <w:rFonts w:ascii="Verdana" w:cs="Verdana" w:eastAsia="Verdana" w:hAnsi="Verdana"/>
          <w:sz w:val="13"/>
          <w:szCs w:val="13"/>
          <w:color w:val="auto"/>
        </w:rPr>
        <w:t>The parties hereby agree that the agreements referred to in Schedule 4 (the "</w:t>
      </w:r>
      <w:r>
        <w:rPr>
          <w:rFonts w:ascii="Verdana" w:cs="Verdana" w:eastAsia="Verdana" w:hAnsi="Verdana"/>
          <w:sz w:val="13"/>
          <w:szCs w:val="13"/>
          <w:b w:val="1"/>
          <w:bCs w:val="1"/>
          <w:color w:val="auto"/>
        </w:rPr>
        <w:t>Terminated Agreements</w:t>
      </w:r>
      <w:r>
        <w:rPr>
          <w:rFonts w:ascii="Verdana" w:cs="Verdana" w:eastAsia="Verdana" w:hAnsi="Verdana"/>
          <w:sz w:val="13"/>
          <w:szCs w:val="13"/>
          <w:color w:val="auto"/>
        </w:rPr>
        <w:t>") terminated and ceased to have effect for all purposes, and were replaced by the Original Agreement, with effect from 17 November 2011. For the avoidance of doubt, the appointment of the LLP to provide services to Oaktree US shall be continuous before, on and after the Effective Date, but shall have effect from and after the Effective Date solely subject to the terms and conditions of this Agreement.</w:t>
      </w:r>
    </w:p>
    <w:p>
      <w:pPr>
        <w:spacing w:after="0" w:line="145"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2.2</w:t>
      </w:r>
      <w:r>
        <w:rPr>
          <w:sz w:val="20"/>
          <w:szCs w:val="20"/>
          <w:color w:val="auto"/>
        </w:rPr>
        <w:tab/>
      </w:r>
      <w:r>
        <w:rPr>
          <w:rFonts w:ascii="Verdana" w:cs="Verdana" w:eastAsia="Verdana" w:hAnsi="Verdana"/>
          <w:sz w:val="12"/>
          <w:szCs w:val="12"/>
          <w:color w:val="auto"/>
        </w:rPr>
        <w:t>Oaktree US hereby confirms the appointment of the LLP as:</w:t>
      </w:r>
    </w:p>
    <w:p>
      <w:pPr>
        <w:spacing w:after="0" w:line="160" w:lineRule="exact"/>
        <w:rPr>
          <w:sz w:val="20"/>
          <w:szCs w:val="20"/>
          <w:color w:val="auto"/>
        </w:rPr>
      </w:pPr>
    </w:p>
    <w:p>
      <w:pPr>
        <w:ind w:left="1000" w:hanging="442"/>
        <w:spacing w:after="0"/>
        <w:tabs>
          <w:tab w:leader="none" w:pos="1000" w:val="left"/>
        </w:tabs>
        <w:numPr>
          <w:ilvl w:val="0"/>
          <w:numId w:val="26"/>
        </w:numPr>
        <w:rPr>
          <w:rFonts w:ascii="Verdana" w:cs="Verdana" w:eastAsia="Verdana" w:hAnsi="Verdana"/>
          <w:sz w:val="13"/>
          <w:szCs w:val="13"/>
          <w:color w:val="auto"/>
        </w:rPr>
      </w:pPr>
      <w:r>
        <w:rPr>
          <w:rFonts w:ascii="Verdana" w:cs="Verdana" w:eastAsia="Verdana" w:hAnsi="Verdana"/>
          <w:sz w:val="13"/>
          <w:szCs w:val="13"/>
          <w:color w:val="auto"/>
        </w:rPr>
        <w:t>sub-investment manager to the funds and separate accounts referred to in Schedule 3 (the "</w:t>
      </w:r>
      <w:r>
        <w:rPr>
          <w:rFonts w:ascii="Verdana" w:cs="Verdana" w:eastAsia="Verdana" w:hAnsi="Verdana"/>
          <w:sz w:val="13"/>
          <w:szCs w:val="13"/>
          <w:b w:val="1"/>
          <w:bCs w:val="1"/>
          <w:color w:val="auto"/>
        </w:rPr>
        <w:t>Discretionary Funds</w:t>
      </w:r>
      <w:r>
        <w:rPr>
          <w:rFonts w:ascii="Verdana" w:cs="Verdana" w:eastAsia="Verdana" w:hAnsi="Verdana"/>
          <w:sz w:val="13"/>
          <w:szCs w:val="13"/>
          <w:color w:val="auto"/>
        </w:rPr>
        <w:t>"); and</w:t>
      </w:r>
    </w:p>
    <w:p>
      <w:pPr>
        <w:spacing w:after="0" w:line="160" w:lineRule="exact"/>
        <w:rPr>
          <w:rFonts w:ascii="Verdana" w:cs="Verdana" w:eastAsia="Verdana" w:hAnsi="Verdana"/>
          <w:sz w:val="13"/>
          <w:szCs w:val="13"/>
          <w:color w:val="auto"/>
        </w:rPr>
      </w:pPr>
    </w:p>
    <w:p>
      <w:pPr>
        <w:ind w:left="560" w:right="120" w:hanging="2"/>
        <w:spacing w:after="0" w:line="483" w:lineRule="auto"/>
        <w:tabs>
          <w:tab w:leader="none" w:pos="999" w:val="left"/>
        </w:tabs>
        <w:numPr>
          <w:ilvl w:val="0"/>
          <w:numId w:val="26"/>
        </w:numPr>
        <w:rPr>
          <w:rFonts w:ascii="Verdana" w:cs="Verdana" w:eastAsia="Verdana" w:hAnsi="Verdana"/>
          <w:sz w:val="13"/>
          <w:szCs w:val="13"/>
          <w:color w:val="auto"/>
        </w:rPr>
      </w:pPr>
      <w:r>
        <w:rPr>
          <w:rFonts w:ascii="Verdana" w:cs="Verdana" w:eastAsia="Verdana" w:hAnsi="Verdana"/>
          <w:sz w:val="13"/>
          <w:szCs w:val="13"/>
          <w:color w:val="auto"/>
        </w:rPr>
        <w:t>sub-advisor to the funds and separate accounts referred to in Schedule 2 (the "</w:t>
      </w:r>
      <w:r>
        <w:rPr>
          <w:rFonts w:ascii="Verdana" w:cs="Verdana" w:eastAsia="Verdana" w:hAnsi="Verdana"/>
          <w:sz w:val="13"/>
          <w:szCs w:val="13"/>
          <w:b w:val="1"/>
          <w:bCs w:val="1"/>
          <w:color w:val="auto"/>
        </w:rPr>
        <w:t>Restricted Funds</w:t>
      </w:r>
      <w:r>
        <w:rPr>
          <w:rFonts w:ascii="Verdana" w:cs="Verdana" w:eastAsia="Verdana" w:hAnsi="Verdana"/>
          <w:sz w:val="13"/>
          <w:szCs w:val="13"/>
          <w:color w:val="auto"/>
        </w:rPr>
        <w:t>", and together with the Discretionary Funds, the "</w:t>
      </w:r>
      <w:r>
        <w:rPr>
          <w:rFonts w:ascii="Verdana" w:cs="Verdana" w:eastAsia="Verdana" w:hAnsi="Verdana"/>
          <w:sz w:val="13"/>
          <w:szCs w:val="13"/>
          <w:b w:val="1"/>
          <w:bCs w:val="1"/>
          <w:color w:val="auto"/>
        </w:rPr>
        <w:t>Funds</w:t>
      </w:r>
      <w:r>
        <w:rPr>
          <w:rFonts w:ascii="Verdana" w:cs="Verdana" w:eastAsia="Verdana" w:hAnsi="Verdana"/>
          <w:sz w:val="13"/>
          <w:szCs w:val="13"/>
          <w:color w:val="auto"/>
        </w:rPr>
        <w:t>"), to provide the services set out in Clauses 3 and 4, and the LLP accepts such appointments, on the terms and conditions set forth in this Agreement.</w:t>
      </w:r>
    </w:p>
    <w:p>
      <w:pPr>
        <w:spacing w:after="0" w:line="1" w:lineRule="exact"/>
        <w:rPr>
          <w:sz w:val="20"/>
          <w:szCs w:val="20"/>
          <w:color w:val="auto"/>
        </w:rPr>
      </w:pPr>
    </w:p>
    <w:p>
      <w:pPr>
        <w:jc w:val="both"/>
        <w:ind w:left="560" w:hanging="552"/>
        <w:spacing w:after="0" w:line="253" w:lineRule="auto"/>
        <w:tabs>
          <w:tab w:leader="none" w:pos="540" w:val="left"/>
        </w:tabs>
        <w:rPr>
          <w:sz w:val="20"/>
          <w:szCs w:val="20"/>
          <w:color w:val="auto"/>
        </w:rPr>
      </w:pPr>
      <w:r>
        <w:rPr>
          <w:rFonts w:ascii="Verdana" w:cs="Verdana" w:eastAsia="Verdana" w:hAnsi="Verdana"/>
          <w:sz w:val="13"/>
          <w:szCs w:val="13"/>
          <w:color w:val="auto"/>
        </w:rPr>
        <w:t>2.1</w:t>
      </w:r>
      <w:r>
        <w:rPr>
          <w:sz w:val="20"/>
          <w:szCs w:val="20"/>
          <w:color w:val="auto"/>
        </w:rPr>
        <w:tab/>
      </w:r>
      <w:r>
        <w:rPr>
          <w:rFonts w:ascii="Verdana" w:cs="Verdana" w:eastAsia="Verdana" w:hAnsi="Verdana"/>
          <w:sz w:val="13"/>
          <w:szCs w:val="13"/>
          <w:color w:val="auto"/>
        </w:rPr>
        <w:t>Oaktree US furthermore hereby appoints the LLP to provide certain additional services as set out in Clauses 5, 6.1 and 9, on the terms and conditions set forth in this Agreement and the LLP accepts such appointment.</w:t>
      </w:r>
    </w:p>
    <w:p>
      <w:pPr>
        <w:spacing w:after="0" w:line="144" w:lineRule="exact"/>
        <w:rPr>
          <w:sz w:val="20"/>
          <w:szCs w:val="20"/>
          <w:color w:val="auto"/>
        </w:rPr>
      </w:pPr>
    </w:p>
    <w:p>
      <w:pPr>
        <w:jc w:val="both"/>
        <w:ind w:left="560" w:hanging="552"/>
        <w:spacing w:after="0" w:line="255" w:lineRule="auto"/>
        <w:tabs>
          <w:tab w:leader="none" w:pos="540" w:val="left"/>
        </w:tabs>
        <w:rPr>
          <w:sz w:val="20"/>
          <w:szCs w:val="20"/>
          <w:color w:val="auto"/>
        </w:rPr>
      </w:pPr>
      <w:r>
        <w:rPr>
          <w:rFonts w:ascii="Verdana" w:cs="Verdana" w:eastAsia="Verdana" w:hAnsi="Verdana"/>
          <w:sz w:val="13"/>
          <w:szCs w:val="13"/>
          <w:color w:val="auto"/>
        </w:rPr>
        <w:t>2.2</w:t>
      </w:r>
      <w:r>
        <w:rPr>
          <w:sz w:val="20"/>
          <w:szCs w:val="20"/>
          <w:color w:val="auto"/>
        </w:rPr>
        <w:tab/>
      </w:r>
      <w:r>
        <w:rPr>
          <w:rFonts w:ascii="Verdana" w:cs="Verdana" w:eastAsia="Verdana" w:hAnsi="Verdana"/>
          <w:sz w:val="13"/>
          <w:szCs w:val="13"/>
          <w:color w:val="auto"/>
        </w:rPr>
        <w:t xml:space="preserve">The LLP acknowledges that it is a relying adviser under the U.S. Investment Advisers Act of 1940 (as amended) (the </w:t>
      </w:r>
      <w:r>
        <w:rPr>
          <w:rFonts w:ascii="Verdana" w:cs="Verdana" w:eastAsia="Verdana" w:hAnsi="Verdana"/>
          <w:sz w:val="13"/>
          <w:szCs w:val="13"/>
          <w:b w:val="1"/>
          <w:bCs w:val="1"/>
          <w:color w:val="auto"/>
        </w:rPr>
        <w:t>"Advisers Act"</w:t>
      </w:r>
      <w:r>
        <w:rPr>
          <w:rFonts w:ascii="Verdana" w:cs="Verdana" w:eastAsia="Verdana" w:hAnsi="Verdana"/>
          <w:sz w:val="13"/>
          <w:szCs w:val="13"/>
          <w:color w:val="auto"/>
        </w:rPr>
        <w:t>) and the rules and regulations promulgated thereunder. If and to the extent the assets of any Discretionary Fund or Restricted Fund managed by Oaktree US are treated as "plan assets" as determined pursuant to 29 C.F.R.</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2</w:t>
      </w:r>
    </w:p>
    <w:p>
      <w:pPr>
        <w:sectPr>
          <w:pgSz w:w="11900" w:h="16838" w:orient="portrait"/>
          <w:cols w:equalWidth="0" w:num="1">
            <w:col w:w="11280"/>
          </w:cols>
          <w:pgMar w:left="300" w:top="1157" w:right="319" w:bottom="1440" w:gutter="0" w:footer="0" w:header="0"/>
        </w:sectPr>
      </w:pPr>
    </w:p>
    <w:bookmarkStart w:id="228" w:name="page229"/>
    <w:bookmarkEnd w:id="228"/>
    <w:p>
      <w:pPr>
        <w:jc w:val="both"/>
        <w:ind w:left="560"/>
        <w:spacing w:after="0" w:line="255" w:lineRule="auto"/>
        <w:rPr>
          <w:sz w:val="20"/>
          <w:szCs w:val="20"/>
          <w:color w:val="auto"/>
        </w:rPr>
      </w:pPr>
      <w:r>
        <w:rPr>
          <w:rFonts w:ascii="Verdana" w:cs="Verdana" w:eastAsia="Verdana" w:hAnsi="Verdana"/>
          <w:sz w:val="13"/>
          <w:szCs w:val="13"/>
          <w:color w:val="auto"/>
        </w:rPr>
        <w:t>2501.3-101 (or any successor thereto), the LLP acknowledges that it will be a fiduciary for purposes of the U.S. Employee Retirement Income Security Act of 1974 (</w:t>
      </w:r>
      <w:r>
        <w:rPr>
          <w:rFonts w:ascii="Verdana" w:cs="Verdana" w:eastAsia="Verdana" w:hAnsi="Verdana"/>
          <w:sz w:val="13"/>
          <w:szCs w:val="13"/>
          <w:b w:val="1"/>
          <w:bCs w:val="1"/>
          <w:color w:val="auto"/>
        </w:rPr>
        <w:t>"ERISA"</w:t>
      </w:r>
      <w:r>
        <w:rPr>
          <w:rFonts w:ascii="Verdana" w:cs="Verdana" w:eastAsia="Verdana" w:hAnsi="Verdana"/>
          <w:sz w:val="13"/>
          <w:szCs w:val="13"/>
          <w:color w:val="auto"/>
        </w:rPr>
        <w:t>) with respect to each employee benefit plan subject to section 406 of ERISA or section 4975 of the Internal Revenue Code of 1986 whose assets are deemed to be held by the applicable Fund to the extent required under ERISA to continue to manage or sub-advise the applicable Funds.</w:t>
      </w:r>
    </w:p>
    <w:p>
      <w:pPr>
        <w:spacing w:after="0" w:line="144"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2.3</w:t>
      </w:r>
      <w:r>
        <w:rPr>
          <w:sz w:val="20"/>
          <w:szCs w:val="20"/>
          <w:color w:val="auto"/>
        </w:rPr>
        <w:tab/>
      </w:r>
      <w:r>
        <w:rPr>
          <w:rFonts w:ascii="Verdana" w:cs="Verdana" w:eastAsia="Verdana" w:hAnsi="Verdana"/>
          <w:sz w:val="12"/>
          <w:szCs w:val="12"/>
          <w:color w:val="auto"/>
        </w:rPr>
        <w:t>The appointment of the LLP pursuant to this Agreement shall be subject always to:</w:t>
      </w:r>
    </w:p>
    <w:p>
      <w:pPr>
        <w:spacing w:after="0" w:line="160" w:lineRule="exact"/>
        <w:rPr>
          <w:sz w:val="20"/>
          <w:szCs w:val="20"/>
          <w:color w:val="auto"/>
        </w:rPr>
      </w:pPr>
    </w:p>
    <w:p>
      <w:pPr>
        <w:ind w:left="1000" w:hanging="442"/>
        <w:spacing w:after="0" w:line="253" w:lineRule="auto"/>
        <w:tabs>
          <w:tab w:leader="none" w:pos="995" w:val="left"/>
        </w:tabs>
        <w:numPr>
          <w:ilvl w:val="0"/>
          <w:numId w:val="27"/>
        </w:numPr>
        <w:rPr>
          <w:rFonts w:ascii="Verdana" w:cs="Verdana" w:eastAsia="Verdana" w:hAnsi="Verdana"/>
          <w:sz w:val="13"/>
          <w:szCs w:val="13"/>
          <w:color w:val="auto"/>
        </w:rPr>
      </w:pPr>
      <w:r>
        <w:rPr>
          <w:rFonts w:ascii="Verdana" w:cs="Verdana" w:eastAsia="Verdana" w:hAnsi="Verdana"/>
          <w:sz w:val="13"/>
          <w:szCs w:val="13"/>
          <w:color w:val="auto"/>
        </w:rPr>
        <w:t>the terms and conditions in the limited partnership or other governing agreements under which the Funds were established (the "</w:t>
      </w:r>
      <w:r>
        <w:rPr>
          <w:rFonts w:ascii="Verdana" w:cs="Verdana" w:eastAsia="Verdana" w:hAnsi="Verdana"/>
          <w:sz w:val="13"/>
          <w:szCs w:val="13"/>
          <w:b w:val="1"/>
          <w:bCs w:val="1"/>
          <w:color w:val="auto"/>
        </w:rPr>
        <w:t>Fund Agreements</w:t>
      </w:r>
      <w:r>
        <w:rPr>
          <w:rFonts w:ascii="Verdana" w:cs="Verdana" w:eastAsia="Verdana" w:hAnsi="Verdana"/>
          <w:sz w:val="13"/>
          <w:szCs w:val="13"/>
          <w:color w:val="auto"/>
        </w:rPr>
        <w:t>"), and the LLP hereby agrees to observe the terms and conditions in such Fund Agreements;</w:t>
      </w:r>
    </w:p>
    <w:p>
      <w:pPr>
        <w:spacing w:after="0" w:line="144" w:lineRule="exact"/>
        <w:rPr>
          <w:rFonts w:ascii="Verdana" w:cs="Verdana" w:eastAsia="Verdana" w:hAnsi="Verdana"/>
          <w:sz w:val="13"/>
          <w:szCs w:val="13"/>
          <w:color w:val="auto"/>
        </w:rPr>
      </w:pPr>
    </w:p>
    <w:p>
      <w:pPr>
        <w:ind w:left="1000" w:hanging="442"/>
        <w:spacing w:after="0" w:line="253" w:lineRule="auto"/>
        <w:tabs>
          <w:tab w:leader="none" w:pos="998" w:val="left"/>
        </w:tabs>
        <w:numPr>
          <w:ilvl w:val="0"/>
          <w:numId w:val="27"/>
        </w:numPr>
        <w:rPr>
          <w:rFonts w:ascii="Verdana" w:cs="Verdana" w:eastAsia="Verdana" w:hAnsi="Verdana"/>
          <w:sz w:val="13"/>
          <w:szCs w:val="13"/>
          <w:color w:val="auto"/>
        </w:rPr>
      </w:pPr>
      <w:r>
        <w:rPr>
          <w:rFonts w:ascii="Verdana" w:cs="Verdana" w:eastAsia="Verdana" w:hAnsi="Verdana"/>
          <w:sz w:val="13"/>
          <w:szCs w:val="13"/>
          <w:color w:val="auto"/>
        </w:rPr>
        <w:t>any restrictions, limitations or conditions on, or any amendments made to, the LLP's authority which may be imposed by Oaktree US as general partner and/or investment manager of the Funds from time to time; and</w:t>
      </w:r>
    </w:p>
    <w:p>
      <w:pPr>
        <w:spacing w:after="0" w:line="154" w:lineRule="exact"/>
        <w:rPr>
          <w:rFonts w:ascii="Verdana" w:cs="Verdana" w:eastAsia="Verdana" w:hAnsi="Verdana"/>
          <w:sz w:val="13"/>
          <w:szCs w:val="13"/>
          <w:color w:val="auto"/>
        </w:rPr>
      </w:pPr>
    </w:p>
    <w:p>
      <w:pPr>
        <w:ind w:left="1000" w:hanging="442"/>
        <w:spacing w:after="0"/>
        <w:tabs>
          <w:tab w:leader="none" w:pos="1000" w:val="left"/>
        </w:tabs>
        <w:numPr>
          <w:ilvl w:val="0"/>
          <w:numId w:val="27"/>
        </w:numPr>
        <w:rPr>
          <w:rFonts w:ascii="Verdana" w:cs="Verdana" w:eastAsia="Verdana" w:hAnsi="Verdana"/>
          <w:sz w:val="12"/>
          <w:szCs w:val="12"/>
          <w:color w:val="auto"/>
        </w:rPr>
      </w:pPr>
      <w:r>
        <w:rPr>
          <w:rFonts w:ascii="Verdana" w:cs="Verdana" w:eastAsia="Verdana" w:hAnsi="Verdana"/>
          <w:sz w:val="12"/>
          <w:szCs w:val="12"/>
          <w:color w:val="auto"/>
        </w:rPr>
        <w:t>Oaktree US’s power and authority to act at all times in respect of any of the Funds as general partner and/or investment manager of the Funds (as applicable)</w:t>
      </w:r>
    </w:p>
    <w:p>
      <w:pPr>
        <w:spacing w:after="0" w:line="172" w:lineRule="exact"/>
        <w:rPr>
          <w:sz w:val="20"/>
          <w:szCs w:val="20"/>
          <w:color w:val="auto"/>
        </w:rPr>
      </w:pPr>
    </w:p>
    <w:p>
      <w:pPr>
        <w:ind w:left="560" w:hanging="552"/>
        <w:spacing w:after="0" w:line="253" w:lineRule="auto"/>
        <w:tabs>
          <w:tab w:leader="none" w:pos="540" w:val="left"/>
        </w:tabs>
        <w:rPr>
          <w:sz w:val="20"/>
          <w:szCs w:val="20"/>
          <w:color w:val="auto"/>
        </w:rPr>
      </w:pPr>
      <w:r>
        <w:rPr>
          <w:rFonts w:ascii="Verdana" w:cs="Verdana" w:eastAsia="Verdana" w:hAnsi="Verdana"/>
          <w:sz w:val="13"/>
          <w:szCs w:val="13"/>
          <w:color w:val="auto"/>
        </w:rPr>
        <w:t>2.3</w:t>
      </w:r>
      <w:r>
        <w:rPr>
          <w:sz w:val="20"/>
          <w:szCs w:val="20"/>
          <w:color w:val="auto"/>
        </w:rPr>
        <w:tab/>
      </w:r>
      <w:r>
        <w:rPr>
          <w:rFonts w:ascii="Verdana" w:cs="Verdana" w:eastAsia="Verdana" w:hAnsi="Verdana"/>
          <w:sz w:val="13"/>
          <w:szCs w:val="13"/>
          <w:color w:val="auto"/>
        </w:rPr>
        <w:t>Without limiting the discretion of Oaktree US pursuant to Clause 2.5(b), Oaktree US may limit the scope of the LLP's appointment in respect of any of the Funds by means of:</w:t>
      </w:r>
    </w:p>
    <w:p>
      <w:pPr>
        <w:spacing w:after="0" w:line="144" w:lineRule="exact"/>
        <w:rPr>
          <w:sz w:val="20"/>
          <w:szCs w:val="20"/>
          <w:color w:val="auto"/>
        </w:rPr>
      </w:pPr>
    </w:p>
    <w:p>
      <w:pPr>
        <w:ind w:left="1000" w:hanging="442"/>
        <w:spacing w:after="0"/>
        <w:tabs>
          <w:tab w:leader="none" w:pos="1000" w:val="left"/>
        </w:tabs>
        <w:numPr>
          <w:ilvl w:val="0"/>
          <w:numId w:val="28"/>
        </w:numPr>
        <w:rPr>
          <w:rFonts w:ascii="Verdana" w:cs="Verdana" w:eastAsia="Verdana" w:hAnsi="Verdana"/>
          <w:sz w:val="13"/>
          <w:szCs w:val="13"/>
          <w:color w:val="auto"/>
        </w:rPr>
      </w:pPr>
      <w:r>
        <w:rPr>
          <w:rFonts w:ascii="Verdana" w:cs="Verdana" w:eastAsia="Verdana" w:hAnsi="Verdana"/>
          <w:sz w:val="13"/>
          <w:szCs w:val="13"/>
          <w:color w:val="auto"/>
        </w:rPr>
        <w:t>limiting the appointment to sub-advisory services in respect of a section of the relevant Fund's portfolio of investments;</w:t>
      </w:r>
    </w:p>
    <w:p>
      <w:pPr>
        <w:spacing w:after="0" w:line="160" w:lineRule="exact"/>
        <w:rPr>
          <w:rFonts w:ascii="Verdana" w:cs="Verdana" w:eastAsia="Verdana" w:hAnsi="Verdana"/>
          <w:sz w:val="13"/>
          <w:szCs w:val="13"/>
          <w:color w:val="auto"/>
        </w:rPr>
      </w:pPr>
    </w:p>
    <w:p>
      <w:pPr>
        <w:ind w:left="1000" w:hanging="442"/>
        <w:spacing w:after="0"/>
        <w:tabs>
          <w:tab w:leader="none" w:pos="1000" w:val="left"/>
        </w:tabs>
        <w:numPr>
          <w:ilvl w:val="0"/>
          <w:numId w:val="28"/>
        </w:numPr>
        <w:rPr>
          <w:rFonts w:ascii="Verdana" w:cs="Verdana" w:eastAsia="Verdana" w:hAnsi="Verdana"/>
          <w:sz w:val="13"/>
          <w:szCs w:val="13"/>
          <w:color w:val="auto"/>
        </w:rPr>
      </w:pPr>
      <w:r>
        <w:rPr>
          <w:rFonts w:ascii="Verdana" w:cs="Verdana" w:eastAsia="Verdana" w:hAnsi="Verdana"/>
          <w:sz w:val="13"/>
          <w:szCs w:val="13"/>
          <w:color w:val="auto"/>
        </w:rPr>
        <w:t>limiting the appointment to sub-advisory services in respect of a particular investment or investments;</w:t>
      </w:r>
    </w:p>
    <w:p>
      <w:pPr>
        <w:spacing w:after="0" w:line="160" w:lineRule="exact"/>
        <w:rPr>
          <w:rFonts w:ascii="Verdana" w:cs="Verdana" w:eastAsia="Verdana" w:hAnsi="Verdana"/>
          <w:sz w:val="13"/>
          <w:szCs w:val="13"/>
          <w:color w:val="auto"/>
        </w:rPr>
      </w:pPr>
    </w:p>
    <w:p>
      <w:pPr>
        <w:ind w:left="1000" w:hanging="442"/>
        <w:spacing w:after="0"/>
        <w:tabs>
          <w:tab w:leader="none" w:pos="1000" w:val="left"/>
        </w:tabs>
        <w:numPr>
          <w:ilvl w:val="0"/>
          <w:numId w:val="28"/>
        </w:numPr>
        <w:rPr>
          <w:rFonts w:ascii="Verdana" w:cs="Verdana" w:eastAsia="Verdana" w:hAnsi="Verdana"/>
          <w:sz w:val="13"/>
          <w:szCs w:val="13"/>
          <w:color w:val="auto"/>
        </w:rPr>
      </w:pPr>
      <w:r>
        <w:rPr>
          <w:rFonts w:ascii="Verdana" w:cs="Verdana" w:eastAsia="Verdana" w:hAnsi="Verdana"/>
          <w:sz w:val="13"/>
          <w:szCs w:val="13"/>
          <w:color w:val="auto"/>
        </w:rPr>
        <w:t>limiting the LLP's responsibility in respect of the monitoring and/or realisation of an investment or investments; or</w:t>
      </w:r>
    </w:p>
    <w:p>
      <w:pPr>
        <w:spacing w:after="0" w:line="160" w:lineRule="exact"/>
        <w:rPr>
          <w:rFonts w:ascii="Verdana" w:cs="Verdana" w:eastAsia="Verdana" w:hAnsi="Verdana"/>
          <w:sz w:val="13"/>
          <w:szCs w:val="13"/>
          <w:color w:val="auto"/>
        </w:rPr>
      </w:pPr>
    </w:p>
    <w:p>
      <w:pPr>
        <w:ind w:left="1000" w:hanging="442"/>
        <w:spacing w:after="0"/>
        <w:tabs>
          <w:tab w:leader="none" w:pos="1000" w:val="left"/>
        </w:tabs>
        <w:numPr>
          <w:ilvl w:val="0"/>
          <w:numId w:val="28"/>
        </w:numPr>
        <w:rPr>
          <w:rFonts w:ascii="Verdana" w:cs="Verdana" w:eastAsia="Verdana" w:hAnsi="Verdana"/>
          <w:sz w:val="13"/>
          <w:szCs w:val="13"/>
          <w:color w:val="auto"/>
        </w:rPr>
      </w:pPr>
      <w:r>
        <w:rPr>
          <w:rFonts w:ascii="Verdana" w:cs="Verdana" w:eastAsia="Verdana" w:hAnsi="Verdana"/>
          <w:sz w:val="13"/>
          <w:szCs w:val="13"/>
          <w:color w:val="auto"/>
        </w:rPr>
        <w:t>retaining discretion to decide upon the acquisition, disposal, conversion or underwriting of investments.</w:t>
      </w:r>
    </w:p>
    <w:p>
      <w:pPr>
        <w:spacing w:after="0" w:line="160" w:lineRule="exact"/>
        <w:rPr>
          <w:sz w:val="20"/>
          <w:szCs w:val="20"/>
          <w:color w:val="auto"/>
        </w:rPr>
      </w:pPr>
    </w:p>
    <w:p>
      <w:pPr>
        <w:jc w:val="both"/>
        <w:ind w:left="560" w:hanging="552"/>
        <w:spacing w:after="0" w:line="251" w:lineRule="auto"/>
        <w:tabs>
          <w:tab w:leader="none" w:pos="540" w:val="left"/>
        </w:tabs>
        <w:rPr>
          <w:sz w:val="20"/>
          <w:szCs w:val="20"/>
          <w:color w:val="auto"/>
        </w:rPr>
      </w:pPr>
      <w:r>
        <w:rPr>
          <w:rFonts w:ascii="Verdana" w:cs="Verdana" w:eastAsia="Verdana" w:hAnsi="Verdana"/>
          <w:sz w:val="13"/>
          <w:szCs w:val="13"/>
          <w:color w:val="auto"/>
        </w:rPr>
        <w:t>2.1</w:t>
      </w:r>
      <w:r>
        <w:rPr>
          <w:sz w:val="20"/>
          <w:szCs w:val="20"/>
          <w:color w:val="auto"/>
        </w:rPr>
        <w:tab/>
      </w:r>
      <w:r>
        <w:rPr>
          <w:rFonts w:ascii="Verdana" w:cs="Verdana" w:eastAsia="Verdana" w:hAnsi="Verdana"/>
          <w:sz w:val="13"/>
          <w:szCs w:val="13"/>
          <w:color w:val="auto"/>
        </w:rPr>
        <w:t>Without limiting the discretion of Oaktree US pursuant to Clause 2.5(b), Oaktree US reserves the right as general partner and/or investment manager, in the interests of the Funds, to undertake the management of the Funds' investments and assets (to the extent not prohibited by any applicable law or regulation) to the exclusion of the LLP during any period in which the LLP is unable to perform its duties under this Agreement due to the permanent or temporary absence of the investment professional(s) employed for the time being by the LLP (whether due to holiday, sickness or otherwise).</w:t>
      </w:r>
    </w:p>
    <w:p>
      <w:pPr>
        <w:spacing w:after="0" w:line="145"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2.2</w:t>
      </w:r>
      <w:r>
        <w:rPr>
          <w:sz w:val="20"/>
          <w:szCs w:val="20"/>
          <w:color w:val="auto"/>
        </w:rPr>
        <w:tab/>
      </w:r>
      <w:r>
        <w:rPr>
          <w:rFonts w:ascii="Verdana" w:cs="Verdana" w:eastAsia="Verdana" w:hAnsi="Verdana"/>
          <w:sz w:val="12"/>
          <w:szCs w:val="12"/>
          <w:color w:val="auto"/>
        </w:rPr>
        <w:t>The provisions in Clauses 2.5 to 2.7 shall have overriding effect against all other provisions of this Agreement.</w:t>
      </w:r>
    </w:p>
    <w:p>
      <w:pPr>
        <w:spacing w:after="0" w:line="160"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2.3</w:t>
      </w:r>
      <w:r>
        <w:rPr>
          <w:sz w:val="20"/>
          <w:szCs w:val="20"/>
          <w:color w:val="auto"/>
        </w:rPr>
        <w:tab/>
      </w:r>
      <w:r>
        <w:rPr>
          <w:rFonts w:ascii="Verdana" w:cs="Verdana" w:eastAsia="Verdana" w:hAnsi="Verdana"/>
          <w:sz w:val="12"/>
          <w:szCs w:val="12"/>
          <w:color w:val="auto"/>
        </w:rPr>
        <w:t>Oaktree US agrees to provide the LLP with certain services as set out in Clauses 6.2, 7, 8, 9 and 11 on the terms and conditions set forth in this Agreement.</w:t>
      </w:r>
    </w:p>
    <w:p>
      <w:pPr>
        <w:spacing w:after="0" w:line="160" w:lineRule="exact"/>
        <w:rPr>
          <w:sz w:val="20"/>
          <w:szCs w:val="20"/>
          <w:color w:val="auto"/>
        </w:rPr>
      </w:pPr>
    </w:p>
    <w:p>
      <w:pPr>
        <w:ind w:left="560" w:hanging="555"/>
        <w:spacing w:after="0"/>
        <w:tabs>
          <w:tab w:leader="none" w:pos="560" w:val="left"/>
        </w:tabs>
        <w:numPr>
          <w:ilvl w:val="0"/>
          <w:numId w:val="29"/>
        </w:numPr>
        <w:rPr>
          <w:rFonts w:ascii="Verdana" w:cs="Verdana" w:eastAsia="Verdana" w:hAnsi="Verdana"/>
          <w:sz w:val="13"/>
          <w:szCs w:val="13"/>
          <w:color w:val="auto"/>
        </w:rPr>
      </w:pPr>
      <w:r>
        <w:rPr>
          <w:rFonts w:ascii="Verdana" w:cs="Verdana" w:eastAsia="Verdana" w:hAnsi="Verdana"/>
          <w:sz w:val="13"/>
          <w:szCs w:val="13"/>
          <w:b w:val="1"/>
          <w:bCs w:val="1"/>
          <w:color w:val="auto"/>
        </w:rPr>
        <w:t>SERVICES - DISCRETIONARY FUNDS</w:t>
      </w:r>
    </w:p>
    <w:p>
      <w:pPr>
        <w:spacing w:after="0" w:line="160" w:lineRule="exact"/>
        <w:rPr>
          <w:sz w:val="20"/>
          <w:szCs w:val="20"/>
          <w:color w:val="auto"/>
        </w:rPr>
      </w:pPr>
    </w:p>
    <w:p>
      <w:pPr>
        <w:ind w:left="560" w:hanging="552"/>
        <w:spacing w:after="0" w:line="253" w:lineRule="auto"/>
        <w:tabs>
          <w:tab w:leader="none" w:pos="540" w:val="left"/>
        </w:tabs>
        <w:rPr>
          <w:sz w:val="20"/>
          <w:szCs w:val="20"/>
          <w:color w:val="auto"/>
        </w:rPr>
      </w:pPr>
      <w:r>
        <w:rPr>
          <w:rFonts w:ascii="Verdana" w:cs="Verdana" w:eastAsia="Verdana" w:hAnsi="Verdana"/>
          <w:sz w:val="13"/>
          <w:szCs w:val="13"/>
          <w:color w:val="auto"/>
        </w:rPr>
        <w:t>3.1</w:t>
      </w:r>
      <w:r>
        <w:rPr>
          <w:sz w:val="20"/>
          <w:szCs w:val="20"/>
          <w:color w:val="auto"/>
        </w:rPr>
        <w:tab/>
      </w:r>
      <w:r>
        <w:rPr>
          <w:rFonts w:ascii="Verdana" w:cs="Verdana" w:eastAsia="Verdana" w:hAnsi="Verdana"/>
          <w:sz w:val="13"/>
          <w:szCs w:val="13"/>
          <w:color w:val="auto"/>
        </w:rPr>
        <w:t>Without limiting the discretion of Oaktree US pursuant to Clause 2.5(b), and without prejudice to Clauses 2.6 and 2.7, the LLP shall be appointed to assist Oaktree US with the management of the investments and assets of the Discretionary Funds.</w:t>
      </w:r>
    </w:p>
    <w:p>
      <w:pPr>
        <w:spacing w:after="0" w:line="144"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3.2</w:t>
      </w:r>
      <w:r>
        <w:rPr>
          <w:sz w:val="20"/>
          <w:szCs w:val="20"/>
          <w:color w:val="auto"/>
        </w:rPr>
        <w:tab/>
      </w:r>
      <w:r>
        <w:rPr>
          <w:rFonts w:ascii="Verdana" w:cs="Verdana" w:eastAsia="Verdana" w:hAnsi="Verdana"/>
          <w:sz w:val="12"/>
          <w:szCs w:val="12"/>
          <w:color w:val="auto"/>
        </w:rPr>
        <w:t>In connection with the appointment pursuant to Clause 3.1 but subject at all times to Clause 2:</w:t>
      </w:r>
    </w:p>
    <w:p>
      <w:pPr>
        <w:spacing w:after="0" w:line="160" w:lineRule="exact"/>
        <w:rPr>
          <w:sz w:val="20"/>
          <w:szCs w:val="20"/>
          <w:color w:val="auto"/>
        </w:rPr>
      </w:pPr>
    </w:p>
    <w:p>
      <w:pPr>
        <w:ind w:left="1000" w:hanging="442"/>
        <w:spacing w:after="0" w:line="269" w:lineRule="auto"/>
        <w:tabs>
          <w:tab w:leader="none" w:pos="994" w:val="left"/>
        </w:tabs>
        <w:numPr>
          <w:ilvl w:val="0"/>
          <w:numId w:val="30"/>
        </w:numPr>
        <w:rPr>
          <w:rFonts w:ascii="Verdana" w:cs="Verdana" w:eastAsia="Verdana" w:hAnsi="Verdana"/>
          <w:sz w:val="13"/>
          <w:szCs w:val="13"/>
          <w:color w:val="auto"/>
        </w:rPr>
      </w:pPr>
      <w:r>
        <w:rPr>
          <w:rFonts w:ascii="Verdana" w:cs="Verdana" w:eastAsia="Verdana" w:hAnsi="Verdana"/>
          <w:sz w:val="13"/>
          <w:szCs w:val="13"/>
          <w:color w:val="auto"/>
        </w:rPr>
        <w:t>Oaktree US hereby delegates to the LLP all such powers, authorities and discretions (including the discretionary power to buy, sell, convert, underwrite or otherwise</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3</w:t>
      </w:r>
    </w:p>
    <w:p>
      <w:pPr>
        <w:sectPr>
          <w:pgSz w:w="11900" w:h="16838" w:orient="portrait"/>
          <w:cols w:equalWidth="0" w:num="1">
            <w:col w:w="11280"/>
          </w:cols>
          <w:pgMar w:left="300" w:top="1157" w:right="319" w:bottom="1440" w:gutter="0" w:footer="0" w:header="0"/>
        </w:sectPr>
      </w:pPr>
    </w:p>
    <w:bookmarkStart w:id="229" w:name="page230"/>
    <w:bookmarkEnd w:id="229"/>
    <w:p>
      <w:pPr>
        <w:ind w:left="1000"/>
        <w:spacing w:after="0" w:line="253" w:lineRule="auto"/>
        <w:rPr>
          <w:sz w:val="20"/>
          <w:szCs w:val="20"/>
          <w:color w:val="auto"/>
        </w:rPr>
      </w:pPr>
      <w:r>
        <w:rPr>
          <w:rFonts w:ascii="Verdana" w:cs="Verdana" w:eastAsia="Verdana" w:hAnsi="Verdana"/>
          <w:sz w:val="13"/>
          <w:szCs w:val="13"/>
          <w:color w:val="auto"/>
        </w:rPr>
        <w:t>deal in investments on behalf of the Discretionary Funds) as shall be necessary to enable the LLP to perform its duties as sub-manager under this Agreement; and</w:t>
      </w:r>
    </w:p>
    <w:p>
      <w:pPr>
        <w:spacing w:after="0" w:line="144" w:lineRule="exact"/>
        <w:rPr>
          <w:sz w:val="20"/>
          <w:szCs w:val="20"/>
          <w:color w:val="auto"/>
        </w:rPr>
      </w:pPr>
    </w:p>
    <w:p>
      <w:pPr>
        <w:ind w:left="1000" w:hanging="442"/>
        <w:spacing w:after="0" w:line="269" w:lineRule="auto"/>
        <w:tabs>
          <w:tab w:leader="none" w:pos="994" w:val="left"/>
        </w:tabs>
        <w:numPr>
          <w:ilvl w:val="1"/>
          <w:numId w:val="31"/>
        </w:numPr>
        <w:rPr>
          <w:rFonts w:ascii="Verdana" w:cs="Verdana" w:eastAsia="Verdana" w:hAnsi="Verdana"/>
          <w:sz w:val="13"/>
          <w:szCs w:val="13"/>
          <w:color w:val="auto"/>
        </w:rPr>
      </w:pPr>
      <w:r>
        <w:rPr>
          <w:rFonts w:ascii="Verdana" w:cs="Verdana" w:eastAsia="Verdana" w:hAnsi="Verdana"/>
          <w:sz w:val="13"/>
          <w:szCs w:val="13"/>
          <w:color w:val="auto"/>
        </w:rPr>
        <w:t>the LLP shall have full power and authority hereunder to decide whether the Discretionary Funds should acquire or dispose of an investment and Oaktree US grants the LLP discretion, without consultation to Oaktree US, to:</w:t>
      </w:r>
    </w:p>
    <w:p>
      <w:pPr>
        <w:spacing w:after="0" w:line="133" w:lineRule="exact"/>
        <w:rPr>
          <w:rFonts w:ascii="Verdana" w:cs="Verdana" w:eastAsia="Verdana" w:hAnsi="Verdana"/>
          <w:sz w:val="13"/>
          <w:szCs w:val="13"/>
          <w:color w:val="auto"/>
        </w:rPr>
      </w:pPr>
    </w:p>
    <w:p>
      <w:pPr>
        <w:ind w:left="1440" w:hanging="441"/>
        <w:spacing w:after="0"/>
        <w:tabs>
          <w:tab w:leader="none" w:pos="1440" w:val="left"/>
        </w:tabs>
        <w:numPr>
          <w:ilvl w:val="2"/>
          <w:numId w:val="31"/>
        </w:numPr>
        <w:rPr>
          <w:rFonts w:ascii="Verdana" w:cs="Verdana" w:eastAsia="Verdana" w:hAnsi="Verdana"/>
          <w:sz w:val="13"/>
          <w:szCs w:val="13"/>
          <w:color w:val="auto"/>
        </w:rPr>
      </w:pPr>
      <w:r>
        <w:rPr>
          <w:rFonts w:ascii="Verdana" w:cs="Verdana" w:eastAsia="Verdana" w:hAnsi="Verdana"/>
          <w:sz w:val="13"/>
          <w:szCs w:val="13"/>
          <w:color w:val="auto"/>
        </w:rPr>
        <w:t>make investment decisions with respect to invested assets of the Discretionary Funds; and</w:t>
      </w:r>
    </w:p>
    <w:p>
      <w:pPr>
        <w:spacing w:after="0" w:line="160" w:lineRule="exact"/>
        <w:rPr>
          <w:rFonts w:ascii="Verdana" w:cs="Verdana" w:eastAsia="Verdana" w:hAnsi="Verdana"/>
          <w:sz w:val="13"/>
          <w:szCs w:val="13"/>
          <w:color w:val="auto"/>
        </w:rPr>
      </w:pPr>
    </w:p>
    <w:p>
      <w:pPr>
        <w:jc w:val="both"/>
        <w:ind w:left="1440" w:hanging="441"/>
        <w:spacing w:after="0" w:line="247" w:lineRule="auto"/>
        <w:tabs>
          <w:tab w:leader="none" w:pos="1439" w:val="left"/>
        </w:tabs>
        <w:numPr>
          <w:ilvl w:val="2"/>
          <w:numId w:val="31"/>
        </w:numPr>
        <w:rPr>
          <w:rFonts w:ascii="Verdana" w:cs="Verdana" w:eastAsia="Verdana" w:hAnsi="Verdana"/>
          <w:sz w:val="13"/>
          <w:szCs w:val="13"/>
          <w:color w:val="auto"/>
        </w:rPr>
      </w:pPr>
      <w:r>
        <w:rPr>
          <w:rFonts w:ascii="Verdana" w:cs="Verdana" w:eastAsia="Verdana" w:hAnsi="Verdana"/>
          <w:sz w:val="13"/>
          <w:szCs w:val="13"/>
          <w:color w:val="auto"/>
        </w:rPr>
        <w:t>enter into such investment documents and effect such transactions (including, if applicable, instructing the Custodian (as defined in Clause 12.1 below) of the Discretionary Funds in respect of transfers, withdrawals or receipts of money) as may be necessary or proper in connection with the performance by the LLP of its duties hereunder.</w:t>
      </w:r>
    </w:p>
    <w:p>
      <w:pPr>
        <w:spacing w:after="0" w:line="159" w:lineRule="exact"/>
        <w:rPr>
          <w:rFonts w:ascii="Verdana" w:cs="Verdana" w:eastAsia="Verdana" w:hAnsi="Verdana"/>
          <w:sz w:val="13"/>
          <w:szCs w:val="13"/>
          <w:color w:val="auto"/>
        </w:rPr>
      </w:pPr>
    </w:p>
    <w:p>
      <w:pPr>
        <w:ind w:left="560" w:hanging="555"/>
        <w:spacing w:after="0"/>
        <w:tabs>
          <w:tab w:leader="none" w:pos="560" w:val="left"/>
        </w:tabs>
        <w:numPr>
          <w:ilvl w:val="0"/>
          <w:numId w:val="32"/>
        </w:numPr>
        <w:rPr>
          <w:rFonts w:ascii="Verdana" w:cs="Verdana" w:eastAsia="Verdana" w:hAnsi="Verdana"/>
          <w:sz w:val="13"/>
          <w:szCs w:val="13"/>
          <w:color w:val="auto"/>
        </w:rPr>
      </w:pPr>
      <w:r>
        <w:rPr>
          <w:rFonts w:ascii="Verdana" w:cs="Verdana" w:eastAsia="Verdana" w:hAnsi="Verdana"/>
          <w:sz w:val="13"/>
          <w:szCs w:val="13"/>
          <w:b w:val="1"/>
          <w:bCs w:val="1"/>
          <w:color w:val="auto"/>
        </w:rPr>
        <w:t>SERVICES - RESTRICTED FUNDS</w:t>
      </w:r>
    </w:p>
    <w:p>
      <w:pPr>
        <w:spacing w:after="0" w:line="160"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4.1</w:t>
      </w:r>
      <w:r>
        <w:rPr>
          <w:sz w:val="20"/>
          <w:szCs w:val="20"/>
          <w:color w:val="auto"/>
        </w:rPr>
        <w:tab/>
      </w:r>
      <w:r>
        <w:rPr>
          <w:rFonts w:ascii="Verdana" w:cs="Verdana" w:eastAsia="Verdana" w:hAnsi="Verdana"/>
          <w:sz w:val="12"/>
          <w:szCs w:val="12"/>
          <w:color w:val="auto"/>
        </w:rPr>
        <w:t>Without limiting the discretion of Oaktree US pursuant to Clause 2.5(b), and without prejudice to Clauses 2.6 and 2.7, the sub-advisory services to be provided by the</w:t>
      </w:r>
    </w:p>
    <w:p>
      <w:pPr>
        <w:spacing w:after="0" w:line="1" w:lineRule="exact"/>
        <w:rPr>
          <w:sz w:val="20"/>
          <w:szCs w:val="20"/>
          <w:color w:val="auto"/>
        </w:rPr>
      </w:pPr>
    </w:p>
    <w:p>
      <w:pPr>
        <w:ind w:left="560"/>
        <w:spacing w:after="0"/>
        <w:rPr>
          <w:sz w:val="20"/>
          <w:szCs w:val="20"/>
          <w:color w:val="auto"/>
        </w:rPr>
      </w:pPr>
      <w:r>
        <w:rPr>
          <w:rFonts w:ascii="Verdana" w:cs="Verdana" w:eastAsia="Verdana" w:hAnsi="Verdana"/>
          <w:sz w:val="13"/>
          <w:szCs w:val="13"/>
          <w:color w:val="auto"/>
        </w:rPr>
        <w:t>LLP in respect of the Restricted Funds will be limited to:</w:t>
      </w:r>
    </w:p>
    <w:p>
      <w:pPr>
        <w:spacing w:after="0" w:line="160" w:lineRule="exact"/>
        <w:rPr>
          <w:sz w:val="20"/>
          <w:szCs w:val="20"/>
          <w:color w:val="auto"/>
        </w:rPr>
      </w:pPr>
    </w:p>
    <w:p>
      <w:pPr>
        <w:ind w:left="1000" w:hanging="442"/>
        <w:spacing w:after="0"/>
        <w:tabs>
          <w:tab w:leader="none" w:pos="1000" w:val="left"/>
        </w:tabs>
        <w:numPr>
          <w:ilvl w:val="0"/>
          <w:numId w:val="33"/>
        </w:numPr>
        <w:rPr>
          <w:rFonts w:ascii="Verdana" w:cs="Verdana" w:eastAsia="Verdana" w:hAnsi="Verdana"/>
          <w:sz w:val="13"/>
          <w:szCs w:val="13"/>
          <w:color w:val="auto"/>
        </w:rPr>
      </w:pPr>
      <w:r>
        <w:rPr>
          <w:rFonts w:ascii="Verdana" w:cs="Verdana" w:eastAsia="Verdana" w:hAnsi="Verdana"/>
          <w:sz w:val="13"/>
          <w:szCs w:val="13"/>
          <w:color w:val="auto"/>
        </w:rPr>
        <w:t>researching and identifying potential investment opportunities;</w:t>
      </w:r>
    </w:p>
    <w:p>
      <w:pPr>
        <w:spacing w:after="0" w:line="160" w:lineRule="exact"/>
        <w:rPr>
          <w:rFonts w:ascii="Verdana" w:cs="Verdana" w:eastAsia="Verdana" w:hAnsi="Verdana"/>
          <w:sz w:val="13"/>
          <w:szCs w:val="13"/>
          <w:color w:val="auto"/>
        </w:rPr>
      </w:pPr>
    </w:p>
    <w:p>
      <w:pPr>
        <w:ind w:left="1000" w:hanging="442"/>
        <w:spacing w:after="0" w:line="253" w:lineRule="auto"/>
        <w:tabs>
          <w:tab w:leader="none" w:pos="1000" w:val="left"/>
        </w:tabs>
        <w:numPr>
          <w:ilvl w:val="0"/>
          <w:numId w:val="33"/>
        </w:numPr>
        <w:rPr>
          <w:rFonts w:ascii="Verdana" w:cs="Verdana" w:eastAsia="Verdana" w:hAnsi="Verdana"/>
          <w:sz w:val="13"/>
          <w:szCs w:val="13"/>
          <w:color w:val="auto"/>
        </w:rPr>
      </w:pPr>
      <w:r>
        <w:rPr>
          <w:rFonts w:ascii="Verdana" w:cs="Verdana" w:eastAsia="Verdana" w:hAnsi="Verdana"/>
          <w:sz w:val="13"/>
          <w:szCs w:val="13"/>
          <w:color w:val="auto"/>
        </w:rPr>
        <w:t>evaluating potential investment opportunities, including, but not limited to, the performance of due diligence services, verification of claims by potential counterparties, inspection of properties, preparation of financial projections and the like;</w:t>
      </w:r>
    </w:p>
    <w:p>
      <w:pPr>
        <w:spacing w:after="0" w:line="144" w:lineRule="exact"/>
        <w:rPr>
          <w:rFonts w:ascii="Verdana" w:cs="Verdana" w:eastAsia="Verdana" w:hAnsi="Verdana"/>
          <w:sz w:val="13"/>
          <w:szCs w:val="13"/>
          <w:color w:val="auto"/>
        </w:rPr>
      </w:pPr>
    </w:p>
    <w:p>
      <w:pPr>
        <w:ind w:left="1000" w:hanging="442"/>
        <w:spacing w:after="0"/>
        <w:tabs>
          <w:tab w:leader="none" w:pos="1000" w:val="left"/>
        </w:tabs>
        <w:numPr>
          <w:ilvl w:val="0"/>
          <w:numId w:val="33"/>
        </w:numPr>
        <w:rPr>
          <w:rFonts w:ascii="Verdana" w:cs="Verdana" w:eastAsia="Verdana" w:hAnsi="Verdana"/>
          <w:sz w:val="13"/>
          <w:szCs w:val="13"/>
          <w:color w:val="auto"/>
        </w:rPr>
      </w:pPr>
      <w:r>
        <w:rPr>
          <w:rFonts w:ascii="Verdana" w:cs="Verdana" w:eastAsia="Verdana" w:hAnsi="Verdana"/>
          <w:sz w:val="13"/>
          <w:szCs w:val="13"/>
          <w:color w:val="auto"/>
        </w:rPr>
        <w:t>evaluating whether any investment held by the Restricted Funds should be sold or otherwise disposed;</w:t>
      </w:r>
    </w:p>
    <w:p>
      <w:pPr>
        <w:spacing w:after="0" w:line="160" w:lineRule="exact"/>
        <w:rPr>
          <w:rFonts w:ascii="Verdana" w:cs="Verdana" w:eastAsia="Verdana" w:hAnsi="Verdana"/>
          <w:sz w:val="13"/>
          <w:szCs w:val="13"/>
          <w:color w:val="auto"/>
        </w:rPr>
      </w:pPr>
    </w:p>
    <w:p>
      <w:pPr>
        <w:jc w:val="both"/>
        <w:ind w:left="1000" w:hanging="442"/>
        <w:spacing w:after="0" w:line="252" w:lineRule="auto"/>
        <w:tabs>
          <w:tab w:leader="none" w:pos="996" w:val="left"/>
        </w:tabs>
        <w:numPr>
          <w:ilvl w:val="0"/>
          <w:numId w:val="33"/>
        </w:numPr>
        <w:rPr>
          <w:rFonts w:ascii="Verdana" w:cs="Verdana" w:eastAsia="Verdana" w:hAnsi="Verdana"/>
          <w:sz w:val="13"/>
          <w:szCs w:val="13"/>
          <w:color w:val="auto"/>
        </w:rPr>
      </w:pPr>
      <w:r>
        <w:rPr>
          <w:rFonts w:ascii="Verdana" w:cs="Verdana" w:eastAsia="Verdana" w:hAnsi="Verdana"/>
          <w:sz w:val="13"/>
          <w:szCs w:val="13"/>
          <w:color w:val="auto"/>
        </w:rPr>
        <w:t>taking all such actions and executing and delivering any and all orders, agreements, confirmations, transfers, notes, certificates, instruments or documents that may be required, or otherwise necessary or desirable, in connection with or relating to the acquisition or disposition of investments of the Restricted Funds in which the LLP is acting as sub-adviser (</w:t>
      </w:r>
      <w:r>
        <w:rPr>
          <w:rFonts w:ascii="Verdana" w:cs="Verdana" w:eastAsia="Verdana" w:hAnsi="Verdana"/>
          <w:sz w:val="13"/>
          <w:szCs w:val="13"/>
          <w:b w:val="1"/>
          <w:bCs w:val="1"/>
          <w:color w:val="auto"/>
        </w:rPr>
        <w:t>"Investment Documents"</w:t>
      </w:r>
      <w:r>
        <w:rPr>
          <w:rFonts w:ascii="Verdana" w:cs="Verdana" w:eastAsia="Verdana" w:hAnsi="Verdana"/>
          <w:sz w:val="13"/>
          <w:szCs w:val="13"/>
          <w:color w:val="auto"/>
        </w:rPr>
        <w:t>); PROVIDED HOWEVER, that the LLP may execute and deliver such Investment Documents as sub-adviser to the Restricted Funds only after the decision to acquire or dispose of such investment has been made by representatives of Oaktree US in the United States;</w:t>
      </w:r>
    </w:p>
    <w:p>
      <w:pPr>
        <w:spacing w:after="0" w:line="146" w:lineRule="exact"/>
        <w:rPr>
          <w:rFonts w:ascii="Verdana" w:cs="Verdana" w:eastAsia="Verdana" w:hAnsi="Verdana"/>
          <w:sz w:val="13"/>
          <w:szCs w:val="13"/>
          <w:color w:val="auto"/>
        </w:rPr>
      </w:pPr>
    </w:p>
    <w:p>
      <w:pPr>
        <w:ind w:left="1000" w:hanging="442"/>
        <w:spacing w:after="0" w:line="253" w:lineRule="auto"/>
        <w:tabs>
          <w:tab w:leader="none" w:pos="998" w:val="left"/>
        </w:tabs>
        <w:numPr>
          <w:ilvl w:val="0"/>
          <w:numId w:val="33"/>
        </w:numPr>
        <w:rPr>
          <w:rFonts w:ascii="Verdana" w:cs="Verdana" w:eastAsia="Verdana" w:hAnsi="Verdana"/>
          <w:sz w:val="13"/>
          <w:szCs w:val="13"/>
          <w:color w:val="auto"/>
        </w:rPr>
      </w:pPr>
      <w:r>
        <w:rPr>
          <w:rFonts w:ascii="Verdana" w:cs="Verdana" w:eastAsia="Verdana" w:hAnsi="Verdana"/>
          <w:sz w:val="13"/>
          <w:szCs w:val="13"/>
          <w:color w:val="auto"/>
        </w:rPr>
        <w:t>signing or executing (for itself and/or on behalf of such Restricted Fund) a confidentiality agreement in respect of existing investments or potential investment opportunities or any other matters within the scope of the LLP's responsibilities and powers as a sub-adviser to such Restricted Fund;</w:t>
      </w:r>
    </w:p>
    <w:p>
      <w:pPr>
        <w:spacing w:after="0" w:line="144" w:lineRule="exact"/>
        <w:rPr>
          <w:rFonts w:ascii="Verdana" w:cs="Verdana" w:eastAsia="Verdana" w:hAnsi="Verdana"/>
          <w:sz w:val="13"/>
          <w:szCs w:val="13"/>
          <w:color w:val="auto"/>
        </w:rPr>
      </w:pPr>
    </w:p>
    <w:p>
      <w:pPr>
        <w:ind w:left="1000" w:hanging="442"/>
        <w:spacing w:after="0" w:line="253" w:lineRule="auto"/>
        <w:tabs>
          <w:tab w:leader="none" w:pos="998" w:val="left"/>
        </w:tabs>
        <w:numPr>
          <w:ilvl w:val="0"/>
          <w:numId w:val="33"/>
        </w:numPr>
        <w:rPr>
          <w:rFonts w:ascii="Verdana" w:cs="Verdana" w:eastAsia="Verdana" w:hAnsi="Verdana"/>
          <w:sz w:val="13"/>
          <w:szCs w:val="13"/>
          <w:color w:val="auto"/>
        </w:rPr>
      </w:pPr>
      <w:r>
        <w:rPr>
          <w:rFonts w:ascii="Verdana" w:cs="Verdana" w:eastAsia="Verdana" w:hAnsi="Verdana"/>
          <w:sz w:val="13"/>
          <w:szCs w:val="13"/>
          <w:color w:val="auto"/>
        </w:rPr>
        <w:t>at the request of Oaktree US, providing and making available representatives of the LLP to serve as a member of the board of directors (or other equivalent bodies) of certain non-U.S. portfolio companies (or other equivalent bodies) in which the Restricted Funds invest; and</w:t>
      </w:r>
    </w:p>
    <w:p>
      <w:pPr>
        <w:spacing w:after="0" w:line="154" w:lineRule="exact"/>
        <w:rPr>
          <w:rFonts w:ascii="Verdana" w:cs="Verdana" w:eastAsia="Verdana" w:hAnsi="Verdana"/>
          <w:sz w:val="13"/>
          <w:szCs w:val="13"/>
          <w:color w:val="auto"/>
        </w:rPr>
      </w:pPr>
    </w:p>
    <w:p>
      <w:pPr>
        <w:ind w:left="1000" w:hanging="442"/>
        <w:spacing w:after="0"/>
        <w:tabs>
          <w:tab w:leader="none" w:pos="1000" w:val="left"/>
        </w:tabs>
        <w:numPr>
          <w:ilvl w:val="0"/>
          <w:numId w:val="33"/>
        </w:numPr>
        <w:rPr>
          <w:rFonts w:ascii="Verdana" w:cs="Verdana" w:eastAsia="Verdana" w:hAnsi="Verdana"/>
          <w:sz w:val="13"/>
          <w:szCs w:val="13"/>
          <w:color w:val="auto"/>
        </w:rPr>
      </w:pPr>
      <w:r>
        <w:rPr>
          <w:rFonts w:ascii="Verdana" w:cs="Verdana" w:eastAsia="Verdana" w:hAnsi="Verdana"/>
          <w:sz w:val="13"/>
          <w:szCs w:val="13"/>
          <w:color w:val="auto"/>
        </w:rPr>
        <w:t>such other services as may from time to time be reasonably requested by Oaktree US.</w:t>
      </w:r>
    </w:p>
    <w:p>
      <w:pPr>
        <w:spacing w:after="0" w:line="160" w:lineRule="exact"/>
        <w:rPr>
          <w:sz w:val="20"/>
          <w:szCs w:val="20"/>
          <w:color w:val="auto"/>
        </w:rPr>
      </w:pPr>
    </w:p>
    <w:p>
      <w:pPr>
        <w:ind w:left="560" w:hanging="552"/>
        <w:spacing w:after="0" w:line="253" w:lineRule="auto"/>
        <w:tabs>
          <w:tab w:leader="none" w:pos="540" w:val="left"/>
        </w:tabs>
        <w:rPr>
          <w:sz w:val="20"/>
          <w:szCs w:val="20"/>
          <w:color w:val="auto"/>
        </w:rPr>
      </w:pPr>
      <w:r>
        <w:rPr>
          <w:rFonts w:ascii="Verdana" w:cs="Verdana" w:eastAsia="Verdana" w:hAnsi="Verdana"/>
          <w:sz w:val="13"/>
          <w:szCs w:val="13"/>
          <w:color w:val="auto"/>
        </w:rPr>
        <w:t>4.2</w:t>
      </w:r>
      <w:r>
        <w:rPr>
          <w:sz w:val="20"/>
          <w:szCs w:val="20"/>
          <w:color w:val="auto"/>
        </w:rPr>
        <w:tab/>
      </w:r>
      <w:r>
        <w:rPr>
          <w:rFonts w:ascii="Verdana" w:cs="Verdana" w:eastAsia="Verdana" w:hAnsi="Verdana"/>
          <w:sz w:val="13"/>
          <w:szCs w:val="13"/>
          <w:color w:val="auto"/>
        </w:rPr>
        <w:t>For the avoidance of doubt, the LLP shall not have any authority hereunder to decide whether the Restricted Funds should acquire or dispose of an investment; such decisions to be reserved only for representatives of Oaktree US in the United States.</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4</w:t>
      </w:r>
    </w:p>
    <w:p>
      <w:pPr>
        <w:sectPr>
          <w:pgSz w:w="11900" w:h="16838" w:orient="portrait"/>
          <w:cols w:equalWidth="0" w:num="1">
            <w:col w:w="11280"/>
          </w:cols>
          <w:pgMar w:left="300" w:top="1157" w:right="319" w:bottom="1440" w:gutter="0" w:footer="0" w:header="0"/>
        </w:sectPr>
      </w:pPr>
    </w:p>
    <w:bookmarkStart w:id="230" w:name="page231"/>
    <w:bookmarkEnd w:id="230"/>
    <w:p>
      <w:pPr>
        <w:ind w:left="560" w:hanging="555"/>
        <w:spacing w:after="0"/>
        <w:tabs>
          <w:tab w:leader="none" w:pos="560" w:val="left"/>
        </w:tabs>
        <w:numPr>
          <w:ilvl w:val="0"/>
          <w:numId w:val="34"/>
        </w:numPr>
        <w:rPr>
          <w:rFonts w:ascii="Verdana" w:cs="Verdana" w:eastAsia="Verdana" w:hAnsi="Verdana"/>
          <w:sz w:val="13"/>
          <w:szCs w:val="13"/>
          <w:color w:val="auto"/>
        </w:rPr>
      </w:pPr>
      <w:r>
        <w:rPr>
          <w:rFonts w:ascii="Verdana" w:cs="Verdana" w:eastAsia="Verdana" w:hAnsi="Verdana"/>
          <w:sz w:val="13"/>
          <w:szCs w:val="13"/>
          <w:b w:val="1"/>
          <w:bCs w:val="1"/>
          <w:color w:val="auto"/>
        </w:rPr>
        <w:t>SERVICES - MARKETING</w:t>
      </w:r>
    </w:p>
    <w:p>
      <w:pPr>
        <w:spacing w:after="0" w:line="160" w:lineRule="exact"/>
        <w:rPr>
          <w:sz w:val="20"/>
          <w:szCs w:val="20"/>
          <w:color w:val="auto"/>
        </w:rPr>
      </w:pPr>
    </w:p>
    <w:p>
      <w:pPr>
        <w:ind w:left="560" w:hanging="552"/>
        <w:spacing w:after="0" w:line="253" w:lineRule="auto"/>
        <w:tabs>
          <w:tab w:leader="none" w:pos="540" w:val="left"/>
        </w:tabs>
        <w:rPr>
          <w:sz w:val="20"/>
          <w:szCs w:val="20"/>
          <w:color w:val="auto"/>
        </w:rPr>
      </w:pPr>
      <w:r>
        <w:rPr>
          <w:rFonts w:ascii="Verdana" w:cs="Verdana" w:eastAsia="Verdana" w:hAnsi="Verdana"/>
          <w:sz w:val="13"/>
          <w:szCs w:val="13"/>
          <w:color w:val="auto"/>
        </w:rPr>
        <w:t>5.1</w:t>
      </w:r>
      <w:r>
        <w:rPr>
          <w:sz w:val="20"/>
          <w:szCs w:val="20"/>
          <w:color w:val="auto"/>
        </w:rPr>
        <w:tab/>
      </w:r>
      <w:r>
        <w:rPr>
          <w:rFonts w:ascii="Verdana" w:cs="Verdana" w:eastAsia="Verdana" w:hAnsi="Verdana"/>
          <w:sz w:val="13"/>
          <w:szCs w:val="13"/>
          <w:color w:val="auto"/>
        </w:rPr>
        <w:t>Without limiting the discretion of Oaktree US pursuant to Clause 2.5(b), and without prejudice to Clauses 2.6 and 2.7, the marketing and promotion services to be provided by the LLP in respect of the Funds will be:</w:t>
      </w:r>
    </w:p>
    <w:p>
      <w:pPr>
        <w:spacing w:after="0" w:line="144" w:lineRule="exact"/>
        <w:rPr>
          <w:sz w:val="20"/>
          <w:szCs w:val="20"/>
          <w:color w:val="auto"/>
        </w:rPr>
      </w:pPr>
    </w:p>
    <w:p>
      <w:pPr>
        <w:ind w:left="1000" w:hanging="442"/>
        <w:spacing w:after="0"/>
        <w:tabs>
          <w:tab w:leader="none" w:pos="1000" w:val="left"/>
        </w:tabs>
        <w:numPr>
          <w:ilvl w:val="1"/>
          <w:numId w:val="35"/>
        </w:numPr>
        <w:rPr>
          <w:rFonts w:ascii="Verdana" w:cs="Verdana" w:eastAsia="Verdana" w:hAnsi="Verdana"/>
          <w:sz w:val="13"/>
          <w:szCs w:val="13"/>
          <w:color w:val="auto"/>
        </w:rPr>
      </w:pPr>
      <w:r>
        <w:rPr>
          <w:rFonts w:ascii="Verdana" w:cs="Verdana" w:eastAsia="Verdana" w:hAnsi="Verdana"/>
          <w:sz w:val="13"/>
          <w:szCs w:val="13"/>
          <w:color w:val="auto"/>
        </w:rPr>
        <w:t>assisting Oaktree US to promote any Fund to potential investors in Europe and the Middle East to facilitate subscriptions from such investors;</w:t>
      </w:r>
    </w:p>
    <w:p>
      <w:pPr>
        <w:spacing w:after="0" w:line="160" w:lineRule="exact"/>
        <w:rPr>
          <w:rFonts w:ascii="Verdana" w:cs="Verdana" w:eastAsia="Verdana" w:hAnsi="Verdana"/>
          <w:sz w:val="13"/>
          <w:szCs w:val="13"/>
          <w:color w:val="auto"/>
        </w:rPr>
      </w:pPr>
    </w:p>
    <w:p>
      <w:pPr>
        <w:ind w:left="1000" w:hanging="442"/>
        <w:spacing w:after="0" w:line="269" w:lineRule="auto"/>
        <w:tabs>
          <w:tab w:leader="none" w:pos="1000" w:val="left"/>
        </w:tabs>
        <w:numPr>
          <w:ilvl w:val="1"/>
          <w:numId w:val="35"/>
        </w:numPr>
        <w:rPr>
          <w:rFonts w:ascii="Verdana" w:cs="Verdana" w:eastAsia="Verdana" w:hAnsi="Verdana"/>
          <w:sz w:val="13"/>
          <w:szCs w:val="13"/>
          <w:color w:val="auto"/>
        </w:rPr>
      </w:pPr>
      <w:r>
        <w:rPr>
          <w:rFonts w:ascii="Verdana" w:cs="Verdana" w:eastAsia="Verdana" w:hAnsi="Verdana"/>
          <w:sz w:val="13"/>
          <w:szCs w:val="13"/>
          <w:color w:val="auto"/>
        </w:rPr>
        <w:t>advising Oaktree US concerning all actions which it appears to the LLP that Oaktree US should consider taking to achieve effective promotion of investor interest in such Funds;</w:t>
      </w:r>
    </w:p>
    <w:p>
      <w:pPr>
        <w:spacing w:after="0" w:line="133" w:lineRule="exact"/>
        <w:rPr>
          <w:rFonts w:ascii="Verdana" w:cs="Verdana" w:eastAsia="Verdana" w:hAnsi="Verdana"/>
          <w:sz w:val="13"/>
          <w:szCs w:val="13"/>
          <w:color w:val="auto"/>
        </w:rPr>
      </w:pPr>
    </w:p>
    <w:p>
      <w:pPr>
        <w:ind w:left="1000" w:hanging="442"/>
        <w:spacing w:after="0"/>
        <w:tabs>
          <w:tab w:leader="none" w:pos="1000" w:val="left"/>
        </w:tabs>
        <w:numPr>
          <w:ilvl w:val="1"/>
          <w:numId w:val="35"/>
        </w:numPr>
        <w:rPr>
          <w:rFonts w:ascii="Verdana" w:cs="Verdana" w:eastAsia="Verdana" w:hAnsi="Verdana"/>
          <w:sz w:val="13"/>
          <w:szCs w:val="13"/>
          <w:color w:val="auto"/>
        </w:rPr>
      </w:pPr>
      <w:r>
        <w:rPr>
          <w:rFonts w:ascii="Verdana" w:cs="Verdana" w:eastAsia="Verdana" w:hAnsi="Verdana"/>
          <w:sz w:val="13"/>
          <w:szCs w:val="13"/>
          <w:color w:val="auto"/>
        </w:rPr>
        <w:t>attending, if so requested by Oaktree US, meetings held with such investors;</w:t>
      </w:r>
    </w:p>
    <w:p>
      <w:pPr>
        <w:spacing w:after="0" w:line="160" w:lineRule="exact"/>
        <w:rPr>
          <w:rFonts w:ascii="Verdana" w:cs="Verdana" w:eastAsia="Verdana" w:hAnsi="Verdana"/>
          <w:sz w:val="13"/>
          <w:szCs w:val="13"/>
          <w:color w:val="auto"/>
        </w:rPr>
      </w:pPr>
    </w:p>
    <w:p>
      <w:pPr>
        <w:ind w:left="1000" w:hanging="442"/>
        <w:spacing w:after="0" w:line="253" w:lineRule="auto"/>
        <w:tabs>
          <w:tab w:leader="none" w:pos="994" w:val="left"/>
        </w:tabs>
        <w:numPr>
          <w:ilvl w:val="1"/>
          <w:numId w:val="35"/>
        </w:numPr>
        <w:rPr>
          <w:rFonts w:ascii="Verdana" w:cs="Verdana" w:eastAsia="Verdana" w:hAnsi="Verdana"/>
          <w:sz w:val="13"/>
          <w:szCs w:val="13"/>
          <w:color w:val="auto"/>
        </w:rPr>
      </w:pPr>
      <w:r>
        <w:rPr>
          <w:rFonts w:ascii="Verdana" w:cs="Verdana" w:eastAsia="Verdana" w:hAnsi="Verdana"/>
          <w:sz w:val="13"/>
          <w:szCs w:val="13"/>
          <w:color w:val="auto"/>
        </w:rPr>
        <w:t>if required by Oaktree US, arranging the administration of and receiving and collating application forms from such investors and passing the completed applications to Oaktree US for processing; and</w:t>
      </w:r>
    </w:p>
    <w:p>
      <w:pPr>
        <w:spacing w:after="0" w:line="144" w:lineRule="exact"/>
        <w:rPr>
          <w:rFonts w:ascii="Verdana" w:cs="Verdana" w:eastAsia="Verdana" w:hAnsi="Verdana"/>
          <w:sz w:val="13"/>
          <w:szCs w:val="13"/>
          <w:color w:val="auto"/>
        </w:rPr>
      </w:pPr>
    </w:p>
    <w:p>
      <w:pPr>
        <w:ind w:left="1000" w:hanging="442"/>
        <w:spacing w:after="0"/>
        <w:tabs>
          <w:tab w:leader="none" w:pos="1000" w:val="left"/>
        </w:tabs>
        <w:numPr>
          <w:ilvl w:val="1"/>
          <w:numId w:val="35"/>
        </w:numPr>
        <w:rPr>
          <w:rFonts w:ascii="Verdana" w:cs="Verdana" w:eastAsia="Verdana" w:hAnsi="Verdana"/>
          <w:sz w:val="13"/>
          <w:szCs w:val="13"/>
          <w:color w:val="auto"/>
        </w:rPr>
      </w:pPr>
      <w:r>
        <w:rPr>
          <w:rFonts w:ascii="Verdana" w:cs="Verdana" w:eastAsia="Verdana" w:hAnsi="Verdana"/>
          <w:sz w:val="13"/>
          <w:szCs w:val="13"/>
          <w:color w:val="auto"/>
        </w:rPr>
        <w:t>the provision of any other marketing service as Oaktree US may require from time to time in Europe and the Middle East.</w:t>
      </w:r>
    </w:p>
    <w:p>
      <w:pPr>
        <w:spacing w:after="0" w:line="160" w:lineRule="exact"/>
        <w:rPr>
          <w:rFonts w:ascii="Verdana" w:cs="Verdana" w:eastAsia="Verdana" w:hAnsi="Verdana"/>
          <w:sz w:val="13"/>
          <w:szCs w:val="13"/>
          <w:color w:val="auto"/>
        </w:rPr>
      </w:pPr>
    </w:p>
    <w:p>
      <w:pPr>
        <w:ind w:left="560" w:hanging="555"/>
        <w:spacing w:after="0"/>
        <w:tabs>
          <w:tab w:leader="none" w:pos="560" w:val="left"/>
        </w:tabs>
        <w:numPr>
          <w:ilvl w:val="0"/>
          <w:numId w:val="36"/>
        </w:numPr>
        <w:rPr>
          <w:rFonts w:ascii="Verdana" w:cs="Verdana" w:eastAsia="Verdana" w:hAnsi="Verdana"/>
          <w:sz w:val="13"/>
          <w:szCs w:val="13"/>
          <w:color w:val="auto"/>
        </w:rPr>
      </w:pPr>
      <w:r>
        <w:rPr>
          <w:rFonts w:ascii="Verdana" w:cs="Verdana" w:eastAsia="Verdana" w:hAnsi="Verdana"/>
          <w:sz w:val="13"/>
          <w:szCs w:val="13"/>
          <w:b w:val="1"/>
          <w:bCs w:val="1"/>
          <w:color w:val="auto"/>
        </w:rPr>
        <w:t>SERVICES – TRADING AND EXECUTION</w:t>
      </w:r>
    </w:p>
    <w:p>
      <w:pPr>
        <w:spacing w:after="0" w:line="160" w:lineRule="exact"/>
        <w:rPr>
          <w:sz w:val="20"/>
          <w:szCs w:val="20"/>
          <w:color w:val="auto"/>
        </w:rPr>
      </w:pPr>
    </w:p>
    <w:p>
      <w:pPr>
        <w:ind w:left="560" w:hanging="552"/>
        <w:spacing w:after="0" w:line="269" w:lineRule="auto"/>
        <w:tabs>
          <w:tab w:leader="none" w:pos="540" w:val="left"/>
        </w:tabs>
        <w:rPr>
          <w:sz w:val="20"/>
          <w:szCs w:val="20"/>
          <w:color w:val="auto"/>
        </w:rPr>
      </w:pPr>
      <w:r>
        <w:rPr>
          <w:rFonts w:ascii="Verdana" w:cs="Verdana" w:eastAsia="Verdana" w:hAnsi="Verdana"/>
          <w:sz w:val="13"/>
          <w:szCs w:val="13"/>
          <w:color w:val="auto"/>
        </w:rPr>
        <w:t>6.1</w:t>
      </w:r>
      <w:r>
        <w:rPr>
          <w:sz w:val="20"/>
          <w:szCs w:val="20"/>
          <w:color w:val="auto"/>
        </w:rPr>
        <w:tab/>
      </w:r>
      <w:r>
        <w:rPr>
          <w:rFonts w:ascii="Verdana" w:cs="Verdana" w:eastAsia="Verdana" w:hAnsi="Verdana"/>
          <w:sz w:val="13"/>
          <w:szCs w:val="13"/>
          <w:color w:val="auto"/>
        </w:rPr>
        <w:t>Without limiting the discretion of Oaktree US pursuant to Clause 2.5(b), and without prejudice to Clauses 2.6 and 2.7, the LLP agrees to provide certain execution and trading services to Oaktree US, as set out in Schedule 5.</w:t>
      </w:r>
    </w:p>
    <w:p>
      <w:pPr>
        <w:spacing w:after="0" w:line="134"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6.2</w:t>
      </w:r>
      <w:r>
        <w:rPr>
          <w:sz w:val="20"/>
          <w:szCs w:val="20"/>
          <w:color w:val="auto"/>
        </w:rPr>
        <w:tab/>
      </w:r>
      <w:r>
        <w:rPr>
          <w:rFonts w:ascii="Verdana" w:cs="Verdana" w:eastAsia="Verdana" w:hAnsi="Verdana"/>
          <w:sz w:val="12"/>
          <w:szCs w:val="12"/>
          <w:color w:val="auto"/>
        </w:rPr>
        <w:t>Oaktree US agrees to provide the LLP with certain trading cover and execution services in the circumstances and on the terms set out in Schedule 5.</w:t>
      </w:r>
    </w:p>
    <w:p>
      <w:pPr>
        <w:spacing w:after="0" w:line="160" w:lineRule="exact"/>
        <w:rPr>
          <w:sz w:val="20"/>
          <w:szCs w:val="20"/>
          <w:color w:val="auto"/>
        </w:rPr>
      </w:pPr>
    </w:p>
    <w:p>
      <w:pPr>
        <w:ind w:left="560" w:hanging="555"/>
        <w:spacing w:after="0"/>
        <w:tabs>
          <w:tab w:leader="none" w:pos="560" w:val="left"/>
        </w:tabs>
        <w:numPr>
          <w:ilvl w:val="0"/>
          <w:numId w:val="37"/>
        </w:numPr>
        <w:rPr>
          <w:rFonts w:ascii="Verdana" w:cs="Verdana" w:eastAsia="Verdana" w:hAnsi="Verdana"/>
          <w:sz w:val="13"/>
          <w:szCs w:val="13"/>
          <w:color w:val="auto"/>
        </w:rPr>
      </w:pPr>
      <w:r>
        <w:rPr>
          <w:rFonts w:ascii="Verdana" w:cs="Verdana" w:eastAsia="Verdana" w:hAnsi="Verdana"/>
          <w:sz w:val="13"/>
          <w:szCs w:val="13"/>
          <w:b w:val="1"/>
          <w:bCs w:val="1"/>
          <w:color w:val="auto"/>
        </w:rPr>
        <w:t>SERVICES – INTERNAL AUDIT</w:t>
      </w:r>
    </w:p>
    <w:p>
      <w:pPr>
        <w:spacing w:after="0" w:line="160" w:lineRule="exact"/>
        <w:rPr>
          <w:rFonts w:ascii="Verdana" w:cs="Verdana" w:eastAsia="Verdana" w:hAnsi="Verdana"/>
          <w:sz w:val="13"/>
          <w:szCs w:val="13"/>
          <w:color w:val="auto"/>
        </w:rPr>
      </w:pPr>
    </w:p>
    <w:p>
      <w:pPr>
        <w:ind w:left="560"/>
        <w:spacing w:after="0"/>
        <w:rPr>
          <w:rFonts w:ascii="Verdana" w:cs="Verdana" w:eastAsia="Verdana" w:hAnsi="Verdana"/>
          <w:sz w:val="13"/>
          <w:szCs w:val="13"/>
          <w:color w:val="auto"/>
        </w:rPr>
      </w:pPr>
      <w:r>
        <w:rPr>
          <w:rFonts w:ascii="Verdana" w:cs="Verdana" w:eastAsia="Verdana" w:hAnsi="Verdana"/>
          <w:sz w:val="13"/>
          <w:szCs w:val="13"/>
          <w:color w:val="auto"/>
        </w:rPr>
        <w:t>Oaktree US agrees to provide the LLP with internal audit services, as may from time to time be reasonably requested by the LLP.</w:t>
      </w:r>
    </w:p>
    <w:p>
      <w:pPr>
        <w:spacing w:after="0" w:line="160" w:lineRule="exact"/>
        <w:rPr>
          <w:rFonts w:ascii="Verdana" w:cs="Verdana" w:eastAsia="Verdana" w:hAnsi="Verdana"/>
          <w:sz w:val="13"/>
          <w:szCs w:val="13"/>
          <w:color w:val="auto"/>
        </w:rPr>
      </w:pPr>
    </w:p>
    <w:p>
      <w:pPr>
        <w:ind w:left="560" w:hanging="555"/>
        <w:spacing w:after="0"/>
        <w:tabs>
          <w:tab w:leader="none" w:pos="560" w:val="left"/>
        </w:tabs>
        <w:numPr>
          <w:ilvl w:val="0"/>
          <w:numId w:val="37"/>
        </w:numPr>
        <w:rPr>
          <w:rFonts w:ascii="Verdana" w:cs="Verdana" w:eastAsia="Verdana" w:hAnsi="Verdana"/>
          <w:sz w:val="13"/>
          <w:szCs w:val="13"/>
          <w:color w:val="auto"/>
        </w:rPr>
      </w:pPr>
      <w:r>
        <w:rPr>
          <w:rFonts w:ascii="Verdana" w:cs="Verdana" w:eastAsia="Verdana" w:hAnsi="Verdana"/>
          <w:sz w:val="13"/>
          <w:szCs w:val="13"/>
          <w:b w:val="1"/>
          <w:bCs w:val="1"/>
          <w:color w:val="auto"/>
        </w:rPr>
        <w:t>SERVICES – SUB- ADVISORY SERVICES FROM OAKTREE US TO THE LLP</w:t>
      </w:r>
    </w:p>
    <w:p>
      <w:pPr>
        <w:spacing w:after="0" w:line="160" w:lineRule="exact"/>
        <w:rPr>
          <w:rFonts w:ascii="Verdana" w:cs="Verdana" w:eastAsia="Verdana" w:hAnsi="Verdana"/>
          <w:sz w:val="13"/>
          <w:szCs w:val="13"/>
          <w:color w:val="auto"/>
        </w:rPr>
      </w:pPr>
    </w:p>
    <w:p>
      <w:pPr>
        <w:ind w:left="560"/>
        <w:spacing w:after="0"/>
        <w:rPr>
          <w:rFonts w:ascii="Verdana" w:cs="Verdana" w:eastAsia="Verdana" w:hAnsi="Verdana"/>
          <w:sz w:val="13"/>
          <w:szCs w:val="13"/>
          <w:color w:val="auto"/>
        </w:rPr>
      </w:pPr>
      <w:r>
        <w:rPr>
          <w:rFonts w:ascii="Verdana" w:cs="Verdana" w:eastAsia="Verdana" w:hAnsi="Verdana"/>
          <w:sz w:val="13"/>
          <w:szCs w:val="13"/>
          <w:color w:val="auto"/>
        </w:rPr>
        <w:t>Oaktree US agrees to provide the LLP with the sub-advisory services set out in Schedule 6.</w:t>
      </w:r>
    </w:p>
    <w:p>
      <w:pPr>
        <w:spacing w:after="0" w:line="160" w:lineRule="exact"/>
        <w:rPr>
          <w:rFonts w:ascii="Verdana" w:cs="Verdana" w:eastAsia="Verdana" w:hAnsi="Verdana"/>
          <w:sz w:val="13"/>
          <w:szCs w:val="13"/>
          <w:color w:val="auto"/>
        </w:rPr>
      </w:pPr>
    </w:p>
    <w:p>
      <w:pPr>
        <w:ind w:left="560" w:hanging="555"/>
        <w:spacing w:after="0"/>
        <w:tabs>
          <w:tab w:leader="none" w:pos="560" w:val="left"/>
        </w:tabs>
        <w:numPr>
          <w:ilvl w:val="0"/>
          <w:numId w:val="37"/>
        </w:numPr>
        <w:rPr>
          <w:rFonts w:ascii="Verdana" w:cs="Verdana" w:eastAsia="Verdana" w:hAnsi="Verdana"/>
          <w:sz w:val="13"/>
          <w:szCs w:val="13"/>
          <w:color w:val="auto"/>
        </w:rPr>
      </w:pPr>
      <w:r>
        <w:rPr>
          <w:rFonts w:ascii="Verdana" w:cs="Verdana" w:eastAsia="Verdana" w:hAnsi="Verdana"/>
          <w:sz w:val="13"/>
          <w:szCs w:val="13"/>
          <w:b w:val="1"/>
          <w:bCs w:val="1"/>
          <w:color w:val="auto"/>
        </w:rPr>
        <w:t>SERVICES – GENERAL</w:t>
      </w:r>
    </w:p>
    <w:p>
      <w:pPr>
        <w:spacing w:after="0" w:line="160" w:lineRule="exact"/>
        <w:rPr>
          <w:rFonts w:ascii="Verdana" w:cs="Verdana" w:eastAsia="Verdana" w:hAnsi="Verdana"/>
          <w:sz w:val="13"/>
          <w:szCs w:val="13"/>
          <w:color w:val="auto"/>
        </w:rPr>
      </w:pPr>
    </w:p>
    <w:p>
      <w:pPr>
        <w:ind w:left="560"/>
        <w:spacing w:after="0"/>
        <w:rPr>
          <w:rFonts w:ascii="Verdana" w:cs="Verdana" w:eastAsia="Verdana" w:hAnsi="Verdana"/>
          <w:sz w:val="13"/>
          <w:szCs w:val="13"/>
          <w:color w:val="auto"/>
        </w:rPr>
      </w:pPr>
      <w:r>
        <w:rPr>
          <w:rFonts w:ascii="Verdana" w:cs="Verdana" w:eastAsia="Verdana" w:hAnsi="Verdana"/>
          <w:sz w:val="13"/>
          <w:szCs w:val="13"/>
          <w:color w:val="auto"/>
        </w:rPr>
        <w:t>Either party shall provide any other services, in addition to those set out in this Agreement, which the other party may reasonably request from time to time.</w:t>
      </w:r>
    </w:p>
    <w:p>
      <w:pPr>
        <w:spacing w:after="0" w:line="160" w:lineRule="exact"/>
        <w:rPr>
          <w:rFonts w:ascii="Verdana" w:cs="Verdana" w:eastAsia="Verdana" w:hAnsi="Verdana"/>
          <w:sz w:val="13"/>
          <w:szCs w:val="13"/>
          <w:color w:val="auto"/>
        </w:rPr>
      </w:pPr>
    </w:p>
    <w:p>
      <w:pPr>
        <w:ind w:left="560" w:hanging="555"/>
        <w:spacing w:after="0"/>
        <w:tabs>
          <w:tab w:leader="none" w:pos="560" w:val="left"/>
        </w:tabs>
        <w:numPr>
          <w:ilvl w:val="0"/>
          <w:numId w:val="37"/>
        </w:numPr>
        <w:rPr>
          <w:rFonts w:ascii="Verdana" w:cs="Verdana" w:eastAsia="Verdana" w:hAnsi="Verdana"/>
          <w:sz w:val="13"/>
          <w:szCs w:val="13"/>
          <w:color w:val="auto"/>
        </w:rPr>
      </w:pPr>
      <w:r>
        <w:rPr>
          <w:rFonts w:ascii="Verdana" w:cs="Verdana" w:eastAsia="Verdana" w:hAnsi="Verdana"/>
          <w:sz w:val="13"/>
          <w:szCs w:val="13"/>
          <w:b w:val="1"/>
          <w:bCs w:val="1"/>
          <w:color w:val="auto"/>
        </w:rPr>
        <w:t>FEES</w:t>
      </w:r>
    </w:p>
    <w:p>
      <w:pPr>
        <w:spacing w:after="0" w:line="160" w:lineRule="exact"/>
        <w:rPr>
          <w:sz w:val="20"/>
          <w:szCs w:val="20"/>
          <w:color w:val="auto"/>
        </w:rPr>
      </w:pPr>
    </w:p>
    <w:p>
      <w:pPr>
        <w:ind w:left="540" w:hanging="552"/>
        <w:spacing w:after="0" w:line="253" w:lineRule="auto"/>
        <w:tabs>
          <w:tab w:leader="none" w:pos="520" w:val="left"/>
        </w:tabs>
        <w:rPr>
          <w:sz w:val="20"/>
          <w:szCs w:val="20"/>
          <w:color w:val="auto"/>
        </w:rPr>
      </w:pPr>
      <w:r>
        <w:rPr>
          <w:rFonts w:ascii="Verdana" w:cs="Verdana" w:eastAsia="Verdana" w:hAnsi="Verdana"/>
          <w:sz w:val="13"/>
          <w:szCs w:val="13"/>
          <w:color w:val="auto"/>
        </w:rPr>
        <w:t>10.1</w:t>
      </w:r>
      <w:r>
        <w:rPr>
          <w:sz w:val="20"/>
          <w:szCs w:val="20"/>
          <w:color w:val="auto"/>
        </w:rPr>
        <w:tab/>
      </w:r>
      <w:r>
        <w:rPr>
          <w:rFonts w:ascii="Verdana" w:cs="Verdana" w:eastAsia="Verdana" w:hAnsi="Verdana"/>
          <w:sz w:val="13"/>
          <w:szCs w:val="13"/>
          <w:color w:val="auto"/>
        </w:rPr>
        <w:t xml:space="preserve">In consideration of the provision of services by either party under this Agreement, either party may pay to the other party a fee, the amount of which is to be determined between the parties from time to time (the </w:t>
      </w:r>
      <w:r>
        <w:rPr>
          <w:rFonts w:ascii="Verdana" w:cs="Verdana" w:eastAsia="Verdana" w:hAnsi="Verdana"/>
          <w:sz w:val="13"/>
          <w:szCs w:val="13"/>
          <w:b w:val="1"/>
          <w:bCs w:val="1"/>
          <w:color w:val="auto"/>
        </w:rPr>
        <w:t>"Service Fee"</w:t>
      </w:r>
      <w:r>
        <w:rPr>
          <w:rFonts w:ascii="Verdana" w:cs="Verdana" w:eastAsia="Verdana" w:hAnsi="Verdana"/>
          <w:sz w:val="13"/>
          <w:szCs w:val="13"/>
          <w:color w:val="auto"/>
        </w:rPr>
        <w:t>).</w:t>
      </w:r>
    </w:p>
    <w:p>
      <w:pPr>
        <w:spacing w:after="0" w:line="144" w:lineRule="exact"/>
        <w:rPr>
          <w:sz w:val="20"/>
          <w:szCs w:val="20"/>
          <w:color w:val="auto"/>
        </w:rPr>
      </w:pPr>
    </w:p>
    <w:p>
      <w:pPr>
        <w:ind w:left="560" w:hanging="555"/>
        <w:spacing w:after="0"/>
        <w:tabs>
          <w:tab w:leader="none" w:pos="560" w:val="left"/>
        </w:tabs>
        <w:numPr>
          <w:ilvl w:val="0"/>
          <w:numId w:val="38"/>
        </w:numPr>
        <w:rPr>
          <w:rFonts w:ascii="Verdana" w:cs="Verdana" w:eastAsia="Verdana" w:hAnsi="Verdana"/>
          <w:sz w:val="13"/>
          <w:szCs w:val="13"/>
          <w:color w:val="auto"/>
        </w:rPr>
      </w:pPr>
      <w:r>
        <w:rPr>
          <w:rFonts w:ascii="Verdana" w:cs="Verdana" w:eastAsia="Verdana" w:hAnsi="Verdana"/>
          <w:sz w:val="13"/>
          <w:szCs w:val="13"/>
          <w:b w:val="1"/>
          <w:bCs w:val="1"/>
          <w:color w:val="auto"/>
        </w:rPr>
        <w:t>ADMINISTRATIVE FUNCTIONS</w:t>
      </w:r>
    </w:p>
    <w:p>
      <w:pPr>
        <w:spacing w:after="0" w:line="160" w:lineRule="exact"/>
        <w:rPr>
          <w:rFonts w:ascii="Verdana" w:cs="Verdana" w:eastAsia="Verdana" w:hAnsi="Verdana"/>
          <w:sz w:val="13"/>
          <w:szCs w:val="13"/>
          <w:color w:val="auto"/>
        </w:rPr>
      </w:pPr>
    </w:p>
    <w:p>
      <w:pPr>
        <w:ind w:left="560"/>
        <w:spacing w:after="0" w:line="253" w:lineRule="auto"/>
        <w:rPr>
          <w:rFonts w:ascii="Verdana" w:cs="Verdana" w:eastAsia="Verdana" w:hAnsi="Verdana"/>
          <w:sz w:val="13"/>
          <w:szCs w:val="13"/>
          <w:color w:val="auto"/>
        </w:rPr>
      </w:pPr>
      <w:r>
        <w:rPr>
          <w:rFonts w:ascii="Verdana" w:cs="Verdana" w:eastAsia="Verdana" w:hAnsi="Verdana"/>
          <w:sz w:val="13"/>
          <w:szCs w:val="13"/>
          <w:color w:val="auto"/>
        </w:rPr>
        <w:t>Oaktree US and its affiliates will provide certain fund and investor accounting, fund investor reporting, custodial services and similar administrative functions required in</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5</w:t>
      </w:r>
    </w:p>
    <w:p>
      <w:pPr>
        <w:sectPr>
          <w:pgSz w:w="11900" w:h="16838" w:orient="portrait"/>
          <w:cols w:equalWidth="0" w:num="1">
            <w:col w:w="11280"/>
          </w:cols>
          <w:pgMar w:left="300" w:top="1157" w:right="319" w:bottom="1440" w:gutter="0" w:footer="0" w:header="0"/>
        </w:sectPr>
      </w:pPr>
    </w:p>
    <w:bookmarkStart w:id="231" w:name="page232"/>
    <w:bookmarkEnd w:id="231"/>
    <w:p>
      <w:pPr>
        <w:ind w:left="555"/>
        <w:spacing w:after="0"/>
        <w:rPr>
          <w:sz w:val="20"/>
          <w:szCs w:val="20"/>
          <w:color w:val="auto"/>
        </w:rPr>
      </w:pPr>
      <w:r>
        <w:rPr>
          <w:rFonts w:ascii="Verdana" w:cs="Verdana" w:eastAsia="Verdana" w:hAnsi="Verdana"/>
          <w:sz w:val="12"/>
          <w:szCs w:val="12"/>
          <w:color w:val="auto"/>
        </w:rPr>
        <w:t>respect of the Funds. Oaktree US will provide such services in a manner and quality consistent with past practices in connection with the management of the Funds.</w:t>
      </w:r>
    </w:p>
    <w:p>
      <w:pPr>
        <w:spacing w:after="0" w:line="172" w:lineRule="exact"/>
        <w:rPr>
          <w:sz w:val="20"/>
          <w:szCs w:val="20"/>
          <w:color w:val="auto"/>
        </w:rPr>
      </w:pPr>
    </w:p>
    <w:p>
      <w:pPr>
        <w:ind w:left="555" w:hanging="555"/>
        <w:spacing w:after="0"/>
        <w:tabs>
          <w:tab w:leader="none" w:pos="555" w:val="left"/>
        </w:tabs>
        <w:numPr>
          <w:ilvl w:val="0"/>
          <w:numId w:val="39"/>
        </w:numPr>
        <w:rPr>
          <w:rFonts w:ascii="Verdana" w:cs="Verdana" w:eastAsia="Verdana" w:hAnsi="Verdana"/>
          <w:sz w:val="13"/>
          <w:szCs w:val="13"/>
          <w:color w:val="auto"/>
        </w:rPr>
      </w:pPr>
      <w:r>
        <w:rPr>
          <w:rFonts w:ascii="Verdana" w:cs="Verdana" w:eastAsia="Verdana" w:hAnsi="Verdana"/>
          <w:sz w:val="13"/>
          <w:szCs w:val="13"/>
          <w:b w:val="1"/>
          <w:bCs w:val="1"/>
          <w:color w:val="auto"/>
        </w:rPr>
        <w:t>DATA PROTECTION</w:t>
      </w:r>
    </w:p>
    <w:p>
      <w:pPr>
        <w:spacing w:after="0" w:line="160" w:lineRule="exact"/>
        <w:rPr>
          <w:rFonts w:ascii="Verdana" w:cs="Verdana" w:eastAsia="Verdana" w:hAnsi="Verdana"/>
          <w:sz w:val="13"/>
          <w:szCs w:val="13"/>
          <w:color w:val="auto"/>
        </w:rPr>
      </w:pPr>
    </w:p>
    <w:p>
      <w:pPr>
        <w:ind w:left="555"/>
        <w:spacing w:after="0" w:line="253" w:lineRule="auto"/>
        <w:rPr>
          <w:rFonts w:ascii="Verdana" w:cs="Verdana" w:eastAsia="Verdana" w:hAnsi="Verdana"/>
          <w:sz w:val="13"/>
          <w:szCs w:val="13"/>
          <w:color w:val="auto"/>
        </w:rPr>
      </w:pPr>
      <w:r>
        <w:rPr>
          <w:rFonts w:ascii="Verdana" w:cs="Verdana" w:eastAsia="Verdana" w:hAnsi="Verdana"/>
          <w:sz w:val="13"/>
          <w:szCs w:val="13"/>
          <w:color w:val="auto"/>
        </w:rPr>
        <w:t>The parties agree that the terms of the Intra-Group Transfer and Processing Agreement, dated 30 December 2020 (as amended from time to time) ("</w:t>
      </w:r>
      <w:r>
        <w:rPr>
          <w:rFonts w:ascii="Verdana" w:cs="Verdana" w:eastAsia="Verdana" w:hAnsi="Verdana"/>
          <w:sz w:val="13"/>
          <w:szCs w:val="13"/>
          <w:b w:val="1"/>
          <w:bCs w:val="1"/>
          <w:color w:val="auto"/>
        </w:rPr>
        <w:t>Data</w:t>
      </w:r>
      <w:r>
        <w:rPr>
          <w:rFonts w:ascii="Verdana" w:cs="Verdana" w:eastAsia="Verdana" w:hAnsi="Verdana"/>
          <w:sz w:val="13"/>
          <w:szCs w:val="13"/>
          <w:color w:val="auto"/>
        </w:rPr>
        <w:t xml:space="preserve"> </w:t>
      </w:r>
      <w:r>
        <w:rPr>
          <w:rFonts w:ascii="Verdana" w:cs="Verdana" w:eastAsia="Verdana" w:hAnsi="Verdana"/>
          <w:sz w:val="13"/>
          <w:szCs w:val="13"/>
          <w:b w:val="1"/>
          <w:bCs w:val="1"/>
          <w:color w:val="auto"/>
        </w:rPr>
        <w:t>Agreement</w:t>
      </w:r>
      <w:r>
        <w:rPr>
          <w:rFonts w:ascii="Verdana" w:cs="Verdana" w:eastAsia="Verdana" w:hAnsi="Verdana"/>
          <w:sz w:val="13"/>
          <w:szCs w:val="13"/>
          <w:color w:val="auto"/>
        </w:rPr>
        <w:t>") apply to this Agreement including but not limited to any Personal Data (as defined in the Data Agreement).</w:t>
      </w:r>
    </w:p>
    <w:p>
      <w:pPr>
        <w:spacing w:after="0" w:line="144" w:lineRule="exact"/>
        <w:rPr>
          <w:rFonts w:ascii="Verdana" w:cs="Verdana" w:eastAsia="Verdana" w:hAnsi="Verdana"/>
          <w:sz w:val="13"/>
          <w:szCs w:val="13"/>
          <w:color w:val="auto"/>
        </w:rPr>
      </w:pPr>
    </w:p>
    <w:p>
      <w:pPr>
        <w:ind w:left="555" w:hanging="555"/>
        <w:spacing w:after="0"/>
        <w:tabs>
          <w:tab w:leader="none" w:pos="555" w:val="left"/>
        </w:tabs>
        <w:numPr>
          <w:ilvl w:val="0"/>
          <w:numId w:val="39"/>
        </w:numPr>
        <w:rPr>
          <w:rFonts w:ascii="Verdana" w:cs="Verdana" w:eastAsia="Verdana" w:hAnsi="Verdana"/>
          <w:sz w:val="13"/>
          <w:szCs w:val="13"/>
          <w:color w:val="auto"/>
        </w:rPr>
      </w:pPr>
      <w:r>
        <w:rPr>
          <w:rFonts w:ascii="Verdana" w:cs="Verdana" w:eastAsia="Verdana" w:hAnsi="Verdana"/>
          <w:sz w:val="13"/>
          <w:szCs w:val="13"/>
          <w:b w:val="1"/>
          <w:bCs w:val="1"/>
          <w:color w:val="auto"/>
        </w:rPr>
        <w:t>CUSTODY</w:t>
      </w:r>
    </w:p>
    <w:p>
      <w:pPr>
        <w:spacing w:after="0" w:line="160" w:lineRule="exact"/>
        <w:rPr>
          <w:sz w:val="20"/>
          <w:szCs w:val="20"/>
          <w:color w:val="auto"/>
        </w:rPr>
      </w:pPr>
    </w:p>
    <w:p>
      <w:pPr>
        <w:jc w:val="both"/>
        <w:ind w:left="535" w:hanging="552"/>
        <w:spacing w:after="0" w:line="256" w:lineRule="auto"/>
        <w:tabs>
          <w:tab w:leader="none" w:pos="515" w:val="left"/>
        </w:tabs>
        <w:rPr>
          <w:sz w:val="20"/>
          <w:szCs w:val="20"/>
          <w:color w:val="auto"/>
        </w:rPr>
      </w:pPr>
      <w:r>
        <w:rPr>
          <w:rFonts w:ascii="Verdana" w:cs="Verdana" w:eastAsia="Verdana" w:hAnsi="Verdana"/>
          <w:sz w:val="13"/>
          <w:szCs w:val="13"/>
          <w:color w:val="auto"/>
        </w:rPr>
        <w:t>13.1</w:t>
      </w:r>
      <w:r>
        <w:rPr>
          <w:sz w:val="20"/>
          <w:szCs w:val="20"/>
          <w:color w:val="auto"/>
        </w:rPr>
        <w:tab/>
      </w:r>
      <w:r>
        <w:rPr>
          <w:rFonts w:ascii="Verdana" w:cs="Verdana" w:eastAsia="Verdana" w:hAnsi="Verdana"/>
          <w:sz w:val="13"/>
          <w:szCs w:val="13"/>
          <w:color w:val="auto"/>
        </w:rPr>
        <w:t>All documents of or evidencing title to the Funds' investments shall be held in safe custody facilities by a custodian to be selected by Oaktree US (the “</w:t>
      </w:r>
      <w:r>
        <w:rPr>
          <w:rFonts w:ascii="Verdana" w:cs="Verdana" w:eastAsia="Verdana" w:hAnsi="Verdana"/>
          <w:sz w:val="13"/>
          <w:szCs w:val="13"/>
          <w:b w:val="1"/>
          <w:bCs w:val="1"/>
          <w:color w:val="auto"/>
        </w:rPr>
        <w:t>Custodian</w:t>
      </w:r>
      <w:r>
        <w:rPr>
          <w:rFonts w:ascii="Verdana" w:cs="Verdana" w:eastAsia="Verdana" w:hAnsi="Verdana"/>
          <w:sz w:val="13"/>
          <w:szCs w:val="13"/>
          <w:color w:val="auto"/>
        </w:rPr>
        <w:t>”) subject to the terms of a custody agreement made between Oaktree US and the Custodian and subject to such other arrangements and procedures as may be agreed between Oaktree US and the Custodian from time to time. The LLP shall at no time have custody or physical control of the invested assets of the Funds nor shall it be liable for any act or omission of the Custodian.</w:t>
      </w:r>
    </w:p>
    <w:p>
      <w:pPr>
        <w:spacing w:after="0" w:line="143" w:lineRule="exact"/>
        <w:rPr>
          <w:sz w:val="20"/>
          <w:szCs w:val="20"/>
          <w:color w:val="auto"/>
        </w:rPr>
      </w:pPr>
    </w:p>
    <w:p>
      <w:pPr>
        <w:jc w:val="both"/>
        <w:ind w:left="535" w:hanging="552"/>
        <w:spacing w:after="0" w:line="247" w:lineRule="auto"/>
        <w:tabs>
          <w:tab w:leader="none" w:pos="515" w:val="left"/>
        </w:tabs>
        <w:rPr>
          <w:sz w:val="20"/>
          <w:szCs w:val="20"/>
          <w:color w:val="auto"/>
        </w:rPr>
      </w:pPr>
      <w:r>
        <w:rPr>
          <w:rFonts w:ascii="Verdana" w:cs="Verdana" w:eastAsia="Verdana" w:hAnsi="Verdana"/>
          <w:sz w:val="13"/>
          <w:szCs w:val="13"/>
          <w:color w:val="auto"/>
        </w:rPr>
        <w:t>13.2</w:t>
      </w:r>
      <w:r>
        <w:rPr>
          <w:sz w:val="20"/>
          <w:szCs w:val="20"/>
          <w:color w:val="auto"/>
        </w:rPr>
        <w:tab/>
      </w:r>
      <w:r>
        <w:rPr>
          <w:rFonts w:ascii="Verdana" w:cs="Verdana" w:eastAsia="Verdana" w:hAnsi="Verdana"/>
          <w:sz w:val="13"/>
          <w:szCs w:val="13"/>
          <w:color w:val="auto"/>
        </w:rPr>
        <w:t>Oaktree US shall take such additional steps (in addition to the authorities and powers hereby conferred) as are necessary to procure that the LLP is able, on behalf of Oaktree US, to operate the bank accounts of the Discretionary Funds so far as necessary for the LLP to exercise all of its powers and discretions and perform all of its duties under this Agreement.</w:t>
      </w:r>
    </w:p>
    <w:p>
      <w:pPr>
        <w:spacing w:after="0" w:line="149" w:lineRule="exact"/>
        <w:rPr>
          <w:sz w:val="20"/>
          <w:szCs w:val="20"/>
          <w:color w:val="auto"/>
        </w:rPr>
      </w:pPr>
    </w:p>
    <w:p>
      <w:pPr>
        <w:ind w:left="555" w:hanging="555"/>
        <w:spacing w:after="0"/>
        <w:tabs>
          <w:tab w:leader="none" w:pos="555" w:val="left"/>
        </w:tabs>
        <w:numPr>
          <w:ilvl w:val="0"/>
          <w:numId w:val="40"/>
        </w:numPr>
        <w:rPr>
          <w:rFonts w:ascii="Verdana" w:cs="Verdana" w:eastAsia="Verdana" w:hAnsi="Verdana"/>
          <w:sz w:val="13"/>
          <w:szCs w:val="13"/>
          <w:color w:val="auto"/>
        </w:rPr>
      </w:pPr>
      <w:r>
        <w:rPr>
          <w:rFonts w:ascii="Verdana" w:cs="Verdana" w:eastAsia="Verdana" w:hAnsi="Verdana"/>
          <w:sz w:val="13"/>
          <w:szCs w:val="13"/>
          <w:b w:val="1"/>
          <w:bCs w:val="1"/>
          <w:color w:val="auto"/>
        </w:rPr>
        <w:t>RECORDS AND REPORTS</w:t>
      </w:r>
    </w:p>
    <w:p>
      <w:pPr>
        <w:spacing w:after="0" w:line="160" w:lineRule="exact"/>
        <w:rPr>
          <w:sz w:val="20"/>
          <w:szCs w:val="20"/>
          <w:color w:val="auto"/>
        </w:rPr>
      </w:pPr>
    </w:p>
    <w:p>
      <w:pPr>
        <w:jc w:val="both"/>
        <w:ind w:left="535" w:hanging="552"/>
        <w:spacing w:after="0" w:line="255" w:lineRule="auto"/>
        <w:tabs>
          <w:tab w:leader="none" w:pos="515" w:val="left"/>
        </w:tabs>
        <w:rPr>
          <w:sz w:val="20"/>
          <w:szCs w:val="20"/>
          <w:color w:val="auto"/>
        </w:rPr>
      </w:pPr>
      <w:r>
        <w:rPr>
          <w:rFonts w:ascii="Verdana" w:cs="Verdana" w:eastAsia="Verdana" w:hAnsi="Verdana"/>
          <w:sz w:val="13"/>
          <w:szCs w:val="13"/>
          <w:color w:val="auto"/>
        </w:rPr>
        <w:t>14.1</w:t>
      </w:r>
      <w:r>
        <w:rPr>
          <w:sz w:val="20"/>
          <w:szCs w:val="20"/>
          <w:color w:val="auto"/>
        </w:rPr>
        <w:tab/>
      </w:r>
      <w:r>
        <w:rPr>
          <w:rFonts w:ascii="Verdana" w:cs="Verdana" w:eastAsia="Verdana" w:hAnsi="Verdana"/>
          <w:sz w:val="13"/>
          <w:szCs w:val="13"/>
          <w:color w:val="auto"/>
        </w:rPr>
        <w:t>The LLP shall maintain proper and complete records relating to the services to be provided under this Agreement for such period of time as may be required under applicable law, including (as applicable, in respect of the relevant Discretionary Funds) records with respect to the acquisition, holding and disposal of securities on behalf of the Funds, details of all brokers used and the aggregate dollar amount of brokerage commission paid in that regard to each broker.</w:t>
      </w:r>
    </w:p>
    <w:p>
      <w:pPr>
        <w:spacing w:after="0" w:line="144" w:lineRule="exact"/>
        <w:rPr>
          <w:sz w:val="20"/>
          <w:szCs w:val="20"/>
          <w:color w:val="auto"/>
        </w:rPr>
      </w:pPr>
    </w:p>
    <w:p>
      <w:pPr>
        <w:jc w:val="both"/>
        <w:ind w:left="535" w:hanging="552"/>
        <w:spacing w:after="0" w:line="250" w:lineRule="auto"/>
        <w:tabs>
          <w:tab w:leader="none" w:pos="515" w:val="left"/>
        </w:tabs>
        <w:rPr>
          <w:sz w:val="20"/>
          <w:szCs w:val="20"/>
          <w:color w:val="auto"/>
        </w:rPr>
      </w:pPr>
      <w:r>
        <w:rPr>
          <w:rFonts w:ascii="Verdana" w:cs="Verdana" w:eastAsia="Verdana" w:hAnsi="Verdana"/>
          <w:sz w:val="13"/>
          <w:szCs w:val="13"/>
          <w:color w:val="auto"/>
        </w:rPr>
        <w:t>14.2</w:t>
      </w:r>
      <w:r>
        <w:rPr>
          <w:sz w:val="20"/>
          <w:szCs w:val="20"/>
          <w:color w:val="auto"/>
        </w:rPr>
        <w:tab/>
      </w:r>
      <w:r>
        <w:rPr>
          <w:rFonts w:ascii="Verdana" w:cs="Verdana" w:eastAsia="Verdana" w:hAnsi="Verdana"/>
          <w:sz w:val="13"/>
          <w:szCs w:val="13"/>
          <w:color w:val="auto"/>
        </w:rPr>
        <w:t>Except as expressly authorised in this Agreement or as required by applicable law, regulation or court order, or as directed by Oaktree US in writing, the LLP shall keep confidential the records and other information pertaining to Oaktree US and the Funds or the investment assets the subject of this Agreement (save for any records or information pertaining to the LLP’s own employees and affiliates, which shall be excluded from the obligations contained in this clause). Upon termination of this Agreement, the LLP shall promptly, upon demand, return to Oaktree US all such records, except that the LLP may retain copies for its records as may be required by applicable law, regulation or court order, and provided that the LLP’s confidentiality obligations shall continue in full force and effect with respect to such retained records not within the public domain.</w:t>
      </w:r>
    </w:p>
    <w:p>
      <w:pPr>
        <w:spacing w:after="0" w:line="148" w:lineRule="exact"/>
        <w:rPr>
          <w:sz w:val="20"/>
          <w:szCs w:val="20"/>
          <w:color w:val="auto"/>
        </w:rPr>
      </w:pPr>
    </w:p>
    <w:p>
      <w:pPr>
        <w:jc w:val="both"/>
        <w:ind w:left="535" w:hanging="552"/>
        <w:spacing w:after="0" w:line="253" w:lineRule="auto"/>
        <w:tabs>
          <w:tab w:leader="none" w:pos="515" w:val="left"/>
        </w:tabs>
        <w:rPr>
          <w:sz w:val="20"/>
          <w:szCs w:val="20"/>
          <w:color w:val="auto"/>
        </w:rPr>
      </w:pPr>
      <w:r>
        <w:rPr>
          <w:rFonts w:ascii="Verdana" w:cs="Verdana" w:eastAsia="Verdana" w:hAnsi="Verdana"/>
          <w:sz w:val="13"/>
          <w:szCs w:val="13"/>
          <w:color w:val="auto"/>
        </w:rPr>
        <w:t>14.3</w:t>
      </w:r>
      <w:r>
        <w:rPr>
          <w:sz w:val="20"/>
          <w:szCs w:val="20"/>
          <w:color w:val="auto"/>
        </w:rPr>
        <w:tab/>
      </w:r>
      <w:r>
        <w:rPr>
          <w:rFonts w:ascii="Verdana" w:cs="Verdana" w:eastAsia="Verdana" w:hAnsi="Verdana"/>
          <w:sz w:val="13"/>
          <w:szCs w:val="13"/>
          <w:color w:val="auto"/>
        </w:rPr>
        <w:t>The LLP shall provide to Oaktree US promptly upon request any information available in the records maintained by the LLP relating to the Funds in such form as Oaktree US shall request.</w:t>
      </w:r>
    </w:p>
    <w:p>
      <w:pPr>
        <w:spacing w:after="0" w:line="144" w:lineRule="exact"/>
        <w:rPr>
          <w:sz w:val="20"/>
          <w:szCs w:val="20"/>
          <w:color w:val="auto"/>
        </w:rPr>
      </w:pPr>
    </w:p>
    <w:p>
      <w:pPr>
        <w:ind w:left="555" w:hanging="555"/>
        <w:spacing w:after="0"/>
        <w:tabs>
          <w:tab w:leader="none" w:pos="555" w:val="left"/>
        </w:tabs>
        <w:numPr>
          <w:ilvl w:val="0"/>
          <w:numId w:val="41"/>
        </w:numPr>
        <w:rPr>
          <w:rFonts w:ascii="Verdana" w:cs="Verdana" w:eastAsia="Verdana" w:hAnsi="Verdana"/>
          <w:sz w:val="13"/>
          <w:szCs w:val="13"/>
          <w:color w:val="auto"/>
        </w:rPr>
      </w:pPr>
      <w:r>
        <w:rPr>
          <w:rFonts w:ascii="Verdana" w:cs="Verdana" w:eastAsia="Verdana" w:hAnsi="Verdana"/>
          <w:sz w:val="13"/>
          <w:szCs w:val="13"/>
          <w:b w:val="1"/>
          <w:bCs w:val="1"/>
          <w:color w:val="auto"/>
        </w:rPr>
        <w:t>LIABILITY AND INDEMNIFICATION</w:t>
      </w:r>
    </w:p>
    <w:p>
      <w:pPr>
        <w:spacing w:after="0" w:line="160" w:lineRule="exact"/>
        <w:rPr>
          <w:sz w:val="20"/>
          <w:szCs w:val="20"/>
          <w:color w:val="auto"/>
        </w:rPr>
      </w:pPr>
    </w:p>
    <w:p>
      <w:pPr>
        <w:jc w:val="both"/>
        <w:ind w:left="535" w:hanging="552"/>
        <w:spacing w:after="0" w:line="252" w:lineRule="auto"/>
        <w:tabs>
          <w:tab w:leader="none" w:pos="515" w:val="left"/>
        </w:tabs>
        <w:rPr>
          <w:sz w:val="20"/>
          <w:szCs w:val="20"/>
          <w:color w:val="auto"/>
        </w:rPr>
      </w:pPr>
      <w:r>
        <w:rPr>
          <w:rFonts w:ascii="Verdana" w:cs="Verdana" w:eastAsia="Verdana" w:hAnsi="Verdana"/>
          <w:sz w:val="13"/>
          <w:szCs w:val="13"/>
          <w:color w:val="auto"/>
        </w:rPr>
        <w:t>15.1</w:t>
      </w:r>
      <w:r>
        <w:rPr>
          <w:sz w:val="20"/>
          <w:szCs w:val="20"/>
          <w:color w:val="auto"/>
        </w:rPr>
        <w:tab/>
      </w:r>
      <w:r>
        <w:rPr>
          <w:rFonts w:ascii="Verdana" w:cs="Verdana" w:eastAsia="Verdana" w:hAnsi="Verdana"/>
          <w:sz w:val="13"/>
          <w:szCs w:val="13"/>
          <w:color w:val="auto"/>
        </w:rPr>
        <w:t xml:space="preserve">In providing its services under this Agreement, the LLP will discharge its duties in accordance with the same standard of care established for Oaktree US in the relevant Fund Agreements, and will be indemnified by each of the Funds as an agent of Oaktree US in accordance with such Fund Agreements. To the extent Oaktree US and its affiliates, directors, officers, employees, shareholders, assigns, representatives or agents (apart from the LLP) (collectively, </w:t>
      </w:r>
      <w:r>
        <w:rPr>
          <w:rFonts w:ascii="Verdana" w:cs="Verdana" w:eastAsia="Verdana" w:hAnsi="Verdana"/>
          <w:sz w:val="13"/>
          <w:szCs w:val="13"/>
          <w:b w:val="1"/>
          <w:bCs w:val="1"/>
          <w:color w:val="auto"/>
        </w:rPr>
        <w:t>"Oaktree US Indemnities"</w:t>
      </w:r>
      <w:r>
        <w:rPr>
          <w:rFonts w:ascii="Verdana" w:cs="Verdana" w:eastAsia="Verdana" w:hAnsi="Verdana"/>
          <w:sz w:val="13"/>
          <w:szCs w:val="13"/>
          <w:color w:val="auto"/>
        </w:rPr>
        <w:t xml:space="preserve">) suffer any liability, loss (including amounts paid in settlement), damages or expenses (including reasonable attorneys' fees) (collectively </w:t>
      </w:r>
      <w:r>
        <w:rPr>
          <w:rFonts w:ascii="Verdana" w:cs="Verdana" w:eastAsia="Verdana" w:hAnsi="Verdana"/>
          <w:sz w:val="13"/>
          <w:szCs w:val="13"/>
          <w:b w:val="1"/>
          <w:bCs w:val="1"/>
          <w:color w:val="auto"/>
        </w:rPr>
        <w:t>"Losses"</w:t>
      </w:r>
      <w:r>
        <w:rPr>
          <w:rFonts w:ascii="Verdana" w:cs="Verdana" w:eastAsia="Verdana" w:hAnsi="Verdana"/>
          <w:sz w:val="13"/>
          <w:szCs w:val="13"/>
          <w:color w:val="auto"/>
        </w:rPr>
        <w:t>) in connection with the Funds, and:-</w:t>
      </w:r>
    </w:p>
    <w:p>
      <w:pPr>
        <w:spacing w:after="0" w:line="200" w:lineRule="exact"/>
        <w:rPr>
          <w:sz w:val="20"/>
          <w:szCs w:val="20"/>
          <w:color w:val="auto"/>
        </w:rPr>
      </w:pPr>
    </w:p>
    <w:p>
      <w:pPr>
        <w:spacing w:after="0" w:line="307" w:lineRule="exact"/>
        <w:rPr>
          <w:sz w:val="20"/>
          <w:szCs w:val="20"/>
          <w:color w:val="auto"/>
        </w:rPr>
      </w:pPr>
    </w:p>
    <w:p>
      <w:pPr>
        <w:jc w:val="center"/>
        <w:ind w:right="-54"/>
        <w:spacing w:after="0"/>
        <w:rPr>
          <w:sz w:val="20"/>
          <w:szCs w:val="20"/>
          <w:color w:val="auto"/>
        </w:rPr>
      </w:pPr>
      <w:r>
        <w:rPr>
          <w:rFonts w:ascii="Verdana" w:cs="Verdana" w:eastAsia="Verdana" w:hAnsi="Verdana"/>
          <w:sz w:val="13"/>
          <w:szCs w:val="13"/>
          <w:color w:val="auto"/>
        </w:rPr>
        <w:t>6</w:t>
      </w:r>
    </w:p>
    <w:p>
      <w:pPr>
        <w:sectPr>
          <w:pgSz w:w="11900" w:h="16838" w:orient="portrait"/>
          <w:cols w:equalWidth="0" w:num="1">
            <w:col w:w="11275"/>
          </w:cols>
          <w:pgMar w:left="305" w:top="1157" w:right="319" w:bottom="1440" w:gutter="0" w:footer="0" w:header="0"/>
        </w:sectPr>
      </w:pPr>
    </w:p>
    <w:bookmarkStart w:id="232" w:name="page233"/>
    <w:bookmarkEnd w:id="232"/>
    <w:p>
      <w:pPr>
        <w:ind w:left="1000" w:hanging="442"/>
        <w:spacing w:after="0"/>
        <w:tabs>
          <w:tab w:leader="none" w:pos="1000" w:val="left"/>
        </w:tabs>
        <w:numPr>
          <w:ilvl w:val="0"/>
          <w:numId w:val="42"/>
        </w:numPr>
        <w:rPr>
          <w:rFonts w:ascii="Verdana" w:cs="Verdana" w:eastAsia="Verdana" w:hAnsi="Verdana"/>
          <w:sz w:val="13"/>
          <w:szCs w:val="13"/>
          <w:color w:val="auto"/>
        </w:rPr>
      </w:pPr>
      <w:r>
        <w:rPr>
          <w:rFonts w:ascii="Verdana" w:cs="Verdana" w:eastAsia="Verdana" w:hAnsi="Verdana"/>
          <w:sz w:val="13"/>
          <w:szCs w:val="13"/>
          <w:color w:val="auto"/>
        </w:rPr>
        <w:t>Oaktree US Indemnities are not indemnified by the Funds for such Losses under the indemnification provisions of the applicable Fund Agreements;</w:t>
      </w:r>
    </w:p>
    <w:p>
      <w:pPr>
        <w:spacing w:after="0" w:line="160" w:lineRule="exact"/>
        <w:rPr>
          <w:rFonts w:ascii="Verdana" w:cs="Verdana" w:eastAsia="Verdana" w:hAnsi="Verdana"/>
          <w:sz w:val="13"/>
          <w:szCs w:val="13"/>
          <w:color w:val="auto"/>
        </w:rPr>
      </w:pPr>
    </w:p>
    <w:p>
      <w:pPr>
        <w:ind w:left="1000" w:hanging="442"/>
        <w:spacing w:after="0"/>
        <w:tabs>
          <w:tab w:leader="none" w:pos="1000" w:val="left"/>
        </w:tabs>
        <w:numPr>
          <w:ilvl w:val="0"/>
          <w:numId w:val="42"/>
        </w:numPr>
        <w:rPr>
          <w:rFonts w:ascii="Verdana" w:cs="Verdana" w:eastAsia="Verdana" w:hAnsi="Verdana"/>
          <w:sz w:val="13"/>
          <w:szCs w:val="13"/>
          <w:color w:val="auto"/>
        </w:rPr>
      </w:pPr>
      <w:r>
        <w:rPr>
          <w:rFonts w:ascii="Verdana" w:cs="Verdana" w:eastAsia="Verdana" w:hAnsi="Verdana"/>
          <w:sz w:val="13"/>
          <w:szCs w:val="13"/>
          <w:color w:val="auto"/>
        </w:rPr>
        <w:t>such Losses were suffered by virtue of the LLP's or its employees' acts or omissions, or alleged acts or omissions under this Agreement; and</w:t>
      </w:r>
    </w:p>
    <w:p>
      <w:pPr>
        <w:spacing w:after="0" w:line="160" w:lineRule="exact"/>
        <w:rPr>
          <w:rFonts w:ascii="Verdana" w:cs="Verdana" w:eastAsia="Verdana" w:hAnsi="Verdana"/>
          <w:sz w:val="13"/>
          <w:szCs w:val="13"/>
          <w:color w:val="auto"/>
        </w:rPr>
      </w:pPr>
    </w:p>
    <w:p>
      <w:pPr>
        <w:ind w:left="1000" w:hanging="442"/>
        <w:spacing w:after="0"/>
        <w:tabs>
          <w:tab w:leader="none" w:pos="1000" w:val="left"/>
        </w:tabs>
        <w:numPr>
          <w:ilvl w:val="0"/>
          <w:numId w:val="42"/>
        </w:numPr>
        <w:rPr>
          <w:rFonts w:ascii="Verdana" w:cs="Verdana" w:eastAsia="Verdana" w:hAnsi="Verdana"/>
          <w:sz w:val="13"/>
          <w:szCs w:val="13"/>
          <w:color w:val="auto"/>
        </w:rPr>
      </w:pPr>
      <w:r>
        <w:rPr>
          <w:rFonts w:ascii="Verdana" w:cs="Verdana" w:eastAsia="Verdana" w:hAnsi="Verdana"/>
          <w:sz w:val="13"/>
          <w:szCs w:val="13"/>
          <w:color w:val="auto"/>
        </w:rPr>
        <w:t>the LLP (including its employees) is guilty of negligence or wilful misconduct,</w:t>
      </w:r>
    </w:p>
    <w:p>
      <w:pPr>
        <w:spacing w:after="0" w:line="160" w:lineRule="exact"/>
        <w:rPr>
          <w:sz w:val="20"/>
          <w:szCs w:val="20"/>
          <w:color w:val="auto"/>
        </w:rPr>
      </w:pPr>
    </w:p>
    <w:p>
      <w:pPr>
        <w:ind w:left="580"/>
        <w:spacing w:after="0" w:line="253" w:lineRule="auto"/>
        <w:rPr>
          <w:sz w:val="20"/>
          <w:szCs w:val="20"/>
          <w:color w:val="auto"/>
        </w:rPr>
      </w:pPr>
      <w:r>
        <w:rPr>
          <w:rFonts w:ascii="Verdana" w:cs="Verdana" w:eastAsia="Verdana" w:hAnsi="Verdana"/>
          <w:sz w:val="13"/>
          <w:szCs w:val="13"/>
          <w:color w:val="auto"/>
        </w:rPr>
        <w:t>then the LLP will hold Oaktree US Indemnities harmless and indemnify it for such Losses; provided that the LLP shall not be liable for actions or omissions to act ordered by Oaktree US to which the LLP objected in writing at the time of such order.</w:t>
      </w:r>
    </w:p>
    <w:p>
      <w:pPr>
        <w:spacing w:after="0" w:line="144"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15.2</w:t>
      </w:r>
      <w:r>
        <w:rPr>
          <w:sz w:val="20"/>
          <w:szCs w:val="20"/>
          <w:color w:val="auto"/>
        </w:rPr>
        <w:tab/>
      </w:r>
      <w:r>
        <w:rPr>
          <w:rFonts w:ascii="Verdana" w:cs="Verdana" w:eastAsia="Verdana" w:hAnsi="Verdana"/>
          <w:sz w:val="12"/>
          <w:szCs w:val="12"/>
          <w:color w:val="auto"/>
        </w:rPr>
        <w:t>The provisions of this Clause 15 shall survive the termination of this Agreement.</w:t>
      </w:r>
    </w:p>
    <w:p>
      <w:pPr>
        <w:spacing w:after="0" w:line="160" w:lineRule="exact"/>
        <w:rPr>
          <w:sz w:val="20"/>
          <w:szCs w:val="20"/>
          <w:color w:val="auto"/>
        </w:rPr>
      </w:pPr>
    </w:p>
    <w:p>
      <w:pPr>
        <w:ind w:left="560" w:hanging="555"/>
        <w:spacing w:after="0"/>
        <w:tabs>
          <w:tab w:leader="none" w:pos="560" w:val="left"/>
        </w:tabs>
        <w:numPr>
          <w:ilvl w:val="0"/>
          <w:numId w:val="43"/>
        </w:numPr>
        <w:rPr>
          <w:rFonts w:ascii="Verdana" w:cs="Verdana" w:eastAsia="Verdana" w:hAnsi="Verdana"/>
          <w:sz w:val="13"/>
          <w:szCs w:val="13"/>
          <w:color w:val="auto"/>
        </w:rPr>
      </w:pPr>
      <w:r>
        <w:rPr>
          <w:rFonts w:ascii="Verdana" w:cs="Verdana" w:eastAsia="Verdana" w:hAnsi="Verdana"/>
          <w:sz w:val="13"/>
          <w:szCs w:val="13"/>
          <w:b w:val="1"/>
          <w:bCs w:val="1"/>
          <w:color w:val="auto"/>
        </w:rPr>
        <w:t>REPRESENTATIONS, WARRANTIES AND UNDERTAKINGS</w:t>
      </w:r>
    </w:p>
    <w:p>
      <w:pPr>
        <w:spacing w:after="0" w:line="160" w:lineRule="exact"/>
        <w:rPr>
          <w:sz w:val="20"/>
          <w:szCs w:val="20"/>
          <w:color w:val="auto"/>
        </w:rPr>
      </w:pPr>
    </w:p>
    <w:p>
      <w:pPr>
        <w:jc w:val="both"/>
        <w:ind w:left="540" w:hanging="552"/>
        <w:spacing w:after="0" w:line="312" w:lineRule="auto"/>
        <w:tabs>
          <w:tab w:leader="none" w:pos="520" w:val="left"/>
        </w:tabs>
        <w:rPr>
          <w:sz w:val="20"/>
          <w:szCs w:val="20"/>
          <w:color w:val="auto"/>
        </w:rPr>
      </w:pPr>
      <w:r>
        <w:rPr>
          <w:rFonts w:ascii="Verdana" w:cs="Verdana" w:eastAsia="Verdana" w:hAnsi="Verdana"/>
          <w:sz w:val="13"/>
          <w:szCs w:val="13"/>
          <w:color w:val="auto"/>
        </w:rPr>
        <w:t>16.1</w:t>
      </w:r>
      <w:r>
        <w:rPr>
          <w:sz w:val="20"/>
          <w:szCs w:val="20"/>
          <w:color w:val="auto"/>
        </w:rPr>
        <w:tab/>
      </w:r>
      <w:r>
        <w:rPr>
          <w:rFonts w:ascii="Verdana" w:cs="Verdana" w:eastAsia="Verdana" w:hAnsi="Verdana"/>
          <w:sz w:val="12"/>
          <w:szCs w:val="12"/>
          <w:color w:val="auto"/>
        </w:rPr>
        <w:t>Each of Oaktree US and the LLP represents and warrants to each other that it is duly organised, validly existing and in good standing under the laws of its jurisdiction of incorporation, and is duly authorised by all necessary corporate action to enter into this Agreement and perform its duties as described in this Agreement.</w:t>
      </w:r>
    </w:p>
    <w:p>
      <w:pPr>
        <w:spacing w:after="0" w:line="109" w:lineRule="exact"/>
        <w:rPr>
          <w:sz w:val="20"/>
          <w:szCs w:val="20"/>
          <w:color w:val="auto"/>
        </w:rPr>
      </w:pPr>
    </w:p>
    <w:p>
      <w:pPr>
        <w:jc w:val="both"/>
        <w:ind w:left="540" w:hanging="552"/>
        <w:spacing w:after="0" w:line="255" w:lineRule="auto"/>
        <w:tabs>
          <w:tab w:leader="none" w:pos="520" w:val="left"/>
        </w:tabs>
        <w:rPr>
          <w:sz w:val="20"/>
          <w:szCs w:val="20"/>
          <w:color w:val="auto"/>
        </w:rPr>
      </w:pPr>
      <w:r>
        <w:rPr>
          <w:rFonts w:ascii="Verdana" w:cs="Verdana" w:eastAsia="Verdana" w:hAnsi="Verdana"/>
          <w:sz w:val="13"/>
          <w:szCs w:val="13"/>
          <w:color w:val="auto"/>
        </w:rPr>
        <w:t>16.2</w:t>
      </w:r>
      <w:r>
        <w:rPr>
          <w:sz w:val="20"/>
          <w:szCs w:val="20"/>
          <w:color w:val="auto"/>
        </w:rPr>
        <w:tab/>
      </w:r>
      <w:r>
        <w:rPr>
          <w:rFonts w:ascii="Verdana" w:cs="Verdana" w:eastAsia="Verdana" w:hAnsi="Verdana"/>
          <w:sz w:val="13"/>
          <w:szCs w:val="13"/>
          <w:color w:val="auto"/>
        </w:rPr>
        <w:t>The LLP hereby undertakes to Oaktree US that it will take all reasonable steps within its power to remain an authorised person for the purposes of FSMA in respect of the services to be provided by it hereunder, with a scope of permission which will permit it to carry out its obligations and exercise its powers under this Agreement, and that it will comply with those FCA Rules which apply to the services to be provided hereunder.</w:t>
      </w:r>
    </w:p>
    <w:p>
      <w:pPr>
        <w:spacing w:after="0" w:line="144" w:lineRule="exact"/>
        <w:rPr>
          <w:sz w:val="20"/>
          <w:szCs w:val="20"/>
          <w:color w:val="auto"/>
        </w:rPr>
      </w:pPr>
    </w:p>
    <w:p>
      <w:pPr>
        <w:ind w:left="560" w:hanging="555"/>
        <w:spacing w:after="0"/>
        <w:tabs>
          <w:tab w:leader="none" w:pos="560" w:val="left"/>
        </w:tabs>
        <w:numPr>
          <w:ilvl w:val="0"/>
          <w:numId w:val="44"/>
        </w:numPr>
        <w:rPr>
          <w:rFonts w:ascii="Verdana" w:cs="Verdana" w:eastAsia="Verdana" w:hAnsi="Verdana"/>
          <w:sz w:val="13"/>
          <w:szCs w:val="13"/>
          <w:color w:val="auto"/>
        </w:rPr>
      </w:pPr>
      <w:r>
        <w:rPr>
          <w:rFonts w:ascii="Verdana" w:cs="Verdana" w:eastAsia="Verdana" w:hAnsi="Verdana"/>
          <w:sz w:val="13"/>
          <w:szCs w:val="13"/>
          <w:b w:val="1"/>
          <w:bCs w:val="1"/>
          <w:color w:val="auto"/>
        </w:rPr>
        <w:t>COMPLIANCE WITH FCA RULES</w:t>
      </w:r>
    </w:p>
    <w:p>
      <w:pPr>
        <w:spacing w:after="0" w:line="160" w:lineRule="exact"/>
        <w:rPr>
          <w:sz w:val="20"/>
          <w:szCs w:val="20"/>
          <w:color w:val="auto"/>
        </w:rPr>
      </w:pPr>
    </w:p>
    <w:p>
      <w:pPr>
        <w:jc w:val="both"/>
        <w:ind w:left="540" w:hanging="552"/>
        <w:spacing w:after="0" w:line="247" w:lineRule="auto"/>
        <w:tabs>
          <w:tab w:leader="none" w:pos="520" w:val="left"/>
        </w:tabs>
        <w:rPr>
          <w:sz w:val="20"/>
          <w:szCs w:val="20"/>
          <w:color w:val="auto"/>
        </w:rPr>
      </w:pPr>
      <w:r>
        <w:rPr>
          <w:rFonts w:ascii="Verdana" w:cs="Verdana" w:eastAsia="Verdana" w:hAnsi="Verdana"/>
          <w:sz w:val="13"/>
          <w:szCs w:val="13"/>
          <w:color w:val="auto"/>
        </w:rPr>
        <w:t>17.1</w:t>
      </w:r>
      <w:r>
        <w:rPr>
          <w:sz w:val="20"/>
          <w:szCs w:val="20"/>
          <w:color w:val="auto"/>
        </w:rPr>
        <w:tab/>
      </w:r>
      <w:r>
        <w:rPr>
          <w:rFonts w:ascii="Verdana" w:cs="Verdana" w:eastAsia="Verdana" w:hAnsi="Verdana"/>
          <w:sz w:val="13"/>
          <w:szCs w:val="13"/>
          <w:color w:val="auto"/>
        </w:rPr>
        <w:t>Oaktree US will be the LLP's client for the purposes of the FCA Rules. Accordingly, in conformity with the FCA Rules, a number of additional statements and provisions are required to be included in this Agreement. Such additional statements and provisions are set out in Schedule 1 hereof (</w:t>
      </w:r>
      <w:r>
        <w:rPr>
          <w:rFonts w:ascii="Verdana" w:cs="Verdana" w:eastAsia="Verdana" w:hAnsi="Verdana"/>
          <w:sz w:val="13"/>
          <w:szCs w:val="13"/>
          <w:b w:val="1"/>
          <w:bCs w:val="1"/>
          <w:color w:val="auto"/>
        </w:rPr>
        <w:t>"Additional FCA Provisions"</w:t>
      </w:r>
      <w:r>
        <w:rPr>
          <w:rFonts w:ascii="Verdana" w:cs="Verdana" w:eastAsia="Verdana" w:hAnsi="Verdana"/>
          <w:sz w:val="13"/>
          <w:szCs w:val="13"/>
          <w:color w:val="auto"/>
        </w:rPr>
        <w:t>), which is hereby incorporated into and will form part of this Agreement and will apply to the services to be provided pursuant to this Agreement.</w:t>
      </w:r>
    </w:p>
    <w:p>
      <w:pPr>
        <w:spacing w:after="0" w:line="149" w:lineRule="exact"/>
        <w:rPr>
          <w:sz w:val="20"/>
          <w:szCs w:val="20"/>
          <w:color w:val="auto"/>
        </w:rPr>
      </w:pPr>
    </w:p>
    <w:p>
      <w:pPr>
        <w:jc w:val="both"/>
        <w:ind w:left="540" w:hanging="552"/>
        <w:spacing w:after="0" w:line="251" w:lineRule="auto"/>
        <w:tabs>
          <w:tab w:leader="none" w:pos="520" w:val="left"/>
        </w:tabs>
        <w:rPr>
          <w:sz w:val="20"/>
          <w:szCs w:val="20"/>
          <w:color w:val="auto"/>
        </w:rPr>
      </w:pPr>
      <w:r>
        <w:rPr>
          <w:rFonts w:ascii="Verdana" w:cs="Verdana" w:eastAsia="Verdana" w:hAnsi="Verdana"/>
          <w:sz w:val="13"/>
          <w:szCs w:val="13"/>
          <w:color w:val="auto"/>
        </w:rPr>
        <w:t>17.2</w:t>
      </w:r>
      <w:r>
        <w:rPr>
          <w:sz w:val="20"/>
          <w:szCs w:val="20"/>
          <w:color w:val="auto"/>
        </w:rPr>
        <w:tab/>
      </w:r>
      <w:r>
        <w:rPr>
          <w:rFonts w:ascii="Verdana" w:cs="Verdana" w:eastAsia="Verdana" w:hAnsi="Verdana"/>
          <w:sz w:val="13"/>
          <w:szCs w:val="13"/>
          <w:color w:val="auto"/>
        </w:rPr>
        <w:t>Nothing in this Agreement shall require or entitle the LLP to act as the alternative investment fund manager (as defined in the FCA Rules with effect from 22 July 2013) of any Fund or any other funds or separate accounts in connection with which Oaktree US may appoint the LLP as a sub-advisor or sub-manager (such other funds or separate accounts, together, the "</w:t>
      </w:r>
      <w:r>
        <w:rPr>
          <w:rFonts w:ascii="Verdana" w:cs="Verdana" w:eastAsia="Verdana" w:hAnsi="Verdana"/>
          <w:sz w:val="13"/>
          <w:szCs w:val="13"/>
          <w:b w:val="1"/>
          <w:bCs w:val="1"/>
          <w:color w:val="auto"/>
        </w:rPr>
        <w:t>New Funds</w:t>
      </w:r>
      <w:r>
        <w:rPr>
          <w:rFonts w:ascii="Verdana" w:cs="Verdana" w:eastAsia="Verdana" w:hAnsi="Verdana"/>
          <w:sz w:val="13"/>
          <w:szCs w:val="13"/>
          <w:color w:val="auto"/>
        </w:rPr>
        <w:t>") which is an alternative investment fund. The alternative investment fund manager of each Fund and New Fund which is an alternative investment fund shall be Oaktree US or Oaktree Capital Management (Lux.) S.à r.l., as the case may be, unless otherwise agreed.</w:t>
      </w:r>
    </w:p>
    <w:p>
      <w:pPr>
        <w:spacing w:after="0" w:line="145" w:lineRule="exact"/>
        <w:rPr>
          <w:sz w:val="20"/>
          <w:szCs w:val="20"/>
          <w:color w:val="auto"/>
        </w:rPr>
      </w:pPr>
    </w:p>
    <w:p>
      <w:pPr>
        <w:ind w:left="560" w:hanging="555"/>
        <w:spacing w:after="0"/>
        <w:tabs>
          <w:tab w:leader="none" w:pos="560" w:val="left"/>
        </w:tabs>
        <w:numPr>
          <w:ilvl w:val="0"/>
          <w:numId w:val="45"/>
        </w:numPr>
        <w:rPr>
          <w:rFonts w:ascii="Verdana" w:cs="Verdana" w:eastAsia="Verdana" w:hAnsi="Verdana"/>
          <w:sz w:val="13"/>
          <w:szCs w:val="13"/>
          <w:color w:val="auto"/>
        </w:rPr>
      </w:pPr>
      <w:r>
        <w:rPr>
          <w:rFonts w:ascii="Verdana" w:cs="Verdana" w:eastAsia="Verdana" w:hAnsi="Verdana"/>
          <w:sz w:val="13"/>
          <w:szCs w:val="13"/>
          <w:b w:val="1"/>
          <w:bCs w:val="1"/>
          <w:color w:val="auto"/>
        </w:rPr>
        <w:t>TERM</w:t>
      </w:r>
    </w:p>
    <w:p>
      <w:pPr>
        <w:spacing w:after="0" w:line="160"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18.1</w:t>
      </w:r>
      <w:r>
        <w:rPr>
          <w:sz w:val="20"/>
          <w:szCs w:val="20"/>
          <w:color w:val="auto"/>
        </w:rPr>
        <w:tab/>
      </w:r>
      <w:r>
        <w:rPr>
          <w:rFonts w:ascii="Verdana" w:cs="Verdana" w:eastAsia="Verdana" w:hAnsi="Verdana"/>
          <w:sz w:val="12"/>
          <w:szCs w:val="12"/>
          <w:b w:val="1"/>
          <w:bCs w:val="1"/>
          <w:color w:val="auto"/>
        </w:rPr>
        <w:t>Basic Term</w:t>
      </w:r>
    </w:p>
    <w:p>
      <w:pPr>
        <w:spacing w:after="0" w:line="160" w:lineRule="exact"/>
        <w:rPr>
          <w:sz w:val="20"/>
          <w:szCs w:val="20"/>
          <w:color w:val="auto"/>
        </w:rPr>
      </w:pPr>
    </w:p>
    <w:p>
      <w:pPr>
        <w:jc w:val="both"/>
        <w:ind w:left="580"/>
        <w:spacing w:after="0" w:line="255" w:lineRule="auto"/>
        <w:rPr>
          <w:sz w:val="20"/>
          <w:szCs w:val="20"/>
          <w:color w:val="auto"/>
        </w:rPr>
      </w:pPr>
      <w:r>
        <w:rPr>
          <w:rFonts w:ascii="Verdana" w:cs="Verdana" w:eastAsia="Verdana" w:hAnsi="Verdana"/>
          <w:sz w:val="13"/>
          <w:szCs w:val="13"/>
          <w:color w:val="auto"/>
        </w:rPr>
        <w:t>In relation to each Fund, this Agreement shall terminate on the earlier of (a) the completion of the winding up and termination of such Fund or (b) the date, if any, on which Oaktree US (or any affiliate it has substituted in its stead in accordance with such Fund's Fund Agreement) is removed as general partner of such Fund or, in the case of a Fund that is a separate account, as investment manager or similar or (c) the LLP ceasing to be authorised and regulated by the FCA.</w:t>
      </w:r>
    </w:p>
    <w:p>
      <w:pPr>
        <w:spacing w:after="0" w:line="144"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18.2</w:t>
      </w:r>
      <w:r>
        <w:rPr>
          <w:sz w:val="20"/>
          <w:szCs w:val="20"/>
          <w:color w:val="auto"/>
        </w:rPr>
        <w:tab/>
      </w:r>
      <w:r>
        <w:rPr>
          <w:rFonts w:ascii="Verdana" w:cs="Verdana" w:eastAsia="Verdana" w:hAnsi="Verdana"/>
          <w:sz w:val="12"/>
          <w:szCs w:val="12"/>
          <w:b w:val="1"/>
          <w:bCs w:val="1"/>
          <w:color w:val="auto"/>
        </w:rPr>
        <w:t>Early Termination</w:t>
      </w:r>
    </w:p>
    <w:p>
      <w:pPr>
        <w:spacing w:after="0" w:line="160" w:lineRule="exact"/>
        <w:rPr>
          <w:sz w:val="20"/>
          <w:szCs w:val="20"/>
          <w:color w:val="auto"/>
        </w:rPr>
      </w:pPr>
    </w:p>
    <w:p>
      <w:pPr>
        <w:ind w:left="560"/>
        <w:spacing w:after="0" w:line="269" w:lineRule="auto"/>
        <w:rPr>
          <w:sz w:val="20"/>
          <w:szCs w:val="20"/>
          <w:color w:val="auto"/>
        </w:rPr>
      </w:pPr>
      <w:r>
        <w:rPr>
          <w:rFonts w:ascii="Verdana" w:cs="Verdana" w:eastAsia="Verdana" w:hAnsi="Verdana"/>
          <w:sz w:val="13"/>
          <w:szCs w:val="13"/>
          <w:color w:val="auto"/>
        </w:rPr>
        <w:t>This Agreement may be terminated, either in respect of a Fund or in its entirety, by either Oaktree US or the LLP for any reason upon 30 days' written notice to the other.</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7</w:t>
      </w:r>
    </w:p>
    <w:p>
      <w:pPr>
        <w:sectPr>
          <w:pgSz w:w="11900" w:h="16838" w:orient="portrait"/>
          <w:cols w:equalWidth="0" w:num="1">
            <w:col w:w="11280"/>
          </w:cols>
          <w:pgMar w:left="300" w:top="1157" w:right="319" w:bottom="1440" w:gutter="0" w:footer="0" w:header="0"/>
        </w:sectPr>
      </w:pPr>
    </w:p>
    <w:bookmarkStart w:id="233" w:name="page234"/>
    <w:bookmarkEnd w:id="233"/>
    <w:p>
      <w:pPr>
        <w:ind w:left="560" w:hanging="555"/>
        <w:spacing w:after="0"/>
        <w:tabs>
          <w:tab w:leader="none" w:pos="560" w:val="left"/>
        </w:tabs>
        <w:numPr>
          <w:ilvl w:val="0"/>
          <w:numId w:val="46"/>
        </w:numPr>
        <w:rPr>
          <w:rFonts w:ascii="Verdana" w:cs="Verdana" w:eastAsia="Verdana" w:hAnsi="Verdana"/>
          <w:sz w:val="13"/>
          <w:szCs w:val="13"/>
          <w:color w:val="auto"/>
        </w:rPr>
      </w:pPr>
      <w:r>
        <w:rPr>
          <w:rFonts w:ascii="Verdana" w:cs="Verdana" w:eastAsia="Verdana" w:hAnsi="Verdana"/>
          <w:sz w:val="13"/>
          <w:szCs w:val="13"/>
          <w:b w:val="1"/>
          <w:bCs w:val="1"/>
          <w:color w:val="auto"/>
        </w:rPr>
        <w:t>TERMINATION CONSEQUENCES</w:t>
      </w:r>
    </w:p>
    <w:p>
      <w:pPr>
        <w:spacing w:after="0" w:line="160" w:lineRule="exact"/>
        <w:rPr>
          <w:sz w:val="20"/>
          <w:szCs w:val="20"/>
          <w:color w:val="auto"/>
        </w:rPr>
      </w:pPr>
    </w:p>
    <w:p>
      <w:pPr>
        <w:jc w:val="both"/>
        <w:ind w:left="540" w:hanging="552"/>
        <w:spacing w:after="0" w:line="253" w:lineRule="auto"/>
        <w:tabs>
          <w:tab w:leader="none" w:pos="520" w:val="left"/>
        </w:tabs>
        <w:rPr>
          <w:sz w:val="20"/>
          <w:szCs w:val="20"/>
          <w:color w:val="auto"/>
        </w:rPr>
      </w:pPr>
      <w:r>
        <w:rPr>
          <w:rFonts w:ascii="Verdana" w:cs="Verdana" w:eastAsia="Verdana" w:hAnsi="Verdana"/>
          <w:sz w:val="13"/>
          <w:szCs w:val="13"/>
          <w:color w:val="auto"/>
        </w:rPr>
        <w:t>19.1</w:t>
      </w:r>
      <w:r>
        <w:rPr>
          <w:sz w:val="20"/>
          <w:szCs w:val="20"/>
          <w:color w:val="auto"/>
        </w:rPr>
        <w:tab/>
      </w:r>
      <w:r>
        <w:rPr>
          <w:rFonts w:ascii="Verdana" w:cs="Verdana" w:eastAsia="Verdana" w:hAnsi="Verdana"/>
          <w:sz w:val="13"/>
          <w:szCs w:val="13"/>
          <w:color w:val="auto"/>
        </w:rPr>
        <w:t>Upon the termination of this Agreement, the LLP shall co-operate with Oaktree US and take all reasonable steps requested by Oaktree US in making an orderly transition to allow for continuity of management and to ensure that such termination shall not prejudice the completion of transactions already initiated.</w:t>
      </w:r>
    </w:p>
    <w:p>
      <w:pPr>
        <w:spacing w:after="0" w:line="144" w:lineRule="exact"/>
        <w:rPr>
          <w:sz w:val="20"/>
          <w:szCs w:val="20"/>
          <w:color w:val="auto"/>
        </w:rPr>
      </w:pPr>
    </w:p>
    <w:p>
      <w:pPr>
        <w:jc w:val="both"/>
        <w:ind w:left="540" w:hanging="552"/>
        <w:spacing w:after="0" w:line="255" w:lineRule="auto"/>
        <w:tabs>
          <w:tab w:leader="none" w:pos="520" w:val="left"/>
        </w:tabs>
        <w:rPr>
          <w:sz w:val="20"/>
          <w:szCs w:val="20"/>
          <w:color w:val="auto"/>
        </w:rPr>
      </w:pPr>
      <w:r>
        <w:rPr>
          <w:rFonts w:ascii="Verdana" w:cs="Verdana" w:eastAsia="Verdana" w:hAnsi="Verdana"/>
          <w:sz w:val="13"/>
          <w:szCs w:val="13"/>
          <w:color w:val="auto"/>
        </w:rPr>
        <w:t>19.2</w:t>
      </w:r>
      <w:r>
        <w:rPr>
          <w:sz w:val="20"/>
          <w:szCs w:val="20"/>
          <w:color w:val="auto"/>
        </w:rPr>
        <w:tab/>
      </w:r>
      <w:r>
        <w:rPr>
          <w:rFonts w:ascii="Verdana" w:cs="Verdana" w:eastAsia="Verdana" w:hAnsi="Verdana"/>
          <w:sz w:val="13"/>
          <w:szCs w:val="13"/>
          <w:color w:val="auto"/>
        </w:rPr>
        <w:t>The LLP shall forthwith upon termination deliver to Oaktree US a full account including a statement of all investments then under management, the income derived therefrom since the last report to Oaktree US, and the value at which they were acquired. The LLP shall also ensure that any documents relating to Oaktree US assets over which it has control are released as soon as practicable to Oaktree US or (if so instructed by Oaktree US) to any subsequent general partner.</w:t>
      </w:r>
    </w:p>
    <w:p>
      <w:pPr>
        <w:spacing w:after="0" w:line="144" w:lineRule="exact"/>
        <w:rPr>
          <w:sz w:val="20"/>
          <w:szCs w:val="20"/>
          <w:color w:val="auto"/>
        </w:rPr>
      </w:pPr>
    </w:p>
    <w:p>
      <w:pPr>
        <w:jc w:val="both"/>
        <w:ind w:left="540" w:hanging="552"/>
        <w:spacing w:after="0" w:line="253" w:lineRule="auto"/>
        <w:tabs>
          <w:tab w:leader="none" w:pos="520" w:val="left"/>
        </w:tabs>
        <w:rPr>
          <w:sz w:val="20"/>
          <w:szCs w:val="20"/>
          <w:color w:val="auto"/>
        </w:rPr>
      </w:pPr>
      <w:r>
        <w:rPr>
          <w:rFonts w:ascii="Verdana" w:cs="Verdana" w:eastAsia="Verdana" w:hAnsi="Verdana"/>
          <w:sz w:val="13"/>
          <w:szCs w:val="13"/>
          <w:color w:val="auto"/>
        </w:rPr>
        <w:t>19.3</w:t>
      </w:r>
      <w:r>
        <w:rPr>
          <w:sz w:val="20"/>
          <w:szCs w:val="20"/>
          <w:color w:val="auto"/>
        </w:rPr>
        <w:tab/>
      </w:r>
      <w:r>
        <w:rPr>
          <w:rFonts w:ascii="Verdana" w:cs="Verdana" w:eastAsia="Verdana" w:hAnsi="Verdana"/>
          <w:sz w:val="13"/>
          <w:szCs w:val="13"/>
          <w:color w:val="auto"/>
        </w:rPr>
        <w:t>Notwithstanding the termination of this Agreement, Oaktree US shall complete, or shall procure that any successor or general partner of the Funds shall complete, all investment transactions entered into by Oaktree US hereunder prior to the termination date.</w:t>
      </w:r>
    </w:p>
    <w:p>
      <w:pPr>
        <w:spacing w:after="0" w:line="155" w:lineRule="exact"/>
        <w:rPr>
          <w:sz w:val="20"/>
          <w:szCs w:val="20"/>
          <w:color w:val="auto"/>
        </w:rPr>
      </w:pPr>
    </w:p>
    <w:p>
      <w:pPr>
        <w:ind w:left="560" w:hanging="555"/>
        <w:spacing w:after="0"/>
        <w:tabs>
          <w:tab w:leader="none" w:pos="560" w:val="left"/>
        </w:tabs>
        <w:numPr>
          <w:ilvl w:val="0"/>
          <w:numId w:val="47"/>
        </w:numPr>
        <w:rPr>
          <w:rFonts w:ascii="Verdana" w:cs="Verdana" w:eastAsia="Verdana" w:hAnsi="Verdana"/>
          <w:sz w:val="13"/>
          <w:szCs w:val="13"/>
          <w:color w:val="auto"/>
        </w:rPr>
      </w:pPr>
      <w:r>
        <w:rPr>
          <w:rFonts w:ascii="Verdana" w:cs="Verdana" w:eastAsia="Verdana" w:hAnsi="Verdana"/>
          <w:sz w:val="13"/>
          <w:szCs w:val="13"/>
          <w:b w:val="1"/>
          <w:bCs w:val="1"/>
          <w:color w:val="auto"/>
        </w:rPr>
        <w:t>MISCELLANEOUS</w:t>
      </w:r>
    </w:p>
    <w:p>
      <w:pPr>
        <w:spacing w:after="0" w:line="160"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20.1</w:t>
      </w:r>
      <w:r>
        <w:rPr>
          <w:sz w:val="20"/>
          <w:szCs w:val="20"/>
          <w:color w:val="auto"/>
        </w:rPr>
        <w:tab/>
      </w:r>
      <w:r>
        <w:rPr>
          <w:rFonts w:ascii="Verdana" w:cs="Verdana" w:eastAsia="Verdana" w:hAnsi="Verdana"/>
          <w:sz w:val="12"/>
          <w:szCs w:val="12"/>
          <w:b w:val="1"/>
          <w:bCs w:val="1"/>
          <w:color w:val="auto"/>
        </w:rPr>
        <w:t>Governing Law</w:t>
      </w:r>
    </w:p>
    <w:p>
      <w:pPr>
        <w:spacing w:after="0" w:line="160" w:lineRule="exact"/>
        <w:rPr>
          <w:sz w:val="20"/>
          <w:szCs w:val="20"/>
          <w:color w:val="auto"/>
        </w:rPr>
      </w:pPr>
    </w:p>
    <w:p>
      <w:pPr>
        <w:ind w:left="560"/>
        <w:spacing w:after="0"/>
        <w:rPr>
          <w:sz w:val="20"/>
          <w:szCs w:val="20"/>
          <w:color w:val="auto"/>
        </w:rPr>
      </w:pPr>
      <w:r>
        <w:rPr>
          <w:rFonts w:ascii="Verdana" w:cs="Verdana" w:eastAsia="Verdana" w:hAnsi="Verdana"/>
          <w:sz w:val="13"/>
          <w:szCs w:val="13"/>
          <w:color w:val="auto"/>
        </w:rPr>
        <w:t>This Agreement is governed by the laws of England and Wales.</w:t>
      </w:r>
    </w:p>
    <w:p>
      <w:pPr>
        <w:spacing w:after="0" w:line="160"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20.2</w:t>
      </w:r>
      <w:r>
        <w:rPr>
          <w:sz w:val="20"/>
          <w:szCs w:val="20"/>
          <w:color w:val="auto"/>
        </w:rPr>
        <w:tab/>
      </w:r>
      <w:r>
        <w:rPr>
          <w:rFonts w:ascii="Verdana" w:cs="Verdana" w:eastAsia="Verdana" w:hAnsi="Verdana"/>
          <w:sz w:val="12"/>
          <w:szCs w:val="12"/>
          <w:b w:val="1"/>
          <w:bCs w:val="1"/>
          <w:color w:val="auto"/>
        </w:rPr>
        <w:t>Notices</w:t>
      </w:r>
    </w:p>
    <w:p>
      <w:pPr>
        <w:spacing w:after="0" w:line="160" w:lineRule="exact"/>
        <w:rPr>
          <w:sz w:val="20"/>
          <w:szCs w:val="20"/>
          <w:color w:val="auto"/>
        </w:rPr>
      </w:pPr>
    </w:p>
    <w:p>
      <w:pPr>
        <w:ind w:left="560"/>
        <w:spacing w:after="0"/>
        <w:rPr>
          <w:sz w:val="20"/>
          <w:szCs w:val="20"/>
          <w:color w:val="auto"/>
        </w:rPr>
      </w:pPr>
      <w:r>
        <w:rPr>
          <w:rFonts w:ascii="Verdana" w:cs="Verdana" w:eastAsia="Verdana" w:hAnsi="Verdana"/>
          <w:sz w:val="13"/>
          <w:szCs w:val="13"/>
          <w:color w:val="auto"/>
        </w:rPr>
        <w:t>Any notices provided for in this Agreement shall be sent to the following addresses or such other address as a party may designate in writing:</w:t>
      </w:r>
    </w:p>
    <w:p>
      <w:pPr>
        <w:spacing w:after="0" w:line="182" w:lineRule="exact"/>
        <w:rPr>
          <w:sz w:val="20"/>
          <w:szCs w:val="20"/>
          <w:color w:val="auto"/>
        </w:rPr>
      </w:pPr>
    </w:p>
    <w:tbl>
      <w:tblPr>
        <w:tblLayout w:type="fixed"/>
        <w:tblInd w:w="600" w:type="dxa"/>
        <w:tblCellMar>
          <w:top w:w="0" w:type="dxa"/>
          <w:left w:w="0" w:type="dxa"/>
          <w:bottom w:w="0" w:type="dxa"/>
          <w:right w:w="0" w:type="dxa"/>
        </w:tblCellMar>
      </w:tblPr>
      <w:tr>
        <w:trPr>
          <w:trHeight w:val="180"/>
        </w:trPr>
        <w:tc>
          <w:tcPr>
            <w:tcW w:w="2760" w:type="dxa"/>
            <w:vAlign w:val="bottom"/>
          </w:tcPr>
          <w:p>
            <w:pPr>
              <w:spacing w:after="0"/>
              <w:rPr>
                <w:sz w:val="20"/>
                <w:szCs w:val="20"/>
                <w:color w:val="auto"/>
              </w:rPr>
            </w:pPr>
            <w:r>
              <w:rPr>
                <w:rFonts w:ascii="Verdana" w:cs="Verdana" w:eastAsia="Verdana" w:hAnsi="Verdana"/>
                <w:sz w:val="13"/>
                <w:szCs w:val="13"/>
                <w:color w:val="auto"/>
              </w:rPr>
              <w:t>To Oaktree US:</w:t>
            </w:r>
          </w:p>
        </w:tc>
        <w:tc>
          <w:tcPr>
            <w:tcW w:w="5420" w:type="dxa"/>
            <w:vAlign w:val="bottom"/>
          </w:tcPr>
          <w:p>
            <w:pPr>
              <w:ind w:left="1780"/>
              <w:spacing w:after="0"/>
              <w:rPr>
                <w:sz w:val="20"/>
                <w:szCs w:val="20"/>
                <w:color w:val="auto"/>
              </w:rPr>
            </w:pPr>
            <w:r>
              <w:rPr>
                <w:rFonts w:ascii="Verdana" w:cs="Verdana" w:eastAsia="Verdana" w:hAnsi="Verdana"/>
                <w:sz w:val="13"/>
                <w:szCs w:val="13"/>
                <w:color w:val="auto"/>
              </w:rPr>
              <w:t>Oaktree Capital Management, LP</w:t>
            </w:r>
          </w:p>
        </w:tc>
      </w:tr>
      <w:tr>
        <w:trPr>
          <w:trHeight w:val="159"/>
        </w:trPr>
        <w:tc>
          <w:tcPr>
            <w:tcW w:w="2760" w:type="dxa"/>
            <w:vAlign w:val="bottom"/>
          </w:tcPr>
          <w:p>
            <w:pPr>
              <w:spacing w:after="0"/>
              <w:rPr>
                <w:sz w:val="13"/>
                <w:szCs w:val="13"/>
                <w:color w:val="auto"/>
              </w:rPr>
            </w:pPr>
          </w:p>
        </w:tc>
        <w:tc>
          <w:tcPr>
            <w:tcW w:w="5420" w:type="dxa"/>
            <w:vAlign w:val="bottom"/>
          </w:tcPr>
          <w:p>
            <w:pPr>
              <w:ind w:left="1780"/>
              <w:spacing w:after="0"/>
              <w:rPr>
                <w:sz w:val="20"/>
                <w:szCs w:val="20"/>
                <w:color w:val="auto"/>
              </w:rPr>
            </w:pPr>
            <w:r>
              <w:rPr>
                <w:rFonts w:ascii="Verdana" w:cs="Verdana" w:eastAsia="Verdana" w:hAnsi="Verdana"/>
                <w:sz w:val="13"/>
                <w:szCs w:val="13"/>
                <w:color w:val="auto"/>
              </w:rPr>
              <w:t>333 Grand Avenue</w:t>
            </w:r>
          </w:p>
        </w:tc>
      </w:tr>
      <w:tr>
        <w:trPr>
          <w:trHeight w:val="170"/>
        </w:trPr>
        <w:tc>
          <w:tcPr>
            <w:tcW w:w="2760" w:type="dxa"/>
            <w:vAlign w:val="bottom"/>
          </w:tcPr>
          <w:p>
            <w:pPr>
              <w:spacing w:after="0"/>
              <w:rPr>
                <w:sz w:val="14"/>
                <w:szCs w:val="14"/>
                <w:color w:val="auto"/>
              </w:rPr>
            </w:pPr>
          </w:p>
        </w:tc>
        <w:tc>
          <w:tcPr>
            <w:tcW w:w="5420" w:type="dxa"/>
            <w:vAlign w:val="bottom"/>
          </w:tcPr>
          <w:p>
            <w:pPr>
              <w:ind w:left="1780"/>
              <w:spacing w:after="0" w:line="170" w:lineRule="exact"/>
              <w:rPr>
                <w:sz w:val="20"/>
                <w:szCs w:val="20"/>
                <w:color w:val="auto"/>
              </w:rPr>
            </w:pPr>
            <w:r>
              <w:rPr>
                <w:rFonts w:ascii="Verdana" w:cs="Verdana" w:eastAsia="Verdana" w:hAnsi="Verdana"/>
                <w:sz w:val="13"/>
                <w:szCs w:val="13"/>
                <w:color w:val="auto"/>
              </w:rPr>
              <w:t>28</w:t>
            </w:r>
            <w:r>
              <w:rPr>
                <w:rFonts w:ascii="Verdana" w:cs="Verdana" w:eastAsia="Verdana" w:hAnsi="Verdana"/>
                <w:sz w:val="16"/>
                <w:szCs w:val="16"/>
                <w:color w:val="auto"/>
                <w:vertAlign w:val="superscript"/>
              </w:rPr>
              <w:t>th</w:t>
            </w:r>
            <w:r>
              <w:rPr>
                <w:rFonts w:ascii="Verdana" w:cs="Verdana" w:eastAsia="Verdana" w:hAnsi="Verdana"/>
                <w:sz w:val="13"/>
                <w:szCs w:val="13"/>
                <w:color w:val="auto"/>
              </w:rPr>
              <w:t xml:space="preserve"> Floor</w:t>
            </w:r>
          </w:p>
        </w:tc>
      </w:tr>
      <w:tr>
        <w:trPr>
          <w:trHeight w:val="159"/>
        </w:trPr>
        <w:tc>
          <w:tcPr>
            <w:tcW w:w="2760" w:type="dxa"/>
            <w:vAlign w:val="bottom"/>
          </w:tcPr>
          <w:p>
            <w:pPr>
              <w:spacing w:after="0"/>
              <w:rPr>
                <w:sz w:val="13"/>
                <w:szCs w:val="13"/>
                <w:color w:val="auto"/>
              </w:rPr>
            </w:pPr>
          </w:p>
        </w:tc>
        <w:tc>
          <w:tcPr>
            <w:tcW w:w="5420" w:type="dxa"/>
            <w:vAlign w:val="bottom"/>
          </w:tcPr>
          <w:p>
            <w:pPr>
              <w:ind w:left="1780"/>
              <w:spacing w:after="0"/>
              <w:rPr>
                <w:sz w:val="20"/>
                <w:szCs w:val="20"/>
                <w:color w:val="auto"/>
              </w:rPr>
            </w:pPr>
            <w:r>
              <w:rPr>
                <w:rFonts w:ascii="Verdana" w:cs="Verdana" w:eastAsia="Verdana" w:hAnsi="Verdana"/>
                <w:sz w:val="13"/>
                <w:szCs w:val="13"/>
                <w:color w:val="auto"/>
              </w:rPr>
              <w:t>Los Angeles</w:t>
            </w:r>
          </w:p>
        </w:tc>
      </w:tr>
      <w:tr>
        <w:trPr>
          <w:trHeight w:val="166"/>
        </w:trPr>
        <w:tc>
          <w:tcPr>
            <w:tcW w:w="2760" w:type="dxa"/>
            <w:vAlign w:val="bottom"/>
          </w:tcPr>
          <w:p>
            <w:pPr>
              <w:spacing w:after="0"/>
              <w:rPr>
                <w:sz w:val="14"/>
                <w:szCs w:val="14"/>
                <w:color w:val="auto"/>
              </w:rPr>
            </w:pPr>
          </w:p>
        </w:tc>
        <w:tc>
          <w:tcPr>
            <w:tcW w:w="5420" w:type="dxa"/>
            <w:vAlign w:val="bottom"/>
          </w:tcPr>
          <w:p>
            <w:pPr>
              <w:ind w:left="1780"/>
              <w:spacing w:after="0"/>
              <w:rPr>
                <w:sz w:val="20"/>
                <w:szCs w:val="20"/>
                <w:color w:val="auto"/>
              </w:rPr>
            </w:pPr>
            <w:r>
              <w:rPr>
                <w:rFonts w:ascii="Verdana" w:cs="Verdana" w:eastAsia="Verdana" w:hAnsi="Verdana"/>
                <w:sz w:val="13"/>
                <w:szCs w:val="13"/>
                <w:color w:val="auto"/>
              </w:rPr>
              <w:t>California 90071</w:t>
            </w:r>
          </w:p>
        </w:tc>
      </w:tr>
      <w:tr>
        <w:trPr>
          <w:trHeight w:val="350"/>
        </w:trPr>
        <w:tc>
          <w:tcPr>
            <w:tcW w:w="2760" w:type="dxa"/>
            <w:vAlign w:val="bottom"/>
          </w:tcPr>
          <w:p>
            <w:pPr>
              <w:spacing w:after="0"/>
              <w:rPr>
                <w:sz w:val="24"/>
                <w:szCs w:val="24"/>
                <w:color w:val="auto"/>
              </w:rPr>
            </w:pPr>
          </w:p>
        </w:tc>
        <w:tc>
          <w:tcPr>
            <w:tcW w:w="5420" w:type="dxa"/>
            <w:vAlign w:val="bottom"/>
          </w:tcPr>
          <w:p>
            <w:pPr>
              <w:ind w:left="1780"/>
              <w:spacing w:after="0"/>
              <w:rPr>
                <w:sz w:val="20"/>
                <w:szCs w:val="20"/>
                <w:color w:val="auto"/>
              </w:rPr>
            </w:pPr>
            <w:r>
              <w:rPr>
                <w:rFonts w:ascii="Verdana" w:cs="Verdana" w:eastAsia="Verdana" w:hAnsi="Verdana"/>
                <w:sz w:val="13"/>
                <w:szCs w:val="13"/>
                <w:color w:val="auto"/>
              </w:rPr>
              <w:t>Attention: Todd Molz, General Counsel</w:t>
            </w:r>
          </w:p>
        </w:tc>
      </w:tr>
      <w:tr>
        <w:trPr>
          <w:trHeight w:val="170"/>
        </w:trPr>
        <w:tc>
          <w:tcPr>
            <w:tcW w:w="2760" w:type="dxa"/>
            <w:vAlign w:val="bottom"/>
          </w:tcPr>
          <w:p>
            <w:pPr>
              <w:spacing w:after="0"/>
              <w:rPr>
                <w:sz w:val="14"/>
                <w:szCs w:val="14"/>
                <w:color w:val="auto"/>
              </w:rPr>
            </w:pPr>
          </w:p>
        </w:tc>
        <w:tc>
          <w:tcPr>
            <w:tcW w:w="5420" w:type="dxa"/>
            <w:vAlign w:val="bottom"/>
          </w:tcPr>
          <w:p>
            <w:pPr>
              <w:ind w:left="1780"/>
              <w:spacing w:after="0"/>
              <w:rPr>
                <w:sz w:val="20"/>
                <w:szCs w:val="20"/>
                <w:color w:val="auto"/>
              </w:rPr>
            </w:pPr>
            <w:r>
              <w:rPr>
                <w:rFonts w:ascii="Verdana" w:cs="Verdana" w:eastAsia="Verdana" w:hAnsi="Verdana"/>
                <w:sz w:val="13"/>
                <w:szCs w:val="13"/>
                <w:color w:val="auto"/>
              </w:rPr>
              <w:t>Email: tmolz@oaktreecapital.com</w:t>
            </w:r>
          </w:p>
        </w:tc>
      </w:tr>
      <w:tr>
        <w:trPr>
          <w:trHeight w:val="205"/>
        </w:trPr>
        <w:tc>
          <w:tcPr>
            <w:tcW w:w="2760" w:type="dxa"/>
            <w:vAlign w:val="bottom"/>
          </w:tcPr>
          <w:p>
            <w:pPr>
              <w:spacing w:after="0"/>
              <w:rPr>
                <w:sz w:val="20"/>
                <w:szCs w:val="20"/>
                <w:color w:val="auto"/>
              </w:rPr>
            </w:pPr>
            <w:r>
              <w:rPr>
                <w:rFonts w:ascii="Verdana" w:cs="Verdana" w:eastAsia="Verdana" w:hAnsi="Verdana"/>
                <w:sz w:val="13"/>
                <w:szCs w:val="13"/>
                <w:color w:val="auto"/>
              </w:rPr>
              <w:t>To the LLP:</w:t>
            </w:r>
          </w:p>
        </w:tc>
        <w:tc>
          <w:tcPr>
            <w:tcW w:w="5420" w:type="dxa"/>
            <w:vAlign w:val="bottom"/>
          </w:tcPr>
          <w:p>
            <w:pPr>
              <w:ind w:left="1780"/>
              <w:spacing w:after="0"/>
              <w:rPr>
                <w:sz w:val="20"/>
                <w:szCs w:val="20"/>
                <w:color w:val="auto"/>
              </w:rPr>
            </w:pPr>
            <w:r>
              <w:rPr>
                <w:rFonts w:ascii="Verdana" w:cs="Verdana" w:eastAsia="Verdana" w:hAnsi="Verdana"/>
                <w:sz w:val="13"/>
                <w:szCs w:val="13"/>
                <w:color w:val="auto"/>
              </w:rPr>
              <w:t>Oaktree Capital Management (UK) LLP</w:t>
            </w:r>
          </w:p>
        </w:tc>
      </w:tr>
      <w:tr>
        <w:trPr>
          <w:trHeight w:val="159"/>
        </w:trPr>
        <w:tc>
          <w:tcPr>
            <w:tcW w:w="2760" w:type="dxa"/>
            <w:vAlign w:val="bottom"/>
          </w:tcPr>
          <w:p>
            <w:pPr>
              <w:spacing w:after="0"/>
              <w:rPr>
                <w:sz w:val="13"/>
                <w:szCs w:val="13"/>
                <w:color w:val="auto"/>
              </w:rPr>
            </w:pPr>
          </w:p>
        </w:tc>
        <w:tc>
          <w:tcPr>
            <w:tcW w:w="5420" w:type="dxa"/>
            <w:vAlign w:val="bottom"/>
          </w:tcPr>
          <w:p>
            <w:pPr>
              <w:ind w:left="1780"/>
              <w:spacing w:after="0"/>
              <w:rPr>
                <w:sz w:val="20"/>
                <w:szCs w:val="20"/>
                <w:color w:val="auto"/>
              </w:rPr>
            </w:pPr>
            <w:r>
              <w:rPr>
                <w:rFonts w:ascii="Verdana" w:cs="Verdana" w:eastAsia="Verdana" w:hAnsi="Verdana"/>
                <w:sz w:val="13"/>
                <w:szCs w:val="13"/>
                <w:color w:val="auto"/>
              </w:rPr>
              <w:t>Verde</w:t>
            </w:r>
          </w:p>
        </w:tc>
      </w:tr>
      <w:tr>
        <w:trPr>
          <w:trHeight w:val="166"/>
        </w:trPr>
        <w:tc>
          <w:tcPr>
            <w:tcW w:w="2760" w:type="dxa"/>
            <w:vAlign w:val="bottom"/>
          </w:tcPr>
          <w:p>
            <w:pPr>
              <w:spacing w:after="0"/>
              <w:rPr>
                <w:sz w:val="14"/>
                <w:szCs w:val="14"/>
                <w:color w:val="auto"/>
              </w:rPr>
            </w:pPr>
          </w:p>
        </w:tc>
        <w:tc>
          <w:tcPr>
            <w:tcW w:w="5420" w:type="dxa"/>
            <w:vAlign w:val="bottom"/>
          </w:tcPr>
          <w:p>
            <w:pPr>
              <w:ind w:left="1780"/>
              <w:spacing w:after="0"/>
              <w:rPr>
                <w:sz w:val="20"/>
                <w:szCs w:val="20"/>
                <w:color w:val="auto"/>
              </w:rPr>
            </w:pPr>
            <w:r>
              <w:rPr>
                <w:rFonts w:ascii="Verdana" w:cs="Verdana" w:eastAsia="Verdana" w:hAnsi="Verdana"/>
                <w:sz w:val="13"/>
                <w:szCs w:val="13"/>
                <w:color w:val="auto"/>
              </w:rPr>
              <w:t>10 Bressenden Place</w:t>
            </w:r>
          </w:p>
        </w:tc>
      </w:tr>
      <w:tr>
        <w:trPr>
          <w:trHeight w:val="163"/>
        </w:trPr>
        <w:tc>
          <w:tcPr>
            <w:tcW w:w="2760" w:type="dxa"/>
            <w:vAlign w:val="bottom"/>
          </w:tcPr>
          <w:p>
            <w:pPr>
              <w:spacing w:after="0"/>
              <w:rPr>
                <w:sz w:val="14"/>
                <w:szCs w:val="14"/>
                <w:color w:val="auto"/>
              </w:rPr>
            </w:pPr>
          </w:p>
        </w:tc>
        <w:tc>
          <w:tcPr>
            <w:tcW w:w="5420" w:type="dxa"/>
            <w:vAlign w:val="bottom"/>
          </w:tcPr>
          <w:p>
            <w:pPr>
              <w:ind w:left="1780"/>
              <w:spacing w:after="0"/>
              <w:rPr>
                <w:sz w:val="20"/>
                <w:szCs w:val="20"/>
                <w:color w:val="auto"/>
              </w:rPr>
            </w:pPr>
            <w:r>
              <w:rPr>
                <w:rFonts w:ascii="Verdana" w:cs="Verdana" w:eastAsia="Verdana" w:hAnsi="Verdana"/>
                <w:sz w:val="13"/>
                <w:szCs w:val="13"/>
                <w:color w:val="auto"/>
              </w:rPr>
              <w:t>London SW1E 5DH</w:t>
            </w:r>
          </w:p>
        </w:tc>
      </w:tr>
      <w:tr>
        <w:trPr>
          <w:trHeight w:val="166"/>
        </w:trPr>
        <w:tc>
          <w:tcPr>
            <w:tcW w:w="2760" w:type="dxa"/>
            <w:vAlign w:val="bottom"/>
          </w:tcPr>
          <w:p>
            <w:pPr>
              <w:spacing w:after="0"/>
              <w:rPr>
                <w:sz w:val="14"/>
                <w:szCs w:val="14"/>
                <w:color w:val="auto"/>
              </w:rPr>
            </w:pPr>
          </w:p>
        </w:tc>
        <w:tc>
          <w:tcPr>
            <w:tcW w:w="5420" w:type="dxa"/>
            <w:vAlign w:val="bottom"/>
          </w:tcPr>
          <w:p>
            <w:pPr>
              <w:ind w:left="1780"/>
              <w:spacing w:after="0"/>
              <w:rPr>
                <w:sz w:val="20"/>
                <w:szCs w:val="20"/>
                <w:color w:val="auto"/>
              </w:rPr>
            </w:pPr>
            <w:r>
              <w:rPr>
                <w:rFonts w:ascii="Verdana" w:cs="Verdana" w:eastAsia="Verdana" w:hAnsi="Verdana"/>
                <w:sz w:val="13"/>
                <w:szCs w:val="13"/>
                <w:color w:val="auto"/>
              </w:rPr>
              <w:t>United Kingdom</w:t>
            </w:r>
          </w:p>
        </w:tc>
      </w:tr>
      <w:tr>
        <w:trPr>
          <w:trHeight w:val="350"/>
        </w:trPr>
        <w:tc>
          <w:tcPr>
            <w:tcW w:w="2760" w:type="dxa"/>
            <w:vAlign w:val="bottom"/>
          </w:tcPr>
          <w:p>
            <w:pPr>
              <w:spacing w:after="0"/>
              <w:rPr>
                <w:sz w:val="24"/>
                <w:szCs w:val="24"/>
                <w:color w:val="auto"/>
              </w:rPr>
            </w:pPr>
          </w:p>
        </w:tc>
        <w:tc>
          <w:tcPr>
            <w:tcW w:w="5420" w:type="dxa"/>
            <w:vAlign w:val="bottom"/>
          </w:tcPr>
          <w:p>
            <w:pPr>
              <w:ind w:left="1780"/>
              <w:spacing w:after="0"/>
              <w:rPr>
                <w:sz w:val="20"/>
                <w:szCs w:val="20"/>
                <w:color w:val="auto"/>
              </w:rPr>
            </w:pPr>
            <w:r>
              <w:rPr>
                <w:rFonts w:ascii="Verdana" w:cs="Verdana" w:eastAsia="Verdana" w:hAnsi="Verdana"/>
                <w:sz w:val="13"/>
                <w:szCs w:val="13"/>
                <w:color w:val="auto"/>
                <w:w w:val="96"/>
              </w:rPr>
              <w:t>Attention: Dominic Keenan, Head of Legal, EMEA &amp; APAC</w:t>
            </w:r>
          </w:p>
        </w:tc>
      </w:tr>
      <w:tr>
        <w:trPr>
          <w:trHeight w:val="170"/>
        </w:trPr>
        <w:tc>
          <w:tcPr>
            <w:tcW w:w="2760" w:type="dxa"/>
            <w:vAlign w:val="bottom"/>
          </w:tcPr>
          <w:p>
            <w:pPr>
              <w:spacing w:after="0"/>
              <w:rPr>
                <w:sz w:val="14"/>
                <w:szCs w:val="14"/>
                <w:color w:val="auto"/>
              </w:rPr>
            </w:pPr>
          </w:p>
        </w:tc>
        <w:tc>
          <w:tcPr>
            <w:tcW w:w="5420" w:type="dxa"/>
            <w:vAlign w:val="bottom"/>
          </w:tcPr>
          <w:p>
            <w:pPr>
              <w:ind w:left="1780"/>
              <w:spacing w:after="0"/>
              <w:rPr>
                <w:sz w:val="20"/>
                <w:szCs w:val="20"/>
                <w:color w:val="auto"/>
              </w:rPr>
            </w:pPr>
            <w:r>
              <w:rPr>
                <w:rFonts w:ascii="Verdana" w:cs="Verdana" w:eastAsia="Verdana" w:hAnsi="Verdana"/>
                <w:sz w:val="13"/>
                <w:szCs w:val="13"/>
                <w:color w:val="auto"/>
              </w:rPr>
              <w:t>Email: dkeenan@oaktreecapital.com</w:t>
            </w:r>
          </w:p>
        </w:tc>
      </w:tr>
    </w:tbl>
    <w:p>
      <w:pPr>
        <w:spacing w:after="0" w:line="237" w:lineRule="exact"/>
        <w:rPr>
          <w:sz w:val="20"/>
          <w:szCs w:val="20"/>
          <w:color w:val="auto"/>
        </w:rPr>
      </w:pPr>
    </w:p>
    <w:p>
      <w:pPr>
        <w:ind w:left="560"/>
        <w:spacing w:after="0" w:line="269" w:lineRule="auto"/>
        <w:rPr>
          <w:sz w:val="20"/>
          <w:szCs w:val="20"/>
          <w:color w:val="auto"/>
        </w:rPr>
      </w:pPr>
      <w:r>
        <w:rPr>
          <w:rFonts w:ascii="Verdana" w:cs="Verdana" w:eastAsia="Verdana" w:hAnsi="Verdana"/>
          <w:sz w:val="13"/>
          <w:szCs w:val="13"/>
          <w:color w:val="auto"/>
        </w:rPr>
        <w:t>All notices delivered by email, facsimile or hand shall be deemed given on the day received. All notices mailed shall be deemed to have been given two business days after they have been deposited as certified mail, return receipt requested, postage paid and properly addressed.</w:t>
      </w:r>
    </w:p>
    <w:p>
      <w:pPr>
        <w:spacing w:after="0" w:line="134"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20.3</w:t>
      </w:r>
      <w:r>
        <w:rPr>
          <w:sz w:val="20"/>
          <w:szCs w:val="20"/>
          <w:color w:val="auto"/>
        </w:rPr>
        <w:tab/>
      </w:r>
      <w:r>
        <w:rPr>
          <w:rFonts w:ascii="Verdana" w:cs="Verdana" w:eastAsia="Verdana" w:hAnsi="Verdana"/>
          <w:sz w:val="12"/>
          <w:szCs w:val="12"/>
          <w:b w:val="1"/>
          <w:bCs w:val="1"/>
          <w:color w:val="auto"/>
        </w:rPr>
        <w:t>Assignment</w:t>
      </w:r>
    </w:p>
    <w:p>
      <w:pPr>
        <w:spacing w:after="0" w:line="160" w:lineRule="exact"/>
        <w:rPr>
          <w:sz w:val="20"/>
          <w:szCs w:val="20"/>
          <w:color w:val="auto"/>
        </w:rPr>
      </w:pPr>
    </w:p>
    <w:p>
      <w:pPr>
        <w:ind w:left="560"/>
        <w:spacing w:after="0"/>
        <w:rPr>
          <w:sz w:val="20"/>
          <w:szCs w:val="20"/>
          <w:color w:val="auto"/>
        </w:rPr>
      </w:pPr>
      <w:r>
        <w:rPr>
          <w:rFonts w:ascii="Verdana" w:cs="Verdana" w:eastAsia="Verdana" w:hAnsi="Verdana"/>
          <w:sz w:val="13"/>
          <w:szCs w:val="13"/>
          <w:color w:val="auto"/>
        </w:rPr>
        <w:t>The LLP may not assign (within the meaning of the Advisers Act) its rights and obligations under this Agreement without the prior written consent of Oaktree US.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8</w:t>
      </w:r>
    </w:p>
    <w:p>
      <w:pPr>
        <w:sectPr>
          <w:pgSz w:w="11900" w:h="16838" w:orient="portrait"/>
          <w:cols w:equalWidth="0" w:num="1">
            <w:col w:w="11280"/>
          </w:cols>
          <w:pgMar w:left="300" w:top="1157" w:right="319" w:bottom="1440" w:gutter="0" w:footer="0" w:header="0"/>
        </w:sectPr>
      </w:pPr>
    </w:p>
    <w:bookmarkStart w:id="234" w:name="page235"/>
    <w:bookmarkEnd w:id="234"/>
    <w:p>
      <w:pPr>
        <w:spacing w:after="0"/>
        <w:tabs>
          <w:tab w:leader="none" w:pos="520" w:val="left"/>
        </w:tabs>
        <w:rPr>
          <w:sz w:val="20"/>
          <w:szCs w:val="20"/>
          <w:color w:val="auto"/>
        </w:rPr>
      </w:pPr>
      <w:r>
        <w:rPr>
          <w:rFonts w:ascii="Verdana" w:cs="Verdana" w:eastAsia="Verdana" w:hAnsi="Verdana"/>
          <w:sz w:val="13"/>
          <w:szCs w:val="13"/>
          <w:color w:val="auto"/>
        </w:rPr>
        <w:t>20.4</w:t>
      </w:r>
      <w:r>
        <w:rPr>
          <w:sz w:val="20"/>
          <w:szCs w:val="20"/>
          <w:color w:val="auto"/>
        </w:rPr>
        <w:tab/>
      </w:r>
      <w:r>
        <w:rPr>
          <w:rFonts w:ascii="Verdana" w:cs="Verdana" w:eastAsia="Verdana" w:hAnsi="Verdana"/>
          <w:sz w:val="12"/>
          <w:szCs w:val="12"/>
          <w:b w:val="1"/>
          <w:bCs w:val="1"/>
          <w:color w:val="auto"/>
        </w:rPr>
        <w:t>Entire Agreement</w:t>
      </w:r>
    </w:p>
    <w:p>
      <w:pPr>
        <w:spacing w:after="0" w:line="160" w:lineRule="exact"/>
        <w:rPr>
          <w:sz w:val="20"/>
          <w:szCs w:val="20"/>
          <w:color w:val="auto"/>
        </w:rPr>
      </w:pPr>
    </w:p>
    <w:p>
      <w:pPr>
        <w:jc w:val="both"/>
        <w:ind w:left="1000" w:hanging="442"/>
        <w:spacing w:after="0" w:line="255" w:lineRule="auto"/>
        <w:tabs>
          <w:tab w:leader="none" w:pos="997" w:val="left"/>
        </w:tabs>
        <w:numPr>
          <w:ilvl w:val="0"/>
          <w:numId w:val="48"/>
        </w:numPr>
        <w:rPr>
          <w:rFonts w:ascii="Verdana" w:cs="Verdana" w:eastAsia="Verdana" w:hAnsi="Verdana"/>
          <w:sz w:val="13"/>
          <w:szCs w:val="13"/>
          <w:color w:val="auto"/>
        </w:rPr>
      </w:pPr>
      <w:r>
        <w:rPr>
          <w:rFonts w:ascii="Verdana" w:cs="Verdana" w:eastAsia="Verdana" w:hAnsi="Verdana"/>
          <w:sz w:val="13"/>
          <w:szCs w:val="13"/>
          <w:color w:val="auto"/>
        </w:rPr>
        <w:t>This Agreement contains the entire agreement between Oaktree US and the LLP relating to the subject matter hereof and supersedes in its entirety all other prior agreements and all amendments thereto between Oaktree US and the LLP relating to the subject matter hereof, including those agreements referred to in Clause 19.4(b).</w:t>
      </w:r>
    </w:p>
    <w:p>
      <w:pPr>
        <w:spacing w:after="0" w:line="144" w:lineRule="exact"/>
        <w:rPr>
          <w:sz w:val="20"/>
          <w:szCs w:val="20"/>
          <w:color w:val="auto"/>
        </w:rPr>
      </w:pPr>
    </w:p>
    <w:p>
      <w:pPr>
        <w:ind w:left="1000" w:hanging="439"/>
        <w:spacing w:after="0" w:line="253" w:lineRule="auto"/>
        <w:tabs>
          <w:tab w:leader="none" w:pos="980" w:val="left"/>
        </w:tabs>
        <w:rPr>
          <w:sz w:val="20"/>
          <w:szCs w:val="20"/>
          <w:color w:val="auto"/>
        </w:rPr>
      </w:pPr>
      <w:r>
        <w:rPr>
          <w:rFonts w:ascii="Verdana" w:cs="Verdana" w:eastAsia="Verdana" w:hAnsi="Verdana"/>
          <w:sz w:val="13"/>
          <w:szCs w:val="13"/>
          <w:color w:val="auto"/>
        </w:rPr>
        <w:t>(ab)</w:t>
        <w:tab/>
        <w:t>For the avoidance of doubt, it is agreed and acknowledged that the Terminated Agreements were terminated with effect from the 17 November 2011 and all of the parties’ obligations and liabilities ceased with effect from that date.</w:t>
      </w:r>
    </w:p>
    <w:p>
      <w:pPr>
        <w:spacing w:after="0" w:line="144"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20.5</w:t>
      </w:r>
      <w:r>
        <w:rPr>
          <w:sz w:val="20"/>
          <w:szCs w:val="20"/>
          <w:color w:val="auto"/>
        </w:rPr>
        <w:tab/>
      </w:r>
      <w:r>
        <w:rPr>
          <w:rFonts w:ascii="Verdana" w:cs="Verdana" w:eastAsia="Verdana" w:hAnsi="Verdana"/>
          <w:sz w:val="12"/>
          <w:szCs w:val="12"/>
          <w:b w:val="1"/>
          <w:bCs w:val="1"/>
          <w:color w:val="auto"/>
        </w:rPr>
        <w:t>Counterparts</w:t>
      </w:r>
    </w:p>
    <w:p>
      <w:pPr>
        <w:spacing w:after="0" w:line="160" w:lineRule="exact"/>
        <w:rPr>
          <w:sz w:val="20"/>
          <w:szCs w:val="20"/>
          <w:color w:val="auto"/>
        </w:rPr>
      </w:pPr>
    </w:p>
    <w:p>
      <w:pPr>
        <w:ind w:left="560"/>
        <w:spacing w:after="0" w:line="269" w:lineRule="auto"/>
        <w:rPr>
          <w:sz w:val="20"/>
          <w:szCs w:val="20"/>
          <w:color w:val="auto"/>
        </w:rPr>
      </w:pPr>
      <w:r>
        <w:rPr>
          <w:rFonts w:ascii="Verdana" w:cs="Verdana" w:eastAsia="Verdana" w:hAnsi="Verdana"/>
          <w:sz w:val="13"/>
          <w:szCs w:val="13"/>
          <w:color w:val="auto"/>
        </w:rPr>
        <w:t>This Agreement may be executed in any number of counterparts and this has the same effect as if the signatures on the counterparts were on a single copy of this Agreement.</w:t>
      </w:r>
    </w:p>
    <w:p>
      <w:pPr>
        <w:spacing w:after="0" w:line="134"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 xml:space="preserve">IN WITNESS </w:t>
      </w:r>
      <w:r>
        <w:rPr>
          <w:rFonts w:ascii="Verdana" w:cs="Verdana" w:eastAsia="Verdana" w:hAnsi="Verdana"/>
          <w:sz w:val="13"/>
          <w:szCs w:val="13"/>
          <w:color w:val="auto"/>
        </w:rPr>
        <w:t>whereof the parties have executed and delivered this Agreement as a deed as of the date appearing on the first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9</w:t>
      </w:r>
    </w:p>
    <w:p>
      <w:pPr>
        <w:sectPr>
          <w:pgSz w:w="11900" w:h="16838" w:orient="portrait"/>
          <w:cols w:equalWidth="0" w:num="1">
            <w:col w:w="11280"/>
          </w:cols>
          <w:pgMar w:left="300" w:top="1157" w:right="319" w:bottom="1440" w:gutter="0" w:footer="0" w:header="0"/>
        </w:sectPr>
      </w:pPr>
    </w:p>
    <w:bookmarkStart w:id="235" w:name="page236"/>
    <w:bookmarkEnd w:id="235"/>
    <w:p>
      <w:pPr>
        <w:spacing w:after="0"/>
        <w:rPr>
          <w:sz w:val="20"/>
          <w:szCs w:val="20"/>
          <w:color w:val="auto"/>
        </w:rPr>
      </w:pPr>
      <w:r>
        <w:rPr>
          <w:rFonts w:ascii="Verdana" w:cs="Verdana" w:eastAsia="Verdana" w:hAnsi="Verdana"/>
          <w:sz w:val="12"/>
          <w:szCs w:val="12"/>
          <w:b w:val="1"/>
          <w:bCs w:val="1"/>
          <w:color w:val="auto"/>
        </w:rPr>
        <w:t>IN WITNESS WHEREOF THIS DEED HAS BEEN EXECUTED AND DELIVERED ON THE DATE FIRST ABOVE WRITTEN:</w:t>
      </w:r>
    </w:p>
    <w:p>
      <w:pPr>
        <w:spacing w:after="0" w:line="215" w:lineRule="exact"/>
        <w:rPr>
          <w:sz w:val="20"/>
          <w:szCs w:val="20"/>
          <w:color w:val="auto"/>
        </w:rPr>
      </w:pPr>
    </w:p>
    <w:p>
      <w:pPr>
        <w:ind w:left="60"/>
        <w:spacing w:after="0"/>
        <w:tabs>
          <w:tab w:leader="none" w:pos="5800" w:val="left"/>
        </w:tabs>
        <w:rPr>
          <w:sz w:val="20"/>
          <w:szCs w:val="20"/>
          <w:color w:val="auto"/>
        </w:rPr>
      </w:pPr>
      <w:r>
        <w:rPr>
          <w:rFonts w:ascii="Verdana" w:cs="Verdana" w:eastAsia="Verdana" w:hAnsi="Verdana"/>
          <w:sz w:val="13"/>
          <w:szCs w:val="13"/>
          <w:color w:val="auto"/>
        </w:rPr>
        <w:t xml:space="preserve">Executed as a deed by </w:t>
      </w:r>
      <w:r>
        <w:rPr>
          <w:rFonts w:ascii="Verdana" w:cs="Verdana" w:eastAsia="Verdana" w:hAnsi="Verdana"/>
          <w:sz w:val="13"/>
          <w:szCs w:val="13"/>
          <w:b w:val="1"/>
          <w:bCs w:val="1"/>
          <w:color w:val="auto"/>
        </w:rPr>
        <w:t>Oaktree Capital Management, L.P.</w:t>
      </w:r>
      <w:r>
        <w:rPr>
          <w:sz w:val="20"/>
          <w:szCs w:val="20"/>
          <w:color w:val="auto"/>
        </w:rPr>
        <w:tab/>
      </w:r>
      <w:r>
        <w:rPr>
          <w:rFonts w:ascii="Verdana" w:cs="Verdana" w:eastAsia="Verdana" w:hAnsi="Verdana"/>
          <w:sz w:val="13"/>
          <w:szCs w:val="13"/>
          <w:color w:val="auto"/>
        </w:rPr>
        <w:t>)</w:t>
      </w:r>
    </w:p>
    <w:p>
      <w:pPr>
        <w:spacing w:after="0" w:line="1" w:lineRule="exact"/>
        <w:rPr>
          <w:sz w:val="20"/>
          <w:szCs w:val="20"/>
          <w:color w:val="auto"/>
        </w:rPr>
      </w:pPr>
    </w:p>
    <w:p>
      <w:pPr>
        <w:ind w:left="5820"/>
        <w:spacing w:after="0"/>
        <w:rPr>
          <w:sz w:val="20"/>
          <w:szCs w:val="20"/>
          <w:color w:val="auto"/>
        </w:rPr>
      </w:pPr>
      <w:r>
        <w:rPr>
          <w:rFonts w:ascii="Verdana" w:cs="Verdana" w:eastAsia="Verdana" w:hAnsi="Verdana"/>
          <w:sz w:val="13"/>
          <w:szCs w:val="13"/>
          <w:color w:val="auto"/>
        </w:rPr>
        <w:t>)</w:t>
      </w:r>
    </w:p>
    <w:p>
      <w:pPr>
        <w:spacing w:after="0" w:line="12" w:lineRule="exact"/>
        <w:rPr>
          <w:sz w:val="20"/>
          <w:szCs w:val="20"/>
          <w:color w:val="auto"/>
        </w:rPr>
      </w:pPr>
    </w:p>
    <w:p>
      <w:pPr>
        <w:ind w:left="5820"/>
        <w:spacing w:after="0"/>
        <w:rPr>
          <w:sz w:val="20"/>
          <w:szCs w:val="20"/>
          <w:color w:val="auto"/>
        </w:rPr>
      </w:pPr>
      <w:r>
        <w:rPr>
          <w:rFonts w:ascii="Verdana" w:cs="Verdana" w:eastAsia="Verdana" w:hAnsi="Verdana"/>
          <w:sz w:val="13"/>
          <w:szCs w:val="13"/>
          <w:color w:val="auto"/>
        </w:rPr>
        <w:t>)</w:t>
      </w:r>
    </w:p>
    <w:p>
      <w:pPr>
        <w:spacing w:after="0" w:line="1" w:lineRule="exact"/>
        <w:rPr>
          <w:sz w:val="20"/>
          <w:szCs w:val="20"/>
          <w:color w:val="auto"/>
        </w:rPr>
      </w:pPr>
    </w:p>
    <w:p>
      <w:pPr>
        <w:ind w:left="5820"/>
        <w:spacing w:after="0"/>
        <w:rPr>
          <w:sz w:val="20"/>
          <w:szCs w:val="20"/>
          <w:color w:val="auto"/>
        </w:rPr>
      </w:pPr>
      <w:r>
        <w:rPr>
          <w:rFonts w:ascii="Verdana" w:cs="Verdana" w:eastAsia="Verdana" w:hAnsi="Verdana"/>
          <w:sz w:val="13"/>
          <w:szCs w:val="13"/>
          <w:color w:val="auto"/>
        </w:rPr>
        <w:t>)</w:t>
      </w:r>
    </w:p>
    <w:p>
      <w:pPr>
        <w:spacing w:after="0" w:line="22" w:lineRule="exact"/>
        <w:rPr>
          <w:sz w:val="20"/>
          <w:szCs w:val="20"/>
          <w:color w:val="auto"/>
        </w:rPr>
      </w:pPr>
    </w:p>
    <w:p>
      <w:pPr>
        <w:ind w:left="6280"/>
        <w:spacing w:after="0"/>
        <w:rPr>
          <w:sz w:val="20"/>
          <w:szCs w:val="20"/>
          <w:color w:val="auto"/>
        </w:rPr>
      </w:pPr>
      <w:r>
        <w:rPr>
          <w:rFonts w:ascii="Verdana" w:cs="Verdana" w:eastAsia="Verdana" w:hAnsi="Verdana"/>
          <w:sz w:val="13"/>
          <w:szCs w:val="13"/>
          <w:color w:val="auto"/>
        </w:rPr>
        <w:t>/s/ Todd Molz</w:t>
      </w:r>
    </w:p>
    <w:p>
      <w:pPr>
        <w:sectPr>
          <w:pgSz w:w="11900" w:h="16838" w:orient="portrait"/>
          <w:cols w:equalWidth="0" w:num="1">
            <w:col w:w="10159"/>
          </w:cols>
          <w:pgMar w:left="300" w:top="1348" w:right="1440" w:bottom="1440" w:gutter="0" w:footer="0" w:header="0"/>
        </w:sectPr>
      </w:pPr>
    </w:p>
    <w:p>
      <w:pPr>
        <w:spacing w:after="0" w:line="33" w:lineRule="exact"/>
        <w:rPr>
          <w:sz w:val="20"/>
          <w:szCs w:val="20"/>
          <w:color w:val="auto"/>
        </w:rPr>
      </w:pPr>
    </w:p>
    <w:p>
      <w:pPr>
        <w:ind w:left="4360"/>
        <w:spacing w:after="0"/>
        <w:rPr>
          <w:sz w:val="20"/>
          <w:szCs w:val="20"/>
          <w:color w:val="auto"/>
        </w:rPr>
      </w:pPr>
      <w:r>
        <w:rPr>
          <w:rFonts w:ascii="Verdana" w:cs="Verdana" w:eastAsia="Verdana" w:hAnsi="Verdana"/>
          <w:sz w:val="13"/>
          <w:szCs w:val="13"/>
          <w:color w:val="auto"/>
        </w:rPr>
        <w:t>Authorised Signatory</w:t>
      </w:r>
    </w:p>
    <w:p>
      <w:pPr>
        <w:spacing w:after="0" w:line="200" w:lineRule="exact"/>
        <w:rPr>
          <w:sz w:val="20"/>
          <w:szCs w:val="20"/>
          <w:color w:val="auto"/>
        </w:rPr>
      </w:pPr>
    </w:p>
    <w:p>
      <w:pPr>
        <w:spacing w:after="0" w:line="342" w:lineRule="exact"/>
        <w:rPr>
          <w:sz w:val="20"/>
          <w:szCs w:val="20"/>
          <w:color w:val="auto"/>
        </w:rPr>
      </w:pPr>
    </w:p>
    <w:p>
      <w:pPr>
        <w:ind w:left="4360"/>
        <w:spacing w:after="0"/>
        <w:rPr>
          <w:sz w:val="20"/>
          <w:szCs w:val="20"/>
          <w:color w:val="auto"/>
        </w:rPr>
      </w:pPr>
      <w:r>
        <w:rPr>
          <w:rFonts w:ascii="Verdana" w:cs="Verdana" w:eastAsia="Verdana" w:hAnsi="Verdana"/>
          <w:sz w:val="13"/>
          <w:szCs w:val="13"/>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tabs>
          <w:tab w:leader="none" w:pos="5800" w:val="left"/>
        </w:tabs>
        <w:rPr>
          <w:sz w:val="20"/>
          <w:szCs w:val="20"/>
          <w:color w:val="auto"/>
        </w:rPr>
      </w:pPr>
      <w:r>
        <w:rPr>
          <w:rFonts w:ascii="Verdana" w:cs="Verdana" w:eastAsia="Verdana" w:hAnsi="Verdana"/>
          <w:sz w:val="13"/>
          <w:szCs w:val="13"/>
          <w:color w:val="auto"/>
        </w:rPr>
        <w:t>Executed as a deed by</w:t>
      </w:r>
      <w:r>
        <w:rPr>
          <w:sz w:val="20"/>
          <w:szCs w:val="20"/>
          <w:color w:val="auto"/>
        </w:rPr>
        <w:tab/>
      </w:r>
      <w:r>
        <w:rPr>
          <w:rFonts w:ascii="Verdana" w:cs="Verdana" w:eastAsia="Verdana" w:hAnsi="Verdana"/>
          <w:sz w:val="13"/>
          <w:szCs w:val="13"/>
          <w:color w:val="auto"/>
        </w:rPr>
        <w:t>)</w:t>
      </w:r>
    </w:p>
    <w:p>
      <w:pPr>
        <w:spacing w:after="0" w:line="12" w:lineRule="exact"/>
        <w:rPr>
          <w:sz w:val="20"/>
          <w:szCs w:val="20"/>
          <w:color w:val="auto"/>
        </w:rPr>
      </w:pPr>
    </w:p>
    <w:p>
      <w:pPr>
        <w:ind w:left="60"/>
        <w:spacing w:after="0"/>
        <w:tabs>
          <w:tab w:leader="none" w:pos="5800" w:val="left"/>
        </w:tabs>
        <w:rPr>
          <w:sz w:val="20"/>
          <w:szCs w:val="20"/>
          <w:color w:val="auto"/>
        </w:rPr>
      </w:pPr>
      <w:r>
        <w:rPr>
          <w:rFonts w:ascii="Verdana" w:cs="Verdana" w:eastAsia="Verdana" w:hAnsi="Verdana"/>
          <w:sz w:val="13"/>
          <w:szCs w:val="13"/>
          <w:color w:val="auto"/>
        </w:rPr>
        <w:t xml:space="preserve">Oaktree European Holdings LLC, in its capacity as a member of </w:t>
      </w:r>
      <w:r>
        <w:rPr>
          <w:rFonts w:ascii="Verdana" w:cs="Verdana" w:eastAsia="Verdana" w:hAnsi="Verdana"/>
          <w:sz w:val="13"/>
          <w:szCs w:val="13"/>
          <w:b w:val="1"/>
          <w:bCs w:val="1"/>
          <w:color w:val="auto"/>
        </w:rPr>
        <w:t>Oaktree</w:t>
      </w:r>
      <w:r>
        <w:rPr>
          <w:sz w:val="20"/>
          <w:szCs w:val="20"/>
          <w:color w:val="auto"/>
        </w:rPr>
        <w:tab/>
      </w:r>
      <w:r>
        <w:rPr>
          <w:rFonts w:ascii="Verdana" w:cs="Verdana" w:eastAsia="Verdana" w:hAnsi="Verdana"/>
          <w:sz w:val="13"/>
          <w:szCs w:val="13"/>
          <w:color w:val="auto"/>
        </w:rPr>
        <w:t>)</w:t>
      </w:r>
    </w:p>
    <w:p>
      <w:pPr>
        <w:spacing w:after="0" w:line="1" w:lineRule="exact"/>
        <w:rPr>
          <w:sz w:val="20"/>
          <w:szCs w:val="20"/>
          <w:color w:val="auto"/>
        </w:rPr>
      </w:pPr>
    </w:p>
    <w:p>
      <w:pPr>
        <w:ind w:left="60"/>
        <w:spacing w:after="0"/>
        <w:tabs>
          <w:tab w:leader="none" w:pos="5800" w:val="left"/>
        </w:tabs>
        <w:rPr>
          <w:sz w:val="20"/>
          <w:szCs w:val="20"/>
          <w:color w:val="auto"/>
        </w:rPr>
      </w:pPr>
      <w:r>
        <w:rPr>
          <w:rFonts w:ascii="Verdana" w:cs="Verdana" w:eastAsia="Verdana" w:hAnsi="Verdana"/>
          <w:sz w:val="13"/>
          <w:szCs w:val="13"/>
          <w:b w:val="1"/>
          <w:bCs w:val="1"/>
          <w:color w:val="auto"/>
        </w:rPr>
        <w:t>Capital Management (UK) LLP</w:t>
      </w:r>
      <w:r>
        <w:rPr>
          <w:rFonts w:ascii="Verdana" w:cs="Verdana" w:eastAsia="Verdana" w:hAnsi="Verdana"/>
          <w:sz w:val="13"/>
          <w:szCs w:val="13"/>
          <w:color w:val="auto"/>
        </w:rPr>
        <w:t>:</w:t>
      </w:r>
      <w:r>
        <w:rPr>
          <w:sz w:val="20"/>
          <w:szCs w:val="20"/>
          <w:color w:val="auto"/>
        </w:rPr>
        <w:tab/>
      </w:r>
      <w:r>
        <w:rPr>
          <w:rFonts w:ascii="Verdana" w:cs="Verdana" w:eastAsia="Verdana" w:hAnsi="Verdana"/>
          <w:sz w:val="13"/>
          <w:szCs w:val="13"/>
          <w:color w:val="auto"/>
        </w:rPr>
        <w:t>)</w:t>
      </w:r>
    </w:p>
    <w:p>
      <w:pPr>
        <w:spacing w:after="0" w:line="1" w:lineRule="exact"/>
        <w:rPr>
          <w:sz w:val="20"/>
          <w:szCs w:val="20"/>
          <w:color w:val="auto"/>
        </w:rPr>
      </w:pPr>
    </w:p>
    <w:p>
      <w:pPr>
        <w:jc w:val="right"/>
        <w:spacing w:after="0"/>
        <w:rPr>
          <w:sz w:val="20"/>
          <w:szCs w:val="20"/>
          <w:color w:val="auto"/>
        </w:rPr>
      </w:pPr>
      <w:r>
        <w:rPr>
          <w:rFonts w:ascii="Verdana" w:cs="Verdana" w:eastAsia="Verdana" w:hAnsi="Verdana"/>
          <w:sz w:val="13"/>
          <w:szCs w:val="13"/>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Verdana" w:cs="Verdana" w:eastAsia="Verdana" w:hAnsi="Verdana"/>
          <w:sz w:val="13"/>
          <w:szCs w:val="13"/>
          <w:color w:val="auto"/>
        </w:rPr>
        <w:t>……………………………………………………………….</w:t>
      </w:r>
    </w:p>
    <w:p>
      <w:pPr>
        <w:spacing w:after="0" w:line="1" w:lineRule="exact"/>
        <w:rPr>
          <w:sz w:val="20"/>
          <w:szCs w:val="20"/>
          <w:color w:val="auto"/>
        </w:rPr>
      </w:pPr>
    </w:p>
    <w:p>
      <w:pPr>
        <w:spacing w:after="0"/>
        <w:rPr>
          <w:sz w:val="20"/>
          <w:szCs w:val="20"/>
          <w:color w:val="auto"/>
        </w:rPr>
      </w:pPr>
      <w:r>
        <w:rPr>
          <w:rFonts w:ascii="Verdana" w:cs="Verdana" w:eastAsia="Verdana" w:hAnsi="Verdana"/>
          <w:sz w:val="13"/>
          <w:szCs w:val="13"/>
          <w:color w:val="auto"/>
        </w:rPr>
        <w:t>Todd Molz</w:t>
      </w:r>
    </w:p>
    <w:p>
      <w:pPr>
        <w:spacing w:after="0" w:line="203" w:lineRule="exact"/>
        <w:rPr>
          <w:sz w:val="20"/>
          <w:szCs w:val="20"/>
          <w:color w:val="auto"/>
        </w:rPr>
      </w:pPr>
    </w:p>
    <w:p>
      <w:pPr>
        <w:spacing w:after="0"/>
        <w:rPr>
          <w:sz w:val="20"/>
          <w:szCs w:val="20"/>
          <w:color w:val="auto"/>
        </w:rPr>
      </w:pPr>
      <w:r>
        <w:rPr>
          <w:rFonts w:ascii="Verdana" w:cs="Verdana" w:eastAsia="Verdana" w:hAnsi="Verdana"/>
          <w:sz w:val="13"/>
          <w:szCs w:val="13"/>
          <w:color w:val="auto"/>
        </w:rPr>
        <w:t>/s/ Richard Ting</w:t>
      </w:r>
    </w:p>
    <w:p>
      <w:pPr>
        <w:spacing w:after="0" w:line="44" w:lineRule="exact"/>
        <w:rPr>
          <w:sz w:val="20"/>
          <w:szCs w:val="20"/>
          <w:color w:val="auto"/>
        </w:rPr>
      </w:pPr>
    </w:p>
    <w:p>
      <w:pPr>
        <w:spacing w:after="0"/>
        <w:rPr>
          <w:sz w:val="20"/>
          <w:szCs w:val="20"/>
          <w:color w:val="auto"/>
        </w:rPr>
      </w:pPr>
      <w:r>
        <w:rPr>
          <w:rFonts w:ascii="Verdana" w:cs="Verdana" w:eastAsia="Verdana" w:hAnsi="Verdana"/>
          <w:sz w:val="12"/>
          <w:szCs w:val="12"/>
          <w:color w:val="auto"/>
        </w:rPr>
        <w:t>………………………………………………………………….</w:t>
      </w:r>
    </w:p>
    <w:p>
      <w:pPr>
        <w:spacing w:after="0" w:line="13" w:lineRule="exact"/>
        <w:rPr>
          <w:sz w:val="20"/>
          <w:szCs w:val="20"/>
          <w:color w:val="auto"/>
        </w:rPr>
      </w:pPr>
    </w:p>
    <w:p>
      <w:pPr>
        <w:spacing w:after="0"/>
        <w:rPr>
          <w:sz w:val="20"/>
          <w:szCs w:val="20"/>
          <w:color w:val="auto"/>
        </w:rPr>
      </w:pPr>
      <w:r>
        <w:rPr>
          <w:rFonts w:ascii="Verdana" w:cs="Verdana" w:eastAsia="Verdana" w:hAnsi="Verdana"/>
          <w:sz w:val="13"/>
          <w:szCs w:val="13"/>
          <w:color w:val="auto"/>
        </w:rPr>
        <w:t>Richard Ting</w:t>
      </w:r>
    </w:p>
    <w:p>
      <w:pPr>
        <w:spacing w:after="0" w:line="1561" w:lineRule="exact"/>
        <w:rPr>
          <w:sz w:val="20"/>
          <w:szCs w:val="20"/>
          <w:color w:val="auto"/>
        </w:rPr>
      </w:pPr>
    </w:p>
    <w:p>
      <w:pPr>
        <w:sectPr>
          <w:pgSz w:w="11900" w:h="16838" w:orient="portrait"/>
          <w:cols w:equalWidth="0" w:num="2">
            <w:col w:w="5880" w:space="440"/>
            <w:col w:w="3839"/>
          </w:cols>
          <w:pgMar w:left="300" w:top="1348" w:right="1440" w:bottom="1440" w:gutter="0" w:footer="0" w:header="0"/>
          <w:type w:val="continuous"/>
        </w:sectPr>
      </w:pPr>
    </w:p>
    <w:tbl>
      <w:tblPr>
        <w:tblLayout w:type="fixed"/>
        <w:tblInd w:w="3820" w:type="dxa"/>
        <w:tblCellMar>
          <w:top w:w="0" w:type="dxa"/>
          <w:left w:w="0" w:type="dxa"/>
          <w:bottom w:w="0" w:type="dxa"/>
          <w:right w:w="0" w:type="dxa"/>
        </w:tblCellMar>
      </w:tblPr>
      <w:tr>
        <w:trPr>
          <w:trHeight w:val="166"/>
        </w:trPr>
        <w:tc>
          <w:tcPr>
            <w:tcW w:w="2180" w:type="dxa"/>
            <w:vAlign w:val="bottom"/>
          </w:tcPr>
          <w:p>
            <w:pPr>
              <w:jc w:val="right"/>
              <w:ind w:right="216"/>
              <w:spacing w:after="0"/>
              <w:rPr>
                <w:sz w:val="20"/>
                <w:szCs w:val="20"/>
                <w:color w:val="auto"/>
              </w:rPr>
            </w:pPr>
            <w:r>
              <w:rPr>
                <w:rFonts w:ascii="Verdana" w:cs="Verdana" w:eastAsia="Verdana" w:hAnsi="Verdana"/>
                <w:sz w:val="13"/>
                <w:szCs w:val="13"/>
                <w:color w:val="auto"/>
              </w:rPr>
              <w:t>Signature</w:t>
            </w:r>
          </w:p>
        </w:tc>
        <w:tc>
          <w:tcPr>
            <w:tcW w:w="2920" w:type="dxa"/>
            <w:vAlign w:val="bottom"/>
          </w:tcPr>
          <w:p>
            <w:pPr>
              <w:ind w:left="260"/>
              <w:spacing w:after="0"/>
              <w:rPr>
                <w:sz w:val="20"/>
                <w:szCs w:val="20"/>
                <w:color w:val="auto"/>
              </w:rPr>
            </w:pPr>
            <w:r>
              <w:rPr>
                <w:rFonts w:ascii="Verdana" w:cs="Verdana" w:eastAsia="Verdana" w:hAnsi="Verdana"/>
                <w:sz w:val="13"/>
                <w:szCs w:val="13"/>
                <w:color w:val="auto"/>
              </w:rPr>
              <w:t>/s/ Todd Molz</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14"/>
                <w:szCs w:val="14"/>
                <w:color w:val="auto"/>
              </w:rPr>
            </w:pPr>
          </w:p>
        </w:tc>
        <w:tc>
          <w:tcPr>
            <w:tcW w:w="2920" w:type="dxa"/>
            <w:vAlign w:val="bottom"/>
          </w:tcPr>
          <w:p>
            <w:pPr>
              <w:ind w:left="260"/>
              <w:spacing w:after="0"/>
              <w:rPr>
                <w:sz w:val="20"/>
                <w:szCs w:val="20"/>
                <w:color w:val="auto"/>
              </w:rPr>
            </w:pPr>
            <w:r>
              <w:rPr>
                <w:rFonts w:ascii="Verdana" w:cs="Verdana" w:eastAsia="Verdana" w:hAnsi="Verdana"/>
                <w:sz w:val="13"/>
                <w:szCs w:val="13"/>
                <w:color w:val="auto"/>
                <w:w w:val="97"/>
              </w:rPr>
              <w:t>………………………………………………………………….</w:t>
            </w:r>
          </w:p>
        </w:tc>
        <w:tc>
          <w:tcPr>
            <w:tcW w:w="0" w:type="dxa"/>
            <w:vAlign w:val="bottom"/>
          </w:tcPr>
          <w:p>
            <w:pPr>
              <w:spacing w:after="0"/>
              <w:rPr>
                <w:sz w:val="1"/>
                <w:szCs w:val="1"/>
                <w:color w:val="auto"/>
              </w:rPr>
            </w:pPr>
          </w:p>
        </w:tc>
      </w:tr>
      <w:tr>
        <w:trPr>
          <w:trHeight w:val="198"/>
        </w:trPr>
        <w:tc>
          <w:tcPr>
            <w:tcW w:w="2180" w:type="dxa"/>
            <w:vAlign w:val="bottom"/>
          </w:tcPr>
          <w:p>
            <w:pPr>
              <w:jc w:val="right"/>
              <w:ind w:right="216"/>
              <w:spacing w:after="0"/>
              <w:rPr>
                <w:sz w:val="20"/>
                <w:szCs w:val="20"/>
                <w:color w:val="auto"/>
              </w:rPr>
            </w:pPr>
            <w:r>
              <w:rPr>
                <w:rFonts w:ascii="Verdana" w:cs="Verdana" w:eastAsia="Verdana" w:hAnsi="Verdana"/>
                <w:sz w:val="13"/>
                <w:szCs w:val="13"/>
                <w:color w:val="auto"/>
                <w:w w:val="96"/>
              </w:rPr>
              <w:t>Name of Authorised signatory</w:t>
            </w:r>
          </w:p>
        </w:tc>
        <w:tc>
          <w:tcPr>
            <w:tcW w:w="2920" w:type="dxa"/>
            <w:vAlign w:val="bottom"/>
          </w:tcPr>
          <w:p>
            <w:pPr>
              <w:ind w:left="260"/>
              <w:spacing w:after="0"/>
              <w:rPr>
                <w:sz w:val="20"/>
                <w:szCs w:val="20"/>
                <w:color w:val="auto"/>
              </w:rPr>
            </w:pPr>
            <w:r>
              <w:rPr>
                <w:rFonts w:ascii="Verdana" w:cs="Verdana" w:eastAsia="Verdana" w:hAnsi="Verdana"/>
                <w:sz w:val="13"/>
                <w:szCs w:val="13"/>
                <w:color w:val="auto"/>
              </w:rPr>
              <w:t>Todd Molz</w:t>
            </w:r>
          </w:p>
        </w:tc>
        <w:tc>
          <w:tcPr>
            <w:tcW w:w="0" w:type="dxa"/>
            <w:vAlign w:val="bottom"/>
          </w:tcPr>
          <w:p>
            <w:pPr>
              <w:spacing w:after="0"/>
              <w:rPr>
                <w:sz w:val="1"/>
                <w:szCs w:val="1"/>
                <w:color w:val="auto"/>
              </w:rPr>
            </w:pPr>
          </w:p>
        </w:tc>
      </w:tr>
      <w:tr>
        <w:trPr>
          <w:trHeight w:val="513"/>
        </w:trPr>
        <w:tc>
          <w:tcPr>
            <w:tcW w:w="2180" w:type="dxa"/>
            <w:vAlign w:val="bottom"/>
          </w:tcPr>
          <w:p>
            <w:pPr>
              <w:jc w:val="right"/>
              <w:ind w:right="216"/>
              <w:spacing w:after="0"/>
              <w:rPr>
                <w:sz w:val="20"/>
                <w:szCs w:val="20"/>
                <w:color w:val="auto"/>
              </w:rPr>
            </w:pPr>
            <w:r>
              <w:rPr>
                <w:rFonts w:ascii="Verdana" w:cs="Verdana" w:eastAsia="Verdana" w:hAnsi="Verdana"/>
                <w:sz w:val="13"/>
                <w:szCs w:val="13"/>
                <w:color w:val="auto"/>
              </w:rPr>
              <w:t>Signature of witness</w:t>
            </w:r>
          </w:p>
        </w:tc>
        <w:tc>
          <w:tcPr>
            <w:tcW w:w="2920" w:type="dxa"/>
            <w:vAlign w:val="bottom"/>
          </w:tcPr>
          <w:p>
            <w:pPr>
              <w:ind w:left="260"/>
              <w:spacing w:after="0"/>
              <w:rPr>
                <w:sz w:val="20"/>
                <w:szCs w:val="20"/>
                <w:color w:val="auto"/>
              </w:rPr>
            </w:pPr>
            <w:r>
              <w:rPr>
                <w:rFonts w:ascii="Verdana" w:cs="Verdana" w:eastAsia="Verdana" w:hAnsi="Verdana"/>
                <w:sz w:val="13"/>
                <w:szCs w:val="13"/>
                <w:color w:val="auto"/>
              </w:rPr>
              <w:t>/s/ Kirsten Molz</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920" w:type="dxa"/>
            <w:vAlign w:val="bottom"/>
          </w:tcPr>
          <w:p>
            <w:pPr>
              <w:ind w:left="260"/>
              <w:spacing w:after="0"/>
              <w:rPr>
                <w:sz w:val="20"/>
                <w:szCs w:val="20"/>
                <w:color w:val="auto"/>
              </w:rPr>
            </w:pPr>
            <w:r>
              <w:rPr>
                <w:rFonts w:ascii="Verdana" w:cs="Verdana" w:eastAsia="Verdana" w:hAnsi="Verdana"/>
                <w:sz w:val="13"/>
                <w:szCs w:val="13"/>
                <w:color w:val="auto"/>
                <w:w w:val="97"/>
              </w:rPr>
              <w:t>………………………………………………………………….</w:t>
            </w:r>
          </w:p>
        </w:tc>
        <w:tc>
          <w:tcPr>
            <w:tcW w:w="0" w:type="dxa"/>
            <w:vAlign w:val="bottom"/>
          </w:tcPr>
          <w:p>
            <w:pPr>
              <w:spacing w:after="0"/>
              <w:rPr>
                <w:sz w:val="1"/>
                <w:szCs w:val="1"/>
                <w:color w:val="auto"/>
              </w:rPr>
            </w:pPr>
          </w:p>
        </w:tc>
      </w:tr>
      <w:tr>
        <w:trPr>
          <w:trHeight w:val="166"/>
        </w:trPr>
        <w:tc>
          <w:tcPr>
            <w:tcW w:w="2180" w:type="dxa"/>
            <w:vAlign w:val="bottom"/>
            <w:vMerge w:val="restart"/>
          </w:tcPr>
          <w:p>
            <w:pPr>
              <w:jc w:val="right"/>
              <w:ind w:right="216"/>
              <w:spacing w:after="0"/>
              <w:rPr>
                <w:sz w:val="20"/>
                <w:szCs w:val="20"/>
                <w:color w:val="auto"/>
              </w:rPr>
            </w:pPr>
            <w:r>
              <w:rPr>
                <w:rFonts w:ascii="Verdana" w:cs="Verdana" w:eastAsia="Verdana" w:hAnsi="Verdana"/>
                <w:sz w:val="13"/>
                <w:szCs w:val="13"/>
                <w:color w:val="auto"/>
              </w:rPr>
              <w:t>Name of witness</w:t>
            </w:r>
          </w:p>
        </w:tc>
        <w:tc>
          <w:tcPr>
            <w:tcW w:w="2920" w:type="dxa"/>
            <w:vAlign w:val="bottom"/>
          </w:tcPr>
          <w:p>
            <w:pPr>
              <w:ind w:left="260"/>
              <w:spacing w:after="0"/>
              <w:rPr>
                <w:sz w:val="20"/>
                <w:szCs w:val="20"/>
                <w:color w:val="auto"/>
              </w:rPr>
            </w:pPr>
            <w:r>
              <w:rPr>
                <w:rFonts w:ascii="Verdana" w:cs="Verdana" w:eastAsia="Verdana" w:hAnsi="Verdana"/>
                <w:sz w:val="13"/>
                <w:szCs w:val="13"/>
                <w:color w:val="auto"/>
              </w:rPr>
              <w:t>Kirsten Molz</w:t>
            </w:r>
          </w:p>
        </w:tc>
        <w:tc>
          <w:tcPr>
            <w:tcW w:w="0" w:type="dxa"/>
            <w:vAlign w:val="bottom"/>
          </w:tcPr>
          <w:p>
            <w:pPr>
              <w:spacing w:after="0"/>
              <w:rPr>
                <w:sz w:val="1"/>
                <w:szCs w:val="1"/>
                <w:color w:val="auto"/>
              </w:rPr>
            </w:pPr>
          </w:p>
        </w:tc>
      </w:tr>
      <w:tr>
        <w:trPr>
          <w:trHeight w:val="53"/>
        </w:trPr>
        <w:tc>
          <w:tcPr>
            <w:tcW w:w="2180" w:type="dxa"/>
            <w:vAlign w:val="bottom"/>
            <w:vMerge w:val="continue"/>
          </w:tcPr>
          <w:p>
            <w:pPr>
              <w:spacing w:after="0"/>
              <w:rPr>
                <w:sz w:val="4"/>
                <w:szCs w:val="4"/>
                <w:color w:val="auto"/>
              </w:rPr>
            </w:pPr>
          </w:p>
        </w:tc>
        <w:tc>
          <w:tcPr>
            <w:tcW w:w="2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1"/>
        </w:trPr>
        <w:tc>
          <w:tcPr>
            <w:tcW w:w="2180" w:type="dxa"/>
            <w:vAlign w:val="bottom"/>
          </w:tcPr>
          <w:p>
            <w:pPr>
              <w:jc w:val="right"/>
              <w:ind w:right="216"/>
              <w:spacing w:after="0"/>
              <w:rPr>
                <w:sz w:val="20"/>
                <w:szCs w:val="20"/>
                <w:color w:val="auto"/>
              </w:rPr>
            </w:pPr>
            <w:r>
              <w:rPr>
                <w:rFonts w:ascii="Verdana" w:cs="Verdana" w:eastAsia="Verdana" w:hAnsi="Verdana"/>
                <w:sz w:val="13"/>
                <w:szCs w:val="13"/>
                <w:color w:val="auto"/>
              </w:rPr>
              <w:t>Address of witness</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2180" w:type="dxa"/>
            <w:vAlign w:val="bottom"/>
          </w:tcPr>
          <w:p>
            <w:pPr>
              <w:jc w:val="right"/>
              <w:ind w:right="216"/>
              <w:spacing w:after="0"/>
              <w:rPr>
                <w:sz w:val="20"/>
                <w:szCs w:val="20"/>
                <w:color w:val="auto"/>
              </w:rPr>
            </w:pPr>
            <w:r>
              <w:rPr>
                <w:rFonts w:ascii="Verdana" w:cs="Verdana" w:eastAsia="Verdana" w:hAnsi="Verdana"/>
                <w:sz w:val="13"/>
                <w:szCs w:val="13"/>
                <w:color w:val="auto"/>
              </w:rPr>
              <w:t>Signature</w:t>
            </w:r>
          </w:p>
        </w:tc>
        <w:tc>
          <w:tcPr>
            <w:tcW w:w="2920" w:type="dxa"/>
            <w:vAlign w:val="bottom"/>
            <w:vMerge w:val="restart"/>
          </w:tcPr>
          <w:p>
            <w:pPr>
              <w:ind w:left="260"/>
              <w:spacing w:after="0"/>
              <w:rPr>
                <w:sz w:val="20"/>
                <w:szCs w:val="20"/>
                <w:color w:val="auto"/>
              </w:rPr>
            </w:pPr>
            <w:r>
              <w:rPr>
                <w:rFonts w:ascii="Verdana" w:cs="Verdana" w:eastAsia="Verdana" w:hAnsi="Verdana"/>
                <w:sz w:val="13"/>
                <w:szCs w:val="13"/>
                <w:color w:val="auto"/>
              </w:rPr>
              <w:t>/s/ Richard Ting</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180" w:type="dxa"/>
            <w:vAlign w:val="bottom"/>
          </w:tcPr>
          <w:p>
            <w:pPr>
              <w:jc w:val="right"/>
              <w:ind w:right="216"/>
              <w:spacing w:after="0"/>
              <w:rPr>
                <w:sz w:val="20"/>
                <w:szCs w:val="20"/>
                <w:color w:val="auto"/>
              </w:rPr>
            </w:pPr>
            <w:r>
              <w:rPr>
                <w:rFonts w:ascii="Verdana" w:cs="Verdana" w:eastAsia="Verdana" w:hAnsi="Verdana"/>
                <w:sz w:val="13"/>
                <w:szCs w:val="13"/>
                <w:color w:val="auto"/>
                <w:w w:val="96"/>
              </w:rPr>
              <w:t>Name of Authorised signatory</w:t>
            </w:r>
          </w:p>
        </w:tc>
        <w:tc>
          <w:tcPr>
            <w:tcW w:w="2920" w:type="dxa"/>
            <w:vAlign w:val="bottom"/>
          </w:tcPr>
          <w:p>
            <w:pPr>
              <w:ind w:left="260"/>
              <w:spacing w:after="0"/>
              <w:rPr>
                <w:sz w:val="20"/>
                <w:szCs w:val="20"/>
                <w:color w:val="auto"/>
              </w:rPr>
            </w:pPr>
            <w:r>
              <w:rPr>
                <w:rFonts w:ascii="Verdana" w:cs="Verdana" w:eastAsia="Verdana" w:hAnsi="Verdana"/>
                <w:sz w:val="13"/>
                <w:szCs w:val="13"/>
                <w:color w:val="auto"/>
                <w:w w:val="97"/>
              </w:rPr>
              <w:t>………………………………………………………………….</w:t>
            </w:r>
          </w:p>
        </w:tc>
        <w:tc>
          <w:tcPr>
            <w:tcW w:w="0" w:type="dxa"/>
            <w:vAlign w:val="bottom"/>
          </w:tcPr>
          <w:p>
            <w:pPr>
              <w:spacing w:after="0"/>
              <w:rPr>
                <w:sz w:val="1"/>
                <w:szCs w:val="1"/>
                <w:color w:val="auto"/>
              </w:rPr>
            </w:pPr>
          </w:p>
        </w:tc>
      </w:tr>
      <w:tr>
        <w:trPr>
          <w:trHeight w:val="166"/>
        </w:trPr>
        <w:tc>
          <w:tcPr>
            <w:tcW w:w="2180" w:type="dxa"/>
            <w:vAlign w:val="bottom"/>
          </w:tcPr>
          <w:p>
            <w:pPr>
              <w:spacing w:after="0"/>
              <w:rPr>
                <w:sz w:val="14"/>
                <w:szCs w:val="14"/>
                <w:color w:val="auto"/>
              </w:rPr>
            </w:pPr>
          </w:p>
        </w:tc>
        <w:tc>
          <w:tcPr>
            <w:tcW w:w="2920" w:type="dxa"/>
            <w:vAlign w:val="bottom"/>
          </w:tcPr>
          <w:p>
            <w:pPr>
              <w:ind w:left="260"/>
              <w:spacing w:after="0"/>
              <w:rPr>
                <w:sz w:val="20"/>
                <w:szCs w:val="20"/>
                <w:color w:val="auto"/>
              </w:rPr>
            </w:pPr>
            <w:r>
              <w:rPr>
                <w:rFonts w:ascii="Verdana" w:cs="Verdana" w:eastAsia="Verdana" w:hAnsi="Verdana"/>
                <w:sz w:val="13"/>
                <w:szCs w:val="13"/>
                <w:color w:val="auto"/>
              </w:rPr>
              <w:t>Richard Ting</w:t>
            </w:r>
          </w:p>
        </w:tc>
        <w:tc>
          <w:tcPr>
            <w:tcW w:w="0" w:type="dxa"/>
            <w:vAlign w:val="bottom"/>
          </w:tcPr>
          <w:p>
            <w:pPr>
              <w:spacing w:after="0"/>
              <w:rPr>
                <w:sz w:val="1"/>
                <w:szCs w:val="1"/>
                <w:color w:val="auto"/>
              </w:rPr>
            </w:pPr>
          </w:p>
        </w:tc>
      </w:tr>
      <w:tr>
        <w:trPr>
          <w:trHeight w:val="223"/>
        </w:trPr>
        <w:tc>
          <w:tcPr>
            <w:tcW w:w="2180" w:type="dxa"/>
            <w:vAlign w:val="bottom"/>
          </w:tcPr>
          <w:p>
            <w:pPr>
              <w:jc w:val="right"/>
              <w:ind w:right="216"/>
              <w:spacing w:after="0"/>
              <w:rPr>
                <w:sz w:val="20"/>
                <w:szCs w:val="20"/>
                <w:color w:val="auto"/>
              </w:rPr>
            </w:pPr>
            <w:r>
              <w:rPr>
                <w:rFonts w:ascii="Verdana" w:cs="Verdana" w:eastAsia="Verdana" w:hAnsi="Verdana"/>
                <w:sz w:val="13"/>
                <w:szCs w:val="13"/>
                <w:color w:val="auto"/>
              </w:rPr>
              <w:t>Signature of witness</w:t>
            </w:r>
          </w:p>
        </w:tc>
        <w:tc>
          <w:tcPr>
            <w:tcW w:w="2920" w:type="dxa"/>
            <w:vAlign w:val="bottom"/>
            <w:vMerge w:val="restart"/>
          </w:tcPr>
          <w:p>
            <w:pPr>
              <w:ind w:left="260"/>
              <w:spacing w:after="0"/>
              <w:rPr>
                <w:sz w:val="20"/>
                <w:szCs w:val="20"/>
                <w:color w:val="auto"/>
              </w:rPr>
            </w:pPr>
            <w:r>
              <w:rPr>
                <w:rFonts w:ascii="Verdana" w:cs="Verdana" w:eastAsia="Verdana" w:hAnsi="Verdana"/>
                <w:sz w:val="13"/>
                <w:szCs w:val="13"/>
                <w:color w:val="auto"/>
              </w:rPr>
              <w:t>/s/ Mary Ting</w:t>
            </w: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vMerge w:val="restart"/>
          </w:tcPr>
          <w:p>
            <w:pPr>
              <w:jc w:val="right"/>
              <w:ind w:right="216"/>
              <w:spacing w:after="0"/>
              <w:rPr>
                <w:sz w:val="20"/>
                <w:szCs w:val="20"/>
                <w:color w:val="auto"/>
              </w:rPr>
            </w:pPr>
            <w:r>
              <w:rPr>
                <w:rFonts w:ascii="Verdana" w:cs="Verdana" w:eastAsia="Verdana" w:hAnsi="Verdana"/>
                <w:sz w:val="13"/>
                <w:szCs w:val="13"/>
                <w:color w:val="auto"/>
              </w:rPr>
              <w:t>Name of witness</w:t>
            </w:r>
          </w:p>
        </w:tc>
        <w:tc>
          <w:tcPr>
            <w:tcW w:w="2920" w:type="dxa"/>
            <w:vAlign w:val="bottom"/>
          </w:tcPr>
          <w:p>
            <w:pPr>
              <w:ind w:left="260"/>
              <w:spacing w:after="0"/>
              <w:rPr>
                <w:sz w:val="20"/>
                <w:szCs w:val="20"/>
                <w:color w:val="auto"/>
              </w:rPr>
            </w:pPr>
            <w:r>
              <w:rPr>
                <w:rFonts w:ascii="Verdana" w:cs="Verdana" w:eastAsia="Verdana" w:hAnsi="Verdana"/>
                <w:sz w:val="13"/>
                <w:szCs w:val="13"/>
                <w:color w:val="auto"/>
                <w:w w:val="97"/>
              </w:rPr>
              <w:t>………………………………………………………………….</w:t>
            </w:r>
          </w:p>
        </w:tc>
        <w:tc>
          <w:tcPr>
            <w:tcW w:w="0" w:type="dxa"/>
            <w:vAlign w:val="bottom"/>
          </w:tcPr>
          <w:p>
            <w:pPr>
              <w:spacing w:after="0"/>
              <w:rPr>
                <w:sz w:val="1"/>
                <w:szCs w:val="1"/>
                <w:color w:val="auto"/>
              </w:rPr>
            </w:pPr>
          </w:p>
        </w:tc>
      </w:tr>
      <w:tr>
        <w:trPr>
          <w:trHeight w:val="60"/>
        </w:trPr>
        <w:tc>
          <w:tcPr>
            <w:tcW w:w="2180" w:type="dxa"/>
            <w:vAlign w:val="bottom"/>
            <w:vMerge w:val="continue"/>
          </w:tcPr>
          <w:p>
            <w:pPr>
              <w:spacing w:after="0"/>
              <w:rPr>
                <w:sz w:val="5"/>
                <w:szCs w:val="5"/>
                <w:color w:val="auto"/>
              </w:rPr>
            </w:pPr>
          </w:p>
        </w:tc>
        <w:tc>
          <w:tcPr>
            <w:tcW w:w="2920" w:type="dxa"/>
            <w:vAlign w:val="bottom"/>
            <w:vMerge w:val="restart"/>
          </w:tcPr>
          <w:p>
            <w:pPr>
              <w:ind w:left="260"/>
              <w:spacing w:after="0"/>
              <w:rPr>
                <w:sz w:val="20"/>
                <w:szCs w:val="20"/>
                <w:color w:val="auto"/>
              </w:rPr>
            </w:pPr>
            <w:r>
              <w:rPr>
                <w:rFonts w:ascii="Verdana" w:cs="Verdana" w:eastAsia="Verdana" w:hAnsi="Verdana"/>
                <w:sz w:val="13"/>
                <w:szCs w:val="13"/>
                <w:color w:val="auto"/>
              </w:rPr>
              <w:t>Mary Ting</w:t>
            </w:r>
          </w:p>
        </w:tc>
        <w:tc>
          <w:tcPr>
            <w:tcW w:w="0" w:type="dxa"/>
            <w:vAlign w:val="bottom"/>
          </w:tcPr>
          <w:p>
            <w:pPr>
              <w:spacing w:after="0"/>
              <w:rPr>
                <w:sz w:val="1"/>
                <w:szCs w:val="1"/>
                <w:color w:val="auto"/>
              </w:rPr>
            </w:pPr>
          </w:p>
        </w:tc>
      </w:tr>
      <w:tr>
        <w:trPr>
          <w:trHeight w:val="106"/>
        </w:trPr>
        <w:tc>
          <w:tcPr>
            <w:tcW w:w="218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180" w:type="dxa"/>
            <w:vAlign w:val="bottom"/>
          </w:tcPr>
          <w:p>
            <w:pPr>
              <w:jc w:val="right"/>
              <w:ind w:right="216"/>
              <w:spacing w:after="0"/>
              <w:rPr>
                <w:sz w:val="20"/>
                <w:szCs w:val="20"/>
                <w:color w:val="auto"/>
              </w:rPr>
            </w:pPr>
            <w:r>
              <w:rPr>
                <w:rFonts w:ascii="Verdana" w:cs="Verdana" w:eastAsia="Verdana" w:hAnsi="Verdana"/>
                <w:sz w:val="13"/>
                <w:szCs w:val="13"/>
                <w:color w:val="auto"/>
              </w:rPr>
              <w:t>Address of witness</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00"/>
        <w:spacing w:after="0"/>
        <w:rPr>
          <w:sz w:val="20"/>
          <w:szCs w:val="20"/>
          <w:color w:val="auto"/>
        </w:rPr>
      </w:pPr>
      <w:r>
        <w:rPr>
          <w:rFonts w:ascii="Verdana" w:cs="Verdana" w:eastAsia="Verdana" w:hAnsi="Verdana"/>
          <w:sz w:val="13"/>
          <w:szCs w:val="13"/>
          <w:color w:val="auto"/>
        </w:rPr>
        <w:t>10</w:t>
      </w:r>
    </w:p>
    <w:p>
      <w:pPr>
        <w:sectPr>
          <w:pgSz w:w="11900" w:h="16838" w:orient="portrait"/>
          <w:cols w:equalWidth="0" w:num="1">
            <w:col w:w="10159"/>
          </w:cols>
          <w:pgMar w:left="300" w:top="1348" w:right="1440" w:bottom="1440" w:gutter="0" w:footer="0" w:header="0"/>
          <w:type w:val="continuous"/>
        </w:sectPr>
      </w:pPr>
    </w:p>
    <w:bookmarkStart w:id="236" w:name="page237"/>
    <w:bookmarkEnd w:id="236"/>
    <w:p>
      <w:pPr>
        <w:jc w:val="right"/>
        <w:ind w:right="1759"/>
        <w:spacing w:after="0"/>
        <w:rPr>
          <w:sz w:val="20"/>
          <w:szCs w:val="20"/>
          <w:color w:val="auto"/>
        </w:rPr>
      </w:pPr>
      <w:r>
        <w:rPr>
          <w:rFonts w:ascii="Arial" w:cs="Arial" w:eastAsia="Arial" w:hAnsi="Arial"/>
          <w:sz w:val="14"/>
          <w:szCs w:val="14"/>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Verdana" w:cs="Verdana" w:eastAsia="Verdana" w:hAnsi="Verdana"/>
          <w:sz w:val="30"/>
          <w:szCs w:val="30"/>
          <w:color w:val="auto"/>
        </w:rPr>
        <w:t>Amended and Restated Services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Verdana" w:cs="Verdana" w:eastAsia="Verdana" w:hAnsi="Verdana"/>
          <w:sz w:val="23"/>
          <w:szCs w:val="23"/>
          <w:color w:val="auto"/>
        </w:rPr>
        <w:t>Oaktree Capital Management, L.P.</w:t>
      </w:r>
    </w:p>
    <w:p>
      <w:pPr>
        <w:spacing w:after="0" w:line="159" w:lineRule="exact"/>
        <w:rPr>
          <w:sz w:val="20"/>
          <w:szCs w:val="20"/>
          <w:color w:val="auto"/>
        </w:rPr>
      </w:pPr>
    </w:p>
    <w:p>
      <w:pPr>
        <w:spacing w:after="0"/>
        <w:rPr>
          <w:sz w:val="20"/>
          <w:szCs w:val="20"/>
          <w:color w:val="auto"/>
        </w:rPr>
      </w:pPr>
      <w:r>
        <w:rPr>
          <w:rFonts w:ascii="Verdana" w:cs="Verdana" w:eastAsia="Verdana" w:hAnsi="Verdana"/>
          <w:sz w:val="17"/>
          <w:szCs w:val="17"/>
          <w:color w:val="auto"/>
        </w:rPr>
        <w:t>and</w:t>
      </w:r>
    </w:p>
    <w:p>
      <w:pPr>
        <w:spacing w:after="0" w:line="182" w:lineRule="exact"/>
        <w:rPr>
          <w:sz w:val="20"/>
          <w:szCs w:val="20"/>
          <w:color w:val="auto"/>
        </w:rPr>
      </w:pPr>
    </w:p>
    <w:p>
      <w:pPr>
        <w:spacing w:after="0"/>
        <w:rPr>
          <w:sz w:val="20"/>
          <w:szCs w:val="20"/>
          <w:color w:val="auto"/>
        </w:rPr>
      </w:pPr>
      <w:r>
        <w:rPr>
          <w:rFonts w:ascii="Verdana" w:cs="Verdana" w:eastAsia="Verdana" w:hAnsi="Verdana"/>
          <w:sz w:val="23"/>
          <w:szCs w:val="23"/>
          <w:color w:val="auto"/>
        </w:rPr>
        <w:t>Oaktree Capital Management (International) Limited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0"/>
        <w:spacing w:after="0"/>
        <w:rPr>
          <w:sz w:val="20"/>
          <w:szCs w:val="20"/>
          <w:color w:val="auto"/>
        </w:rPr>
      </w:pPr>
      <w:r>
        <w:rPr>
          <w:rFonts w:ascii="Verdana" w:cs="Verdana" w:eastAsia="Verdana" w:hAnsi="Verdana"/>
          <w:sz w:val="17"/>
          <w:szCs w:val="17"/>
          <w:color w:val="auto"/>
        </w:rPr>
        <w:t>1 June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Verdana" w:cs="Verdana" w:eastAsia="Verdana" w:hAnsi="Verdana"/>
          <w:sz w:val="13"/>
          <w:szCs w:val="13"/>
          <w:color w:val="auto"/>
        </w:rPr>
        <w:t>1</w:t>
      </w:r>
    </w:p>
    <w:p>
      <w:pPr>
        <w:sectPr>
          <w:pgSz w:w="11900" w:h="16838" w:orient="portrait"/>
          <w:cols w:equalWidth="0" w:num="1">
            <w:col w:w="10139"/>
          </w:cols>
          <w:pgMar w:left="320" w:top="1175" w:right="1440" w:bottom="1440" w:gutter="0" w:footer="0" w:header="0"/>
        </w:sectPr>
      </w:pPr>
    </w:p>
    <w:bookmarkStart w:id="237" w:name="page238"/>
    <w:bookmarkEnd w:id="237"/>
    <w:p>
      <w:pPr>
        <w:spacing w:after="0"/>
        <w:rPr>
          <w:sz w:val="20"/>
          <w:szCs w:val="20"/>
          <w:color w:val="auto"/>
        </w:rPr>
      </w:pPr>
      <w:r>
        <w:rPr>
          <w:rFonts w:ascii="Verdana" w:cs="Verdana" w:eastAsia="Verdana" w:hAnsi="Verdana"/>
          <w:sz w:val="13"/>
          <w:szCs w:val="13"/>
          <w:b w:val="1"/>
          <w:bCs w:val="1"/>
          <w:color w:val="auto"/>
        </w:rPr>
        <w:t xml:space="preserve">THIS SERVICES AGREEMENT </w:t>
      </w:r>
      <w:r>
        <w:rPr>
          <w:rFonts w:ascii="Verdana" w:cs="Verdana" w:eastAsia="Verdana" w:hAnsi="Verdana"/>
          <w:sz w:val="13"/>
          <w:szCs w:val="13"/>
          <w:color w:val="auto"/>
        </w:rPr>
        <w:t>(this “</w:t>
      </w:r>
      <w:r>
        <w:rPr>
          <w:rFonts w:ascii="Verdana" w:cs="Verdana" w:eastAsia="Verdana" w:hAnsi="Verdana"/>
          <w:sz w:val="13"/>
          <w:szCs w:val="13"/>
          <w:b w:val="1"/>
          <w:bCs w:val="1"/>
          <w:color w:val="auto"/>
        </w:rPr>
        <w:t>Agreement</w:t>
      </w:r>
      <w:r>
        <w:rPr>
          <w:rFonts w:ascii="Verdana" w:cs="Verdana" w:eastAsia="Verdana" w:hAnsi="Verdana"/>
          <w:sz w:val="13"/>
          <w:szCs w:val="13"/>
          <w:color w:val="auto"/>
        </w:rPr>
        <w:t>”) is made on 1 June 2022</w:t>
      </w:r>
    </w:p>
    <w:p>
      <w:pPr>
        <w:spacing w:after="0" w:line="160"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BETWEEN:</w:t>
      </w:r>
    </w:p>
    <w:p>
      <w:pPr>
        <w:spacing w:after="0" w:line="160" w:lineRule="exact"/>
        <w:rPr>
          <w:sz w:val="20"/>
          <w:szCs w:val="20"/>
          <w:color w:val="auto"/>
        </w:rPr>
      </w:pPr>
    </w:p>
    <w:p>
      <w:pPr>
        <w:ind w:left="560" w:hanging="555"/>
        <w:spacing w:after="0"/>
        <w:tabs>
          <w:tab w:leader="none" w:pos="560" w:val="left"/>
        </w:tabs>
        <w:numPr>
          <w:ilvl w:val="0"/>
          <w:numId w:val="49"/>
        </w:numPr>
        <w:rPr>
          <w:rFonts w:ascii="Verdana" w:cs="Verdana" w:eastAsia="Verdana" w:hAnsi="Verdana"/>
          <w:sz w:val="13"/>
          <w:szCs w:val="13"/>
          <w:color w:val="auto"/>
        </w:rPr>
      </w:pPr>
      <w:r>
        <w:rPr>
          <w:rFonts w:ascii="Verdana" w:cs="Verdana" w:eastAsia="Verdana" w:hAnsi="Verdana"/>
          <w:sz w:val="13"/>
          <w:szCs w:val="13"/>
          <w:b w:val="1"/>
          <w:bCs w:val="1"/>
          <w:color w:val="auto"/>
        </w:rPr>
        <w:t xml:space="preserve">Oaktree Capital Management, L.P. </w:t>
      </w:r>
      <w:r>
        <w:rPr>
          <w:rFonts w:ascii="Verdana" w:cs="Verdana" w:eastAsia="Verdana" w:hAnsi="Verdana"/>
          <w:sz w:val="13"/>
          <w:szCs w:val="13"/>
          <w:color w:val="auto"/>
        </w:rPr>
        <w:t>a Delaware limited partnership of 333 South Grand Avenue, 28</w:t>
      </w:r>
      <w:r>
        <w:rPr>
          <w:rFonts w:ascii="Verdana" w:cs="Verdana" w:eastAsia="Verdana" w:hAnsi="Verdana"/>
          <w:sz w:val="16"/>
          <w:szCs w:val="16"/>
          <w:color w:val="auto"/>
          <w:vertAlign w:val="superscript"/>
        </w:rPr>
        <w:t>th</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Floor, Los Angeles, CA 90071 (</w:t>
      </w:r>
      <w:r>
        <w:rPr>
          <w:rFonts w:ascii="Verdana" w:cs="Verdana" w:eastAsia="Verdana" w:hAnsi="Verdana"/>
          <w:sz w:val="13"/>
          <w:szCs w:val="13"/>
          <w:b w:val="1"/>
          <w:bCs w:val="1"/>
          <w:color w:val="auto"/>
        </w:rPr>
        <w:t>"Oaktree US"</w:t>
      </w:r>
      <w:r>
        <w:rPr>
          <w:rFonts w:ascii="Verdana" w:cs="Verdana" w:eastAsia="Verdana" w:hAnsi="Verdana"/>
          <w:sz w:val="13"/>
          <w:szCs w:val="13"/>
          <w:color w:val="auto"/>
        </w:rPr>
        <w:t>); and</w:t>
      </w:r>
    </w:p>
    <w:p>
      <w:pPr>
        <w:spacing w:after="0" w:line="123" w:lineRule="exact"/>
        <w:rPr>
          <w:rFonts w:ascii="Verdana" w:cs="Verdana" w:eastAsia="Verdana" w:hAnsi="Verdana"/>
          <w:sz w:val="13"/>
          <w:szCs w:val="13"/>
          <w:color w:val="auto"/>
        </w:rPr>
      </w:pPr>
    </w:p>
    <w:p>
      <w:pPr>
        <w:ind w:left="560" w:hanging="555"/>
        <w:spacing w:after="0" w:line="253" w:lineRule="auto"/>
        <w:tabs>
          <w:tab w:leader="none" w:pos="553" w:val="left"/>
        </w:tabs>
        <w:numPr>
          <w:ilvl w:val="0"/>
          <w:numId w:val="49"/>
        </w:numPr>
        <w:rPr>
          <w:rFonts w:ascii="Verdana" w:cs="Verdana" w:eastAsia="Verdana" w:hAnsi="Verdana"/>
          <w:sz w:val="13"/>
          <w:szCs w:val="13"/>
          <w:color w:val="auto"/>
        </w:rPr>
      </w:pPr>
      <w:r>
        <w:rPr>
          <w:rFonts w:ascii="Verdana" w:cs="Verdana" w:eastAsia="Verdana" w:hAnsi="Verdana"/>
          <w:sz w:val="13"/>
          <w:szCs w:val="13"/>
          <w:b w:val="1"/>
          <w:bCs w:val="1"/>
          <w:color w:val="auto"/>
        </w:rPr>
        <w:t>Oaktree Capital Management (International) Limited</w:t>
      </w:r>
      <w:r>
        <w:rPr>
          <w:rFonts w:ascii="Verdana" w:cs="Verdana" w:eastAsia="Verdana" w:hAnsi="Verdana"/>
          <w:sz w:val="13"/>
          <w:szCs w:val="13"/>
          <w:color w:val="auto"/>
        </w:rPr>
        <w:t>, a private limited company (registered number 11311066) registered in England and Wales of Verde, 10</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 xml:space="preserve">Bressenden Place, London, SW1E 5DH (the </w:t>
      </w:r>
      <w:r>
        <w:rPr>
          <w:rFonts w:ascii="Verdana" w:cs="Verdana" w:eastAsia="Verdana" w:hAnsi="Verdana"/>
          <w:sz w:val="13"/>
          <w:szCs w:val="13"/>
          <w:b w:val="1"/>
          <w:bCs w:val="1"/>
          <w:color w:val="auto"/>
        </w:rPr>
        <w:t>"Sub-Advisor"</w:t>
      </w:r>
      <w:r>
        <w:rPr>
          <w:rFonts w:ascii="Verdana" w:cs="Verdana" w:eastAsia="Verdana" w:hAnsi="Verdana"/>
          <w:sz w:val="13"/>
          <w:szCs w:val="13"/>
          <w:color w:val="auto"/>
        </w:rPr>
        <w:t>).</w:t>
      </w:r>
    </w:p>
    <w:p>
      <w:pPr>
        <w:spacing w:after="0" w:line="144"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RECITALS</w:t>
      </w:r>
    </w:p>
    <w:p>
      <w:pPr>
        <w:spacing w:after="0" w:line="160" w:lineRule="exact"/>
        <w:rPr>
          <w:sz w:val="20"/>
          <w:szCs w:val="20"/>
          <w:color w:val="auto"/>
        </w:rPr>
      </w:pPr>
    </w:p>
    <w:p>
      <w:pPr>
        <w:ind w:left="560" w:hanging="555"/>
        <w:spacing w:after="0"/>
        <w:tabs>
          <w:tab w:leader="none" w:pos="560" w:val="left"/>
        </w:tabs>
        <w:numPr>
          <w:ilvl w:val="0"/>
          <w:numId w:val="50"/>
        </w:numPr>
        <w:rPr>
          <w:rFonts w:ascii="Verdana" w:cs="Verdana" w:eastAsia="Verdana" w:hAnsi="Verdana"/>
          <w:sz w:val="13"/>
          <w:szCs w:val="13"/>
          <w:color w:val="auto"/>
        </w:rPr>
      </w:pPr>
      <w:r>
        <w:rPr>
          <w:rFonts w:ascii="Verdana" w:cs="Verdana" w:eastAsia="Verdana" w:hAnsi="Verdana"/>
          <w:sz w:val="13"/>
          <w:szCs w:val="13"/>
          <w:color w:val="auto"/>
        </w:rPr>
        <w:t>Oaktree US is general partner and/or investment manager of the funds and separate accounts referred to in Schedule 2 (the “</w:t>
      </w:r>
      <w:r>
        <w:rPr>
          <w:rFonts w:ascii="Verdana" w:cs="Verdana" w:eastAsia="Verdana" w:hAnsi="Verdana"/>
          <w:sz w:val="13"/>
          <w:szCs w:val="13"/>
          <w:b w:val="1"/>
          <w:bCs w:val="1"/>
          <w:color w:val="auto"/>
        </w:rPr>
        <w:t>Funds</w:t>
      </w:r>
      <w:r>
        <w:rPr>
          <w:rFonts w:ascii="Verdana" w:cs="Verdana" w:eastAsia="Verdana" w:hAnsi="Verdana"/>
          <w:sz w:val="13"/>
          <w:szCs w:val="13"/>
          <w:color w:val="auto"/>
        </w:rPr>
        <w:t>”).</w:t>
      </w:r>
    </w:p>
    <w:p>
      <w:pPr>
        <w:spacing w:after="0" w:line="160" w:lineRule="exact"/>
        <w:rPr>
          <w:rFonts w:ascii="Verdana" w:cs="Verdana" w:eastAsia="Verdana" w:hAnsi="Verdana"/>
          <w:sz w:val="13"/>
          <w:szCs w:val="13"/>
          <w:color w:val="auto"/>
        </w:rPr>
      </w:pPr>
    </w:p>
    <w:p>
      <w:pPr>
        <w:ind w:left="560" w:hanging="555"/>
        <w:spacing w:after="0"/>
        <w:tabs>
          <w:tab w:leader="none" w:pos="560" w:val="left"/>
        </w:tabs>
        <w:numPr>
          <w:ilvl w:val="0"/>
          <w:numId w:val="50"/>
        </w:numPr>
        <w:rPr>
          <w:rFonts w:ascii="Verdana" w:cs="Verdana" w:eastAsia="Verdana" w:hAnsi="Verdana"/>
          <w:sz w:val="13"/>
          <w:szCs w:val="13"/>
          <w:color w:val="auto"/>
        </w:rPr>
      </w:pPr>
      <w:r>
        <w:rPr>
          <w:rFonts w:ascii="Verdana" w:cs="Verdana" w:eastAsia="Verdana" w:hAnsi="Verdana"/>
          <w:sz w:val="13"/>
          <w:szCs w:val="13"/>
          <w:color w:val="auto"/>
        </w:rPr>
        <w:t xml:space="preserve">The Funds were established under the applicable limited partnership or other governing agreements (the </w:t>
      </w:r>
      <w:r>
        <w:rPr>
          <w:rFonts w:ascii="Verdana" w:cs="Verdana" w:eastAsia="Verdana" w:hAnsi="Verdana"/>
          <w:sz w:val="13"/>
          <w:szCs w:val="13"/>
          <w:b w:val="1"/>
          <w:bCs w:val="1"/>
          <w:color w:val="auto"/>
        </w:rPr>
        <w:t>"Fund Agreements"</w:t>
      </w:r>
      <w:r>
        <w:rPr>
          <w:rFonts w:ascii="Verdana" w:cs="Verdana" w:eastAsia="Verdana" w:hAnsi="Verdana"/>
          <w:sz w:val="13"/>
          <w:szCs w:val="13"/>
          <w:color w:val="auto"/>
        </w:rPr>
        <w:t>).</w:t>
      </w:r>
    </w:p>
    <w:p>
      <w:pPr>
        <w:spacing w:after="0" w:line="160" w:lineRule="exact"/>
        <w:rPr>
          <w:rFonts w:ascii="Verdana" w:cs="Verdana" w:eastAsia="Verdana" w:hAnsi="Verdana"/>
          <w:sz w:val="13"/>
          <w:szCs w:val="13"/>
          <w:color w:val="auto"/>
        </w:rPr>
      </w:pPr>
    </w:p>
    <w:p>
      <w:pPr>
        <w:jc w:val="both"/>
        <w:ind w:left="560" w:hanging="555"/>
        <w:spacing w:after="0" w:line="255" w:lineRule="auto"/>
        <w:tabs>
          <w:tab w:leader="none" w:pos="551" w:val="left"/>
        </w:tabs>
        <w:numPr>
          <w:ilvl w:val="0"/>
          <w:numId w:val="50"/>
        </w:numPr>
        <w:rPr>
          <w:rFonts w:ascii="Verdana" w:cs="Verdana" w:eastAsia="Verdana" w:hAnsi="Verdana"/>
          <w:sz w:val="13"/>
          <w:szCs w:val="13"/>
          <w:color w:val="auto"/>
        </w:rPr>
      </w:pPr>
      <w:r>
        <w:rPr>
          <w:rFonts w:ascii="Verdana" w:cs="Verdana" w:eastAsia="Verdana" w:hAnsi="Verdana"/>
          <w:sz w:val="13"/>
          <w:szCs w:val="13"/>
          <w:color w:val="auto"/>
        </w:rPr>
        <w:t xml:space="preserve">The Sub-Advisor has been constituted for the purposes of carrying on the business of a fund manager and advisor in the United Kingdom. The Sub-Advisor is authorised and regulated by the United Kingdom’s Financial Conduct Authority (the </w:t>
      </w:r>
      <w:r>
        <w:rPr>
          <w:rFonts w:ascii="Verdana" w:cs="Verdana" w:eastAsia="Verdana" w:hAnsi="Verdana"/>
          <w:sz w:val="13"/>
          <w:szCs w:val="13"/>
          <w:b w:val="1"/>
          <w:bCs w:val="1"/>
          <w:color w:val="auto"/>
        </w:rPr>
        <w:t>"FCA"</w:t>
      </w:r>
      <w:r>
        <w:rPr>
          <w:rFonts w:ascii="Verdana" w:cs="Verdana" w:eastAsia="Verdana" w:hAnsi="Verdana"/>
          <w:sz w:val="13"/>
          <w:szCs w:val="13"/>
          <w:color w:val="auto"/>
        </w:rPr>
        <w:t>) under Part IV of the Financial Services and Markets Act 2000 (</w:t>
      </w:r>
      <w:r>
        <w:rPr>
          <w:rFonts w:ascii="Verdana" w:cs="Verdana" w:eastAsia="Verdana" w:hAnsi="Verdana"/>
          <w:sz w:val="13"/>
          <w:szCs w:val="13"/>
          <w:b w:val="1"/>
          <w:bCs w:val="1"/>
          <w:color w:val="auto"/>
        </w:rPr>
        <w:t>"FSMA"</w:t>
      </w:r>
      <w:r>
        <w:rPr>
          <w:rFonts w:ascii="Verdana" w:cs="Verdana" w:eastAsia="Verdana" w:hAnsi="Verdana"/>
          <w:sz w:val="13"/>
          <w:szCs w:val="13"/>
          <w:color w:val="auto"/>
        </w:rPr>
        <w:t>) (with registration number 814006).</w:t>
      </w:r>
    </w:p>
    <w:p>
      <w:pPr>
        <w:spacing w:after="0" w:line="143" w:lineRule="exact"/>
        <w:rPr>
          <w:rFonts w:ascii="Verdana" w:cs="Verdana" w:eastAsia="Verdana" w:hAnsi="Verdana"/>
          <w:sz w:val="13"/>
          <w:szCs w:val="13"/>
          <w:color w:val="auto"/>
        </w:rPr>
      </w:pPr>
    </w:p>
    <w:p>
      <w:pPr>
        <w:jc w:val="both"/>
        <w:ind w:left="560" w:hanging="555"/>
        <w:spacing w:after="0" w:line="255" w:lineRule="auto"/>
        <w:tabs>
          <w:tab w:leader="none" w:pos="560" w:val="left"/>
        </w:tabs>
        <w:numPr>
          <w:ilvl w:val="0"/>
          <w:numId w:val="50"/>
        </w:numPr>
        <w:rPr>
          <w:rFonts w:ascii="Verdana" w:cs="Verdana" w:eastAsia="Verdana" w:hAnsi="Verdana"/>
          <w:sz w:val="13"/>
          <w:szCs w:val="13"/>
          <w:color w:val="auto"/>
        </w:rPr>
      </w:pPr>
      <w:r>
        <w:rPr>
          <w:rFonts w:ascii="Verdana" w:cs="Verdana" w:eastAsia="Verdana" w:hAnsi="Verdana"/>
          <w:sz w:val="13"/>
          <w:szCs w:val="13"/>
          <w:color w:val="auto"/>
        </w:rPr>
        <w:t>This deed was entered into originally on 25 September 2018 by Oaktree US and the Sub-Advisor and amended on a number of occasions thereafter (the “</w:t>
      </w:r>
      <w:r>
        <w:rPr>
          <w:rFonts w:ascii="Verdana" w:cs="Verdana" w:eastAsia="Verdana" w:hAnsi="Verdana"/>
          <w:sz w:val="13"/>
          <w:szCs w:val="13"/>
          <w:b w:val="1"/>
          <w:bCs w:val="1"/>
          <w:color w:val="auto"/>
        </w:rPr>
        <w:t>Original</w:t>
      </w:r>
      <w:r>
        <w:rPr>
          <w:rFonts w:ascii="Verdana" w:cs="Verdana" w:eastAsia="Verdana" w:hAnsi="Verdana"/>
          <w:sz w:val="13"/>
          <w:szCs w:val="13"/>
          <w:color w:val="auto"/>
        </w:rPr>
        <w:t xml:space="preserve"> </w:t>
      </w:r>
      <w:r>
        <w:rPr>
          <w:rFonts w:ascii="Verdana" w:cs="Verdana" w:eastAsia="Verdana" w:hAnsi="Verdana"/>
          <w:sz w:val="13"/>
          <w:szCs w:val="13"/>
          <w:b w:val="1"/>
          <w:bCs w:val="1"/>
          <w:color w:val="auto"/>
        </w:rPr>
        <w:t>Agreement</w:t>
      </w:r>
      <w:r>
        <w:rPr>
          <w:rFonts w:ascii="Verdana" w:cs="Verdana" w:eastAsia="Verdana" w:hAnsi="Verdana"/>
          <w:sz w:val="13"/>
          <w:szCs w:val="13"/>
          <w:color w:val="auto"/>
        </w:rPr>
        <w:t>”). The Original Agreement replaced a services agreement dated 11 June 2018, which was be terminated on the date of the Original Agreement (the</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w:t>
      </w:r>
      <w:r>
        <w:rPr>
          <w:rFonts w:ascii="Verdana" w:cs="Verdana" w:eastAsia="Verdana" w:hAnsi="Verdana"/>
          <w:sz w:val="13"/>
          <w:szCs w:val="13"/>
          <w:b w:val="1"/>
          <w:bCs w:val="1"/>
          <w:color w:val="auto"/>
        </w:rPr>
        <w:t>Terminated Agreement</w:t>
      </w:r>
      <w:r>
        <w:rPr>
          <w:rFonts w:ascii="Verdana" w:cs="Verdana" w:eastAsia="Verdana" w:hAnsi="Verdana"/>
          <w:sz w:val="13"/>
          <w:szCs w:val="13"/>
          <w:color w:val="auto"/>
        </w:rPr>
        <w:t>”).</w:t>
      </w:r>
    </w:p>
    <w:p>
      <w:pPr>
        <w:spacing w:after="0" w:line="143" w:lineRule="exact"/>
        <w:rPr>
          <w:rFonts w:ascii="Verdana" w:cs="Verdana" w:eastAsia="Verdana" w:hAnsi="Verdana"/>
          <w:sz w:val="13"/>
          <w:szCs w:val="13"/>
          <w:color w:val="auto"/>
        </w:rPr>
      </w:pPr>
    </w:p>
    <w:p>
      <w:pPr>
        <w:ind w:left="560" w:hanging="555"/>
        <w:spacing w:after="0"/>
        <w:tabs>
          <w:tab w:leader="none" w:pos="560" w:val="left"/>
        </w:tabs>
        <w:numPr>
          <w:ilvl w:val="0"/>
          <w:numId w:val="50"/>
        </w:numPr>
        <w:rPr>
          <w:rFonts w:ascii="Verdana" w:cs="Verdana" w:eastAsia="Verdana" w:hAnsi="Verdana"/>
          <w:sz w:val="13"/>
          <w:szCs w:val="13"/>
          <w:color w:val="auto"/>
        </w:rPr>
      </w:pPr>
      <w:r>
        <w:rPr>
          <w:rFonts w:ascii="Verdana" w:cs="Verdana" w:eastAsia="Verdana" w:hAnsi="Verdana"/>
          <w:sz w:val="13"/>
          <w:szCs w:val="13"/>
          <w:color w:val="auto"/>
        </w:rPr>
        <w:t>The parties have agreed to enter into this deed to amend and restate the Original Agreement with effect from 1 June 2022 (the "</w:t>
      </w:r>
      <w:r>
        <w:rPr>
          <w:rFonts w:ascii="Verdana" w:cs="Verdana" w:eastAsia="Verdana" w:hAnsi="Verdana"/>
          <w:sz w:val="13"/>
          <w:szCs w:val="13"/>
          <w:b w:val="1"/>
          <w:bCs w:val="1"/>
          <w:color w:val="auto"/>
        </w:rPr>
        <w:t>Effective Date</w:t>
      </w:r>
      <w:r>
        <w:rPr>
          <w:rFonts w:ascii="Verdana" w:cs="Verdana" w:eastAsia="Verdana" w:hAnsi="Verdana"/>
          <w:sz w:val="13"/>
          <w:szCs w:val="13"/>
          <w:color w:val="auto"/>
        </w:rPr>
        <w:t>").</w:t>
      </w:r>
    </w:p>
    <w:p>
      <w:pPr>
        <w:spacing w:after="0" w:line="160" w:lineRule="exact"/>
        <w:rPr>
          <w:rFonts w:ascii="Verdana" w:cs="Verdana" w:eastAsia="Verdana" w:hAnsi="Verdana"/>
          <w:sz w:val="13"/>
          <w:szCs w:val="13"/>
          <w:color w:val="auto"/>
        </w:rPr>
      </w:pPr>
    </w:p>
    <w:p>
      <w:pPr>
        <w:ind w:left="560" w:hanging="555"/>
        <w:spacing w:after="0" w:line="253" w:lineRule="auto"/>
        <w:tabs>
          <w:tab w:leader="none" w:pos="556" w:val="left"/>
        </w:tabs>
        <w:numPr>
          <w:ilvl w:val="0"/>
          <w:numId w:val="50"/>
        </w:numPr>
        <w:rPr>
          <w:rFonts w:ascii="Verdana" w:cs="Verdana" w:eastAsia="Verdana" w:hAnsi="Verdana"/>
          <w:sz w:val="13"/>
          <w:szCs w:val="13"/>
          <w:color w:val="auto"/>
        </w:rPr>
      </w:pPr>
      <w:r>
        <w:rPr>
          <w:rFonts w:ascii="Verdana" w:cs="Verdana" w:eastAsia="Verdana" w:hAnsi="Verdana"/>
          <w:sz w:val="13"/>
          <w:szCs w:val="13"/>
          <w:color w:val="auto"/>
        </w:rPr>
        <w:t xml:space="preserve">Oaktree US may in the future appoint the Sub-Advisor as a sub-advisor or sub-manager in connection with such collective investment schemes, mutual funds, separate accounts or companies as may be agreed from time to time (together, the </w:t>
      </w:r>
      <w:r>
        <w:rPr>
          <w:rFonts w:ascii="Verdana" w:cs="Verdana" w:eastAsia="Verdana" w:hAnsi="Verdana"/>
          <w:sz w:val="13"/>
          <w:szCs w:val="13"/>
          <w:b w:val="1"/>
          <w:bCs w:val="1"/>
          <w:color w:val="auto"/>
        </w:rPr>
        <w:t>"New Fund(s)"</w:t>
      </w:r>
      <w:r>
        <w:rPr>
          <w:rFonts w:ascii="Verdana" w:cs="Verdana" w:eastAsia="Verdana" w:hAnsi="Verdana"/>
          <w:sz w:val="13"/>
          <w:szCs w:val="13"/>
          <w:color w:val="auto"/>
        </w:rPr>
        <w:t>), upon the terms and conditions set forth in this Agreement.</w:t>
      </w:r>
    </w:p>
    <w:p>
      <w:pPr>
        <w:spacing w:after="0" w:line="144"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THE PARTIES AGREE AS FOLLOWS:</w:t>
      </w:r>
    </w:p>
    <w:p>
      <w:pPr>
        <w:spacing w:after="0" w:line="160" w:lineRule="exact"/>
        <w:rPr>
          <w:sz w:val="20"/>
          <w:szCs w:val="20"/>
          <w:color w:val="auto"/>
        </w:rPr>
      </w:pPr>
    </w:p>
    <w:p>
      <w:pPr>
        <w:ind w:left="560" w:hanging="555"/>
        <w:spacing w:after="0"/>
        <w:tabs>
          <w:tab w:leader="none" w:pos="560" w:val="left"/>
        </w:tabs>
        <w:numPr>
          <w:ilvl w:val="0"/>
          <w:numId w:val="51"/>
        </w:numPr>
        <w:rPr>
          <w:rFonts w:ascii="Verdana" w:cs="Verdana" w:eastAsia="Verdana" w:hAnsi="Verdana"/>
          <w:sz w:val="13"/>
          <w:szCs w:val="13"/>
          <w:color w:val="auto"/>
        </w:rPr>
      </w:pPr>
      <w:r>
        <w:rPr>
          <w:rFonts w:ascii="Verdana" w:cs="Verdana" w:eastAsia="Verdana" w:hAnsi="Verdana"/>
          <w:sz w:val="13"/>
          <w:szCs w:val="13"/>
          <w:b w:val="1"/>
          <w:bCs w:val="1"/>
          <w:color w:val="auto"/>
        </w:rPr>
        <w:t>APPOINTMENT AND SCOPE OF AUTHORITY</w:t>
      </w:r>
    </w:p>
    <w:p>
      <w:pPr>
        <w:spacing w:after="0" w:line="160" w:lineRule="exact"/>
        <w:rPr>
          <w:sz w:val="20"/>
          <w:szCs w:val="20"/>
          <w:color w:val="auto"/>
        </w:rPr>
      </w:pPr>
    </w:p>
    <w:p>
      <w:pPr>
        <w:jc w:val="both"/>
        <w:ind w:left="560" w:hanging="552"/>
        <w:spacing w:after="0" w:line="255" w:lineRule="auto"/>
        <w:tabs>
          <w:tab w:leader="none" w:pos="540" w:val="left"/>
        </w:tabs>
        <w:rPr>
          <w:sz w:val="20"/>
          <w:szCs w:val="20"/>
          <w:color w:val="auto"/>
        </w:rPr>
      </w:pPr>
      <w:r>
        <w:rPr>
          <w:rFonts w:ascii="Verdana" w:cs="Verdana" w:eastAsia="Verdana" w:hAnsi="Verdana"/>
          <w:sz w:val="13"/>
          <w:szCs w:val="13"/>
          <w:color w:val="auto"/>
        </w:rPr>
        <w:t>1.1</w:t>
      </w:r>
      <w:r>
        <w:rPr>
          <w:sz w:val="20"/>
          <w:szCs w:val="20"/>
          <w:color w:val="auto"/>
        </w:rPr>
        <w:tab/>
      </w:r>
      <w:r>
        <w:rPr>
          <w:rFonts w:ascii="Verdana" w:cs="Verdana" w:eastAsia="Verdana" w:hAnsi="Verdana"/>
          <w:sz w:val="13"/>
          <w:szCs w:val="13"/>
          <w:color w:val="auto"/>
        </w:rPr>
        <w:t>With effect from the Effective Date, the parties hereby agree to amend and restate the Original Agreement, which is replaced and superseded in its entirety by this Agreement. For the avoidance of doubt, the appointment of the Sub-Advisor to provide services to Oaktree US shall be continuous before, on and after the Effective Date, but shall have effect from and after the Effective Date solely subject to the terms and conditions of this Agreement.</w:t>
      </w:r>
    </w:p>
    <w:p>
      <w:pPr>
        <w:spacing w:after="0" w:line="144"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1.2</w:t>
      </w:r>
      <w:r>
        <w:rPr>
          <w:sz w:val="20"/>
          <w:szCs w:val="20"/>
          <w:color w:val="auto"/>
        </w:rPr>
        <w:tab/>
      </w:r>
      <w:r>
        <w:rPr>
          <w:rFonts w:ascii="Verdana" w:cs="Verdana" w:eastAsia="Verdana" w:hAnsi="Verdana"/>
          <w:sz w:val="12"/>
          <w:szCs w:val="12"/>
          <w:color w:val="auto"/>
        </w:rPr>
        <w:t>Oaktree US hereby confirms the appointment of the Sub-Advisor as:</w:t>
      </w:r>
    </w:p>
    <w:p>
      <w:pPr>
        <w:spacing w:after="0" w:line="160" w:lineRule="exact"/>
        <w:rPr>
          <w:sz w:val="20"/>
          <w:szCs w:val="20"/>
          <w:color w:val="auto"/>
        </w:rPr>
      </w:pPr>
    </w:p>
    <w:p>
      <w:pPr>
        <w:ind w:left="1000" w:hanging="442"/>
        <w:spacing w:after="0"/>
        <w:tabs>
          <w:tab w:leader="none" w:pos="1000" w:val="left"/>
        </w:tabs>
        <w:numPr>
          <w:ilvl w:val="0"/>
          <w:numId w:val="52"/>
        </w:numPr>
        <w:rPr>
          <w:rFonts w:ascii="Verdana" w:cs="Verdana" w:eastAsia="Verdana" w:hAnsi="Verdana"/>
          <w:sz w:val="13"/>
          <w:szCs w:val="13"/>
          <w:color w:val="auto"/>
        </w:rPr>
      </w:pPr>
      <w:r>
        <w:rPr>
          <w:rFonts w:ascii="Verdana" w:cs="Verdana" w:eastAsia="Verdana" w:hAnsi="Verdana"/>
          <w:sz w:val="13"/>
          <w:szCs w:val="13"/>
          <w:color w:val="auto"/>
        </w:rPr>
        <w:t>sub-investment manager and sub-advisor to the funds and separate accounts referred to in Schedule 2 Part A ("</w:t>
      </w:r>
      <w:r>
        <w:rPr>
          <w:rFonts w:ascii="Verdana" w:cs="Verdana" w:eastAsia="Verdana" w:hAnsi="Verdana"/>
          <w:sz w:val="13"/>
          <w:szCs w:val="13"/>
          <w:b w:val="1"/>
          <w:bCs w:val="1"/>
          <w:color w:val="auto"/>
        </w:rPr>
        <w:t>Discretionary Funds</w:t>
      </w:r>
      <w:r>
        <w:rPr>
          <w:rFonts w:ascii="Verdana" w:cs="Verdana" w:eastAsia="Verdana" w:hAnsi="Verdana"/>
          <w:sz w:val="13"/>
          <w:szCs w:val="13"/>
          <w:color w:val="auto"/>
        </w:rPr>
        <w:t>")</w:t>
      </w:r>
    </w:p>
    <w:p>
      <w:pPr>
        <w:spacing w:after="0" w:line="160" w:lineRule="exact"/>
        <w:rPr>
          <w:rFonts w:ascii="Verdana" w:cs="Verdana" w:eastAsia="Verdana" w:hAnsi="Verdana"/>
          <w:sz w:val="13"/>
          <w:szCs w:val="13"/>
          <w:color w:val="auto"/>
        </w:rPr>
      </w:pPr>
    </w:p>
    <w:p>
      <w:pPr>
        <w:ind w:left="1000" w:hanging="442"/>
        <w:spacing w:after="0" w:line="253" w:lineRule="auto"/>
        <w:tabs>
          <w:tab w:leader="none" w:pos="998" w:val="left"/>
        </w:tabs>
        <w:numPr>
          <w:ilvl w:val="0"/>
          <w:numId w:val="52"/>
        </w:numPr>
        <w:rPr>
          <w:rFonts w:ascii="Verdana" w:cs="Verdana" w:eastAsia="Verdana" w:hAnsi="Verdana"/>
          <w:sz w:val="13"/>
          <w:szCs w:val="13"/>
          <w:color w:val="auto"/>
        </w:rPr>
      </w:pPr>
      <w:r>
        <w:rPr>
          <w:rFonts w:ascii="Verdana" w:cs="Verdana" w:eastAsia="Verdana" w:hAnsi="Verdana"/>
          <w:sz w:val="13"/>
          <w:szCs w:val="13"/>
          <w:color w:val="auto"/>
        </w:rPr>
        <w:t>sub-advisor to the funds and separate accounts referred to in Schedule 2 Part B (the "</w:t>
      </w:r>
      <w:r>
        <w:rPr>
          <w:rFonts w:ascii="Verdana" w:cs="Verdana" w:eastAsia="Verdana" w:hAnsi="Verdana"/>
          <w:sz w:val="13"/>
          <w:szCs w:val="13"/>
          <w:b w:val="1"/>
          <w:bCs w:val="1"/>
          <w:color w:val="auto"/>
        </w:rPr>
        <w:t>Restricted Funds</w:t>
      </w:r>
      <w:r>
        <w:rPr>
          <w:rFonts w:ascii="Verdana" w:cs="Verdana" w:eastAsia="Verdana" w:hAnsi="Verdana"/>
          <w:sz w:val="13"/>
          <w:szCs w:val="13"/>
          <w:color w:val="auto"/>
        </w:rPr>
        <w:t>", and together with the Discretionary Funds, the "</w:t>
      </w:r>
      <w:r>
        <w:rPr>
          <w:rFonts w:ascii="Verdana" w:cs="Verdana" w:eastAsia="Verdana" w:hAnsi="Verdana"/>
          <w:sz w:val="13"/>
          <w:szCs w:val="13"/>
          <w:b w:val="1"/>
          <w:bCs w:val="1"/>
          <w:color w:val="auto"/>
        </w:rPr>
        <w:t>Funds</w:t>
      </w:r>
      <w:r>
        <w:rPr>
          <w:rFonts w:ascii="Verdana" w:cs="Verdana" w:eastAsia="Verdana" w:hAnsi="Verdana"/>
          <w:sz w:val="13"/>
          <w:szCs w:val="13"/>
          <w:color w:val="auto"/>
        </w:rPr>
        <w:t>"),</w:t>
      </w:r>
    </w:p>
    <w:p>
      <w:pPr>
        <w:spacing w:after="0" w:line="144" w:lineRule="exact"/>
        <w:rPr>
          <w:sz w:val="20"/>
          <w:szCs w:val="20"/>
          <w:color w:val="auto"/>
        </w:rPr>
      </w:pPr>
    </w:p>
    <w:p>
      <w:pPr>
        <w:ind w:left="560"/>
        <w:spacing w:after="0"/>
        <w:rPr>
          <w:sz w:val="20"/>
          <w:szCs w:val="20"/>
          <w:color w:val="auto"/>
        </w:rPr>
      </w:pPr>
      <w:r>
        <w:rPr>
          <w:rFonts w:ascii="Verdana" w:cs="Verdana" w:eastAsia="Verdana" w:hAnsi="Verdana"/>
          <w:sz w:val="13"/>
          <w:szCs w:val="13"/>
          <w:color w:val="auto"/>
        </w:rPr>
        <w:t>to provide the services set out in Clauses 2 to 7, and the Sub-Advisor accepts such appointments, on the terms and conditions set forth in this Agreement.</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2</w:t>
      </w:r>
    </w:p>
    <w:p>
      <w:pPr>
        <w:sectPr>
          <w:pgSz w:w="11900" w:h="16838" w:orient="portrait"/>
          <w:cols w:equalWidth="0" w:num="1">
            <w:col w:w="11280"/>
          </w:cols>
          <w:pgMar w:left="300" w:top="1232" w:right="319" w:bottom="1440" w:gutter="0" w:footer="0" w:header="0"/>
        </w:sectPr>
      </w:pPr>
    </w:p>
    <w:bookmarkStart w:id="238" w:name="page239"/>
    <w:bookmarkEnd w:id="238"/>
    <w:p>
      <w:pPr>
        <w:jc w:val="both"/>
        <w:ind w:left="560" w:hanging="552"/>
        <w:spacing w:after="0" w:line="247" w:lineRule="auto"/>
        <w:tabs>
          <w:tab w:leader="none" w:pos="540" w:val="left"/>
        </w:tabs>
        <w:rPr>
          <w:sz w:val="20"/>
          <w:szCs w:val="20"/>
          <w:color w:val="auto"/>
        </w:rPr>
      </w:pPr>
      <w:r>
        <w:rPr>
          <w:rFonts w:ascii="Verdana" w:cs="Verdana" w:eastAsia="Verdana" w:hAnsi="Verdana"/>
          <w:sz w:val="13"/>
          <w:szCs w:val="13"/>
          <w:color w:val="auto"/>
        </w:rPr>
        <w:t>1.3</w:t>
      </w:r>
      <w:r>
        <w:rPr>
          <w:sz w:val="20"/>
          <w:szCs w:val="20"/>
          <w:color w:val="auto"/>
        </w:rPr>
        <w:tab/>
      </w:r>
      <w:r>
        <w:rPr>
          <w:rFonts w:ascii="Verdana" w:cs="Verdana" w:eastAsia="Verdana" w:hAnsi="Verdana"/>
          <w:sz w:val="13"/>
          <w:szCs w:val="13"/>
          <w:color w:val="auto"/>
        </w:rPr>
        <w:t xml:space="preserve">The Sub-Advisor acknowledges that it is a relying adviser under the U.S. Investment Advisers Act of 1940 (as amended) (the </w:t>
      </w:r>
      <w:r>
        <w:rPr>
          <w:rFonts w:ascii="Verdana" w:cs="Verdana" w:eastAsia="Verdana" w:hAnsi="Verdana"/>
          <w:sz w:val="13"/>
          <w:szCs w:val="13"/>
          <w:b w:val="1"/>
          <w:bCs w:val="1"/>
          <w:color w:val="auto"/>
        </w:rPr>
        <w:t>"Advisers Act"</w:t>
      </w:r>
      <w:r>
        <w:rPr>
          <w:rFonts w:ascii="Verdana" w:cs="Verdana" w:eastAsia="Verdana" w:hAnsi="Verdana"/>
          <w:sz w:val="13"/>
          <w:szCs w:val="13"/>
          <w:color w:val="auto"/>
        </w:rPr>
        <w:t>) and the rules and regulations promulgated thereunder. If and to the extent the assets of any Discretionary Fund or Restricted Fund managed by Oaktree US are treated as "plan assets" as determined pursuant to 29 C.F.R. 2501.3-101 (or any successor thereto), the Sub-Advisor acknowledges that it will be a fiduciary for purposes of the U.S. Employee Retirement Income Security Act of 1974 (</w:t>
      </w:r>
      <w:r>
        <w:rPr>
          <w:rFonts w:ascii="Verdana" w:cs="Verdana" w:eastAsia="Verdana" w:hAnsi="Verdana"/>
          <w:sz w:val="13"/>
          <w:szCs w:val="13"/>
          <w:b w:val="1"/>
          <w:bCs w:val="1"/>
          <w:color w:val="auto"/>
        </w:rPr>
        <w:t>"ERISA"</w:t>
      </w:r>
      <w:r>
        <w:rPr>
          <w:rFonts w:ascii="Verdana" w:cs="Verdana" w:eastAsia="Verdana" w:hAnsi="Verdana"/>
          <w:sz w:val="13"/>
          <w:szCs w:val="13"/>
          <w:color w:val="auto"/>
        </w:rPr>
        <w:t>) with respect to each employee benefit plan subject to section 406 of ERISA or section 4975 of the Internal Revenue Code of 1986 whose assets are deemed to be held by the applicable Fund to the extent required under ERISA to continue to manage or sub-advise the applicable Funds.</w:t>
      </w:r>
    </w:p>
    <w:p>
      <w:pPr>
        <w:spacing w:after="0" w:line="149"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1.4</w:t>
      </w:r>
      <w:r>
        <w:rPr>
          <w:sz w:val="20"/>
          <w:szCs w:val="20"/>
          <w:color w:val="auto"/>
        </w:rPr>
        <w:tab/>
      </w:r>
      <w:r>
        <w:rPr>
          <w:rFonts w:ascii="Verdana" w:cs="Verdana" w:eastAsia="Verdana" w:hAnsi="Verdana"/>
          <w:sz w:val="12"/>
          <w:szCs w:val="12"/>
          <w:color w:val="auto"/>
        </w:rPr>
        <w:t>The appointment of the Sub-Advisor pursuant to this Agreement shall be subject always to:</w:t>
      </w:r>
    </w:p>
    <w:p>
      <w:pPr>
        <w:spacing w:after="0" w:line="160" w:lineRule="exact"/>
        <w:rPr>
          <w:sz w:val="20"/>
          <w:szCs w:val="20"/>
          <w:color w:val="auto"/>
        </w:rPr>
      </w:pPr>
    </w:p>
    <w:p>
      <w:pPr>
        <w:ind w:left="1000" w:hanging="442"/>
        <w:spacing w:after="0" w:line="269" w:lineRule="auto"/>
        <w:tabs>
          <w:tab w:leader="none" w:pos="995" w:val="left"/>
        </w:tabs>
        <w:numPr>
          <w:ilvl w:val="0"/>
          <w:numId w:val="53"/>
        </w:numPr>
        <w:rPr>
          <w:rFonts w:ascii="Verdana" w:cs="Verdana" w:eastAsia="Verdana" w:hAnsi="Verdana"/>
          <w:sz w:val="13"/>
          <w:szCs w:val="13"/>
          <w:color w:val="auto"/>
        </w:rPr>
      </w:pPr>
      <w:r>
        <w:rPr>
          <w:rFonts w:ascii="Verdana" w:cs="Verdana" w:eastAsia="Verdana" w:hAnsi="Verdana"/>
          <w:sz w:val="13"/>
          <w:szCs w:val="13"/>
          <w:color w:val="auto"/>
        </w:rPr>
        <w:t>the terms and conditions in the relevant Fund Agreements governing the Funds, and the Sub-Advisor hereby agrees to observe the terms and conditions in such Fund Agreements;</w:t>
      </w:r>
    </w:p>
    <w:p>
      <w:pPr>
        <w:spacing w:after="0" w:line="133" w:lineRule="exact"/>
        <w:rPr>
          <w:rFonts w:ascii="Verdana" w:cs="Verdana" w:eastAsia="Verdana" w:hAnsi="Verdana"/>
          <w:sz w:val="13"/>
          <w:szCs w:val="13"/>
          <w:color w:val="auto"/>
        </w:rPr>
      </w:pPr>
    </w:p>
    <w:p>
      <w:pPr>
        <w:ind w:left="1000" w:hanging="442"/>
        <w:spacing w:after="0" w:line="253" w:lineRule="auto"/>
        <w:tabs>
          <w:tab w:leader="none" w:pos="998" w:val="left"/>
        </w:tabs>
        <w:numPr>
          <w:ilvl w:val="0"/>
          <w:numId w:val="53"/>
        </w:numPr>
        <w:rPr>
          <w:rFonts w:ascii="Verdana" w:cs="Verdana" w:eastAsia="Verdana" w:hAnsi="Verdana"/>
          <w:sz w:val="13"/>
          <w:szCs w:val="13"/>
          <w:color w:val="auto"/>
        </w:rPr>
      </w:pPr>
      <w:r>
        <w:rPr>
          <w:rFonts w:ascii="Verdana" w:cs="Verdana" w:eastAsia="Verdana" w:hAnsi="Verdana"/>
          <w:sz w:val="13"/>
          <w:szCs w:val="13"/>
          <w:color w:val="auto"/>
        </w:rPr>
        <w:t>any restrictions, limitations or conditions on, or any amendments made to, the Sub-Advisor's authority which may be imposed by Oaktree US as general partner and/or investment manager of the Funds from time to time; and</w:t>
      </w:r>
    </w:p>
    <w:p>
      <w:pPr>
        <w:spacing w:after="0" w:line="144" w:lineRule="exact"/>
        <w:rPr>
          <w:rFonts w:ascii="Verdana" w:cs="Verdana" w:eastAsia="Verdana" w:hAnsi="Verdana"/>
          <w:sz w:val="13"/>
          <w:szCs w:val="13"/>
          <w:color w:val="auto"/>
        </w:rPr>
      </w:pPr>
    </w:p>
    <w:p>
      <w:pPr>
        <w:ind w:left="1000" w:hanging="442"/>
        <w:spacing w:after="0"/>
        <w:tabs>
          <w:tab w:leader="none" w:pos="1000" w:val="left"/>
        </w:tabs>
        <w:numPr>
          <w:ilvl w:val="0"/>
          <w:numId w:val="53"/>
        </w:numPr>
        <w:rPr>
          <w:rFonts w:ascii="Verdana" w:cs="Verdana" w:eastAsia="Verdana" w:hAnsi="Verdana"/>
          <w:sz w:val="12"/>
          <w:szCs w:val="12"/>
          <w:color w:val="auto"/>
        </w:rPr>
      </w:pPr>
      <w:r>
        <w:rPr>
          <w:rFonts w:ascii="Verdana" w:cs="Verdana" w:eastAsia="Verdana" w:hAnsi="Verdana"/>
          <w:sz w:val="12"/>
          <w:szCs w:val="12"/>
          <w:color w:val="auto"/>
        </w:rPr>
        <w:t>Oaktree US’s power and authority to act at all times in respect of any of the Funds as general partner and/or investment manager of the Funds (as applicable)</w:t>
      </w:r>
    </w:p>
    <w:p>
      <w:pPr>
        <w:spacing w:after="0" w:line="172"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1.5</w:t>
      </w:r>
      <w:r>
        <w:rPr>
          <w:sz w:val="20"/>
          <w:szCs w:val="20"/>
          <w:color w:val="auto"/>
        </w:rPr>
        <w:tab/>
      </w:r>
      <w:r>
        <w:rPr>
          <w:rFonts w:ascii="Verdana" w:cs="Verdana" w:eastAsia="Verdana" w:hAnsi="Verdana"/>
          <w:sz w:val="13"/>
          <w:szCs w:val="13"/>
          <w:color w:val="auto"/>
        </w:rPr>
        <w:t>Without limiting the discretion of Oaktree US pursuant to Clause 1.5(b), Oaktree US may limit the scope of the Sub-Advisor's appointment in respect of any of the</w:t>
      </w:r>
    </w:p>
    <w:p>
      <w:pPr>
        <w:spacing w:after="0" w:line="12" w:lineRule="exact"/>
        <w:rPr>
          <w:sz w:val="20"/>
          <w:szCs w:val="20"/>
          <w:color w:val="auto"/>
        </w:rPr>
      </w:pPr>
    </w:p>
    <w:p>
      <w:pPr>
        <w:ind w:left="560"/>
        <w:spacing w:after="0"/>
        <w:rPr>
          <w:sz w:val="20"/>
          <w:szCs w:val="20"/>
          <w:color w:val="auto"/>
        </w:rPr>
      </w:pPr>
      <w:r>
        <w:rPr>
          <w:rFonts w:ascii="Verdana" w:cs="Verdana" w:eastAsia="Verdana" w:hAnsi="Verdana"/>
          <w:sz w:val="13"/>
          <w:szCs w:val="13"/>
          <w:color w:val="auto"/>
        </w:rPr>
        <w:t>Funds by means of:</w:t>
      </w:r>
    </w:p>
    <w:p>
      <w:pPr>
        <w:spacing w:after="0" w:line="160" w:lineRule="exact"/>
        <w:rPr>
          <w:sz w:val="20"/>
          <w:szCs w:val="20"/>
          <w:color w:val="auto"/>
        </w:rPr>
      </w:pPr>
    </w:p>
    <w:p>
      <w:pPr>
        <w:ind w:left="1000" w:hanging="442"/>
        <w:spacing w:after="0"/>
        <w:tabs>
          <w:tab w:leader="none" w:pos="1000" w:val="left"/>
        </w:tabs>
        <w:numPr>
          <w:ilvl w:val="0"/>
          <w:numId w:val="54"/>
        </w:numPr>
        <w:rPr>
          <w:rFonts w:ascii="Verdana" w:cs="Verdana" w:eastAsia="Verdana" w:hAnsi="Verdana"/>
          <w:sz w:val="13"/>
          <w:szCs w:val="13"/>
          <w:color w:val="auto"/>
        </w:rPr>
      </w:pPr>
      <w:r>
        <w:rPr>
          <w:rFonts w:ascii="Verdana" w:cs="Verdana" w:eastAsia="Verdana" w:hAnsi="Verdana"/>
          <w:sz w:val="13"/>
          <w:szCs w:val="13"/>
          <w:color w:val="auto"/>
        </w:rPr>
        <w:t>limiting the appointment to sub-advisory services in respect of a section of the relevant Fund's portfolio of investments;</w:t>
      </w:r>
    </w:p>
    <w:p>
      <w:pPr>
        <w:spacing w:after="0" w:line="160" w:lineRule="exact"/>
        <w:rPr>
          <w:rFonts w:ascii="Verdana" w:cs="Verdana" w:eastAsia="Verdana" w:hAnsi="Verdana"/>
          <w:sz w:val="13"/>
          <w:szCs w:val="13"/>
          <w:color w:val="auto"/>
        </w:rPr>
      </w:pPr>
    </w:p>
    <w:p>
      <w:pPr>
        <w:ind w:left="1000" w:hanging="442"/>
        <w:spacing w:after="0"/>
        <w:tabs>
          <w:tab w:leader="none" w:pos="1000" w:val="left"/>
        </w:tabs>
        <w:numPr>
          <w:ilvl w:val="0"/>
          <w:numId w:val="54"/>
        </w:numPr>
        <w:rPr>
          <w:rFonts w:ascii="Verdana" w:cs="Verdana" w:eastAsia="Verdana" w:hAnsi="Verdana"/>
          <w:sz w:val="13"/>
          <w:szCs w:val="13"/>
          <w:color w:val="auto"/>
        </w:rPr>
      </w:pPr>
      <w:r>
        <w:rPr>
          <w:rFonts w:ascii="Verdana" w:cs="Verdana" w:eastAsia="Verdana" w:hAnsi="Verdana"/>
          <w:sz w:val="13"/>
          <w:szCs w:val="13"/>
          <w:color w:val="auto"/>
        </w:rPr>
        <w:t>limiting the appointment to sub-advisory services in respect of a particular investment or investments;</w:t>
      </w:r>
    </w:p>
    <w:p>
      <w:pPr>
        <w:spacing w:after="0" w:line="160" w:lineRule="exact"/>
        <w:rPr>
          <w:rFonts w:ascii="Verdana" w:cs="Verdana" w:eastAsia="Verdana" w:hAnsi="Verdana"/>
          <w:sz w:val="13"/>
          <w:szCs w:val="13"/>
          <w:color w:val="auto"/>
        </w:rPr>
      </w:pPr>
    </w:p>
    <w:p>
      <w:pPr>
        <w:ind w:left="1000" w:hanging="442"/>
        <w:spacing w:after="0"/>
        <w:tabs>
          <w:tab w:leader="none" w:pos="1000" w:val="left"/>
        </w:tabs>
        <w:numPr>
          <w:ilvl w:val="0"/>
          <w:numId w:val="54"/>
        </w:numPr>
        <w:rPr>
          <w:rFonts w:ascii="Verdana" w:cs="Verdana" w:eastAsia="Verdana" w:hAnsi="Verdana"/>
          <w:sz w:val="13"/>
          <w:szCs w:val="13"/>
          <w:color w:val="auto"/>
        </w:rPr>
      </w:pPr>
      <w:r>
        <w:rPr>
          <w:rFonts w:ascii="Verdana" w:cs="Verdana" w:eastAsia="Verdana" w:hAnsi="Verdana"/>
          <w:sz w:val="13"/>
          <w:szCs w:val="13"/>
          <w:color w:val="auto"/>
        </w:rPr>
        <w:t>limiting the Sub-Advisor's responsibility in respect of the monitoring and/or realisation of an investment or investments; or</w:t>
      </w:r>
    </w:p>
    <w:p>
      <w:pPr>
        <w:spacing w:after="0" w:line="160" w:lineRule="exact"/>
        <w:rPr>
          <w:rFonts w:ascii="Verdana" w:cs="Verdana" w:eastAsia="Verdana" w:hAnsi="Verdana"/>
          <w:sz w:val="13"/>
          <w:szCs w:val="13"/>
          <w:color w:val="auto"/>
        </w:rPr>
      </w:pPr>
    </w:p>
    <w:p>
      <w:pPr>
        <w:ind w:left="1000" w:hanging="442"/>
        <w:spacing w:after="0"/>
        <w:tabs>
          <w:tab w:leader="none" w:pos="1000" w:val="left"/>
        </w:tabs>
        <w:numPr>
          <w:ilvl w:val="0"/>
          <w:numId w:val="54"/>
        </w:numPr>
        <w:rPr>
          <w:rFonts w:ascii="Verdana" w:cs="Verdana" w:eastAsia="Verdana" w:hAnsi="Verdana"/>
          <w:sz w:val="13"/>
          <w:szCs w:val="13"/>
          <w:color w:val="auto"/>
        </w:rPr>
      </w:pPr>
      <w:r>
        <w:rPr>
          <w:rFonts w:ascii="Verdana" w:cs="Verdana" w:eastAsia="Verdana" w:hAnsi="Verdana"/>
          <w:sz w:val="13"/>
          <w:szCs w:val="13"/>
          <w:color w:val="auto"/>
        </w:rPr>
        <w:t>retaining discretion to decide upon the acquisition, disposal, conversion or underwriting of investments.</w:t>
      </w:r>
    </w:p>
    <w:p>
      <w:pPr>
        <w:spacing w:after="0" w:line="160" w:lineRule="exact"/>
        <w:rPr>
          <w:sz w:val="20"/>
          <w:szCs w:val="20"/>
          <w:color w:val="auto"/>
        </w:rPr>
      </w:pPr>
    </w:p>
    <w:p>
      <w:pPr>
        <w:jc w:val="both"/>
        <w:ind w:left="560" w:hanging="552"/>
        <w:spacing w:after="0" w:line="251" w:lineRule="auto"/>
        <w:tabs>
          <w:tab w:leader="none" w:pos="540" w:val="left"/>
        </w:tabs>
        <w:rPr>
          <w:sz w:val="20"/>
          <w:szCs w:val="20"/>
          <w:color w:val="auto"/>
        </w:rPr>
      </w:pPr>
      <w:r>
        <w:rPr>
          <w:rFonts w:ascii="Verdana" w:cs="Verdana" w:eastAsia="Verdana" w:hAnsi="Verdana"/>
          <w:sz w:val="13"/>
          <w:szCs w:val="13"/>
          <w:color w:val="auto"/>
        </w:rPr>
        <w:t>1.6</w:t>
      </w:r>
      <w:r>
        <w:rPr>
          <w:sz w:val="20"/>
          <w:szCs w:val="20"/>
          <w:color w:val="auto"/>
        </w:rPr>
        <w:tab/>
      </w:r>
      <w:r>
        <w:rPr>
          <w:rFonts w:ascii="Verdana" w:cs="Verdana" w:eastAsia="Verdana" w:hAnsi="Verdana"/>
          <w:sz w:val="13"/>
          <w:szCs w:val="13"/>
          <w:color w:val="auto"/>
        </w:rPr>
        <w:t>Without limiting the discretion of Oaktree US pursuant to Clause 1.5(b), Oaktree US reserves the right as general partner and/or investment manager, in the interests of the Funds, to undertake the management of the Funds' investments and assets to the exclusion of the Sub-Advisor during any period in which the Sub-Advisor is unable to perform its duties under this Agreement due to the permanent or temporary absence of the investment professional(s) employed for the time being by the Sub-Advisor (whether due to holiday, sickness or otherwise).</w:t>
      </w:r>
    </w:p>
    <w:p>
      <w:pPr>
        <w:spacing w:after="0" w:line="145"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1.7</w:t>
      </w:r>
      <w:r>
        <w:rPr>
          <w:sz w:val="20"/>
          <w:szCs w:val="20"/>
          <w:color w:val="auto"/>
        </w:rPr>
        <w:tab/>
      </w:r>
      <w:r>
        <w:rPr>
          <w:rFonts w:ascii="Verdana" w:cs="Verdana" w:eastAsia="Verdana" w:hAnsi="Verdana"/>
          <w:sz w:val="12"/>
          <w:szCs w:val="12"/>
          <w:color w:val="auto"/>
        </w:rPr>
        <w:t>The provisions in Clauses 1.5 to 1.7 shall have overriding effect against all other provisions of this Agreement.</w:t>
      </w:r>
    </w:p>
    <w:p>
      <w:pPr>
        <w:spacing w:after="0" w:line="160" w:lineRule="exact"/>
        <w:rPr>
          <w:sz w:val="20"/>
          <w:szCs w:val="20"/>
          <w:color w:val="auto"/>
        </w:rPr>
      </w:pPr>
    </w:p>
    <w:p>
      <w:pPr>
        <w:jc w:val="both"/>
        <w:ind w:left="560" w:hanging="552"/>
        <w:spacing w:after="0" w:line="287" w:lineRule="auto"/>
        <w:tabs>
          <w:tab w:leader="none" w:pos="540" w:val="left"/>
        </w:tabs>
        <w:rPr>
          <w:sz w:val="20"/>
          <w:szCs w:val="20"/>
          <w:color w:val="auto"/>
        </w:rPr>
      </w:pPr>
      <w:r>
        <w:rPr>
          <w:rFonts w:ascii="Verdana" w:cs="Verdana" w:eastAsia="Verdana" w:hAnsi="Verdana"/>
          <w:sz w:val="13"/>
          <w:szCs w:val="13"/>
          <w:color w:val="auto"/>
        </w:rPr>
        <w:t>1.8</w:t>
      </w:r>
      <w:r>
        <w:rPr>
          <w:sz w:val="20"/>
          <w:szCs w:val="20"/>
          <w:color w:val="auto"/>
        </w:rPr>
        <w:tab/>
      </w:r>
      <w:r>
        <w:rPr>
          <w:rFonts w:ascii="Verdana" w:cs="Verdana" w:eastAsia="Verdana" w:hAnsi="Verdana"/>
          <w:sz w:val="12"/>
          <w:szCs w:val="12"/>
          <w:color w:val="auto"/>
        </w:rPr>
        <w:t>The Sub-Advisor shall act honestly, with due skill, care and diligence and fairly and in the best interest of the Partnership in carrying out its obligations under this Agreement and shall use all reasonable endeavours to perform its obligations under this Agreement in accordance with FSMA, the FCA Rules and any other laws, regulations, guidelines and guidance as may be in force from time to time and applicable to the Funds and their business or to the Sub-Advisor ("</w:t>
      </w:r>
      <w:r>
        <w:rPr>
          <w:rFonts w:ascii="Verdana" w:cs="Verdana" w:eastAsia="Verdana" w:hAnsi="Verdana"/>
          <w:sz w:val="12"/>
          <w:szCs w:val="12"/>
          <w:b w:val="1"/>
          <w:bCs w:val="1"/>
          <w:color w:val="auto"/>
        </w:rPr>
        <w:t>Applicable Law</w:t>
      </w:r>
      <w:r>
        <w:rPr>
          <w:rFonts w:ascii="Verdana" w:cs="Verdana" w:eastAsia="Verdana" w:hAnsi="Verdana"/>
          <w:sz w:val="12"/>
          <w:szCs w:val="12"/>
          <w:color w:val="auto"/>
        </w:rPr>
        <w:t>").</w:t>
      </w: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3</w:t>
      </w:r>
    </w:p>
    <w:p>
      <w:pPr>
        <w:sectPr>
          <w:pgSz w:w="11900" w:h="16838" w:orient="portrait"/>
          <w:cols w:equalWidth="0" w:num="1">
            <w:col w:w="11280"/>
          </w:cols>
          <w:pgMar w:left="300" w:top="1232" w:right="319" w:bottom="1440" w:gutter="0" w:footer="0" w:header="0"/>
        </w:sectPr>
      </w:pPr>
    </w:p>
    <w:bookmarkStart w:id="239" w:name="page240"/>
    <w:bookmarkEnd w:id="239"/>
    <w:p>
      <w:pPr>
        <w:ind w:left="560" w:hanging="555"/>
        <w:spacing w:after="0"/>
        <w:tabs>
          <w:tab w:leader="none" w:pos="560" w:val="left"/>
        </w:tabs>
        <w:numPr>
          <w:ilvl w:val="0"/>
          <w:numId w:val="55"/>
        </w:numPr>
        <w:rPr>
          <w:rFonts w:ascii="Verdana" w:cs="Verdana" w:eastAsia="Verdana" w:hAnsi="Verdana"/>
          <w:sz w:val="13"/>
          <w:szCs w:val="13"/>
          <w:color w:val="auto"/>
        </w:rPr>
      </w:pPr>
      <w:r>
        <w:rPr>
          <w:rFonts w:ascii="Verdana" w:cs="Verdana" w:eastAsia="Verdana" w:hAnsi="Verdana"/>
          <w:sz w:val="13"/>
          <w:szCs w:val="13"/>
          <w:b w:val="1"/>
          <w:bCs w:val="1"/>
          <w:color w:val="auto"/>
        </w:rPr>
        <w:t>SERVICES – DISCRETIONARY FUNDS</w:t>
      </w:r>
    </w:p>
    <w:p>
      <w:pPr>
        <w:spacing w:after="0" w:line="160" w:lineRule="exact"/>
        <w:rPr>
          <w:sz w:val="20"/>
          <w:szCs w:val="20"/>
          <w:color w:val="auto"/>
        </w:rPr>
      </w:pPr>
    </w:p>
    <w:p>
      <w:pPr>
        <w:ind w:left="560" w:hanging="552"/>
        <w:spacing w:after="0" w:line="253" w:lineRule="auto"/>
        <w:tabs>
          <w:tab w:leader="none" w:pos="540" w:val="left"/>
        </w:tabs>
        <w:rPr>
          <w:sz w:val="20"/>
          <w:szCs w:val="20"/>
          <w:color w:val="auto"/>
        </w:rPr>
      </w:pPr>
      <w:r>
        <w:rPr>
          <w:rFonts w:ascii="Verdana" w:cs="Verdana" w:eastAsia="Verdana" w:hAnsi="Verdana"/>
          <w:sz w:val="13"/>
          <w:szCs w:val="13"/>
          <w:color w:val="auto"/>
        </w:rPr>
        <w:t>2.1</w:t>
      </w:r>
      <w:r>
        <w:rPr>
          <w:sz w:val="20"/>
          <w:szCs w:val="20"/>
          <w:color w:val="auto"/>
        </w:rPr>
        <w:tab/>
      </w:r>
      <w:r>
        <w:rPr>
          <w:rFonts w:ascii="Verdana" w:cs="Verdana" w:eastAsia="Verdana" w:hAnsi="Verdana"/>
          <w:sz w:val="13"/>
          <w:szCs w:val="13"/>
          <w:color w:val="auto"/>
        </w:rPr>
        <w:t>Without limiting the discretion of Oaktree US pursuant to Clause 1.5(b), and without prejudice to Clauses 1.6 and 1.7, the Sub-Advisor shall be appointed to assist Oaktree US with the management of the investments and assets of the Discretionary Funds.</w:t>
      </w:r>
    </w:p>
    <w:p>
      <w:pPr>
        <w:spacing w:after="0" w:line="144"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2.2</w:t>
      </w:r>
      <w:r>
        <w:rPr>
          <w:sz w:val="20"/>
          <w:szCs w:val="20"/>
          <w:color w:val="auto"/>
        </w:rPr>
        <w:tab/>
      </w:r>
      <w:r>
        <w:rPr>
          <w:rFonts w:ascii="Verdana" w:cs="Verdana" w:eastAsia="Verdana" w:hAnsi="Verdana"/>
          <w:sz w:val="12"/>
          <w:szCs w:val="12"/>
          <w:color w:val="auto"/>
        </w:rPr>
        <w:t>In connection with the appointment pursuant to Clause 2.1 but subject at all times to Clause 1:</w:t>
      </w:r>
    </w:p>
    <w:p>
      <w:pPr>
        <w:spacing w:after="0" w:line="160" w:lineRule="exact"/>
        <w:rPr>
          <w:sz w:val="20"/>
          <w:szCs w:val="20"/>
          <w:color w:val="auto"/>
        </w:rPr>
      </w:pPr>
    </w:p>
    <w:p>
      <w:pPr>
        <w:ind w:left="1000" w:hanging="442"/>
        <w:spacing w:after="0" w:line="253" w:lineRule="auto"/>
        <w:tabs>
          <w:tab w:leader="none" w:pos="995" w:val="left"/>
        </w:tabs>
        <w:numPr>
          <w:ilvl w:val="1"/>
          <w:numId w:val="56"/>
        </w:numPr>
        <w:rPr>
          <w:rFonts w:ascii="Verdana" w:cs="Verdana" w:eastAsia="Verdana" w:hAnsi="Verdana"/>
          <w:sz w:val="13"/>
          <w:szCs w:val="13"/>
          <w:color w:val="auto"/>
        </w:rPr>
      </w:pPr>
      <w:r>
        <w:rPr>
          <w:rFonts w:ascii="Verdana" w:cs="Verdana" w:eastAsia="Verdana" w:hAnsi="Verdana"/>
          <w:sz w:val="13"/>
          <w:szCs w:val="13"/>
          <w:color w:val="auto"/>
        </w:rPr>
        <w:t>Oaktree US hereby delegates to the Sub-Advisor all such powers, authorities and discretions as shall be necessary to enable the Sub-Advisor to perform its duties as sub-manager under this Agreement; and</w:t>
      </w:r>
    </w:p>
    <w:p>
      <w:pPr>
        <w:spacing w:after="0" w:line="144" w:lineRule="exact"/>
        <w:rPr>
          <w:rFonts w:ascii="Verdana" w:cs="Verdana" w:eastAsia="Verdana" w:hAnsi="Verdana"/>
          <w:sz w:val="13"/>
          <w:szCs w:val="13"/>
          <w:color w:val="auto"/>
        </w:rPr>
      </w:pPr>
    </w:p>
    <w:p>
      <w:pPr>
        <w:ind w:left="1000" w:hanging="442"/>
        <w:spacing w:after="0" w:line="269" w:lineRule="auto"/>
        <w:tabs>
          <w:tab w:leader="none" w:pos="998" w:val="left"/>
        </w:tabs>
        <w:numPr>
          <w:ilvl w:val="1"/>
          <w:numId w:val="56"/>
        </w:numPr>
        <w:rPr>
          <w:rFonts w:ascii="Verdana" w:cs="Verdana" w:eastAsia="Verdana" w:hAnsi="Verdana"/>
          <w:sz w:val="13"/>
          <w:szCs w:val="13"/>
          <w:color w:val="auto"/>
        </w:rPr>
      </w:pPr>
      <w:r>
        <w:rPr>
          <w:rFonts w:ascii="Verdana" w:cs="Verdana" w:eastAsia="Verdana" w:hAnsi="Verdana"/>
          <w:sz w:val="13"/>
          <w:szCs w:val="13"/>
          <w:color w:val="auto"/>
        </w:rPr>
        <w:t>the Sub-Advisor shall have full power and authority hereunder to decide whether the Funds should acquire or dispose of an investment and Oaktree US grants the Sub-Advisor discretion, without consultation to Oaktree US, to:</w:t>
      </w:r>
    </w:p>
    <w:p>
      <w:pPr>
        <w:spacing w:after="0" w:line="133" w:lineRule="exact"/>
        <w:rPr>
          <w:rFonts w:ascii="Verdana" w:cs="Verdana" w:eastAsia="Verdana" w:hAnsi="Verdana"/>
          <w:sz w:val="13"/>
          <w:szCs w:val="13"/>
          <w:color w:val="auto"/>
        </w:rPr>
      </w:pPr>
    </w:p>
    <w:p>
      <w:pPr>
        <w:ind w:left="1440" w:hanging="441"/>
        <w:spacing w:after="0"/>
        <w:tabs>
          <w:tab w:leader="none" w:pos="1440" w:val="left"/>
        </w:tabs>
        <w:numPr>
          <w:ilvl w:val="2"/>
          <w:numId w:val="56"/>
        </w:numPr>
        <w:rPr>
          <w:rFonts w:ascii="Verdana" w:cs="Verdana" w:eastAsia="Verdana" w:hAnsi="Verdana"/>
          <w:sz w:val="13"/>
          <w:szCs w:val="13"/>
          <w:color w:val="auto"/>
        </w:rPr>
      </w:pPr>
      <w:r>
        <w:rPr>
          <w:rFonts w:ascii="Verdana" w:cs="Verdana" w:eastAsia="Verdana" w:hAnsi="Verdana"/>
          <w:sz w:val="13"/>
          <w:szCs w:val="13"/>
          <w:color w:val="auto"/>
        </w:rPr>
        <w:t>make investment decisions with respect to invested assets of the Funds; and</w:t>
      </w:r>
    </w:p>
    <w:p>
      <w:pPr>
        <w:spacing w:after="0" w:line="160" w:lineRule="exact"/>
        <w:rPr>
          <w:rFonts w:ascii="Verdana" w:cs="Verdana" w:eastAsia="Verdana" w:hAnsi="Verdana"/>
          <w:sz w:val="13"/>
          <w:szCs w:val="13"/>
          <w:color w:val="auto"/>
        </w:rPr>
      </w:pPr>
    </w:p>
    <w:p>
      <w:pPr>
        <w:jc w:val="both"/>
        <w:ind w:left="1440" w:hanging="441"/>
        <w:spacing w:after="0" w:line="255" w:lineRule="auto"/>
        <w:tabs>
          <w:tab w:leader="none" w:pos="1439" w:val="left"/>
        </w:tabs>
        <w:numPr>
          <w:ilvl w:val="2"/>
          <w:numId w:val="56"/>
        </w:numPr>
        <w:rPr>
          <w:rFonts w:ascii="Verdana" w:cs="Verdana" w:eastAsia="Verdana" w:hAnsi="Verdana"/>
          <w:sz w:val="13"/>
          <w:szCs w:val="13"/>
          <w:color w:val="auto"/>
        </w:rPr>
      </w:pPr>
      <w:r>
        <w:rPr>
          <w:rFonts w:ascii="Verdana" w:cs="Verdana" w:eastAsia="Verdana" w:hAnsi="Verdana"/>
          <w:sz w:val="13"/>
          <w:szCs w:val="13"/>
          <w:color w:val="auto"/>
        </w:rPr>
        <w:t>enter into such investment documents and effect such transactions (including, if applicable, instructing the Custodian (as defined in Clause 9.1 below) of the Funds in respect of transfers, withdrawals or receipts of money) as may be necessary or proper in connection with the performance by the Sub-Advisor of its duties hereunder.</w:t>
      </w:r>
    </w:p>
    <w:p>
      <w:pPr>
        <w:spacing w:after="0" w:line="143" w:lineRule="exact"/>
        <w:rPr>
          <w:rFonts w:ascii="Verdana" w:cs="Verdana" w:eastAsia="Verdana" w:hAnsi="Verdana"/>
          <w:sz w:val="13"/>
          <w:szCs w:val="13"/>
          <w:color w:val="auto"/>
        </w:rPr>
      </w:pPr>
    </w:p>
    <w:p>
      <w:pPr>
        <w:ind w:left="560" w:hanging="555"/>
        <w:spacing w:after="0"/>
        <w:tabs>
          <w:tab w:leader="none" w:pos="560" w:val="left"/>
        </w:tabs>
        <w:numPr>
          <w:ilvl w:val="0"/>
          <w:numId w:val="57"/>
        </w:numPr>
        <w:rPr>
          <w:rFonts w:ascii="Verdana" w:cs="Verdana" w:eastAsia="Verdana" w:hAnsi="Verdana"/>
          <w:sz w:val="13"/>
          <w:szCs w:val="13"/>
          <w:color w:val="auto"/>
        </w:rPr>
      </w:pPr>
      <w:r>
        <w:rPr>
          <w:rFonts w:ascii="Verdana" w:cs="Verdana" w:eastAsia="Verdana" w:hAnsi="Verdana"/>
          <w:sz w:val="13"/>
          <w:szCs w:val="13"/>
          <w:b w:val="1"/>
          <w:bCs w:val="1"/>
          <w:color w:val="auto"/>
        </w:rPr>
        <w:t>SERVICES - RESTRICTED FUNDS</w:t>
      </w:r>
    </w:p>
    <w:p>
      <w:pPr>
        <w:spacing w:after="0" w:line="160"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3.1</w:t>
      </w:r>
      <w:r>
        <w:rPr>
          <w:sz w:val="20"/>
          <w:szCs w:val="20"/>
          <w:color w:val="auto"/>
        </w:rPr>
        <w:tab/>
      </w:r>
      <w:r>
        <w:rPr>
          <w:rFonts w:ascii="Verdana" w:cs="Verdana" w:eastAsia="Verdana" w:hAnsi="Verdana"/>
          <w:sz w:val="12"/>
          <w:szCs w:val="12"/>
          <w:color w:val="auto"/>
        </w:rPr>
        <w:t>Without limiting the discretion of Oaktree US pursuant to Clause 1.5(b), and without prejudice to Clauses 1.6 and 1.7, the sub-advisory services to be provided by the</w:t>
      </w:r>
    </w:p>
    <w:p>
      <w:pPr>
        <w:spacing w:after="0" w:line="1" w:lineRule="exact"/>
        <w:rPr>
          <w:sz w:val="20"/>
          <w:szCs w:val="20"/>
          <w:color w:val="auto"/>
        </w:rPr>
      </w:pPr>
    </w:p>
    <w:p>
      <w:pPr>
        <w:ind w:left="560"/>
        <w:spacing w:after="0"/>
        <w:rPr>
          <w:sz w:val="20"/>
          <w:szCs w:val="20"/>
          <w:color w:val="auto"/>
        </w:rPr>
      </w:pPr>
      <w:r>
        <w:rPr>
          <w:rFonts w:ascii="Verdana" w:cs="Verdana" w:eastAsia="Verdana" w:hAnsi="Verdana"/>
          <w:sz w:val="13"/>
          <w:szCs w:val="13"/>
          <w:color w:val="auto"/>
        </w:rPr>
        <w:t>Sub-Advisor in respect of the Restricted Funds will be limited to:</w:t>
      </w:r>
    </w:p>
    <w:p>
      <w:pPr>
        <w:spacing w:after="0" w:line="160" w:lineRule="exact"/>
        <w:rPr>
          <w:sz w:val="20"/>
          <w:szCs w:val="20"/>
          <w:color w:val="auto"/>
        </w:rPr>
      </w:pPr>
    </w:p>
    <w:p>
      <w:pPr>
        <w:ind w:left="1000" w:hanging="442"/>
        <w:spacing w:after="0"/>
        <w:tabs>
          <w:tab w:leader="none" w:pos="1000" w:val="left"/>
        </w:tabs>
        <w:numPr>
          <w:ilvl w:val="0"/>
          <w:numId w:val="58"/>
        </w:numPr>
        <w:rPr>
          <w:rFonts w:ascii="Verdana" w:cs="Verdana" w:eastAsia="Verdana" w:hAnsi="Verdana"/>
          <w:sz w:val="13"/>
          <w:szCs w:val="13"/>
          <w:color w:val="auto"/>
        </w:rPr>
      </w:pPr>
      <w:r>
        <w:rPr>
          <w:rFonts w:ascii="Verdana" w:cs="Verdana" w:eastAsia="Verdana" w:hAnsi="Verdana"/>
          <w:sz w:val="13"/>
          <w:szCs w:val="13"/>
          <w:color w:val="auto"/>
        </w:rPr>
        <w:t>researching and identifying potential investment opportunities;</w:t>
      </w:r>
    </w:p>
    <w:p>
      <w:pPr>
        <w:spacing w:after="0" w:line="160" w:lineRule="exact"/>
        <w:rPr>
          <w:rFonts w:ascii="Verdana" w:cs="Verdana" w:eastAsia="Verdana" w:hAnsi="Verdana"/>
          <w:sz w:val="13"/>
          <w:szCs w:val="13"/>
          <w:color w:val="auto"/>
        </w:rPr>
      </w:pPr>
    </w:p>
    <w:p>
      <w:pPr>
        <w:ind w:left="1000" w:hanging="442"/>
        <w:spacing w:after="0" w:line="253" w:lineRule="auto"/>
        <w:tabs>
          <w:tab w:leader="none" w:pos="998" w:val="left"/>
        </w:tabs>
        <w:numPr>
          <w:ilvl w:val="0"/>
          <w:numId w:val="58"/>
        </w:numPr>
        <w:rPr>
          <w:rFonts w:ascii="Verdana" w:cs="Verdana" w:eastAsia="Verdana" w:hAnsi="Verdana"/>
          <w:sz w:val="13"/>
          <w:szCs w:val="13"/>
          <w:color w:val="auto"/>
        </w:rPr>
      </w:pPr>
      <w:r>
        <w:rPr>
          <w:rFonts w:ascii="Verdana" w:cs="Verdana" w:eastAsia="Verdana" w:hAnsi="Verdana"/>
          <w:sz w:val="13"/>
          <w:szCs w:val="13"/>
          <w:color w:val="auto"/>
        </w:rPr>
        <w:t>evaluating potential investment opportunities, including, but not limited to, the performance of due diligence services, verification of claims by potential counterparties, inspection of properties, preparation of financial projections and the like;</w:t>
      </w:r>
    </w:p>
    <w:p>
      <w:pPr>
        <w:spacing w:after="0" w:line="144" w:lineRule="exact"/>
        <w:rPr>
          <w:rFonts w:ascii="Verdana" w:cs="Verdana" w:eastAsia="Verdana" w:hAnsi="Verdana"/>
          <w:sz w:val="13"/>
          <w:szCs w:val="13"/>
          <w:color w:val="auto"/>
        </w:rPr>
      </w:pPr>
    </w:p>
    <w:p>
      <w:pPr>
        <w:ind w:left="1000" w:hanging="442"/>
        <w:spacing w:after="0"/>
        <w:tabs>
          <w:tab w:leader="none" w:pos="1000" w:val="left"/>
        </w:tabs>
        <w:numPr>
          <w:ilvl w:val="0"/>
          <w:numId w:val="58"/>
        </w:numPr>
        <w:rPr>
          <w:rFonts w:ascii="Verdana" w:cs="Verdana" w:eastAsia="Verdana" w:hAnsi="Verdana"/>
          <w:sz w:val="13"/>
          <w:szCs w:val="13"/>
          <w:color w:val="auto"/>
        </w:rPr>
      </w:pPr>
      <w:r>
        <w:rPr>
          <w:rFonts w:ascii="Verdana" w:cs="Verdana" w:eastAsia="Verdana" w:hAnsi="Verdana"/>
          <w:sz w:val="13"/>
          <w:szCs w:val="13"/>
          <w:color w:val="auto"/>
        </w:rPr>
        <w:t>evaluating whether any investment held by the Restricted Funds should be sold or otherwise disposed;</w:t>
      </w:r>
    </w:p>
    <w:p>
      <w:pPr>
        <w:spacing w:after="0" w:line="160" w:lineRule="exact"/>
        <w:rPr>
          <w:rFonts w:ascii="Verdana" w:cs="Verdana" w:eastAsia="Verdana" w:hAnsi="Verdana"/>
          <w:sz w:val="13"/>
          <w:szCs w:val="13"/>
          <w:color w:val="auto"/>
        </w:rPr>
      </w:pPr>
    </w:p>
    <w:p>
      <w:pPr>
        <w:jc w:val="both"/>
        <w:ind w:left="1000" w:hanging="442"/>
        <w:spacing w:after="0" w:line="252" w:lineRule="auto"/>
        <w:tabs>
          <w:tab w:leader="none" w:pos="1001" w:val="left"/>
        </w:tabs>
        <w:numPr>
          <w:ilvl w:val="0"/>
          <w:numId w:val="58"/>
        </w:numPr>
        <w:rPr>
          <w:rFonts w:ascii="Verdana" w:cs="Verdana" w:eastAsia="Verdana" w:hAnsi="Verdana"/>
          <w:sz w:val="13"/>
          <w:szCs w:val="13"/>
          <w:color w:val="auto"/>
        </w:rPr>
      </w:pPr>
      <w:r>
        <w:rPr>
          <w:rFonts w:ascii="Verdana" w:cs="Verdana" w:eastAsia="Verdana" w:hAnsi="Verdana"/>
          <w:sz w:val="13"/>
          <w:szCs w:val="13"/>
          <w:color w:val="auto"/>
        </w:rPr>
        <w:t>taking all such actions and executing and delivering any and all orders, agreements, confirmations, transfers, notes, certificates, instruments or documents that may be required, or otherwise necessary or desirable, in connection with or relating to the acquisition or disposition of investments of the Restricted Funds in which the Sub-Advisor is acting as sub-adviser (</w:t>
      </w:r>
      <w:r>
        <w:rPr>
          <w:rFonts w:ascii="Verdana" w:cs="Verdana" w:eastAsia="Verdana" w:hAnsi="Verdana"/>
          <w:sz w:val="13"/>
          <w:szCs w:val="13"/>
          <w:b w:val="1"/>
          <w:bCs w:val="1"/>
          <w:color w:val="auto"/>
        </w:rPr>
        <w:t>"Investment Documents"</w:t>
      </w:r>
      <w:r>
        <w:rPr>
          <w:rFonts w:ascii="Verdana" w:cs="Verdana" w:eastAsia="Verdana" w:hAnsi="Verdana"/>
          <w:sz w:val="13"/>
          <w:szCs w:val="13"/>
          <w:color w:val="auto"/>
        </w:rPr>
        <w:t>); PROVIDED HOWEVER, that the Sub-Advisor may execute and deliver such Investment Documents as sub-adviser to the Restricted Funds only after the decision to acquire or dispose of such investment has been made by representatives of Oaktree US in the United States;</w:t>
      </w:r>
    </w:p>
    <w:p>
      <w:pPr>
        <w:spacing w:after="0" w:line="146" w:lineRule="exact"/>
        <w:rPr>
          <w:rFonts w:ascii="Verdana" w:cs="Verdana" w:eastAsia="Verdana" w:hAnsi="Verdana"/>
          <w:sz w:val="13"/>
          <w:szCs w:val="13"/>
          <w:color w:val="auto"/>
        </w:rPr>
      </w:pPr>
    </w:p>
    <w:p>
      <w:pPr>
        <w:ind w:left="1000" w:hanging="442"/>
        <w:spacing w:after="0" w:line="253" w:lineRule="auto"/>
        <w:tabs>
          <w:tab w:leader="none" w:pos="998" w:val="left"/>
        </w:tabs>
        <w:numPr>
          <w:ilvl w:val="0"/>
          <w:numId w:val="58"/>
        </w:numPr>
        <w:rPr>
          <w:rFonts w:ascii="Verdana" w:cs="Verdana" w:eastAsia="Verdana" w:hAnsi="Verdana"/>
          <w:sz w:val="13"/>
          <w:szCs w:val="13"/>
          <w:color w:val="auto"/>
        </w:rPr>
      </w:pPr>
      <w:r>
        <w:rPr>
          <w:rFonts w:ascii="Verdana" w:cs="Verdana" w:eastAsia="Verdana" w:hAnsi="Verdana"/>
          <w:sz w:val="13"/>
          <w:szCs w:val="13"/>
          <w:color w:val="auto"/>
        </w:rPr>
        <w:t>signing or executing (for itself and/or on behalf of such Restricted Fund) a confidentiality agreement in respect of existing investments or potential investment opportunities or any other matters within the scope of the Sub-Advisor's responsibilities and powers as a sub-adviser to such Restricted Fund;</w:t>
      </w:r>
    </w:p>
    <w:p>
      <w:pPr>
        <w:spacing w:after="0" w:line="144" w:lineRule="exact"/>
        <w:rPr>
          <w:rFonts w:ascii="Verdana" w:cs="Verdana" w:eastAsia="Verdana" w:hAnsi="Verdana"/>
          <w:sz w:val="13"/>
          <w:szCs w:val="13"/>
          <w:color w:val="auto"/>
        </w:rPr>
      </w:pPr>
    </w:p>
    <w:p>
      <w:pPr>
        <w:ind w:left="1000" w:hanging="442"/>
        <w:spacing w:after="0" w:line="269" w:lineRule="auto"/>
        <w:tabs>
          <w:tab w:leader="none" w:pos="999" w:val="left"/>
        </w:tabs>
        <w:numPr>
          <w:ilvl w:val="0"/>
          <w:numId w:val="58"/>
        </w:numPr>
        <w:rPr>
          <w:rFonts w:ascii="Verdana" w:cs="Verdana" w:eastAsia="Verdana" w:hAnsi="Verdana"/>
          <w:sz w:val="13"/>
          <w:szCs w:val="13"/>
          <w:color w:val="auto"/>
        </w:rPr>
      </w:pPr>
      <w:r>
        <w:rPr>
          <w:rFonts w:ascii="Verdana" w:cs="Verdana" w:eastAsia="Verdana" w:hAnsi="Verdana"/>
          <w:sz w:val="13"/>
          <w:szCs w:val="13"/>
          <w:color w:val="auto"/>
        </w:rPr>
        <w:t>at the request of Oaktree US, providing and making available representatives of the Sub-Advisor to serve as a member of the board of directors (or other equivalent bodies) of certain non-U.S. portfolio companies (or other equivalent bodies) in which the Restricted Funds invest; and</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4</w:t>
      </w:r>
    </w:p>
    <w:p>
      <w:pPr>
        <w:sectPr>
          <w:pgSz w:w="11900" w:h="16838" w:orient="portrait"/>
          <w:cols w:equalWidth="0" w:num="1">
            <w:col w:w="11280"/>
          </w:cols>
          <w:pgMar w:left="300" w:top="1231" w:right="319" w:bottom="1440" w:gutter="0" w:footer="0" w:header="0"/>
        </w:sectPr>
      </w:pPr>
    </w:p>
    <w:bookmarkStart w:id="240" w:name="page241"/>
    <w:bookmarkEnd w:id="240"/>
    <w:p>
      <w:pPr>
        <w:ind w:left="1000" w:hanging="442"/>
        <w:spacing w:after="0"/>
        <w:tabs>
          <w:tab w:leader="none" w:pos="1000" w:val="left"/>
        </w:tabs>
        <w:numPr>
          <w:ilvl w:val="0"/>
          <w:numId w:val="59"/>
        </w:numPr>
        <w:rPr>
          <w:rFonts w:ascii="Verdana" w:cs="Verdana" w:eastAsia="Verdana" w:hAnsi="Verdana"/>
          <w:sz w:val="13"/>
          <w:szCs w:val="13"/>
          <w:color w:val="auto"/>
        </w:rPr>
      </w:pPr>
      <w:r>
        <w:rPr>
          <w:rFonts w:ascii="Verdana" w:cs="Verdana" w:eastAsia="Verdana" w:hAnsi="Verdana"/>
          <w:sz w:val="13"/>
          <w:szCs w:val="13"/>
          <w:color w:val="auto"/>
        </w:rPr>
        <w:t>such other services as may from time to time be reasonably requested by Oaktree US.</w:t>
      </w:r>
    </w:p>
    <w:p>
      <w:pPr>
        <w:spacing w:after="0" w:line="160" w:lineRule="exact"/>
        <w:rPr>
          <w:sz w:val="20"/>
          <w:szCs w:val="20"/>
          <w:color w:val="auto"/>
        </w:rPr>
      </w:pPr>
    </w:p>
    <w:p>
      <w:pPr>
        <w:ind w:left="560" w:hanging="552"/>
        <w:spacing w:after="0" w:line="253" w:lineRule="auto"/>
        <w:tabs>
          <w:tab w:leader="none" w:pos="540" w:val="left"/>
        </w:tabs>
        <w:rPr>
          <w:sz w:val="20"/>
          <w:szCs w:val="20"/>
          <w:color w:val="auto"/>
        </w:rPr>
      </w:pPr>
      <w:r>
        <w:rPr>
          <w:rFonts w:ascii="Verdana" w:cs="Verdana" w:eastAsia="Verdana" w:hAnsi="Verdana"/>
          <w:sz w:val="13"/>
          <w:szCs w:val="13"/>
          <w:color w:val="auto"/>
        </w:rPr>
        <w:t>3.1</w:t>
      </w:r>
      <w:r>
        <w:rPr>
          <w:sz w:val="20"/>
          <w:szCs w:val="20"/>
          <w:color w:val="auto"/>
        </w:rPr>
        <w:tab/>
      </w:r>
      <w:r>
        <w:rPr>
          <w:rFonts w:ascii="Verdana" w:cs="Verdana" w:eastAsia="Verdana" w:hAnsi="Verdana"/>
          <w:sz w:val="13"/>
          <w:szCs w:val="13"/>
          <w:color w:val="auto"/>
        </w:rPr>
        <w:t>For the avoidance of doubt, the Sub-Advisor shall not have any authority hereunder to decide whether the Restricted Funds should acquire or dispose of an investment; such decisions to be reserved only for representatives of Oaktree US in the United States.</w:t>
      </w:r>
    </w:p>
    <w:p>
      <w:pPr>
        <w:spacing w:after="0" w:line="144" w:lineRule="exact"/>
        <w:rPr>
          <w:sz w:val="20"/>
          <w:szCs w:val="20"/>
          <w:color w:val="auto"/>
        </w:rPr>
      </w:pPr>
    </w:p>
    <w:p>
      <w:pPr>
        <w:ind w:left="560" w:hanging="555"/>
        <w:spacing w:after="0"/>
        <w:tabs>
          <w:tab w:leader="none" w:pos="560" w:val="left"/>
        </w:tabs>
        <w:numPr>
          <w:ilvl w:val="0"/>
          <w:numId w:val="60"/>
        </w:numPr>
        <w:rPr>
          <w:rFonts w:ascii="Verdana" w:cs="Verdana" w:eastAsia="Verdana" w:hAnsi="Verdana"/>
          <w:sz w:val="13"/>
          <w:szCs w:val="13"/>
          <w:color w:val="auto"/>
        </w:rPr>
      </w:pPr>
      <w:r>
        <w:rPr>
          <w:rFonts w:ascii="Verdana" w:cs="Verdana" w:eastAsia="Verdana" w:hAnsi="Verdana"/>
          <w:sz w:val="13"/>
          <w:szCs w:val="13"/>
          <w:b w:val="1"/>
          <w:bCs w:val="1"/>
          <w:color w:val="auto"/>
        </w:rPr>
        <w:t>FEES</w:t>
      </w:r>
    </w:p>
    <w:p>
      <w:pPr>
        <w:spacing w:after="0" w:line="160" w:lineRule="exact"/>
        <w:rPr>
          <w:sz w:val="20"/>
          <w:szCs w:val="20"/>
          <w:color w:val="auto"/>
        </w:rPr>
      </w:pPr>
    </w:p>
    <w:p>
      <w:pPr>
        <w:jc w:val="both"/>
        <w:ind w:left="560" w:hanging="552"/>
        <w:spacing w:after="0" w:line="253" w:lineRule="auto"/>
        <w:tabs>
          <w:tab w:leader="none" w:pos="540" w:val="left"/>
        </w:tabs>
        <w:rPr>
          <w:sz w:val="20"/>
          <w:szCs w:val="20"/>
          <w:color w:val="auto"/>
        </w:rPr>
      </w:pPr>
      <w:r>
        <w:rPr>
          <w:rFonts w:ascii="Verdana" w:cs="Verdana" w:eastAsia="Verdana" w:hAnsi="Verdana"/>
          <w:sz w:val="13"/>
          <w:szCs w:val="13"/>
          <w:color w:val="auto"/>
        </w:rPr>
        <w:t>4.1</w:t>
      </w:r>
      <w:r>
        <w:rPr>
          <w:sz w:val="20"/>
          <w:szCs w:val="20"/>
          <w:color w:val="auto"/>
        </w:rPr>
        <w:tab/>
      </w:r>
      <w:r>
        <w:rPr>
          <w:rFonts w:ascii="Verdana" w:cs="Verdana" w:eastAsia="Verdana" w:hAnsi="Verdana"/>
          <w:sz w:val="13"/>
          <w:szCs w:val="13"/>
          <w:color w:val="auto"/>
        </w:rPr>
        <w:t>In consideration of the provision of services under this Agreement, Oaktree US will pay the Sub-Advisor such fees as may be agreed between the parties from time to time (the "</w:t>
      </w:r>
      <w:r>
        <w:rPr>
          <w:rFonts w:ascii="Verdana" w:cs="Verdana" w:eastAsia="Verdana" w:hAnsi="Verdana"/>
          <w:sz w:val="13"/>
          <w:szCs w:val="13"/>
          <w:b w:val="1"/>
          <w:bCs w:val="1"/>
          <w:color w:val="auto"/>
        </w:rPr>
        <w:t>Service Fee</w:t>
      </w:r>
      <w:r>
        <w:rPr>
          <w:rFonts w:ascii="Verdana" w:cs="Verdana" w:eastAsia="Verdana" w:hAnsi="Verdana"/>
          <w:sz w:val="13"/>
          <w:szCs w:val="13"/>
          <w:color w:val="auto"/>
        </w:rPr>
        <w:t>").</w:t>
      </w:r>
    </w:p>
    <w:p>
      <w:pPr>
        <w:spacing w:after="0" w:line="144" w:lineRule="exact"/>
        <w:rPr>
          <w:sz w:val="20"/>
          <w:szCs w:val="20"/>
          <w:color w:val="auto"/>
        </w:rPr>
      </w:pPr>
    </w:p>
    <w:p>
      <w:pPr>
        <w:jc w:val="both"/>
        <w:ind w:left="560" w:hanging="552"/>
        <w:spacing w:after="0" w:line="255" w:lineRule="auto"/>
        <w:tabs>
          <w:tab w:leader="none" w:pos="540" w:val="left"/>
        </w:tabs>
        <w:rPr>
          <w:sz w:val="20"/>
          <w:szCs w:val="20"/>
          <w:color w:val="auto"/>
        </w:rPr>
      </w:pPr>
      <w:r>
        <w:rPr>
          <w:rFonts w:ascii="Verdana" w:cs="Verdana" w:eastAsia="Verdana" w:hAnsi="Verdana"/>
          <w:sz w:val="13"/>
          <w:szCs w:val="13"/>
          <w:color w:val="auto"/>
        </w:rPr>
        <w:t>4.2</w:t>
      </w:r>
      <w:r>
        <w:rPr>
          <w:sz w:val="20"/>
          <w:szCs w:val="20"/>
          <w:color w:val="auto"/>
        </w:rPr>
        <w:tab/>
      </w:r>
      <w:r>
        <w:rPr>
          <w:rFonts w:ascii="Verdana" w:cs="Verdana" w:eastAsia="Verdana" w:hAnsi="Verdana"/>
          <w:sz w:val="13"/>
          <w:szCs w:val="13"/>
          <w:color w:val="auto"/>
        </w:rPr>
        <w:t>At Oaktree US' discretion, the Service Fee shall be reduced by any management fees received directly by the Sub-Advisor for investment management services provided to any party pursuant to this Agreement. The Service Fee shall also be reduced by any amounts earned on cash and cash-equivalents held by the Sub-Advisor pursuant to this Agreement.</w:t>
      </w:r>
    </w:p>
    <w:p>
      <w:pPr>
        <w:spacing w:after="0" w:line="144" w:lineRule="exact"/>
        <w:rPr>
          <w:sz w:val="20"/>
          <w:szCs w:val="20"/>
          <w:color w:val="auto"/>
        </w:rPr>
      </w:pPr>
    </w:p>
    <w:p>
      <w:pPr>
        <w:jc w:val="both"/>
        <w:ind w:left="560" w:hanging="552"/>
        <w:spacing w:after="0" w:line="269" w:lineRule="auto"/>
        <w:tabs>
          <w:tab w:leader="none" w:pos="540" w:val="left"/>
        </w:tabs>
        <w:rPr>
          <w:sz w:val="20"/>
          <w:szCs w:val="20"/>
          <w:color w:val="auto"/>
        </w:rPr>
      </w:pPr>
      <w:r>
        <w:rPr>
          <w:rFonts w:ascii="Verdana" w:cs="Verdana" w:eastAsia="Verdana" w:hAnsi="Verdana"/>
          <w:sz w:val="13"/>
          <w:szCs w:val="13"/>
          <w:color w:val="auto"/>
        </w:rPr>
        <w:t>4.3</w:t>
      </w:r>
      <w:r>
        <w:rPr>
          <w:sz w:val="20"/>
          <w:szCs w:val="20"/>
          <w:color w:val="auto"/>
        </w:rPr>
        <w:tab/>
      </w:r>
      <w:r>
        <w:rPr>
          <w:rFonts w:ascii="Verdana" w:cs="Verdana" w:eastAsia="Verdana" w:hAnsi="Verdana"/>
          <w:sz w:val="13"/>
          <w:szCs w:val="13"/>
          <w:color w:val="auto"/>
        </w:rPr>
        <w:t>The Service Fee shall be reviewed by Oaktree US and the Sub-Advisor once annually (or as the parties agree) for continued appropriateness and in particular, to account for any changes in the Sub-Advisor's business.</w:t>
      </w:r>
    </w:p>
    <w:p>
      <w:pPr>
        <w:spacing w:after="0" w:line="134" w:lineRule="exact"/>
        <w:rPr>
          <w:sz w:val="20"/>
          <w:szCs w:val="20"/>
          <w:color w:val="auto"/>
        </w:rPr>
      </w:pPr>
    </w:p>
    <w:p>
      <w:pPr>
        <w:ind w:left="560" w:hanging="555"/>
        <w:spacing w:after="0"/>
        <w:tabs>
          <w:tab w:leader="none" w:pos="560" w:val="left"/>
        </w:tabs>
        <w:numPr>
          <w:ilvl w:val="0"/>
          <w:numId w:val="61"/>
        </w:numPr>
        <w:rPr>
          <w:rFonts w:ascii="Verdana" w:cs="Verdana" w:eastAsia="Verdana" w:hAnsi="Verdana"/>
          <w:sz w:val="13"/>
          <w:szCs w:val="13"/>
          <w:color w:val="auto"/>
        </w:rPr>
      </w:pPr>
      <w:r>
        <w:rPr>
          <w:rFonts w:ascii="Verdana" w:cs="Verdana" w:eastAsia="Verdana" w:hAnsi="Verdana"/>
          <w:sz w:val="13"/>
          <w:szCs w:val="13"/>
          <w:b w:val="1"/>
          <w:bCs w:val="1"/>
          <w:color w:val="auto"/>
        </w:rPr>
        <w:t>ADMINISTRATIVE FUNCTIONS</w:t>
      </w:r>
    </w:p>
    <w:p>
      <w:pPr>
        <w:spacing w:after="0" w:line="160" w:lineRule="exact"/>
        <w:rPr>
          <w:rFonts w:ascii="Verdana" w:cs="Verdana" w:eastAsia="Verdana" w:hAnsi="Verdana"/>
          <w:sz w:val="13"/>
          <w:szCs w:val="13"/>
          <w:color w:val="auto"/>
        </w:rPr>
      </w:pPr>
    </w:p>
    <w:p>
      <w:pPr>
        <w:ind w:left="560"/>
        <w:spacing w:after="0" w:line="295" w:lineRule="auto"/>
        <w:rPr>
          <w:rFonts w:ascii="Verdana" w:cs="Verdana" w:eastAsia="Verdana" w:hAnsi="Verdana"/>
          <w:sz w:val="13"/>
          <w:szCs w:val="13"/>
          <w:color w:val="auto"/>
        </w:rPr>
      </w:pPr>
      <w:r>
        <w:rPr>
          <w:rFonts w:ascii="Verdana" w:cs="Verdana" w:eastAsia="Verdana" w:hAnsi="Verdana"/>
          <w:sz w:val="12"/>
          <w:szCs w:val="12"/>
          <w:color w:val="auto"/>
        </w:rPr>
        <w:t>Oaktree US and its affiliates will provide all fund and investor accounting, fund investor reporting, custodial services and similar administrative functions required in respect of the Funds. Oaktree US will provide such services in a manner and quality consistent with past practices in connection with the management of the Funds.</w:t>
      </w:r>
    </w:p>
    <w:p>
      <w:pPr>
        <w:spacing w:after="0" w:line="118" w:lineRule="exact"/>
        <w:rPr>
          <w:rFonts w:ascii="Verdana" w:cs="Verdana" w:eastAsia="Verdana" w:hAnsi="Verdana"/>
          <w:sz w:val="13"/>
          <w:szCs w:val="13"/>
          <w:color w:val="auto"/>
        </w:rPr>
      </w:pPr>
    </w:p>
    <w:p>
      <w:pPr>
        <w:ind w:left="560" w:hanging="555"/>
        <w:spacing w:after="0"/>
        <w:tabs>
          <w:tab w:leader="none" w:pos="560" w:val="left"/>
        </w:tabs>
        <w:numPr>
          <w:ilvl w:val="0"/>
          <w:numId w:val="61"/>
        </w:numPr>
        <w:rPr>
          <w:rFonts w:ascii="Verdana" w:cs="Verdana" w:eastAsia="Verdana" w:hAnsi="Verdana"/>
          <w:sz w:val="13"/>
          <w:szCs w:val="13"/>
          <w:color w:val="auto"/>
        </w:rPr>
      </w:pPr>
      <w:r>
        <w:rPr>
          <w:rFonts w:ascii="Verdana" w:cs="Verdana" w:eastAsia="Verdana" w:hAnsi="Verdana"/>
          <w:sz w:val="13"/>
          <w:szCs w:val="13"/>
          <w:b w:val="1"/>
          <w:bCs w:val="1"/>
          <w:color w:val="auto"/>
        </w:rPr>
        <w:t>SERVICES – INTERNAL AUDIT</w:t>
      </w:r>
    </w:p>
    <w:p>
      <w:pPr>
        <w:spacing w:after="0" w:line="160" w:lineRule="exact"/>
        <w:rPr>
          <w:rFonts w:ascii="Verdana" w:cs="Verdana" w:eastAsia="Verdana" w:hAnsi="Verdana"/>
          <w:sz w:val="13"/>
          <w:szCs w:val="13"/>
          <w:color w:val="auto"/>
        </w:rPr>
      </w:pPr>
    </w:p>
    <w:p>
      <w:pPr>
        <w:ind w:left="560"/>
        <w:spacing w:after="0"/>
        <w:rPr>
          <w:rFonts w:ascii="Verdana" w:cs="Verdana" w:eastAsia="Verdana" w:hAnsi="Verdana"/>
          <w:sz w:val="13"/>
          <w:szCs w:val="13"/>
          <w:color w:val="auto"/>
        </w:rPr>
      </w:pPr>
      <w:r>
        <w:rPr>
          <w:rFonts w:ascii="Verdana" w:cs="Verdana" w:eastAsia="Verdana" w:hAnsi="Verdana"/>
          <w:sz w:val="13"/>
          <w:szCs w:val="13"/>
          <w:color w:val="auto"/>
        </w:rPr>
        <w:t>Oaktree US agrees to provide the Sub-Advisor with internal audit services, as may from time to time be reasonably requested by the Sub-Advisor.</w:t>
      </w:r>
    </w:p>
    <w:p>
      <w:pPr>
        <w:spacing w:after="0" w:line="160" w:lineRule="exact"/>
        <w:rPr>
          <w:rFonts w:ascii="Verdana" w:cs="Verdana" w:eastAsia="Verdana" w:hAnsi="Verdana"/>
          <w:sz w:val="13"/>
          <w:szCs w:val="13"/>
          <w:color w:val="auto"/>
        </w:rPr>
      </w:pPr>
    </w:p>
    <w:p>
      <w:pPr>
        <w:ind w:left="560" w:hanging="555"/>
        <w:spacing w:after="0"/>
        <w:tabs>
          <w:tab w:leader="none" w:pos="560" w:val="left"/>
        </w:tabs>
        <w:numPr>
          <w:ilvl w:val="0"/>
          <w:numId w:val="61"/>
        </w:numPr>
        <w:rPr>
          <w:rFonts w:ascii="Verdana" w:cs="Verdana" w:eastAsia="Verdana" w:hAnsi="Verdana"/>
          <w:sz w:val="13"/>
          <w:szCs w:val="13"/>
          <w:color w:val="auto"/>
        </w:rPr>
      </w:pPr>
      <w:r>
        <w:rPr>
          <w:rFonts w:ascii="Verdana" w:cs="Verdana" w:eastAsia="Verdana" w:hAnsi="Verdana"/>
          <w:sz w:val="13"/>
          <w:szCs w:val="13"/>
          <w:b w:val="1"/>
          <w:bCs w:val="1"/>
          <w:color w:val="auto"/>
        </w:rPr>
        <w:t>SERVICES – TRADING AND EXECUTION</w:t>
      </w:r>
    </w:p>
    <w:p>
      <w:pPr>
        <w:spacing w:after="0" w:line="160"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3"/>
          <w:szCs w:val="13"/>
          <w:color w:val="auto"/>
        </w:rPr>
        <w:t>7.1</w:t>
      </w:r>
      <w:r>
        <w:rPr>
          <w:sz w:val="20"/>
          <w:szCs w:val="20"/>
          <w:color w:val="auto"/>
        </w:rPr>
        <w:tab/>
      </w:r>
      <w:r>
        <w:rPr>
          <w:rFonts w:ascii="Verdana" w:cs="Verdana" w:eastAsia="Verdana" w:hAnsi="Verdana"/>
          <w:sz w:val="12"/>
          <w:szCs w:val="12"/>
          <w:color w:val="auto"/>
        </w:rPr>
        <w:t>Oaktree US agrees to provide the Sub-Advisor with certain trading cover and execution services in the circumstances and on the terms set out in Schedule 3.</w:t>
      </w:r>
    </w:p>
    <w:p>
      <w:pPr>
        <w:spacing w:after="0" w:line="160" w:lineRule="exact"/>
        <w:rPr>
          <w:sz w:val="20"/>
          <w:szCs w:val="20"/>
          <w:color w:val="auto"/>
        </w:rPr>
      </w:pPr>
    </w:p>
    <w:p>
      <w:pPr>
        <w:ind w:left="560" w:hanging="555"/>
        <w:spacing w:after="0"/>
        <w:tabs>
          <w:tab w:leader="none" w:pos="560" w:val="left"/>
        </w:tabs>
        <w:numPr>
          <w:ilvl w:val="0"/>
          <w:numId w:val="62"/>
        </w:numPr>
        <w:rPr>
          <w:rFonts w:ascii="Verdana" w:cs="Verdana" w:eastAsia="Verdana" w:hAnsi="Verdana"/>
          <w:sz w:val="13"/>
          <w:szCs w:val="13"/>
          <w:color w:val="auto"/>
        </w:rPr>
      </w:pPr>
      <w:r>
        <w:rPr>
          <w:rFonts w:ascii="Verdana" w:cs="Verdana" w:eastAsia="Verdana" w:hAnsi="Verdana"/>
          <w:sz w:val="13"/>
          <w:szCs w:val="13"/>
          <w:b w:val="1"/>
          <w:bCs w:val="1"/>
          <w:color w:val="auto"/>
        </w:rPr>
        <w:t>SERVICES – GENERAL</w:t>
      </w:r>
    </w:p>
    <w:p>
      <w:pPr>
        <w:spacing w:after="0" w:line="160" w:lineRule="exact"/>
        <w:rPr>
          <w:rFonts w:ascii="Verdana" w:cs="Verdana" w:eastAsia="Verdana" w:hAnsi="Verdana"/>
          <w:sz w:val="13"/>
          <w:szCs w:val="13"/>
          <w:color w:val="auto"/>
        </w:rPr>
      </w:pPr>
    </w:p>
    <w:p>
      <w:pPr>
        <w:ind w:left="560"/>
        <w:spacing w:after="0"/>
        <w:rPr>
          <w:rFonts w:ascii="Verdana" w:cs="Verdana" w:eastAsia="Verdana" w:hAnsi="Verdana"/>
          <w:sz w:val="13"/>
          <w:szCs w:val="13"/>
          <w:color w:val="auto"/>
        </w:rPr>
      </w:pPr>
      <w:r>
        <w:rPr>
          <w:rFonts w:ascii="Verdana" w:cs="Verdana" w:eastAsia="Verdana" w:hAnsi="Verdana"/>
          <w:sz w:val="13"/>
          <w:szCs w:val="13"/>
          <w:color w:val="auto"/>
        </w:rPr>
        <w:t>Either party shall provide any other services, in addition to those set out in this Agreement, which the other party may reasonably request from time to time.</w:t>
      </w:r>
    </w:p>
    <w:p>
      <w:pPr>
        <w:spacing w:after="0" w:line="160" w:lineRule="exact"/>
        <w:rPr>
          <w:rFonts w:ascii="Verdana" w:cs="Verdana" w:eastAsia="Verdana" w:hAnsi="Verdana"/>
          <w:sz w:val="13"/>
          <w:szCs w:val="13"/>
          <w:color w:val="auto"/>
        </w:rPr>
      </w:pPr>
    </w:p>
    <w:p>
      <w:pPr>
        <w:ind w:left="560" w:hanging="555"/>
        <w:spacing w:after="0"/>
        <w:tabs>
          <w:tab w:leader="none" w:pos="560" w:val="left"/>
        </w:tabs>
        <w:numPr>
          <w:ilvl w:val="0"/>
          <w:numId w:val="62"/>
        </w:numPr>
        <w:rPr>
          <w:rFonts w:ascii="Verdana" w:cs="Verdana" w:eastAsia="Verdana" w:hAnsi="Verdana"/>
          <w:sz w:val="13"/>
          <w:szCs w:val="13"/>
          <w:color w:val="auto"/>
        </w:rPr>
      </w:pPr>
      <w:r>
        <w:rPr>
          <w:rFonts w:ascii="Verdana" w:cs="Verdana" w:eastAsia="Verdana" w:hAnsi="Verdana"/>
          <w:sz w:val="13"/>
          <w:szCs w:val="13"/>
          <w:b w:val="1"/>
          <w:bCs w:val="1"/>
          <w:color w:val="auto"/>
        </w:rPr>
        <w:t>DATA PROTECTION</w:t>
      </w:r>
    </w:p>
    <w:p>
      <w:pPr>
        <w:spacing w:after="0" w:line="160" w:lineRule="exact"/>
        <w:rPr>
          <w:rFonts w:ascii="Verdana" w:cs="Verdana" w:eastAsia="Verdana" w:hAnsi="Verdana"/>
          <w:sz w:val="13"/>
          <w:szCs w:val="13"/>
          <w:color w:val="auto"/>
        </w:rPr>
      </w:pPr>
    </w:p>
    <w:p>
      <w:pPr>
        <w:ind w:left="560"/>
        <w:spacing w:after="0" w:line="253" w:lineRule="auto"/>
        <w:rPr>
          <w:rFonts w:ascii="Verdana" w:cs="Verdana" w:eastAsia="Verdana" w:hAnsi="Verdana"/>
          <w:sz w:val="13"/>
          <w:szCs w:val="13"/>
          <w:color w:val="auto"/>
        </w:rPr>
      </w:pPr>
      <w:r>
        <w:rPr>
          <w:rFonts w:ascii="Verdana" w:cs="Verdana" w:eastAsia="Verdana" w:hAnsi="Verdana"/>
          <w:sz w:val="13"/>
          <w:szCs w:val="13"/>
          <w:color w:val="auto"/>
        </w:rPr>
        <w:t>The parties agree that the terms of the Intra-Group Transfer and Processing Agreement, dated 30 December 2020 (as amended from time to time) ("</w:t>
      </w:r>
      <w:r>
        <w:rPr>
          <w:rFonts w:ascii="Verdana" w:cs="Verdana" w:eastAsia="Verdana" w:hAnsi="Verdana"/>
          <w:sz w:val="13"/>
          <w:szCs w:val="13"/>
          <w:b w:val="1"/>
          <w:bCs w:val="1"/>
          <w:color w:val="auto"/>
        </w:rPr>
        <w:t>Data</w:t>
      </w:r>
      <w:r>
        <w:rPr>
          <w:rFonts w:ascii="Verdana" w:cs="Verdana" w:eastAsia="Verdana" w:hAnsi="Verdana"/>
          <w:sz w:val="13"/>
          <w:szCs w:val="13"/>
          <w:color w:val="auto"/>
        </w:rPr>
        <w:t xml:space="preserve"> </w:t>
      </w:r>
      <w:r>
        <w:rPr>
          <w:rFonts w:ascii="Verdana" w:cs="Verdana" w:eastAsia="Verdana" w:hAnsi="Verdana"/>
          <w:sz w:val="13"/>
          <w:szCs w:val="13"/>
          <w:b w:val="1"/>
          <w:bCs w:val="1"/>
          <w:color w:val="auto"/>
        </w:rPr>
        <w:t>Agreement</w:t>
      </w:r>
      <w:r>
        <w:rPr>
          <w:rFonts w:ascii="Verdana" w:cs="Verdana" w:eastAsia="Verdana" w:hAnsi="Verdana"/>
          <w:sz w:val="13"/>
          <w:szCs w:val="13"/>
          <w:color w:val="auto"/>
        </w:rPr>
        <w:t>") apply to this Agreement including but not limited to any Personal Data (as defined in the Data Agreement).</w:t>
      </w:r>
    </w:p>
    <w:p>
      <w:pPr>
        <w:spacing w:after="0" w:line="144" w:lineRule="exact"/>
        <w:rPr>
          <w:rFonts w:ascii="Verdana" w:cs="Verdana" w:eastAsia="Verdana" w:hAnsi="Verdana"/>
          <w:sz w:val="13"/>
          <w:szCs w:val="13"/>
          <w:color w:val="auto"/>
        </w:rPr>
      </w:pPr>
    </w:p>
    <w:p>
      <w:pPr>
        <w:ind w:left="560" w:hanging="555"/>
        <w:spacing w:after="0"/>
        <w:tabs>
          <w:tab w:leader="none" w:pos="560" w:val="left"/>
        </w:tabs>
        <w:numPr>
          <w:ilvl w:val="0"/>
          <w:numId w:val="62"/>
        </w:numPr>
        <w:rPr>
          <w:rFonts w:ascii="Verdana" w:cs="Verdana" w:eastAsia="Verdana" w:hAnsi="Verdana"/>
          <w:sz w:val="13"/>
          <w:szCs w:val="13"/>
          <w:color w:val="auto"/>
        </w:rPr>
      </w:pPr>
      <w:r>
        <w:rPr>
          <w:rFonts w:ascii="Verdana" w:cs="Verdana" w:eastAsia="Verdana" w:hAnsi="Verdana"/>
          <w:sz w:val="13"/>
          <w:szCs w:val="13"/>
          <w:b w:val="1"/>
          <w:bCs w:val="1"/>
          <w:color w:val="auto"/>
        </w:rPr>
        <w:t>CUSTODY</w:t>
      </w:r>
    </w:p>
    <w:p>
      <w:pPr>
        <w:spacing w:after="0" w:line="160" w:lineRule="exact"/>
        <w:rPr>
          <w:sz w:val="20"/>
          <w:szCs w:val="20"/>
          <w:color w:val="auto"/>
        </w:rPr>
      </w:pPr>
    </w:p>
    <w:p>
      <w:pPr>
        <w:jc w:val="both"/>
        <w:ind w:left="540" w:hanging="552"/>
        <w:spacing w:after="0" w:line="256" w:lineRule="auto"/>
        <w:tabs>
          <w:tab w:leader="none" w:pos="520" w:val="left"/>
        </w:tabs>
        <w:rPr>
          <w:sz w:val="20"/>
          <w:szCs w:val="20"/>
          <w:color w:val="auto"/>
        </w:rPr>
      </w:pPr>
      <w:r>
        <w:rPr>
          <w:rFonts w:ascii="Verdana" w:cs="Verdana" w:eastAsia="Verdana" w:hAnsi="Verdana"/>
          <w:sz w:val="13"/>
          <w:szCs w:val="13"/>
          <w:color w:val="auto"/>
        </w:rPr>
        <w:t>10.1</w:t>
      </w:r>
      <w:r>
        <w:rPr>
          <w:sz w:val="20"/>
          <w:szCs w:val="20"/>
          <w:color w:val="auto"/>
        </w:rPr>
        <w:tab/>
      </w:r>
      <w:r>
        <w:rPr>
          <w:rFonts w:ascii="Verdana" w:cs="Verdana" w:eastAsia="Verdana" w:hAnsi="Verdana"/>
          <w:sz w:val="13"/>
          <w:szCs w:val="13"/>
          <w:color w:val="auto"/>
        </w:rPr>
        <w:t>All documents of or evidencing title to the Funds' investments shall be held in safe custody facilities by a custodian to be selected by Oaktree US (the “</w:t>
      </w:r>
      <w:r>
        <w:rPr>
          <w:rFonts w:ascii="Verdana" w:cs="Verdana" w:eastAsia="Verdana" w:hAnsi="Verdana"/>
          <w:sz w:val="13"/>
          <w:szCs w:val="13"/>
          <w:b w:val="1"/>
          <w:bCs w:val="1"/>
          <w:color w:val="auto"/>
        </w:rPr>
        <w:t>Custodian</w:t>
      </w:r>
      <w:r>
        <w:rPr>
          <w:rFonts w:ascii="Verdana" w:cs="Verdana" w:eastAsia="Verdana" w:hAnsi="Verdana"/>
          <w:sz w:val="13"/>
          <w:szCs w:val="13"/>
          <w:color w:val="auto"/>
        </w:rPr>
        <w:t>”) subject to the terms of a custody agreement made between Oaktree US and the Custodian and subject to such other arrangements and procedures as may be agreed between Oaktree US and the Custodian from time to time. The Sub-Advisor shall at no time have custody or physical control of the invested assets of the Funds nor shall it be liable for any act or omission of the Custodian.</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5</w:t>
      </w:r>
    </w:p>
    <w:p>
      <w:pPr>
        <w:sectPr>
          <w:pgSz w:w="11900" w:h="16838" w:orient="portrait"/>
          <w:cols w:equalWidth="0" w:num="1">
            <w:col w:w="11280"/>
          </w:cols>
          <w:pgMar w:left="300" w:top="1231" w:right="319" w:bottom="1440" w:gutter="0" w:footer="0" w:header="0"/>
        </w:sectPr>
      </w:pPr>
    </w:p>
    <w:bookmarkStart w:id="241" w:name="page242"/>
    <w:bookmarkEnd w:id="241"/>
    <w:p>
      <w:pPr>
        <w:jc w:val="both"/>
        <w:ind w:left="540" w:hanging="552"/>
        <w:spacing w:after="0" w:line="247" w:lineRule="auto"/>
        <w:tabs>
          <w:tab w:leader="none" w:pos="520" w:val="left"/>
        </w:tabs>
        <w:rPr>
          <w:sz w:val="20"/>
          <w:szCs w:val="20"/>
          <w:color w:val="auto"/>
        </w:rPr>
      </w:pPr>
      <w:r>
        <w:rPr>
          <w:rFonts w:ascii="Verdana" w:cs="Verdana" w:eastAsia="Verdana" w:hAnsi="Verdana"/>
          <w:sz w:val="13"/>
          <w:szCs w:val="13"/>
          <w:color w:val="auto"/>
        </w:rPr>
        <w:t>10.2</w:t>
      </w:r>
      <w:r>
        <w:rPr>
          <w:sz w:val="20"/>
          <w:szCs w:val="20"/>
          <w:color w:val="auto"/>
        </w:rPr>
        <w:tab/>
      </w:r>
      <w:r>
        <w:rPr>
          <w:rFonts w:ascii="Verdana" w:cs="Verdana" w:eastAsia="Verdana" w:hAnsi="Verdana"/>
          <w:sz w:val="13"/>
          <w:szCs w:val="13"/>
          <w:color w:val="auto"/>
        </w:rPr>
        <w:t>Oaktree US shall take such additional steps (in addition to the authorities and powers hereby conferred) as are necessary to procure that the Sub-Advisor is able, on behalf of Oaktree US, to operate the bank accounts of the Funds so far as necessary for the Sub-Advisor to exercise all of its powers and discretions and perform all of its duties under this Agreement.</w:t>
      </w:r>
    </w:p>
    <w:p>
      <w:pPr>
        <w:spacing w:after="0" w:line="149" w:lineRule="exact"/>
        <w:rPr>
          <w:sz w:val="20"/>
          <w:szCs w:val="20"/>
          <w:color w:val="auto"/>
        </w:rPr>
      </w:pPr>
    </w:p>
    <w:p>
      <w:pPr>
        <w:ind w:left="560" w:hanging="555"/>
        <w:spacing w:after="0"/>
        <w:tabs>
          <w:tab w:leader="none" w:pos="560" w:val="left"/>
        </w:tabs>
        <w:numPr>
          <w:ilvl w:val="0"/>
          <w:numId w:val="63"/>
        </w:numPr>
        <w:rPr>
          <w:rFonts w:ascii="Verdana" w:cs="Verdana" w:eastAsia="Verdana" w:hAnsi="Verdana"/>
          <w:sz w:val="13"/>
          <w:szCs w:val="13"/>
          <w:color w:val="auto"/>
        </w:rPr>
      </w:pPr>
      <w:r>
        <w:rPr>
          <w:rFonts w:ascii="Verdana" w:cs="Verdana" w:eastAsia="Verdana" w:hAnsi="Verdana"/>
          <w:sz w:val="13"/>
          <w:szCs w:val="13"/>
          <w:b w:val="1"/>
          <w:bCs w:val="1"/>
          <w:color w:val="auto"/>
        </w:rPr>
        <w:t>RECORDS AND REPORTS</w:t>
      </w:r>
    </w:p>
    <w:p>
      <w:pPr>
        <w:spacing w:after="0" w:line="160" w:lineRule="exact"/>
        <w:rPr>
          <w:sz w:val="20"/>
          <w:szCs w:val="20"/>
          <w:color w:val="auto"/>
        </w:rPr>
      </w:pPr>
    </w:p>
    <w:p>
      <w:pPr>
        <w:jc w:val="both"/>
        <w:ind w:left="540" w:hanging="552"/>
        <w:spacing w:after="0" w:line="255" w:lineRule="auto"/>
        <w:tabs>
          <w:tab w:leader="none" w:pos="520" w:val="left"/>
        </w:tabs>
        <w:rPr>
          <w:sz w:val="20"/>
          <w:szCs w:val="20"/>
          <w:color w:val="auto"/>
        </w:rPr>
      </w:pPr>
      <w:r>
        <w:rPr>
          <w:rFonts w:ascii="Verdana" w:cs="Verdana" w:eastAsia="Verdana" w:hAnsi="Verdana"/>
          <w:sz w:val="13"/>
          <w:szCs w:val="13"/>
          <w:color w:val="auto"/>
        </w:rPr>
        <w:t>11.1</w:t>
      </w:r>
      <w:r>
        <w:rPr>
          <w:sz w:val="20"/>
          <w:szCs w:val="20"/>
          <w:color w:val="auto"/>
        </w:rPr>
        <w:tab/>
      </w:r>
      <w:r>
        <w:rPr>
          <w:rFonts w:ascii="Verdana" w:cs="Verdana" w:eastAsia="Verdana" w:hAnsi="Verdana"/>
          <w:sz w:val="13"/>
          <w:szCs w:val="13"/>
          <w:color w:val="auto"/>
        </w:rPr>
        <w:t>The Sub-Advisor shall maintain proper and complete records relating to the services to be provided under this Agreement for such period of time as may be required under Applicable Law, including (as applicable, in respect of the relevant Discretionary Funds) records with respect to the acquisition, holding and disposal of securities on behalf of the Funds, details of all brokers used and the aggregate dollar amount of brokerage commission paid in that regard to each broker.</w:t>
      </w:r>
    </w:p>
    <w:p>
      <w:pPr>
        <w:spacing w:after="0" w:line="144" w:lineRule="exact"/>
        <w:rPr>
          <w:sz w:val="20"/>
          <w:szCs w:val="20"/>
          <w:color w:val="auto"/>
        </w:rPr>
      </w:pPr>
    </w:p>
    <w:p>
      <w:pPr>
        <w:jc w:val="both"/>
        <w:ind w:left="540" w:hanging="552"/>
        <w:spacing w:after="0" w:line="250" w:lineRule="auto"/>
        <w:tabs>
          <w:tab w:leader="none" w:pos="520" w:val="left"/>
        </w:tabs>
        <w:rPr>
          <w:sz w:val="20"/>
          <w:szCs w:val="20"/>
          <w:color w:val="auto"/>
        </w:rPr>
      </w:pPr>
      <w:r>
        <w:rPr>
          <w:rFonts w:ascii="Verdana" w:cs="Verdana" w:eastAsia="Verdana" w:hAnsi="Verdana"/>
          <w:sz w:val="13"/>
          <w:szCs w:val="13"/>
          <w:color w:val="auto"/>
        </w:rPr>
        <w:t>11.2</w:t>
      </w:r>
      <w:r>
        <w:rPr>
          <w:sz w:val="20"/>
          <w:szCs w:val="20"/>
          <w:color w:val="auto"/>
        </w:rPr>
        <w:tab/>
      </w:r>
      <w:r>
        <w:rPr>
          <w:rFonts w:ascii="Verdana" w:cs="Verdana" w:eastAsia="Verdana" w:hAnsi="Verdana"/>
          <w:sz w:val="13"/>
          <w:szCs w:val="13"/>
          <w:color w:val="auto"/>
        </w:rPr>
        <w:t>Except as expressly authorised in this Agreement or as required by Applicable Law, regulation or court order, or as directed by Oaktree US in writing, the Sub-Advisor shall keep confidential the records and other information pertaining to Oaktree US and the Funds or the investment assets the subject of this Agreement (save for any records or information pertaining to the Sub-Advisor’s own employees and affiliates, which shall be excluded from the obligations contained in this clause). Upon termination of this Agreement, the Sub-Advisor shall promptly, upon demand, return to Oaktree US all such records, except that the Sub-Advisor may retain copies for its records as may be required by Applicable Law, regulation or court order, and provided that the Sub-Advisor’s confidentiality obligations shall continue in full force and effect with respect to such retained records not within the public domain.</w:t>
      </w:r>
    </w:p>
    <w:p>
      <w:pPr>
        <w:spacing w:after="0" w:line="148" w:lineRule="exact"/>
        <w:rPr>
          <w:sz w:val="20"/>
          <w:szCs w:val="20"/>
          <w:color w:val="auto"/>
        </w:rPr>
      </w:pPr>
    </w:p>
    <w:p>
      <w:pPr>
        <w:jc w:val="both"/>
        <w:ind w:left="540" w:hanging="552"/>
        <w:spacing w:after="0" w:line="253" w:lineRule="auto"/>
        <w:tabs>
          <w:tab w:leader="none" w:pos="520" w:val="left"/>
        </w:tabs>
        <w:rPr>
          <w:sz w:val="20"/>
          <w:szCs w:val="20"/>
          <w:color w:val="auto"/>
        </w:rPr>
      </w:pPr>
      <w:r>
        <w:rPr>
          <w:rFonts w:ascii="Verdana" w:cs="Verdana" w:eastAsia="Verdana" w:hAnsi="Verdana"/>
          <w:sz w:val="13"/>
          <w:szCs w:val="13"/>
          <w:color w:val="auto"/>
        </w:rPr>
        <w:t>11.3</w:t>
      </w:r>
      <w:r>
        <w:rPr>
          <w:sz w:val="20"/>
          <w:szCs w:val="20"/>
          <w:color w:val="auto"/>
        </w:rPr>
        <w:tab/>
      </w:r>
      <w:r>
        <w:rPr>
          <w:rFonts w:ascii="Verdana" w:cs="Verdana" w:eastAsia="Verdana" w:hAnsi="Verdana"/>
          <w:sz w:val="13"/>
          <w:szCs w:val="13"/>
          <w:color w:val="auto"/>
        </w:rPr>
        <w:t>The Sub-Advisor shall provide to Oaktree US promptly upon request any information available in the records maintained by the Sub-Advisor relating to the Funds in such form as Oaktree US shall request.</w:t>
      </w:r>
    </w:p>
    <w:p>
      <w:pPr>
        <w:spacing w:after="0" w:line="144" w:lineRule="exact"/>
        <w:rPr>
          <w:sz w:val="20"/>
          <w:szCs w:val="20"/>
          <w:color w:val="auto"/>
        </w:rPr>
      </w:pPr>
    </w:p>
    <w:p>
      <w:pPr>
        <w:ind w:left="560" w:hanging="555"/>
        <w:spacing w:after="0"/>
        <w:tabs>
          <w:tab w:leader="none" w:pos="560" w:val="left"/>
        </w:tabs>
        <w:numPr>
          <w:ilvl w:val="0"/>
          <w:numId w:val="64"/>
        </w:numPr>
        <w:rPr>
          <w:rFonts w:ascii="Verdana" w:cs="Verdana" w:eastAsia="Verdana" w:hAnsi="Verdana"/>
          <w:sz w:val="13"/>
          <w:szCs w:val="13"/>
          <w:color w:val="auto"/>
        </w:rPr>
      </w:pPr>
      <w:r>
        <w:rPr>
          <w:rFonts w:ascii="Verdana" w:cs="Verdana" w:eastAsia="Verdana" w:hAnsi="Verdana"/>
          <w:sz w:val="13"/>
          <w:szCs w:val="13"/>
          <w:b w:val="1"/>
          <w:bCs w:val="1"/>
          <w:color w:val="auto"/>
        </w:rPr>
        <w:t>LIABILITY AND INDEMNIFICATION</w:t>
      </w:r>
    </w:p>
    <w:p>
      <w:pPr>
        <w:spacing w:after="0" w:line="160" w:lineRule="exact"/>
        <w:rPr>
          <w:sz w:val="20"/>
          <w:szCs w:val="20"/>
          <w:color w:val="auto"/>
        </w:rPr>
      </w:pPr>
    </w:p>
    <w:p>
      <w:pPr>
        <w:jc w:val="both"/>
        <w:ind w:left="540" w:hanging="552"/>
        <w:spacing w:after="0" w:line="252" w:lineRule="auto"/>
        <w:tabs>
          <w:tab w:leader="none" w:pos="520" w:val="left"/>
        </w:tabs>
        <w:rPr>
          <w:sz w:val="20"/>
          <w:szCs w:val="20"/>
          <w:color w:val="auto"/>
        </w:rPr>
      </w:pPr>
      <w:r>
        <w:rPr>
          <w:rFonts w:ascii="Verdana" w:cs="Verdana" w:eastAsia="Verdana" w:hAnsi="Verdana"/>
          <w:sz w:val="13"/>
          <w:szCs w:val="13"/>
          <w:color w:val="auto"/>
        </w:rPr>
        <w:t>12.1</w:t>
      </w:r>
      <w:r>
        <w:rPr>
          <w:sz w:val="20"/>
          <w:szCs w:val="20"/>
          <w:color w:val="auto"/>
        </w:rPr>
        <w:tab/>
      </w:r>
      <w:r>
        <w:rPr>
          <w:rFonts w:ascii="Verdana" w:cs="Verdana" w:eastAsia="Verdana" w:hAnsi="Verdana"/>
          <w:sz w:val="13"/>
          <w:szCs w:val="13"/>
          <w:color w:val="auto"/>
        </w:rPr>
        <w:t xml:space="preserve">In providing its services under this Agreement, the Sub-Advisor will discharge its duties in accordance with the same standard of care established for Oaktree US in the relevant Fund Agreements, and will be indemnified by each of the Funds as an agent of Oaktree US in accordance with such Fund Agreements. To the extent Oaktree US and its affiliates, directors, officers, employees, shareholders, assigns, representatives or agents (apart from the Sub-Advisor) (collectively, </w:t>
      </w:r>
      <w:r>
        <w:rPr>
          <w:rFonts w:ascii="Verdana" w:cs="Verdana" w:eastAsia="Verdana" w:hAnsi="Verdana"/>
          <w:sz w:val="13"/>
          <w:szCs w:val="13"/>
          <w:b w:val="1"/>
          <w:bCs w:val="1"/>
          <w:color w:val="auto"/>
        </w:rPr>
        <w:t>"Oaktree US</w:t>
      </w:r>
      <w:r>
        <w:rPr>
          <w:rFonts w:ascii="Verdana" w:cs="Verdana" w:eastAsia="Verdana" w:hAnsi="Verdana"/>
          <w:sz w:val="13"/>
          <w:szCs w:val="13"/>
          <w:color w:val="auto"/>
        </w:rPr>
        <w:t xml:space="preserve"> </w:t>
      </w:r>
      <w:r>
        <w:rPr>
          <w:rFonts w:ascii="Verdana" w:cs="Verdana" w:eastAsia="Verdana" w:hAnsi="Verdana"/>
          <w:sz w:val="13"/>
          <w:szCs w:val="13"/>
          <w:b w:val="1"/>
          <w:bCs w:val="1"/>
          <w:color w:val="auto"/>
        </w:rPr>
        <w:t>Indemnities"</w:t>
      </w:r>
      <w:r>
        <w:rPr>
          <w:rFonts w:ascii="Verdana" w:cs="Verdana" w:eastAsia="Verdana" w:hAnsi="Verdana"/>
          <w:sz w:val="13"/>
          <w:szCs w:val="13"/>
          <w:color w:val="auto"/>
        </w:rPr>
        <w:t>) suffer any liability, loss (including amounts paid in settlement), damages or expenses (including reasonable attorneys' fees) (collectively</w:t>
      </w:r>
      <w:r>
        <w:rPr>
          <w:rFonts w:ascii="Verdana" w:cs="Verdana" w:eastAsia="Verdana" w:hAnsi="Verdana"/>
          <w:sz w:val="13"/>
          <w:szCs w:val="13"/>
          <w:b w:val="1"/>
          <w:bCs w:val="1"/>
          <w:color w:val="auto"/>
        </w:rPr>
        <w:t xml:space="preserve"> "Losses"</w:t>
      </w:r>
      <w:r>
        <w:rPr>
          <w:rFonts w:ascii="Verdana" w:cs="Verdana" w:eastAsia="Verdana" w:hAnsi="Verdana"/>
          <w:sz w:val="13"/>
          <w:szCs w:val="13"/>
          <w:color w:val="auto"/>
        </w:rPr>
        <w:t>) in</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connection with the Funds, and:-</w:t>
      </w:r>
    </w:p>
    <w:p>
      <w:pPr>
        <w:spacing w:after="0" w:line="147" w:lineRule="exact"/>
        <w:rPr>
          <w:sz w:val="20"/>
          <w:szCs w:val="20"/>
          <w:color w:val="auto"/>
        </w:rPr>
      </w:pPr>
    </w:p>
    <w:p>
      <w:pPr>
        <w:ind w:left="1000" w:hanging="442"/>
        <w:spacing w:after="0"/>
        <w:tabs>
          <w:tab w:leader="none" w:pos="1000" w:val="left"/>
        </w:tabs>
        <w:numPr>
          <w:ilvl w:val="0"/>
          <w:numId w:val="65"/>
        </w:numPr>
        <w:rPr>
          <w:rFonts w:ascii="Verdana" w:cs="Verdana" w:eastAsia="Verdana" w:hAnsi="Verdana"/>
          <w:sz w:val="13"/>
          <w:szCs w:val="13"/>
          <w:color w:val="auto"/>
        </w:rPr>
      </w:pPr>
      <w:r>
        <w:rPr>
          <w:rFonts w:ascii="Verdana" w:cs="Verdana" w:eastAsia="Verdana" w:hAnsi="Verdana"/>
          <w:sz w:val="13"/>
          <w:szCs w:val="13"/>
          <w:color w:val="auto"/>
        </w:rPr>
        <w:t>Oaktree US Indemnities are not indemnified by the Funds for such Losses under the indemnification provisions of the applicable Fund Agreements;</w:t>
      </w:r>
    </w:p>
    <w:p>
      <w:pPr>
        <w:spacing w:after="0" w:line="160" w:lineRule="exact"/>
        <w:rPr>
          <w:rFonts w:ascii="Verdana" w:cs="Verdana" w:eastAsia="Verdana" w:hAnsi="Verdana"/>
          <w:sz w:val="13"/>
          <w:szCs w:val="13"/>
          <w:color w:val="auto"/>
        </w:rPr>
      </w:pPr>
    </w:p>
    <w:p>
      <w:pPr>
        <w:ind w:left="1000" w:hanging="442"/>
        <w:spacing w:after="0"/>
        <w:tabs>
          <w:tab w:leader="none" w:pos="1000" w:val="left"/>
        </w:tabs>
        <w:numPr>
          <w:ilvl w:val="0"/>
          <w:numId w:val="65"/>
        </w:numPr>
        <w:rPr>
          <w:rFonts w:ascii="Verdana" w:cs="Verdana" w:eastAsia="Verdana" w:hAnsi="Verdana"/>
          <w:sz w:val="13"/>
          <w:szCs w:val="13"/>
          <w:color w:val="auto"/>
        </w:rPr>
      </w:pPr>
      <w:r>
        <w:rPr>
          <w:rFonts w:ascii="Verdana" w:cs="Verdana" w:eastAsia="Verdana" w:hAnsi="Verdana"/>
          <w:sz w:val="13"/>
          <w:szCs w:val="13"/>
          <w:color w:val="auto"/>
        </w:rPr>
        <w:t>such Losses were suffered by virtue of the Sub-Advisor's or its employees' acts or omissions, or alleged acts or omissions under this Agreement; and</w:t>
      </w:r>
    </w:p>
    <w:p>
      <w:pPr>
        <w:spacing w:after="0" w:line="160" w:lineRule="exact"/>
        <w:rPr>
          <w:rFonts w:ascii="Verdana" w:cs="Verdana" w:eastAsia="Verdana" w:hAnsi="Verdana"/>
          <w:sz w:val="13"/>
          <w:szCs w:val="13"/>
          <w:color w:val="auto"/>
        </w:rPr>
      </w:pPr>
    </w:p>
    <w:p>
      <w:pPr>
        <w:ind w:left="1000" w:hanging="442"/>
        <w:spacing w:after="0"/>
        <w:tabs>
          <w:tab w:leader="none" w:pos="1000" w:val="left"/>
        </w:tabs>
        <w:numPr>
          <w:ilvl w:val="0"/>
          <w:numId w:val="65"/>
        </w:numPr>
        <w:rPr>
          <w:rFonts w:ascii="Verdana" w:cs="Verdana" w:eastAsia="Verdana" w:hAnsi="Verdana"/>
          <w:sz w:val="13"/>
          <w:szCs w:val="13"/>
          <w:color w:val="auto"/>
        </w:rPr>
      </w:pPr>
      <w:r>
        <w:rPr>
          <w:rFonts w:ascii="Verdana" w:cs="Verdana" w:eastAsia="Verdana" w:hAnsi="Verdana"/>
          <w:sz w:val="13"/>
          <w:szCs w:val="13"/>
          <w:color w:val="auto"/>
        </w:rPr>
        <w:t>the Sub-Advisor (including its employees) is guilty of negligence or wilful misconduct,</w:t>
      </w:r>
    </w:p>
    <w:p>
      <w:pPr>
        <w:spacing w:after="0" w:line="160" w:lineRule="exact"/>
        <w:rPr>
          <w:sz w:val="20"/>
          <w:szCs w:val="20"/>
          <w:color w:val="auto"/>
        </w:rPr>
      </w:pPr>
    </w:p>
    <w:p>
      <w:pPr>
        <w:ind w:left="580"/>
        <w:spacing w:after="0" w:line="253" w:lineRule="auto"/>
        <w:rPr>
          <w:sz w:val="20"/>
          <w:szCs w:val="20"/>
          <w:color w:val="auto"/>
        </w:rPr>
      </w:pPr>
      <w:r>
        <w:rPr>
          <w:rFonts w:ascii="Verdana" w:cs="Verdana" w:eastAsia="Verdana" w:hAnsi="Verdana"/>
          <w:sz w:val="13"/>
          <w:szCs w:val="13"/>
          <w:color w:val="auto"/>
        </w:rPr>
        <w:t>then the Sub-Advisor will hold Oaktree US Indemnities harmless and indemnify it for such Losses; provided that the Sub-Advisor shall not be liable for actions or omissions to act ordered by Oaktree US to which the Sub-Advisor objected in writing at the time of such order.</w:t>
      </w:r>
    </w:p>
    <w:p>
      <w:pPr>
        <w:spacing w:after="0" w:line="144"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12.2</w:t>
      </w:r>
      <w:r>
        <w:rPr>
          <w:sz w:val="20"/>
          <w:szCs w:val="20"/>
          <w:color w:val="auto"/>
        </w:rPr>
        <w:tab/>
      </w:r>
      <w:r>
        <w:rPr>
          <w:rFonts w:ascii="Verdana" w:cs="Verdana" w:eastAsia="Verdana" w:hAnsi="Verdana"/>
          <w:sz w:val="12"/>
          <w:szCs w:val="12"/>
          <w:color w:val="auto"/>
        </w:rPr>
        <w:t>The provisions of this Clause 11 shall survive the termination of this Agreement.</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6</w:t>
      </w:r>
    </w:p>
    <w:p>
      <w:pPr>
        <w:sectPr>
          <w:pgSz w:w="11900" w:h="16838" w:orient="portrait"/>
          <w:cols w:equalWidth="0" w:num="1">
            <w:col w:w="11280"/>
          </w:cols>
          <w:pgMar w:left="300" w:top="1232" w:right="319" w:bottom="1440" w:gutter="0" w:footer="0" w:header="0"/>
        </w:sectPr>
      </w:pPr>
    </w:p>
    <w:bookmarkStart w:id="242" w:name="page243"/>
    <w:bookmarkEnd w:id="242"/>
    <w:p>
      <w:pPr>
        <w:ind w:left="560" w:hanging="555"/>
        <w:spacing w:after="0"/>
        <w:tabs>
          <w:tab w:leader="none" w:pos="560" w:val="left"/>
        </w:tabs>
        <w:numPr>
          <w:ilvl w:val="0"/>
          <w:numId w:val="66"/>
        </w:numPr>
        <w:rPr>
          <w:rFonts w:ascii="Verdana" w:cs="Verdana" w:eastAsia="Verdana" w:hAnsi="Verdana"/>
          <w:sz w:val="13"/>
          <w:szCs w:val="13"/>
          <w:color w:val="auto"/>
        </w:rPr>
      </w:pPr>
      <w:r>
        <w:rPr>
          <w:rFonts w:ascii="Verdana" w:cs="Verdana" w:eastAsia="Verdana" w:hAnsi="Verdana"/>
          <w:sz w:val="13"/>
          <w:szCs w:val="13"/>
          <w:b w:val="1"/>
          <w:bCs w:val="1"/>
          <w:color w:val="auto"/>
        </w:rPr>
        <w:t>REPRESENTATIONS, WARRANTIES AND UNDERTAKINGS</w:t>
      </w:r>
    </w:p>
    <w:p>
      <w:pPr>
        <w:spacing w:after="0" w:line="160" w:lineRule="exact"/>
        <w:rPr>
          <w:sz w:val="20"/>
          <w:szCs w:val="20"/>
          <w:color w:val="auto"/>
        </w:rPr>
      </w:pPr>
    </w:p>
    <w:p>
      <w:pPr>
        <w:jc w:val="both"/>
        <w:ind w:left="540" w:hanging="552"/>
        <w:spacing w:after="0" w:line="247" w:lineRule="auto"/>
        <w:tabs>
          <w:tab w:leader="none" w:pos="520" w:val="left"/>
        </w:tabs>
        <w:rPr>
          <w:sz w:val="20"/>
          <w:szCs w:val="20"/>
          <w:color w:val="auto"/>
        </w:rPr>
      </w:pPr>
      <w:r>
        <w:rPr>
          <w:rFonts w:ascii="Verdana" w:cs="Verdana" w:eastAsia="Verdana" w:hAnsi="Verdana"/>
          <w:sz w:val="13"/>
          <w:szCs w:val="13"/>
          <w:color w:val="auto"/>
        </w:rPr>
        <w:t>13.1</w:t>
      </w:r>
      <w:r>
        <w:rPr>
          <w:sz w:val="20"/>
          <w:szCs w:val="20"/>
          <w:color w:val="auto"/>
        </w:rPr>
        <w:tab/>
      </w:r>
      <w:r>
        <w:rPr>
          <w:rFonts w:ascii="Verdana" w:cs="Verdana" w:eastAsia="Verdana" w:hAnsi="Verdana"/>
          <w:sz w:val="13"/>
          <w:szCs w:val="13"/>
          <w:color w:val="auto"/>
        </w:rPr>
        <w:t>Each of Oaktree US and the Sub-Advisor represents and warrants to each other that it is duly organised, validly existing and in good standing under the laws of its jurisdiction of incorporation, and is duly authorised by all necessary corporate action to enter into this Agreement and perform its duties as described in this Agreement.</w:t>
      </w:r>
    </w:p>
    <w:p>
      <w:pPr>
        <w:spacing w:after="0" w:line="149" w:lineRule="exact"/>
        <w:rPr>
          <w:sz w:val="20"/>
          <w:szCs w:val="20"/>
          <w:color w:val="auto"/>
        </w:rPr>
      </w:pPr>
    </w:p>
    <w:p>
      <w:pPr>
        <w:jc w:val="both"/>
        <w:ind w:left="540" w:hanging="552"/>
        <w:spacing w:after="0" w:line="255" w:lineRule="auto"/>
        <w:tabs>
          <w:tab w:leader="none" w:pos="520" w:val="left"/>
        </w:tabs>
        <w:rPr>
          <w:sz w:val="20"/>
          <w:szCs w:val="20"/>
          <w:color w:val="auto"/>
        </w:rPr>
      </w:pPr>
      <w:r>
        <w:rPr>
          <w:rFonts w:ascii="Verdana" w:cs="Verdana" w:eastAsia="Verdana" w:hAnsi="Verdana"/>
          <w:sz w:val="13"/>
          <w:szCs w:val="13"/>
          <w:color w:val="auto"/>
        </w:rPr>
        <w:t>13.2</w:t>
      </w:r>
      <w:r>
        <w:rPr>
          <w:sz w:val="20"/>
          <w:szCs w:val="20"/>
          <w:color w:val="auto"/>
        </w:rPr>
        <w:tab/>
      </w:r>
      <w:r>
        <w:rPr>
          <w:rFonts w:ascii="Verdana" w:cs="Verdana" w:eastAsia="Verdana" w:hAnsi="Verdana"/>
          <w:sz w:val="13"/>
          <w:szCs w:val="13"/>
          <w:color w:val="auto"/>
        </w:rPr>
        <w:t>The Sub-Advisor hereby undertakes to Oaktree US that it will take all reasonable steps within its power to remain an authorised person for the purposes of FSMA in respect of the services to be provided by it hereunder, with a scope of permission which will permit it to carry out its obligations and exercise its powers under this Agreement, and that it will comply with those FCA Rules which apply to the services to be provided hereunder.</w:t>
      </w:r>
    </w:p>
    <w:p>
      <w:pPr>
        <w:spacing w:after="0" w:line="144" w:lineRule="exact"/>
        <w:rPr>
          <w:sz w:val="20"/>
          <w:szCs w:val="20"/>
          <w:color w:val="auto"/>
        </w:rPr>
      </w:pPr>
    </w:p>
    <w:p>
      <w:pPr>
        <w:ind w:left="560" w:hanging="555"/>
        <w:spacing w:after="0"/>
        <w:tabs>
          <w:tab w:leader="none" w:pos="560" w:val="left"/>
        </w:tabs>
        <w:numPr>
          <w:ilvl w:val="0"/>
          <w:numId w:val="67"/>
        </w:numPr>
        <w:rPr>
          <w:rFonts w:ascii="Verdana" w:cs="Verdana" w:eastAsia="Verdana" w:hAnsi="Verdana"/>
          <w:sz w:val="13"/>
          <w:szCs w:val="13"/>
          <w:color w:val="auto"/>
        </w:rPr>
      </w:pPr>
      <w:r>
        <w:rPr>
          <w:rFonts w:ascii="Verdana" w:cs="Verdana" w:eastAsia="Verdana" w:hAnsi="Verdana"/>
          <w:sz w:val="13"/>
          <w:szCs w:val="13"/>
          <w:b w:val="1"/>
          <w:bCs w:val="1"/>
          <w:color w:val="auto"/>
        </w:rPr>
        <w:t>COMPLIANCE WITH FCA RULES</w:t>
      </w:r>
    </w:p>
    <w:p>
      <w:pPr>
        <w:spacing w:after="0" w:line="160" w:lineRule="exact"/>
        <w:rPr>
          <w:sz w:val="20"/>
          <w:szCs w:val="20"/>
          <w:color w:val="auto"/>
        </w:rPr>
      </w:pPr>
    </w:p>
    <w:p>
      <w:pPr>
        <w:jc w:val="both"/>
        <w:ind w:left="540" w:hanging="552"/>
        <w:spacing w:after="0" w:line="251" w:lineRule="auto"/>
        <w:tabs>
          <w:tab w:leader="none" w:pos="520" w:val="left"/>
        </w:tabs>
        <w:rPr>
          <w:sz w:val="20"/>
          <w:szCs w:val="20"/>
          <w:color w:val="auto"/>
        </w:rPr>
      </w:pPr>
      <w:r>
        <w:rPr>
          <w:rFonts w:ascii="Verdana" w:cs="Verdana" w:eastAsia="Verdana" w:hAnsi="Verdana"/>
          <w:sz w:val="13"/>
          <w:szCs w:val="13"/>
          <w:color w:val="auto"/>
        </w:rPr>
        <w:t>14.1</w:t>
      </w:r>
      <w:r>
        <w:rPr>
          <w:sz w:val="20"/>
          <w:szCs w:val="20"/>
          <w:color w:val="auto"/>
        </w:rPr>
        <w:tab/>
      </w:r>
      <w:r>
        <w:rPr>
          <w:rFonts w:ascii="Verdana" w:cs="Verdana" w:eastAsia="Verdana" w:hAnsi="Verdana"/>
          <w:sz w:val="13"/>
          <w:szCs w:val="13"/>
          <w:color w:val="auto"/>
        </w:rPr>
        <w:t>Oaktree US will be the Sub-Advisor's client for the purposes of the FCA Rules. Accordingly, in conformity with the FCA Rules, a number of additional statements and provisions are required to be included in this Agreement. Such additional statements and provisions are set out in Schedule 1 hereof (</w:t>
      </w:r>
      <w:r>
        <w:rPr>
          <w:rFonts w:ascii="Verdana" w:cs="Verdana" w:eastAsia="Verdana" w:hAnsi="Verdana"/>
          <w:sz w:val="13"/>
          <w:szCs w:val="13"/>
          <w:b w:val="1"/>
          <w:bCs w:val="1"/>
          <w:color w:val="auto"/>
        </w:rPr>
        <w:t>"Additional FCA Provisions"</w:t>
      </w:r>
      <w:r>
        <w:rPr>
          <w:rFonts w:ascii="Verdana" w:cs="Verdana" w:eastAsia="Verdana" w:hAnsi="Verdana"/>
          <w:sz w:val="13"/>
          <w:szCs w:val="13"/>
          <w:color w:val="auto"/>
        </w:rPr>
        <w:t>), which is hereby incorporated into and will form part of this Agreement and will apply to the services to be provided pursuant to this Agreement with effect from the Effective Date.</w:t>
      </w:r>
    </w:p>
    <w:p>
      <w:pPr>
        <w:spacing w:after="0" w:line="145" w:lineRule="exact"/>
        <w:rPr>
          <w:sz w:val="20"/>
          <w:szCs w:val="20"/>
          <w:color w:val="auto"/>
        </w:rPr>
      </w:pPr>
    </w:p>
    <w:p>
      <w:pPr>
        <w:jc w:val="both"/>
        <w:ind w:left="540" w:hanging="552"/>
        <w:spacing w:after="0" w:line="255" w:lineRule="auto"/>
        <w:tabs>
          <w:tab w:leader="none" w:pos="520" w:val="left"/>
        </w:tabs>
        <w:rPr>
          <w:sz w:val="20"/>
          <w:szCs w:val="20"/>
          <w:color w:val="auto"/>
        </w:rPr>
      </w:pPr>
      <w:r>
        <w:rPr>
          <w:rFonts w:ascii="Verdana" w:cs="Verdana" w:eastAsia="Verdana" w:hAnsi="Verdana"/>
          <w:sz w:val="13"/>
          <w:szCs w:val="13"/>
          <w:color w:val="auto"/>
        </w:rPr>
        <w:t>14.2</w:t>
      </w:r>
      <w:r>
        <w:rPr>
          <w:sz w:val="20"/>
          <w:szCs w:val="20"/>
          <w:color w:val="auto"/>
        </w:rPr>
        <w:tab/>
      </w:r>
      <w:r>
        <w:rPr>
          <w:rFonts w:ascii="Verdana" w:cs="Verdana" w:eastAsia="Verdana" w:hAnsi="Verdana"/>
          <w:sz w:val="13"/>
          <w:szCs w:val="13"/>
          <w:color w:val="auto"/>
        </w:rPr>
        <w:t>Nothing in this Agreement shall require or entitle the Sub-Advisor to act as the alternative investment fund manager (as defined in the FCA Rules with effect from 22 July 2013) of any Fund or New Fund which is an alternative investment fund. The alternative investment fund manager of each Fund and New Fund which is an alternative investment fund shall be Oaktree US or Oaktree Capital Management (Lux.) S.à r.l as the case may be, unless otherwise agreed.</w:t>
      </w:r>
    </w:p>
    <w:p>
      <w:pPr>
        <w:spacing w:after="0" w:line="144" w:lineRule="exact"/>
        <w:rPr>
          <w:sz w:val="20"/>
          <w:szCs w:val="20"/>
          <w:color w:val="auto"/>
        </w:rPr>
      </w:pPr>
    </w:p>
    <w:p>
      <w:pPr>
        <w:ind w:left="560" w:hanging="555"/>
        <w:spacing w:after="0"/>
        <w:tabs>
          <w:tab w:leader="none" w:pos="560" w:val="left"/>
        </w:tabs>
        <w:numPr>
          <w:ilvl w:val="0"/>
          <w:numId w:val="68"/>
        </w:numPr>
        <w:rPr>
          <w:rFonts w:ascii="Verdana" w:cs="Verdana" w:eastAsia="Verdana" w:hAnsi="Verdana"/>
          <w:sz w:val="13"/>
          <w:szCs w:val="13"/>
          <w:color w:val="auto"/>
        </w:rPr>
      </w:pPr>
      <w:r>
        <w:rPr>
          <w:rFonts w:ascii="Verdana" w:cs="Verdana" w:eastAsia="Verdana" w:hAnsi="Verdana"/>
          <w:sz w:val="13"/>
          <w:szCs w:val="13"/>
          <w:b w:val="1"/>
          <w:bCs w:val="1"/>
          <w:color w:val="auto"/>
        </w:rPr>
        <w:t>TERM</w:t>
      </w:r>
    </w:p>
    <w:p>
      <w:pPr>
        <w:spacing w:after="0" w:line="160"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15.1</w:t>
      </w:r>
      <w:r>
        <w:rPr>
          <w:sz w:val="20"/>
          <w:szCs w:val="20"/>
          <w:color w:val="auto"/>
        </w:rPr>
        <w:tab/>
      </w:r>
      <w:r>
        <w:rPr>
          <w:rFonts w:ascii="Verdana" w:cs="Verdana" w:eastAsia="Verdana" w:hAnsi="Verdana"/>
          <w:sz w:val="12"/>
          <w:szCs w:val="12"/>
          <w:b w:val="1"/>
          <w:bCs w:val="1"/>
          <w:color w:val="auto"/>
        </w:rPr>
        <w:t>Basic Term</w:t>
      </w:r>
    </w:p>
    <w:p>
      <w:pPr>
        <w:spacing w:after="0" w:line="160" w:lineRule="exact"/>
        <w:rPr>
          <w:sz w:val="20"/>
          <w:szCs w:val="20"/>
          <w:color w:val="auto"/>
        </w:rPr>
      </w:pPr>
    </w:p>
    <w:p>
      <w:pPr>
        <w:jc w:val="both"/>
        <w:ind w:left="580"/>
        <w:spacing w:after="0" w:line="255" w:lineRule="auto"/>
        <w:rPr>
          <w:sz w:val="20"/>
          <w:szCs w:val="20"/>
          <w:color w:val="auto"/>
        </w:rPr>
      </w:pPr>
      <w:r>
        <w:rPr>
          <w:rFonts w:ascii="Verdana" w:cs="Verdana" w:eastAsia="Verdana" w:hAnsi="Verdana"/>
          <w:sz w:val="13"/>
          <w:szCs w:val="13"/>
          <w:color w:val="auto"/>
        </w:rPr>
        <w:t>In relation to each Fund, this Agreement shall terminate on the earlier of (a) the expiration of the term of such Fund or (b) the date, if any, on which Oaktree US (or any affiliate it has substituted in its stead in accordance with such Fund's Fund Agreement) is removed as general partner of such Fund or (c) the Sub-Advisor ceasing to be authorised and regulated by the FCA.</w:t>
      </w:r>
    </w:p>
    <w:p>
      <w:pPr>
        <w:spacing w:after="0" w:line="144"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15.2</w:t>
      </w:r>
      <w:r>
        <w:rPr>
          <w:sz w:val="20"/>
          <w:szCs w:val="20"/>
          <w:color w:val="auto"/>
        </w:rPr>
        <w:tab/>
      </w:r>
      <w:r>
        <w:rPr>
          <w:rFonts w:ascii="Verdana" w:cs="Verdana" w:eastAsia="Verdana" w:hAnsi="Verdana"/>
          <w:sz w:val="12"/>
          <w:szCs w:val="12"/>
          <w:b w:val="1"/>
          <w:bCs w:val="1"/>
          <w:color w:val="auto"/>
        </w:rPr>
        <w:t>Early Termination</w:t>
      </w:r>
    </w:p>
    <w:p>
      <w:pPr>
        <w:spacing w:after="0" w:line="160" w:lineRule="exact"/>
        <w:rPr>
          <w:sz w:val="20"/>
          <w:szCs w:val="20"/>
          <w:color w:val="auto"/>
        </w:rPr>
      </w:pPr>
    </w:p>
    <w:p>
      <w:pPr>
        <w:ind w:left="560"/>
        <w:spacing w:after="0" w:line="253" w:lineRule="auto"/>
        <w:rPr>
          <w:sz w:val="20"/>
          <w:szCs w:val="20"/>
          <w:color w:val="auto"/>
        </w:rPr>
      </w:pPr>
      <w:r>
        <w:rPr>
          <w:rFonts w:ascii="Verdana" w:cs="Verdana" w:eastAsia="Verdana" w:hAnsi="Verdana"/>
          <w:sz w:val="13"/>
          <w:szCs w:val="13"/>
          <w:color w:val="auto"/>
        </w:rPr>
        <w:t>This Agreement may be terminated, either in respect of a Fund or in its entirety, by either Oaktree US or the Sub-Advisor for any reason upon 30 days' written notice to the other.</w:t>
      </w:r>
    </w:p>
    <w:p>
      <w:pPr>
        <w:spacing w:after="0" w:line="144" w:lineRule="exact"/>
        <w:rPr>
          <w:sz w:val="20"/>
          <w:szCs w:val="20"/>
          <w:color w:val="auto"/>
        </w:rPr>
      </w:pPr>
    </w:p>
    <w:p>
      <w:pPr>
        <w:ind w:left="560" w:hanging="555"/>
        <w:spacing w:after="0"/>
        <w:tabs>
          <w:tab w:leader="none" w:pos="560" w:val="left"/>
        </w:tabs>
        <w:numPr>
          <w:ilvl w:val="0"/>
          <w:numId w:val="69"/>
        </w:numPr>
        <w:rPr>
          <w:rFonts w:ascii="Verdana" w:cs="Verdana" w:eastAsia="Verdana" w:hAnsi="Verdana"/>
          <w:sz w:val="13"/>
          <w:szCs w:val="13"/>
          <w:color w:val="auto"/>
        </w:rPr>
      </w:pPr>
      <w:r>
        <w:rPr>
          <w:rFonts w:ascii="Verdana" w:cs="Verdana" w:eastAsia="Verdana" w:hAnsi="Verdana"/>
          <w:sz w:val="13"/>
          <w:szCs w:val="13"/>
          <w:b w:val="1"/>
          <w:bCs w:val="1"/>
          <w:color w:val="auto"/>
        </w:rPr>
        <w:t>TERMINATION CONSEQUENCES</w:t>
      </w:r>
    </w:p>
    <w:p>
      <w:pPr>
        <w:spacing w:after="0" w:line="160" w:lineRule="exact"/>
        <w:rPr>
          <w:sz w:val="20"/>
          <w:szCs w:val="20"/>
          <w:color w:val="auto"/>
        </w:rPr>
      </w:pPr>
    </w:p>
    <w:p>
      <w:pPr>
        <w:jc w:val="both"/>
        <w:ind w:left="540" w:hanging="552"/>
        <w:spacing w:after="0" w:line="269" w:lineRule="auto"/>
        <w:tabs>
          <w:tab w:leader="none" w:pos="520" w:val="left"/>
        </w:tabs>
        <w:rPr>
          <w:sz w:val="20"/>
          <w:szCs w:val="20"/>
          <w:color w:val="auto"/>
        </w:rPr>
      </w:pPr>
      <w:r>
        <w:rPr>
          <w:rFonts w:ascii="Verdana" w:cs="Verdana" w:eastAsia="Verdana" w:hAnsi="Verdana"/>
          <w:sz w:val="13"/>
          <w:szCs w:val="13"/>
          <w:color w:val="auto"/>
        </w:rPr>
        <w:t>16.1</w:t>
      </w:r>
      <w:r>
        <w:rPr>
          <w:sz w:val="20"/>
          <w:szCs w:val="20"/>
          <w:color w:val="auto"/>
        </w:rPr>
        <w:tab/>
      </w:r>
      <w:r>
        <w:rPr>
          <w:rFonts w:ascii="Verdana" w:cs="Verdana" w:eastAsia="Verdana" w:hAnsi="Verdana"/>
          <w:sz w:val="13"/>
          <w:szCs w:val="13"/>
          <w:color w:val="auto"/>
        </w:rPr>
        <w:t>Upon the termination of this Agreement, the Sub-Advisor shall co-operate with Oaktree US and take all reasonable steps requested by Oaktree US in making an orderly transition to allow for continuity of management and to ensure that such termination shall not prejudice the completion of transactions already initiated.</w:t>
      </w:r>
    </w:p>
    <w:p>
      <w:pPr>
        <w:spacing w:after="0" w:line="134" w:lineRule="exact"/>
        <w:rPr>
          <w:sz w:val="20"/>
          <w:szCs w:val="20"/>
          <w:color w:val="auto"/>
        </w:rPr>
      </w:pPr>
    </w:p>
    <w:p>
      <w:pPr>
        <w:jc w:val="both"/>
        <w:ind w:left="540" w:hanging="552"/>
        <w:spacing w:after="0" w:line="251" w:lineRule="auto"/>
        <w:tabs>
          <w:tab w:leader="none" w:pos="520" w:val="left"/>
        </w:tabs>
        <w:rPr>
          <w:sz w:val="20"/>
          <w:szCs w:val="20"/>
          <w:color w:val="auto"/>
        </w:rPr>
      </w:pPr>
      <w:r>
        <w:rPr>
          <w:rFonts w:ascii="Verdana" w:cs="Verdana" w:eastAsia="Verdana" w:hAnsi="Verdana"/>
          <w:sz w:val="13"/>
          <w:szCs w:val="13"/>
          <w:color w:val="auto"/>
        </w:rPr>
        <w:t>16.2</w:t>
      </w:r>
      <w:r>
        <w:rPr>
          <w:sz w:val="20"/>
          <w:szCs w:val="20"/>
          <w:color w:val="auto"/>
        </w:rPr>
        <w:tab/>
      </w:r>
      <w:r>
        <w:rPr>
          <w:rFonts w:ascii="Verdana" w:cs="Verdana" w:eastAsia="Verdana" w:hAnsi="Verdana"/>
          <w:sz w:val="13"/>
          <w:szCs w:val="13"/>
          <w:color w:val="auto"/>
        </w:rPr>
        <w:t>The Sub-Advisor shall forthwith upon termination deliver to Oaktree US a full account including a statement of all investments then under management, the income derived therefrom since the last report to Oaktree US, and the value at which they were acquired. The Sub-Advisor shall also ensure that any documents relating to Oaktree US assets over which it has control are released as soon as practicable to Oaktree US or (if so instructed by Oaktree US) to any other party as may be specified by Oaktree US.</w:t>
      </w:r>
    </w:p>
    <w:p>
      <w:pPr>
        <w:spacing w:after="0" w:line="145" w:lineRule="exact"/>
        <w:rPr>
          <w:sz w:val="20"/>
          <w:szCs w:val="20"/>
          <w:color w:val="auto"/>
        </w:rPr>
      </w:pPr>
    </w:p>
    <w:p>
      <w:pPr>
        <w:jc w:val="both"/>
        <w:ind w:left="540" w:hanging="552"/>
        <w:spacing w:after="0" w:line="253" w:lineRule="auto"/>
        <w:tabs>
          <w:tab w:leader="none" w:pos="520" w:val="left"/>
        </w:tabs>
        <w:rPr>
          <w:sz w:val="20"/>
          <w:szCs w:val="20"/>
          <w:color w:val="auto"/>
        </w:rPr>
      </w:pPr>
      <w:r>
        <w:rPr>
          <w:rFonts w:ascii="Verdana" w:cs="Verdana" w:eastAsia="Verdana" w:hAnsi="Verdana"/>
          <w:sz w:val="13"/>
          <w:szCs w:val="13"/>
          <w:color w:val="auto"/>
        </w:rPr>
        <w:t>16.3</w:t>
      </w:r>
      <w:r>
        <w:rPr>
          <w:sz w:val="20"/>
          <w:szCs w:val="20"/>
          <w:color w:val="auto"/>
        </w:rPr>
        <w:tab/>
      </w:r>
      <w:r>
        <w:rPr>
          <w:rFonts w:ascii="Verdana" w:cs="Verdana" w:eastAsia="Verdana" w:hAnsi="Verdana"/>
          <w:sz w:val="13"/>
          <w:szCs w:val="13"/>
          <w:color w:val="auto"/>
        </w:rPr>
        <w:t>Notwithstanding the termination of this Agreement, Oaktree US shall complete, or shall procure that any successor manager of the Funds shall complete, all investment transactions entered into by Oaktree US hereunder prior to the termination date.</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7</w:t>
      </w:r>
    </w:p>
    <w:p>
      <w:pPr>
        <w:sectPr>
          <w:pgSz w:w="11900" w:h="16838" w:orient="portrait"/>
          <w:cols w:equalWidth="0" w:num="1">
            <w:col w:w="11280"/>
          </w:cols>
          <w:pgMar w:left="300" w:top="1232" w:right="319" w:bottom="1440" w:gutter="0" w:footer="0" w:header="0"/>
        </w:sectPr>
      </w:pPr>
    </w:p>
    <w:bookmarkStart w:id="243" w:name="page244"/>
    <w:bookmarkEnd w:id="243"/>
    <w:p>
      <w:pPr>
        <w:ind w:left="560" w:hanging="555"/>
        <w:spacing w:after="0"/>
        <w:tabs>
          <w:tab w:leader="none" w:pos="560" w:val="left"/>
        </w:tabs>
        <w:numPr>
          <w:ilvl w:val="0"/>
          <w:numId w:val="70"/>
        </w:numPr>
        <w:rPr>
          <w:rFonts w:ascii="Verdana" w:cs="Verdana" w:eastAsia="Verdana" w:hAnsi="Verdana"/>
          <w:sz w:val="13"/>
          <w:szCs w:val="13"/>
          <w:color w:val="auto"/>
        </w:rPr>
      </w:pPr>
      <w:r>
        <w:rPr>
          <w:rFonts w:ascii="Verdana" w:cs="Verdana" w:eastAsia="Verdana" w:hAnsi="Verdana"/>
          <w:sz w:val="13"/>
          <w:szCs w:val="13"/>
          <w:b w:val="1"/>
          <w:bCs w:val="1"/>
          <w:color w:val="auto"/>
        </w:rPr>
        <w:t>COMPLAINTS PROCEDURE</w:t>
      </w:r>
    </w:p>
    <w:p>
      <w:pPr>
        <w:spacing w:after="0" w:line="160" w:lineRule="exact"/>
        <w:rPr>
          <w:sz w:val="20"/>
          <w:szCs w:val="20"/>
          <w:color w:val="auto"/>
        </w:rPr>
      </w:pPr>
    </w:p>
    <w:p>
      <w:pPr>
        <w:ind w:left="580"/>
        <w:spacing w:after="0" w:line="253" w:lineRule="auto"/>
        <w:rPr>
          <w:sz w:val="20"/>
          <w:szCs w:val="20"/>
          <w:color w:val="auto"/>
        </w:rPr>
      </w:pPr>
      <w:r>
        <w:rPr>
          <w:rFonts w:ascii="Verdana" w:cs="Verdana" w:eastAsia="Verdana" w:hAnsi="Verdana"/>
          <w:sz w:val="13"/>
          <w:szCs w:val="13"/>
          <w:color w:val="auto"/>
        </w:rPr>
        <w:t>If Oaktree US has any complaint about the performance of the Sub-Advisor it must notify the Sub-Advisor Compliance Officer in writing at the address notified in accordance with Clause 17.2 of this Agreement.</w:t>
      </w:r>
    </w:p>
    <w:p>
      <w:pPr>
        <w:spacing w:after="0" w:line="144" w:lineRule="exact"/>
        <w:rPr>
          <w:sz w:val="20"/>
          <w:szCs w:val="20"/>
          <w:color w:val="auto"/>
        </w:rPr>
      </w:pPr>
    </w:p>
    <w:p>
      <w:pPr>
        <w:ind w:left="560" w:hanging="555"/>
        <w:spacing w:after="0"/>
        <w:tabs>
          <w:tab w:leader="none" w:pos="560" w:val="left"/>
        </w:tabs>
        <w:numPr>
          <w:ilvl w:val="0"/>
          <w:numId w:val="71"/>
        </w:numPr>
        <w:rPr>
          <w:rFonts w:ascii="Verdana" w:cs="Verdana" w:eastAsia="Verdana" w:hAnsi="Verdana"/>
          <w:sz w:val="13"/>
          <w:szCs w:val="13"/>
          <w:color w:val="auto"/>
        </w:rPr>
      </w:pPr>
      <w:r>
        <w:rPr>
          <w:rFonts w:ascii="Verdana" w:cs="Verdana" w:eastAsia="Verdana" w:hAnsi="Verdana"/>
          <w:sz w:val="13"/>
          <w:szCs w:val="13"/>
          <w:b w:val="1"/>
          <w:bCs w:val="1"/>
          <w:color w:val="auto"/>
        </w:rPr>
        <w:t>MISCELLANEOUS</w:t>
      </w:r>
    </w:p>
    <w:p>
      <w:pPr>
        <w:spacing w:after="0" w:line="160"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18.1</w:t>
      </w:r>
      <w:r>
        <w:rPr>
          <w:sz w:val="20"/>
          <w:szCs w:val="20"/>
          <w:color w:val="auto"/>
        </w:rPr>
        <w:tab/>
      </w:r>
      <w:r>
        <w:rPr>
          <w:rFonts w:ascii="Verdana" w:cs="Verdana" w:eastAsia="Verdana" w:hAnsi="Verdana"/>
          <w:sz w:val="12"/>
          <w:szCs w:val="12"/>
          <w:b w:val="1"/>
          <w:bCs w:val="1"/>
          <w:color w:val="auto"/>
        </w:rPr>
        <w:t>Governing Law</w:t>
      </w:r>
    </w:p>
    <w:p>
      <w:pPr>
        <w:spacing w:after="0" w:line="160" w:lineRule="exact"/>
        <w:rPr>
          <w:sz w:val="20"/>
          <w:szCs w:val="20"/>
          <w:color w:val="auto"/>
        </w:rPr>
      </w:pPr>
    </w:p>
    <w:p>
      <w:pPr>
        <w:ind w:left="560"/>
        <w:spacing w:after="0"/>
        <w:rPr>
          <w:sz w:val="20"/>
          <w:szCs w:val="20"/>
          <w:color w:val="auto"/>
        </w:rPr>
      </w:pPr>
      <w:r>
        <w:rPr>
          <w:rFonts w:ascii="Verdana" w:cs="Verdana" w:eastAsia="Verdana" w:hAnsi="Verdana"/>
          <w:sz w:val="13"/>
          <w:szCs w:val="13"/>
          <w:color w:val="auto"/>
        </w:rPr>
        <w:t>This Agreement is governed by the laws of England and Wales.</w:t>
      </w:r>
    </w:p>
    <w:p>
      <w:pPr>
        <w:spacing w:after="0" w:line="160"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18.2</w:t>
      </w:r>
      <w:r>
        <w:rPr>
          <w:sz w:val="20"/>
          <w:szCs w:val="20"/>
          <w:color w:val="auto"/>
        </w:rPr>
        <w:tab/>
      </w:r>
      <w:r>
        <w:rPr>
          <w:rFonts w:ascii="Verdana" w:cs="Verdana" w:eastAsia="Verdana" w:hAnsi="Verdana"/>
          <w:sz w:val="12"/>
          <w:szCs w:val="12"/>
          <w:b w:val="1"/>
          <w:bCs w:val="1"/>
          <w:color w:val="auto"/>
        </w:rPr>
        <w:t>Notices</w:t>
      </w:r>
    </w:p>
    <w:p>
      <w:pPr>
        <w:spacing w:after="0" w:line="160" w:lineRule="exact"/>
        <w:rPr>
          <w:sz w:val="20"/>
          <w:szCs w:val="20"/>
          <w:color w:val="auto"/>
        </w:rPr>
      </w:pPr>
    </w:p>
    <w:p>
      <w:pPr>
        <w:ind w:left="560"/>
        <w:spacing w:after="0"/>
        <w:rPr>
          <w:sz w:val="20"/>
          <w:szCs w:val="20"/>
          <w:color w:val="auto"/>
        </w:rPr>
      </w:pPr>
      <w:r>
        <w:rPr>
          <w:rFonts w:ascii="Verdana" w:cs="Verdana" w:eastAsia="Verdana" w:hAnsi="Verdana"/>
          <w:sz w:val="13"/>
          <w:szCs w:val="13"/>
          <w:color w:val="auto"/>
        </w:rPr>
        <w:t>Any notices provided for in this Agreement shall be sent to the following addresses or such other address as a party may designate in writing:</w:t>
      </w:r>
    </w:p>
    <w:p>
      <w:pPr>
        <w:spacing w:after="0" w:line="182" w:lineRule="exact"/>
        <w:rPr>
          <w:sz w:val="20"/>
          <w:szCs w:val="20"/>
          <w:color w:val="auto"/>
        </w:rPr>
      </w:pPr>
    </w:p>
    <w:tbl>
      <w:tblPr>
        <w:tblLayout w:type="fixed"/>
        <w:tblInd w:w="600" w:type="dxa"/>
        <w:tblCellMar>
          <w:top w:w="0" w:type="dxa"/>
          <w:left w:w="0" w:type="dxa"/>
          <w:bottom w:w="0" w:type="dxa"/>
          <w:right w:w="0" w:type="dxa"/>
        </w:tblCellMar>
      </w:tblPr>
      <w:tr>
        <w:trPr>
          <w:trHeight w:val="180"/>
        </w:trPr>
        <w:tc>
          <w:tcPr>
            <w:tcW w:w="2500" w:type="dxa"/>
            <w:vAlign w:val="bottom"/>
          </w:tcPr>
          <w:p>
            <w:pPr>
              <w:spacing w:after="0"/>
              <w:rPr>
                <w:sz w:val="20"/>
                <w:szCs w:val="20"/>
                <w:color w:val="auto"/>
              </w:rPr>
            </w:pPr>
            <w:r>
              <w:rPr>
                <w:rFonts w:ascii="Verdana" w:cs="Verdana" w:eastAsia="Verdana" w:hAnsi="Verdana"/>
                <w:sz w:val="13"/>
                <w:szCs w:val="13"/>
                <w:color w:val="auto"/>
              </w:rPr>
              <w:t>To Oaktree US:</w:t>
            </w:r>
          </w:p>
        </w:tc>
        <w:tc>
          <w:tcPr>
            <w:tcW w:w="4880" w:type="dxa"/>
            <w:vAlign w:val="bottom"/>
          </w:tcPr>
          <w:p>
            <w:pPr>
              <w:ind w:left="1240"/>
              <w:spacing w:after="0"/>
              <w:rPr>
                <w:sz w:val="20"/>
                <w:szCs w:val="20"/>
                <w:color w:val="auto"/>
              </w:rPr>
            </w:pPr>
            <w:r>
              <w:rPr>
                <w:rFonts w:ascii="Verdana" w:cs="Verdana" w:eastAsia="Verdana" w:hAnsi="Verdana"/>
                <w:sz w:val="13"/>
                <w:szCs w:val="13"/>
                <w:color w:val="auto"/>
              </w:rPr>
              <w:t>Oaktree Capital Management, LP</w:t>
            </w:r>
          </w:p>
        </w:tc>
      </w:tr>
      <w:tr>
        <w:trPr>
          <w:trHeight w:val="166"/>
        </w:trPr>
        <w:tc>
          <w:tcPr>
            <w:tcW w:w="2500" w:type="dxa"/>
            <w:vAlign w:val="bottom"/>
          </w:tcPr>
          <w:p>
            <w:pPr>
              <w:spacing w:after="0"/>
              <w:rPr>
                <w:sz w:val="14"/>
                <w:szCs w:val="14"/>
                <w:color w:val="auto"/>
              </w:rPr>
            </w:pPr>
          </w:p>
        </w:tc>
        <w:tc>
          <w:tcPr>
            <w:tcW w:w="4880" w:type="dxa"/>
            <w:vAlign w:val="bottom"/>
          </w:tcPr>
          <w:p>
            <w:pPr>
              <w:ind w:left="1240"/>
              <w:spacing w:after="0"/>
              <w:rPr>
                <w:sz w:val="20"/>
                <w:szCs w:val="20"/>
                <w:color w:val="auto"/>
              </w:rPr>
            </w:pPr>
            <w:r>
              <w:rPr>
                <w:rFonts w:ascii="Verdana" w:cs="Verdana" w:eastAsia="Verdana" w:hAnsi="Verdana"/>
                <w:sz w:val="13"/>
                <w:szCs w:val="13"/>
                <w:color w:val="auto"/>
              </w:rPr>
              <w:t>333 Grand Avenue</w:t>
            </w:r>
          </w:p>
        </w:tc>
      </w:tr>
      <w:tr>
        <w:trPr>
          <w:trHeight w:val="163"/>
        </w:trPr>
        <w:tc>
          <w:tcPr>
            <w:tcW w:w="2500" w:type="dxa"/>
            <w:vAlign w:val="bottom"/>
          </w:tcPr>
          <w:p>
            <w:pPr>
              <w:spacing w:after="0"/>
              <w:rPr>
                <w:sz w:val="14"/>
                <w:szCs w:val="14"/>
                <w:color w:val="auto"/>
              </w:rPr>
            </w:pPr>
          </w:p>
        </w:tc>
        <w:tc>
          <w:tcPr>
            <w:tcW w:w="4880" w:type="dxa"/>
            <w:vAlign w:val="bottom"/>
          </w:tcPr>
          <w:p>
            <w:pPr>
              <w:ind w:left="1240"/>
              <w:spacing w:after="0" w:line="163" w:lineRule="exact"/>
              <w:rPr>
                <w:sz w:val="20"/>
                <w:szCs w:val="20"/>
                <w:color w:val="auto"/>
              </w:rPr>
            </w:pPr>
            <w:r>
              <w:rPr>
                <w:rFonts w:ascii="Verdana" w:cs="Verdana" w:eastAsia="Verdana" w:hAnsi="Verdana"/>
                <w:sz w:val="13"/>
                <w:szCs w:val="13"/>
                <w:color w:val="auto"/>
              </w:rPr>
              <w:t>28</w:t>
            </w:r>
            <w:r>
              <w:rPr>
                <w:rFonts w:ascii="Verdana" w:cs="Verdana" w:eastAsia="Verdana" w:hAnsi="Verdana"/>
                <w:sz w:val="16"/>
                <w:szCs w:val="16"/>
                <w:color w:val="auto"/>
                <w:vertAlign w:val="superscript"/>
              </w:rPr>
              <w:t>th</w:t>
            </w:r>
            <w:r>
              <w:rPr>
                <w:rFonts w:ascii="Verdana" w:cs="Verdana" w:eastAsia="Verdana" w:hAnsi="Verdana"/>
                <w:sz w:val="13"/>
                <w:szCs w:val="13"/>
                <w:color w:val="auto"/>
              </w:rPr>
              <w:t xml:space="preserve"> Floor</w:t>
            </w:r>
          </w:p>
        </w:tc>
      </w:tr>
      <w:tr>
        <w:trPr>
          <w:trHeight w:val="166"/>
        </w:trPr>
        <w:tc>
          <w:tcPr>
            <w:tcW w:w="2500" w:type="dxa"/>
            <w:vAlign w:val="bottom"/>
          </w:tcPr>
          <w:p>
            <w:pPr>
              <w:spacing w:after="0"/>
              <w:rPr>
                <w:sz w:val="14"/>
                <w:szCs w:val="14"/>
                <w:color w:val="auto"/>
              </w:rPr>
            </w:pPr>
          </w:p>
        </w:tc>
        <w:tc>
          <w:tcPr>
            <w:tcW w:w="4880" w:type="dxa"/>
            <w:vAlign w:val="bottom"/>
          </w:tcPr>
          <w:p>
            <w:pPr>
              <w:ind w:left="1240"/>
              <w:spacing w:after="0"/>
              <w:rPr>
                <w:sz w:val="20"/>
                <w:szCs w:val="20"/>
                <w:color w:val="auto"/>
              </w:rPr>
            </w:pPr>
            <w:r>
              <w:rPr>
                <w:rFonts w:ascii="Verdana" w:cs="Verdana" w:eastAsia="Verdana" w:hAnsi="Verdana"/>
                <w:sz w:val="13"/>
                <w:szCs w:val="13"/>
                <w:color w:val="auto"/>
              </w:rPr>
              <w:t>Los Angeles</w:t>
            </w:r>
          </w:p>
        </w:tc>
      </w:tr>
      <w:tr>
        <w:trPr>
          <w:trHeight w:val="170"/>
        </w:trPr>
        <w:tc>
          <w:tcPr>
            <w:tcW w:w="2500" w:type="dxa"/>
            <w:vAlign w:val="bottom"/>
          </w:tcPr>
          <w:p>
            <w:pPr>
              <w:spacing w:after="0"/>
              <w:rPr>
                <w:sz w:val="14"/>
                <w:szCs w:val="14"/>
                <w:color w:val="auto"/>
              </w:rPr>
            </w:pPr>
          </w:p>
        </w:tc>
        <w:tc>
          <w:tcPr>
            <w:tcW w:w="4880" w:type="dxa"/>
            <w:vAlign w:val="bottom"/>
          </w:tcPr>
          <w:p>
            <w:pPr>
              <w:ind w:left="1240"/>
              <w:spacing w:after="0"/>
              <w:rPr>
                <w:sz w:val="20"/>
                <w:szCs w:val="20"/>
                <w:color w:val="auto"/>
              </w:rPr>
            </w:pPr>
            <w:r>
              <w:rPr>
                <w:rFonts w:ascii="Verdana" w:cs="Verdana" w:eastAsia="Verdana" w:hAnsi="Verdana"/>
                <w:sz w:val="13"/>
                <w:szCs w:val="13"/>
                <w:color w:val="auto"/>
              </w:rPr>
              <w:t>California 90071</w:t>
            </w:r>
          </w:p>
        </w:tc>
      </w:tr>
      <w:tr>
        <w:trPr>
          <w:trHeight w:val="343"/>
        </w:trPr>
        <w:tc>
          <w:tcPr>
            <w:tcW w:w="2500" w:type="dxa"/>
            <w:vAlign w:val="bottom"/>
          </w:tcPr>
          <w:p>
            <w:pPr>
              <w:spacing w:after="0"/>
              <w:rPr>
                <w:sz w:val="24"/>
                <w:szCs w:val="24"/>
                <w:color w:val="auto"/>
              </w:rPr>
            </w:pPr>
          </w:p>
        </w:tc>
        <w:tc>
          <w:tcPr>
            <w:tcW w:w="4880" w:type="dxa"/>
            <w:vAlign w:val="bottom"/>
          </w:tcPr>
          <w:p>
            <w:pPr>
              <w:ind w:left="1240"/>
              <w:spacing w:after="0"/>
              <w:rPr>
                <w:sz w:val="20"/>
                <w:szCs w:val="20"/>
                <w:color w:val="auto"/>
              </w:rPr>
            </w:pPr>
            <w:r>
              <w:rPr>
                <w:rFonts w:ascii="Verdana" w:cs="Verdana" w:eastAsia="Verdana" w:hAnsi="Verdana"/>
                <w:sz w:val="13"/>
                <w:szCs w:val="13"/>
                <w:color w:val="auto"/>
              </w:rPr>
              <w:t>Attention: Todd Molz, General Counsel</w:t>
            </w:r>
          </w:p>
        </w:tc>
      </w:tr>
      <w:tr>
        <w:trPr>
          <w:trHeight w:val="166"/>
        </w:trPr>
        <w:tc>
          <w:tcPr>
            <w:tcW w:w="2500" w:type="dxa"/>
            <w:vAlign w:val="bottom"/>
          </w:tcPr>
          <w:p>
            <w:pPr>
              <w:spacing w:after="0"/>
              <w:rPr>
                <w:sz w:val="14"/>
                <w:szCs w:val="14"/>
                <w:color w:val="auto"/>
              </w:rPr>
            </w:pPr>
          </w:p>
        </w:tc>
        <w:tc>
          <w:tcPr>
            <w:tcW w:w="4880" w:type="dxa"/>
            <w:vAlign w:val="bottom"/>
          </w:tcPr>
          <w:p>
            <w:pPr>
              <w:ind w:left="1240"/>
              <w:spacing w:after="0"/>
              <w:rPr>
                <w:sz w:val="20"/>
                <w:szCs w:val="20"/>
                <w:color w:val="auto"/>
              </w:rPr>
            </w:pPr>
            <w:r>
              <w:rPr>
                <w:rFonts w:ascii="Verdana" w:cs="Verdana" w:eastAsia="Verdana" w:hAnsi="Verdana"/>
                <w:sz w:val="13"/>
                <w:szCs w:val="13"/>
                <w:color w:val="auto"/>
              </w:rPr>
              <w:t>Facsimile: +1 (213) 830-8545</w:t>
            </w:r>
          </w:p>
        </w:tc>
      </w:tr>
      <w:tr>
        <w:trPr>
          <w:trHeight w:val="170"/>
        </w:trPr>
        <w:tc>
          <w:tcPr>
            <w:tcW w:w="2500" w:type="dxa"/>
            <w:vAlign w:val="bottom"/>
          </w:tcPr>
          <w:p>
            <w:pPr>
              <w:spacing w:after="0"/>
              <w:rPr>
                <w:sz w:val="14"/>
                <w:szCs w:val="14"/>
                <w:color w:val="auto"/>
              </w:rPr>
            </w:pPr>
          </w:p>
        </w:tc>
        <w:tc>
          <w:tcPr>
            <w:tcW w:w="4880" w:type="dxa"/>
            <w:vAlign w:val="bottom"/>
          </w:tcPr>
          <w:p>
            <w:pPr>
              <w:ind w:left="1240"/>
              <w:spacing w:after="0"/>
              <w:rPr>
                <w:sz w:val="20"/>
                <w:szCs w:val="20"/>
                <w:color w:val="auto"/>
              </w:rPr>
            </w:pPr>
            <w:r>
              <w:rPr>
                <w:rFonts w:ascii="Verdana" w:cs="Verdana" w:eastAsia="Verdana" w:hAnsi="Verdana"/>
                <w:sz w:val="13"/>
                <w:szCs w:val="13"/>
                <w:color w:val="auto"/>
              </w:rPr>
              <w:t>Email: tmolz@oaktreecapital.com</w:t>
            </w:r>
          </w:p>
        </w:tc>
      </w:tr>
      <w:tr>
        <w:trPr>
          <w:trHeight w:val="195"/>
        </w:trPr>
        <w:tc>
          <w:tcPr>
            <w:tcW w:w="2500" w:type="dxa"/>
            <w:vAlign w:val="bottom"/>
          </w:tcPr>
          <w:p>
            <w:pPr>
              <w:spacing w:after="0"/>
              <w:rPr>
                <w:sz w:val="20"/>
                <w:szCs w:val="20"/>
                <w:color w:val="auto"/>
              </w:rPr>
            </w:pPr>
            <w:r>
              <w:rPr>
                <w:rFonts w:ascii="Verdana" w:cs="Verdana" w:eastAsia="Verdana" w:hAnsi="Verdana"/>
                <w:sz w:val="13"/>
                <w:szCs w:val="13"/>
                <w:color w:val="auto"/>
              </w:rPr>
              <w:t>To the Sub-Advisor:</w:t>
            </w:r>
          </w:p>
        </w:tc>
        <w:tc>
          <w:tcPr>
            <w:tcW w:w="4880" w:type="dxa"/>
            <w:vAlign w:val="bottom"/>
          </w:tcPr>
          <w:p>
            <w:pPr>
              <w:ind w:left="1240"/>
              <w:spacing w:after="0"/>
              <w:rPr>
                <w:sz w:val="20"/>
                <w:szCs w:val="20"/>
                <w:color w:val="auto"/>
              </w:rPr>
            </w:pPr>
            <w:r>
              <w:rPr>
                <w:rFonts w:ascii="Verdana" w:cs="Verdana" w:eastAsia="Verdana" w:hAnsi="Verdana"/>
                <w:sz w:val="13"/>
                <w:szCs w:val="13"/>
                <w:color w:val="auto"/>
              </w:rPr>
              <w:t>Oaktree Capital Management (International) Limited</w:t>
            </w:r>
          </w:p>
        </w:tc>
      </w:tr>
      <w:tr>
        <w:trPr>
          <w:trHeight w:val="166"/>
        </w:trPr>
        <w:tc>
          <w:tcPr>
            <w:tcW w:w="2500" w:type="dxa"/>
            <w:vAlign w:val="bottom"/>
          </w:tcPr>
          <w:p>
            <w:pPr>
              <w:spacing w:after="0"/>
              <w:rPr>
                <w:sz w:val="14"/>
                <w:szCs w:val="14"/>
                <w:color w:val="auto"/>
              </w:rPr>
            </w:pPr>
          </w:p>
        </w:tc>
        <w:tc>
          <w:tcPr>
            <w:tcW w:w="4880" w:type="dxa"/>
            <w:vAlign w:val="bottom"/>
          </w:tcPr>
          <w:p>
            <w:pPr>
              <w:ind w:left="1240"/>
              <w:spacing w:after="0"/>
              <w:rPr>
                <w:sz w:val="20"/>
                <w:szCs w:val="20"/>
                <w:color w:val="auto"/>
              </w:rPr>
            </w:pPr>
            <w:r>
              <w:rPr>
                <w:rFonts w:ascii="Verdana" w:cs="Verdana" w:eastAsia="Verdana" w:hAnsi="Verdana"/>
                <w:sz w:val="13"/>
                <w:szCs w:val="13"/>
                <w:color w:val="auto"/>
              </w:rPr>
              <w:t>Verde, 10 Bressenden Place,</w:t>
            </w:r>
          </w:p>
        </w:tc>
      </w:tr>
      <w:tr>
        <w:trPr>
          <w:trHeight w:val="163"/>
        </w:trPr>
        <w:tc>
          <w:tcPr>
            <w:tcW w:w="2500" w:type="dxa"/>
            <w:vAlign w:val="bottom"/>
          </w:tcPr>
          <w:p>
            <w:pPr>
              <w:spacing w:after="0"/>
              <w:rPr>
                <w:sz w:val="14"/>
                <w:szCs w:val="14"/>
                <w:color w:val="auto"/>
              </w:rPr>
            </w:pPr>
          </w:p>
        </w:tc>
        <w:tc>
          <w:tcPr>
            <w:tcW w:w="4880" w:type="dxa"/>
            <w:vAlign w:val="bottom"/>
          </w:tcPr>
          <w:p>
            <w:pPr>
              <w:ind w:left="1240"/>
              <w:spacing w:after="0"/>
              <w:rPr>
                <w:sz w:val="20"/>
                <w:szCs w:val="20"/>
                <w:color w:val="auto"/>
              </w:rPr>
            </w:pPr>
            <w:r>
              <w:rPr>
                <w:rFonts w:ascii="Verdana" w:cs="Verdana" w:eastAsia="Verdana" w:hAnsi="Verdana"/>
                <w:sz w:val="13"/>
                <w:szCs w:val="13"/>
                <w:color w:val="auto"/>
              </w:rPr>
              <w:t>London SW1E 5DH</w:t>
            </w:r>
          </w:p>
        </w:tc>
      </w:tr>
      <w:tr>
        <w:trPr>
          <w:trHeight w:val="166"/>
        </w:trPr>
        <w:tc>
          <w:tcPr>
            <w:tcW w:w="2500" w:type="dxa"/>
            <w:vAlign w:val="bottom"/>
          </w:tcPr>
          <w:p>
            <w:pPr>
              <w:spacing w:after="0"/>
              <w:rPr>
                <w:sz w:val="14"/>
                <w:szCs w:val="14"/>
                <w:color w:val="auto"/>
              </w:rPr>
            </w:pPr>
          </w:p>
        </w:tc>
        <w:tc>
          <w:tcPr>
            <w:tcW w:w="4880" w:type="dxa"/>
            <w:vAlign w:val="bottom"/>
          </w:tcPr>
          <w:p>
            <w:pPr>
              <w:ind w:left="1240"/>
              <w:spacing w:after="0"/>
              <w:rPr>
                <w:sz w:val="20"/>
                <w:szCs w:val="20"/>
                <w:color w:val="auto"/>
              </w:rPr>
            </w:pPr>
            <w:r>
              <w:rPr>
                <w:rFonts w:ascii="Verdana" w:cs="Verdana" w:eastAsia="Verdana" w:hAnsi="Verdana"/>
                <w:sz w:val="13"/>
                <w:szCs w:val="13"/>
                <w:color w:val="auto"/>
              </w:rPr>
              <w:t>United Kingdom</w:t>
            </w:r>
          </w:p>
        </w:tc>
      </w:tr>
      <w:tr>
        <w:trPr>
          <w:trHeight w:val="354"/>
        </w:trPr>
        <w:tc>
          <w:tcPr>
            <w:tcW w:w="2500" w:type="dxa"/>
            <w:vAlign w:val="bottom"/>
          </w:tcPr>
          <w:p>
            <w:pPr>
              <w:spacing w:after="0"/>
              <w:rPr>
                <w:sz w:val="24"/>
                <w:szCs w:val="24"/>
                <w:color w:val="auto"/>
              </w:rPr>
            </w:pPr>
          </w:p>
        </w:tc>
        <w:tc>
          <w:tcPr>
            <w:tcW w:w="4880" w:type="dxa"/>
            <w:vAlign w:val="bottom"/>
          </w:tcPr>
          <w:p>
            <w:pPr>
              <w:ind w:left="1240"/>
              <w:spacing w:after="0"/>
              <w:rPr>
                <w:sz w:val="20"/>
                <w:szCs w:val="20"/>
                <w:color w:val="auto"/>
              </w:rPr>
            </w:pPr>
            <w:r>
              <w:rPr>
                <w:rFonts w:ascii="Verdana" w:cs="Verdana" w:eastAsia="Verdana" w:hAnsi="Verdana"/>
                <w:sz w:val="13"/>
                <w:szCs w:val="13"/>
                <w:color w:val="auto"/>
                <w:w w:val="96"/>
              </w:rPr>
              <w:t>Attention: Dominic Keenan, Head of Legal, EMEA &amp; APAC</w:t>
            </w:r>
          </w:p>
        </w:tc>
      </w:tr>
      <w:tr>
        <w:trPr>
          <w:trHeight w:val="166"/>
        </w:trPr>
        <w:tc>
          <w:tcPr>
            <w:tcW w:w="2500" w:type="dxa"/>
            <w:vAlign w:val="bottom"/>
          </w:tcPr>
          <w:p>
            <w:pPr>
              <w:spacing w:after="0"/>
              <w:rPr>
                <w:sz w:val="14"/>
                <w:szCs w:val="14"/>
                <w:color w:val="auto"/>
              </w:rPr>
            </w:pPr>
          </w:p>
        </w:tc>
        <w:tc>
          <w:tcPr>
            <w:tcW w:w="4880" w:type="dxa"/>
            <w:vAlign w:val="bottom"/>
          </w:tcPr>
          <w:p>
            <w:pPr>
              <w:ind w:left="1240"/>
              <w:spacing w:after="0"/>
              <w:rPr>
                <w:sz w:val="20"/>
                <w:szCs w:val="20"/>
                <w:color w:val="auto"/>
              </w:rPr>
            </w:pPr>
            <w:r>
              <w:rPr>
                <w:rFonts w:ascii="Verdana" w:cs="Verdana" w:eastAsia="Verdana" w:hAnsi="Verdana"/>
                <w:sz w:val="13"/>
                <w:szCs w:val="13"/>
                <w:color w:val="auto"/>
              </w:rPr>
              <w:t>Facsimile: +44 (0) 207 201 4601</w:t>
            </w:r>
          </w:p>
        </w:tc>
      </w:tr>
      <w:tr>
        <w:trPr>
          <w:trHeight w:val="318"/>
        </w:trPr>
        <w:tc>
          <w:tcPr>
            <w:tcW w:w="2500" w:type="dxa"/>
            <w:vAlign w:val="bottom"/>
          </w:tcPr>
          <w:p>
            <w:pPr>
              <w:spacing w:after="0"/>
              <w:rPr>
                <w:sz w:val="24"/>
                <w:szCs w:val="24"/>
                <w:color w:val="auto"/>
              </w:rPr>
            </w:pPr>
          </w:p>
        </w:tc>
        <w:tc>
          <w:tcPr>
            <w:tcW w:w="4880" w:type="dxa"/>
            <w:vAlign w:val="bottom"/>
          </w:tcPr>
          <w:p>
            <w:pPr>
              <w:ind w:left="1240"/>
              <w:spacing w:after="0"/>
              <w:rPr>
                <w:sz w:val="20"/>
                <w:szCs w:val="20"/>
                <w:color w:val="auto"/>
              </w:rPr>
            </w:pPr>
            <w:r>
              <w:rPr>
                <w:rFonts w:ascii="Verdana" w:cs="Verdana" w:eastAsia="Verdana" w:hAnsi="Verdana"/>
                <w:sz w:val="13"/>
                <w:szCs w:val="13"/>
                <w:color w:val="auto"/>
              </w:rPr>
              <w:t>Email Email: dkeenan@oaktreecapital.com</w:t>
            </w:r>
          </w:p>
        </w:tc>
      </w:tr>
    </w:tbl>
    <w:p>
      <w:pPr>
        <w:spacing w:after="0" w:line="248" w:lineRule="exact"/>
        <w:rPr>
          <w:sz w:val="20"/>
          <w:szCs w:val="20"/>
          <w:color w:val="auto"/>
        </w:rPr>
      </w:pPr>
    </w:p>
    <w:p>
      <w:pPr>
        <w:ind w:left="560"/>
        <w:spacing w:after="0" w:line="253" w:lineRule="auto"/>
        <w:rPr>
          <w:sz w:val="20"/>
          <w:szCs w:val="20"/>
          <w:color w:val="auto"/>
        </w:rPr>
      </w:pPr>
      <w:r>
        <w:rPr>
          <w:rFonts w:ascii="Verdana" w:cs="Verdana" w:eastAsia="Verdana" w:hAnsi="Verdana"/>
          <w:sz w:val="13"/>
          <w:szCs w:val="13"/>
          <w:color w:val="auto"/>
        </w:rPr>
        <w:t>All notices delivered by facsimile or hand shall be deemed given on the day received. All notices mailed shall be deemed to have been given two business days after they have been deposited as certified mail, return receipt requested, postage paid and properly addressed.</w:t>
      </w:r>
    </w:p>
    <w:p>
      <w:pPr>
        <w:spacing w:after="0" w:line="144"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18.3</w:t>
      </w:r>
      <w:r>
        <w:rPr>
          <w:sz w:val="20"/>
          <w:szCs w:val="20"/>
          <w:color w:val="auto"/>
        </w:rPr>
        <w:tab/>
      </w:r>
      <w:r>
        <w:rPr>
          <w:rFonts w:ascii="Verdana" w:cs="Verdana" w:eastAsia="Verdana" w:hAnsi="Verdana"/>
          <w:sz w:val="12"/>
          <w:szCs w:val="12"/>
          <w:b w:val="1"/>
          <w:bCs w:val="1"/>
          <w:color w:val="auto"/>
        </w:rPr>
        <w:t>Assignment</w:t>
      </w:r>
    </w:p>
    <w:p>
      <w:pPr>
        <w:spacing w:after="0" w:line="160" w:lineRule="exact"/>
        <w:rPr>
          <w:sz w:val="20"/>
          <w:szCs w:val="20"/>
          <w:color w:val="auto"/>
        </w:rPr>
      </w:pPr>
    </w:p>
    <w:p>
      <w:pPr>
        <w:ind w:left="560"/>
        <w:spacing w:after="0" w:line="269" w:lineRule="auto"/>
        <w:rPr>
          <w:sz w:val="20"/>
          <w:szCs w:val="20"/>
          <w:color w:val="auto"/>
        </w:rPr>
      </w:pPr>
      <w:r>
        <w:rPr>
          <w:rFonts w:ascii="Verdana" w:cs="Verdana" w:eastAsia="Verdana" w:hAnsi="Verdana"/>
          <w:sz w:val="13"/>
          <w:szCs w:val="13"/>
          <w:color w:val="auto"/>
        </w:rPr>
        <w:t>The Sub-Advisor may not assign (within the meaning of the Advisers Act) its rights and obligations under this Agreement without the prior written consent of Oaktree US.</w:t>
      </w:r>
    </w:p>
    <w:p>
      <w:pPr>
        <w:spacing w:after="0" w:line="134"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18.4</w:t>
      </w:r>
      <w:r>
        <w:rPr>
          <w:sz w:val="20"/>
          <w:szCs w:val="20"/>
          <w:color w:val="auto"/>
        </w:rPr>
        <w:tab/>
      </w:r>
      <w:r>
        <w:rPr>
          <w:rFonts w:ascii="Verdana" w:cs="Verdana" w:eastAsia="Verdana" w:hAnsi="Verdana"/>
          <w:sz w:val="12"/>
          <w:szCs w:val="12"/>
          <w:b w:val="1"/>
          <w:bCs w:val="1"/>
          <w:color w:val="auto"/>
        </w:rPr>
        <w:t>Entire Agreement</w:t>
      </w:r>
    </w:p>
    <w:p>
      <w:pPr>
        <w:spacing w:after="0" w:line="160" w:lineRule="exact"/>
        <w:rPr>
          <w:sz w:val="20"/>
          <w:szCs w:val="20"/>
          <w:color w:val="auto"/>
        </w:rPr>
      </w:pPr>
    </w:p>
    <w:p>
      <w:pPr>
        <w:jc w:val="both"/>
        <w:ind w:left="1000" w:hanging="442"/>
        <w:spacing w:after="0" w:line="247" w:lineRule="auto"/>
        <w:tabs>
          <w:tab w:leader="none" w:pos="1000" w:val="left"/>
        </w:tabs>
        <w:numPr>
          <w:ilvl w:val="0"/>
          <w:numId w:val="72"/>
        </w:numPr>
        <w:rPr>
          <w:rFonts w:ascii="Verdana" w:cs="Verdana" w:eastAsia="Verdana" w:hAnsi="Verdana"/>
          <w:sz w:val="13"/>
          <w:szCs w:val="13"/>
          <w:color w:val="auto"/>
        </w:rPr>
      </w:pPr>
      <w:r>
        <w:rPr>
          <w:rFonts w:ascii="Verdana" w:cs="Verdana" w:eastAsia="Verdana" w:hAnsi="Verdana"/>
          <w:sz w:val="13"/>
          <w:szCs w:val="13"/>
          <w:color w:val="auto"/>
        </w:rPr>
        <w:t>This Agreement contains the entire agreement between Oaktree US and the Sub-Advisor relating to the subject matter hereof and supersedes in its entirety all other prior agreements and all amendments thereto between Oaktree US and the Sub-Advisor relating to the subject matter hereof, including those agreements referred to in Clause 17.4(b).</w:t>
      </w:r>
    </w:p>
    <w:p>
      <w:pPr>
        <w:spacing w:after="0" w:line="148" w:lineRule="exact"/>
        <w:rPr>
          <w:rFonts w:ascii="Verdana" w:cs="Verdana" w:eastAsia="Verdana" w:hAnsi="Verdana"/>
          <w:sz w:val="13"/>
          <w:szCs w:val="13"/>
          <w:color w:val="auto"/>
        </w:rPr>
      </w:pPr>
    </w:p>
    <w:p>
      <w:pPr>
        <w:ind w:left="1000" w:hanging="442"/>
        <w:spacing w:after="0" w:line="269" w:lineRule="auto"/>
        <w:tabs>
          <w:tab w:leader="none" w:pos="999" w:val="left"/>
        </w:tabs>
        <w:numPr>
          <w:ilvl w:val="0"/>
          <w:numId w:val="72"/>
        </w:numPr>
        <w:rPr>
          <w:rFonts w:ascii="Verdana" w:cs="Verdana" w:eastAsia="Verdana" w:hAnsi="Verdana"/>
          <w:sz w:val="13"/>
          <w:szCs w:val="13"/>
          <w:color w:val="auto"/>
        </w:rPr>
      </w:pPr>
      <w:r>
        <w:rPr>
          <w:rFonts w:ascii="Verdana" w:cs="Verdana" w:eastAsia="Verdana" w:hAnsi="Verdana"/>
          <w:sz w:val="13"/>
          <w:szCs w:val="13"/>
          <w:color w:val="auto"/>
        </w:rPr>
        <w:t>For the avoidance of doubt, it is agreed and acknowledged that the Terminated Agreements were terminated with effect from 25 September 2018 and all of the parties’ obligations and liabilities will cease with effect from that date.</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8</w:t>
      </w:r>
    </w:p>
    <w:p>
      <w:pPr>
        <w:sectPr>
          <w:pgSz w:w="11900" w:h="16838" w:orient="portrait"/>
          <w:cols w:equalWidth="0" w:num="1">
            <w:col w:w="11280"/>
          </w:cols>
          <w:pgMar w:left="300" w:top="1232" w:right="319" w:bottom="1440" w:gutter="0" w:footer="0" w:header="0"/>
        </w:sectPr>
      </w:pPr>
    </w:p>
    <w:bookmarkStart w:id="244" w:name="page245"/>
    <w:bookmarkEnd w:id="244"/>
    <w:p>
      <w:pPr>
        <w:spacing w:after="0"/>
        <w:tabs>
          <w:tab w:leader="none" w:pos="520" w:val="left"/>
        </w:tabs>
        <w:rPr>
          <w:sz w:val="20"/>
          <w:szCs w:val="20"/>
          <w:color w:val="auto"/>
        </w:rPr>
      </w:pPr>
      <w:r>
        <w:rPr>
          <w:rFonts w:ascii="Verdana" w:cs="Verdana" w:eastAsia="Verdana" w:hAnsi="Verdana"/>
          <w:sz w:val="13"/>
          <w:szCs w:val="13"/>
          <w:color w:val="auto"/>
        </w:rPr>
        <w:t>18.5</w:t>
      </w:r>
      <w:r>
        <w:rPr>
          <w:sz w:val="20"/>
          <w:szCs w:val="20"/>
          <w:color w:val="auto"/>
        </w:rPr>
        <w:tab/>
      </w:r>
      <w:r>
        <w:rPr>
          <w:rFonts w:ascii="Verdana" w:cs="Verdana" w:eastAsia="Verdana" w:hAnsi="Verdana"/>
          <w:sz w:val="12"/>
          <w:szCs w:val="12"/>
          <w:b w:val="1"/>
          <w:bCs w:val="1"/>
          <w:color w:val="auto"/>
        </w:rPr>
        <w:t>Counterparts</w:t>
      </w:r>
    </w:p>
    <w:p>
      <w:pPr>
        <w:spacing w:after="0" w:line="160" w:lineRule="exact"/>
        <w:rPr>
          <w:sz w:val="20"/>
          <w:szCs w:val="20"/>
          <w:color w:val="auto"/>
        </w:rPr>
      </w:pPr>
    </w:p>
    <w:p>
      <w:pPr>
        <w:ind w:left="560"/>
        <w:spacing w:after="0" w:line="253" w:lineRule="auto"/>
        <w:rPr>
          <w:sz w:val="20"/>
          <w:szCs w:val="20"/>
          <w:color w:val="auto"/>
        </w:rPr>
      </w:pPr>
      <w:r>
        <w:rPr>
          <w:rFonts w:ascii="Verdana" w:cs="Verdana" w:eastAsia="Verdana" w:hAnsi="Verdana"/>
          <w:sz w:val="13"/>
          <w:szCs w:val="13"/>
          <w:color w:val="auto"/>
        </w:rPr>
        <w:t>This Agreement may be executed in any number of counterparts and this has the same effect as if the signatures on the counterparts were on a single copy of this Agreement.</w:t>
      </w:r>
    </w:p>
    <w:p>
      <w:pPr>
        <w:spacing w:after="0" w:line="144"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3"/>
          <w:szCs w:val="13"/>
          <w:color w:val="auto"/>
        </w:rPr>
        <w:t>18.6</w:t>
      </w:r>
      <w:r>
        <w:rPr>
          <w:sz w:val="20"/>
          <w:szCs w:val="20"/>
          <w:color w:val="auto"/>
        </w:rPr>
        <w:tab/>
      </w:r>
      <w:r>
        <w:rPr>
          <w:rFonts w:ascii="Verdana" w:cs="Verdana" w:eastAsia="Verdana" w:hAnsi="Verdana"/>
          <w:sz w:val="12"/>
          <w:szCs w:val="12"/>
          <w:b w:val="1"/>
          <w:bCs w:val="1"/>
          <w:color w:val="auto"/>
        </w:rPr>
        <w:t>Third Party Rights</w:t>
      </w:r>
    </w:p>
    <w:p>
      <w:pPr>
        <w:spacing w:after="0" w:line="160" w:lineRule="exact"/>
        <w:rPr>
          <w:sz w:val="20"/>
          <w:szCs w:val="20"/>
          <w:color w:val="auto"/>
        </w:rPr>
      </w:pPr>
    </w:p>
    <w:p>
      <w:pPr>
        <w:ind w:left="540" w:hanging="552"/>
        <w:spacing w:after="0" w:line="253" w:lineRule="auto"/>
        <w:tabs>
          <w:tab w:leader="none" w:pos="520" w:val="left"/>
        </w:tabs>
        <w:rPr>
          <w:sz w:val="20"/>
          <w:szCs w:val="20"/>
          <w:color w:val="auto"/>
        </w:rPr>
      </w:pPr>
      <w:r>
        <w:rPr>
          <w:rFonts w:ascii="Verdana" w:cs="Verdana" w:eastAsia="Verdana" w:hAnsi="Verdana"/>
          <w:sz w:val="13"/>
          <w:szCs w:val="13"/>
          <w:color w:val="auto"/>
        </w:rPr>
        <w:t>18.7</w:t>
      </w:r>
      <w:r>
        <w:rPr>
          <w:sz w:val="20"/>
          <w:szCs w:val="20"/>
          <w:color w:val="auto"/>
        </w:rPr>
        <w:tab/>
      </w:r>
      <w:r>
        <w:rPr>
          <w:rFonts w:ascii="Verdana" w:cs="Verdana" w:eastAsia="Verdana" w:hAnsi="Verdana"/>
          <w:sz w:val="13"/>
          <w:szCs w:val="13"/>
          <w:color w:val="auto"/>
        </w:rPr>
        <w:t>Indemnified Parties which are not parties to this Agreement shall be entitled to enforce their respective rights under Clause 11, subject as therein stated. Save to this extent, any rights which would otherwise arise under the Contracts (Rights of Third Parties) Act 1999 are hereby expressly excluded.</w:t>
      </w:r>
    </w:p>
    <w:p>
      <w:pPr>
        <w:spacing w:after="0" w:line="144"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 xml:space="preserve">IN WITNESS </w:t>
      </w:r>
      <w:r>
        <w:rPr>
          <w:rFonts w:ascii="Verdana" w:cs="Verdana" w:eastAsia="Verdana" w:hAnsi="Verdana"/>
          <w:sz w:val="13"/>
          <w:szCs w:val="13"/>
          <w:color w:val="auto"/>
        </w:rPr>
        <w:t>whereof the parties have executed and delivered this Agreement as a deed as of the date appearing on the first page.</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Verdana" w:cs="Verdana" w:eastAsia="Verdana" w:hAnsi="Verdana"/>
          <w:sz w:val="13"/>
          <w:szCs w:val="13"/>
          <w:color w:val="auto"/>
        </w:rPr>
        <w:t>9</w:t>
      </w:r>
    </w:p>
    <w:p>
      <w:pPr>
        <w:sectPr>
          <w:pgSz w:w="11900" w:h="16838" w:orient="portrait"/>
          <w:cols w:equalWidth="0" w:num="1">
            <w:col w:w="11280"/>
          </w:cols>
          <w:pgMar w:left="300" w:top="1232" w:right="319" w:bottom="1440" w:gutter="0" w:footer="0" w:header="0"/>
        </w:sectPr>
      </w:pPr>
    </w:p>
    <w:bookmarkStart w:id="245" w:name="page246"/>
    <w:bookmarkEnd w:id="245"/>
    <w:p>
      <w:pPr>
        <w:spacing w:after="0" w:line="174" w:lineRule="exact"/>
        <w:rPr>
          <w:sz w:val="20"/>
          <w:szCs w:val="20"/>
          <w:color w:val="auto"/>
        </w:rPr>
      </w:pPr>
    </w:p>
    <w:p>
      <w:pPr>
        <w:ind w:left="60"/>
        <w:spacing w:after="0"/>
        <w:tabs>
          <w:tab w:leader="none" w:pos="5800" w:val="left"/>
        </w:tabs>
        <w:rPr>
          <w:sz w:val="20"/>
          <w:szCs w:val="20"/>
          <w:color w:val="auto"/>
        </w:rPr>
      </w:pPr>
      <w:r>
        <w:rPr>
          <w:rFonts w:ascii="Verdana" w:cs="Verdana" w:eastAsia="Verdana" w:hAnsi="Verdana"/>
          <w:sz w:val="13"/>
          <w:szCs w:val="13"/>
          <w:color w:val="auto"/>
        </w:rPr>
        <w:t xml:space="preserve">Executed as a deed by </w:t>
      </w:r>
      <w:r>
        <w:rPr>
          <w:rFonts w:ascii="Verdana" w:cs="Verdana" w:eastAsia="Verdana" w:hAnsi="Verdana"/>
          <w:sz w:val="13"/>
          <w:szCs w:val="13"/>
          <w:b w:val="1"/>
          <w:bCs w:val="1"/>
          <w:color w:val="auto"/>
        </w:rPr>
        <w:t>Oaktree Capital Management, L.P.</w:t>
      </w:r>
      <w:r>
        <w:rPr>
          <w:sz w:val="20"/>
          <w:szCs w:val="20"/>
          <w:color w:val="auto"/>
        </w:rPr>
        <w:tab/>
      </w:r>
      <w:r>
        <w:rPr>
          <w:rFonts w:ascii="Verdana" w:cs="Verdana" w:eastAsia="Verdana" w:hAnsi="Verdana"/>
          <w:sz w:val="13"/>
          <w:szCs w:val="13"/>
          <w:color w:val="auto"/>
        </w:rPr>
        <w:t>)</w:t>
      </w:r>
    </w:p>
    <w:p>
      <w:pPr>
        <w:spacing w:after="0" w:line="12" w:lineRule="exact"/>
        <w:rPr>
          <w:sz w:val="20"/>
          <w:szCs w:val="20"/>
          <w:color w:val="auto"/>
        </w:rPr>
      </w:pPr>
    </w:p>
    <w:p>
      <w:pPr>
        <w:ind w:left="5820"/>
        <w:spacing w:after="0"/>
        <w:rPr>
          <w:sz w:val="20"/>
          <w:szCs w:val="20"/>
          <w:color w:val="auto"/>
        </w:rPr>
      </w:pPr>
      <w:r>
        <w:rPr>
          <w:rFonts w:ascii="Verdana" w:cs="Verdana" w:eastAsia="Verdana" w:hAnsi="Verdana"/>
          <w:sz w:val="13"/>
          <w:szCs w:val="13"/>
          <w:color w:val="auto"/>
        </w:rPr>
        <w:t>)</w:t>
      </w:r>
    </w:p>
    <w:p>
      <w:pPr>
        <w:spacing w:after="0" w:line="1" w:lineRule="exact"/>
        <w:rPr>
          <w:sz w:val="20"/>
          <w:szCs w:val="20"/>
          <w:color w:val="auto"/>
        </w:rPr>
      </w:pPr>
    </w:p>
    <w:p>
      <w:pPr>
        <w:ind w:left="5820"/>
        <w:spacing w:after="0"/>
        <w:rPr>
          <w:sz w:val="20"/>
          <w:szCs w:val="20"/>
          <w:color w:val="auto"/>
        </w:rPr>
      </w:pPr>
      <w:r>
        <w:rPr>
          <w:rFonts w:ascii="Verdana" w:cs="Verdana" w:eastAsia="Verdana" w:hAnsi="Verdana"/>
          <w:sz w:val="13"/>
          <w:szCs w:val="13"/>
          <w:color w:val="auto"/>
        </w:rPr>
        <w:t>)</w:t>
      </w:r>
    </w:p>
    <w:p>
      <w:pPr>
        <w:spacing w:after="0" w:line="1" w:lineRule="exact"/>
        <w:rPr>
          <w:sz w:val="20"/>
          <w:szCs w:val="20"/>
          <w:color w:val="auto"/>
        </w:rPr>
      </w:pPr>
    </w:p>
    <w:p>
      <w:pPr>
        <w:ind w:left="5820"/>
        <w:spacing w:after="0"/>
        <w:rPr>
          <w:sz w:val="20"/>
          <w:szCs w:val="20"/>
          <w:color w:val="auto"/>
        </w:rPr>
      </w:pPr>
      <w:r>
        <w:rPr>
          <w:rFonts w:ascii="Verdana" w:cs="Verdana" w:eastAsia="Verdana" w:hAnsi="Verdana"/>
          <w:sz w:val="13"/>
          <w:szCs w:val="13"/>
          <w:color w:val="auto"/>
        </w:rPr>
        <w:t>)</w:t>
      </w:r>
    </w:p>
    <w:p>
      <w:pPr>
        <w:spacing w:after="0" w:line="22" w:lineRule="exact"/>
        <w:rPr>
          <w:sz w:val="20"/>
          <w:szCs w:val="20"/>
          <w:color w:val="auto"/>
        </w:rPr>
      </w:pPr>
    </w:p>
    <w:p>
      <w:pPr>
        <w:jc w:val="center"/>
        <w:ind w:left="2140"/>
        <w:spacing w:after="0"/>
        <w:rPr>
          <w:sz w:val="20"/>
          <w:szCs w:val="20"/>
          <w:color w:val="auto"/>
        </w:rPr>
      </w:pPr>
      <w:r>
        <w:rPr>
          <w:rFonts w:ascii="Verdana" w:cs="Verdana" w:eastAsia="Verdana" w:hAnsi="Verdana"/>
          <w:sz w:val="13"/>
          <w:szCs w:val="13"/>
          <w:color w:val="auto"/>
        </w:rPr>
        <w:t>/s/ Todd Molz</w:t>
      </w:r>
    </w:p>
    <w:p>
      <w:pPr>
        <w:spacing w:after="0" w:line="33" w:lineRule="exact"/>
        <w:rPr>
          <w:sz w:val="20"/>
          <w:szCs w:val="20"/>
          <w:color w:val="auto"/>
        </w:rPr>
      </w:pPr>
    </w:p>
    <w:p>
      <w:pPr>
        <w:ind w:left="4360"/>
        <w:spacing w:after="0"/>
        <w:tabs>
          <w:tab w:leader="none" w:pos="6300" w:val="left"/>
        </w:tabs>
        <w:rPr>
          <w:sz w:val="20"/>
          <w:szCs w:val="20"/>
          <w:color w:val="auto"/>
        </w:rPr>
      </w:pPr>
      <w:r>
        <w:rPr>
          <w:rFonts w:ascii="Verdana" w:cs="Verdana" w:eastAsia="Verdana" w:hAnsi="Verdana"/>
          <w:sz w:val="13"/>
          <w:szCs w:val="13"/>
          <w:color w:val="auto"/>
        </w:rPr>
        <w:t>Authorised Signatory</w:t>
      </w:r>
      <w:r>
        <w:rPr>
          <w:sz w:val="20"/>
          <w:szCs w:val="20"/>
          <w:color w:val="auto"/>
        </w:rPr>
        <w:tab/>
      </w:r>
      <w:r>
        <w:rPr>
          <w:rFonts w:ascii="Verdana" w:cs="Verdana" w:eastAsia="Verdana" w:hAnsi="Verdana"/>
          <w:sz w:val="12"/>
          <w:szCs w:val="12"/>
          <w:color w:val="auto"/>
        </w:rPr>
        <w:t>………………………………………………………………….</w:t>
      </w:r>
    </w:p>
    <w:p>
      <w:pPr>
        <w:spacing w:after="0" w:line="12" w:lineRule="exact"/>
        <w:rPr>
          <w:sz w:val="20"/>
          <w:szCs w:val="20"/>
          <w:color w:val="auto"/>
        </w:rPr>
      </w:pPr>
    </w:p>
    <w:p>
      <w:pPr>
        <w:ind w:left="6320"/>
        <w:spacing w:after="0"/>
        <w:rPr>
          <w:sz w:val="20"/>
          <w:szCs w:val="20"/>
          <w:color w:val="auto"/>
        </w:rPr>
      </w:pPr>
      <w:r>
        <w:rPr>
          <w:rFonts w:ascii="Verdana" w:cs="Verdana" w:eastAsia="Verdana" w:hAnsi="Verdana"/>
          <w:sz w:val="13"/>
          <w:szCs w:val="13"/>
          <w:color w:val="auto"/>
        </w:rPr>
        <w:t>Todd Molz</w:t>
      </w:r>
    </w:p>
    <w:p>
      <w:pPr>
        <w:spacing w:after="0" w:line="22" w:lineRule="exact"/>
        <w:rPr>
          <w:sz w:val="20"/>
          <w:szCs w:val="20"/>
          <w:color w:val="auto"/>
        </w:rPr>
      </w:pPr>
    </w:p>
    <w:p>
      <w:pPr>
        <w:ind w:left="4360"/>
        <w:spacing w:after="0"/>
        <w:tabs>
          <w:tab w:leader="none" w:pos="6260" w:val="left"/>
        </w:tabs>
        <w:rPr>
          <w:sz w:val="20"/>
          <w:szCs w:val="20"/>
          <w:color w:val="auto"/>
        </w:rPr>
      </w:pPr>
      <w:r>
        <w:rPr>
          <w:rFonts w:ascii="Verdana" w:cs="Verdana" w:eastAsia="Verdana" w:hAnsi="Verdana"/>
          <w:sz w:val="13"/>
          <w:szCs w:val="13"/>
          <w:color w:val="auto"/>
        </w:rPr>
        <w:t>Authorised Signatory</w:t>
      </w:r>
      <w:r>
        <w:rPr>
          <w:sz w:val="20"/>
          <w:szCs w:val="20"/>
          <w:color w:val="auto"/>
        </w:rPr>
        <w:tab/>
      </w:r>
      <w:r>
        <w:rPr>
          <w:rFonts w:ascii="Verdana" w:cs="Verdana" w:eastAsia="Verdana" w:hAnsi="Verdana"/>
          <w:sz w:val="12"/>
          <w:szCs w:val="12"/>
          <w:color w:val="auto"/>
        </w:rPr>
        <w:t>/s/ Richard Ting</w:t>
      </w:r>
    </w:p>
    <w:p>
      <w:pPr>
        <w:spacing w:after="0" w:line="33" w:lineRule="exact"/>
        <w:rPr>
          <w:sz w:val="20"/>
          <w:szCs w:val="20"/>
          <w:color w:val="auto"/>
        </w:rPr>
      </w:pPr>
    </w:p>
    <w:p>
      <w:pPr>
        <w:ind w:left="6320"/>
        <w:spacing w:after="0"/>
        <w:rPr>
          <w:sz w:val="20"/>
          <w:szCs w:val="20"/>
          <w:color w:val="auto"/>
        </w:rPr>
      </w:pPr>
      <w:r>
        <w:rPr>
          <w:rFonts w:ascii="Verdana" w:cs="Verdana" w:eastAsia="Verdana" w:hAnsi="Verdana"/>
          <w:sz w:val="12"/>
          <w:szCs w:val="12"/>
          <w:color w:val="auto"/>
        </w:rPr>
        <w:t>………………………………………………………………….</w:t>
      </w:r>
    </w:p>
    <w:p>
      <w:pPr>
        <w:spacing w:after="0" w:line="24" w:lineRule="exact"/>
        <w:rPr>
          <w:sz w:val="20"/>
          <w:szCs w:val="20"/>
          <w:color w:val="auto"/>
        </w:rPr>
      </w:pPr>
    </w:p>
    <w:p>
      <w:pPr>
        <w:ind w:left="6320"/>
        <w:spacing w:after="0"/>
        <w:rPr>
          <w:sz w:val="20"/>
          <w:szCs w:val="20"/>
          <w:color w:val="auto"/>
        </w:rPr>
      </w:pPr>
      <w:r>
        <w:rPr>
          <w:rFonts w:ascii="Verdana" w:cs="Verdana" w:eastAsia="Verdana" w:hAnsi="Verdana"/>
          <w:sz w:val="13"/>
          <w:szCs w:val="13"/>
          <w:color w:val="auto"/>
        </w:rPr>
        <w:t>Richard Ting</w:t>
      </w:r>
    </w:p>
    <w:p>
      <w:pPr>
        <w:spacing w:after="0" w:line="97"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 xml:space="preserve">IN WITNESS </w:t>
      </w:r>
      <w:r>
        <w:rPr>
          <w:rFonts w:ascii="Verdana" w:cs="Verdana" w:eastAsia="Verdana" w:hAnsi="Verdana"/>
          <w:sz w:val="13"/>
          <w:szCs w:val="13"/>
          <w:color w:val="auto"/>
        </w:rPr>
        <w:t>whereof this deed has been executed and delivered on the date first above written:</w:t>
      </w:r>
    </w:p>
    <w:p>
      <w:pPr>
        <w:sectPr>
          <w:pgSz w:w="11900" w:h="16838" w:orient="portrait"/>
          <w:cols w:equalWidth="0" w:num="1">
            <w:col w:w="10159"/>
          </w:cols>
          <w:pgMar w:left="3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tabs>
          <w:tab w:leader="none" w:pos="5800" w:val="left"/>
        </w:tabs>
        <w:rPr>
          <w:sz w:val="20"/>
          <w:szCs w:val="20"/>
          <w:color w:val="auto"/>
        </w:rPr>
      </w:pPr>
      <w:r>
        <w:rPr>
          <w:rFonts w:ascii="Verdana" w:cs="Verdana" w:eastAsia="Verdana" w:hAnsi="Verdana"/>
          <w:sz w:val="13"/>
          <w:szCs w:val="13"/>
          <w:color w:val="auto"/>
        </w:rPr>
        <w:t>Executed as a deed by</w:t>
      </w:r>
      <w:r>
        <w:rPr>
          <w:sz w:val="20"/>
          <w:szCs w:val="20"/>
          <w:color w:val="auto"/>
        </w:rPr>
        <w:tab/>
      </w:r>
      <w:r>
        <w:rPr>
          <w:rFonts w:ascii="Verdana" w:cs="Verdana" w:eastAsia="Verdana" w:hAnsi="Verdana"/>
          <w:sz w:val="13"/>
          <w:szCs w:val="13"/>
          <w:color w:val="auto"/>
        </w:rPr>
        <w:t>)</w:t>
      </w:r>
    </w:p>
    <w:p>
      <w:pPr>
        <w:spacing w:after="0" w:line="1" w:lineRule="exact"/>
        <w:rPr>
          <w:sz w:val="20"/>
          <w:szCs w:val="20"/>
          <w:color w:val="auto"/>
        </w:rPr>
      </w:pPr>
    </w:p>
    <w:p>
      <w:pPr>
        <w:ind w:left="60"/>
        <w:spacing w:after="0"/>
        <w:tabs>
          <w:tab w:leader="none" w:pos="5800" w:val="left"/>
        </w:tabs>
        <w:rPr>
          <w:sz w:val="20"/>
          <w:szCs w:val="20"/>
          <w:color w:val="auto"/>
        </w:rPr>
      </w:pPr>
      <w:r>
        <w:rPr>
          <w:rFonts w:ascii="Verdana" w:cs="Verdana" w:eastAsia="Verdana" w:hAnsi="Verdana"/>
          <w:sz w:val="13"/>
          <w:szCs w:val="13"/>
          <w:b w:val="1"/>
          <w:bCs w:val="1"/>
          <w:color w:val="auto"/>
        </w:rPr>
        <w:t>Oaktree Capital Management (International) Limited</w:t>
      </w:r>
      <w:r>
        <w:rPr>
          <w:rFonts w:ascii="Verdana" w:cs="Verdana" w:eastAsia="Verdana" w:hAnsi="Verdana"/>
          <w:sz w:val="13"/>
          <w:szCs w:val="13"/>
          <w:color w:val="auto"/>
        </w:rPr>
        <w:t>, acting by two</w:t>
      </w:r>
      <w:r>
        <w:rPr>
          <w:sz w:val="20"/>
          <w:szCs w:val="20"/>
          <w:color w:val="auto"/>
        </w:rPr>
        <w:tab/>
      </w:r>
      <w:r>
        <w:rPr>
          <w:rFonts w:ascii="Verdana" w:cs="Verdana" w:eastAsia="Verdana" w:hAnsi="Verdana"/>
          <w:sz w:val="13"/>
          <w:szCs w:val="13"/>
          <w:color w:val="auto"/>
        </w:rPr>
        <w:t>)</w:t>
      </w:r>
    </w:p>
    <w:p>
      <w:pPr>
        <w:spacing w:after="0" w:line="1" w:lineRule="exact"/>
        <w:rPr>
          <w:sz w:val="20"/>
          <w:szCs w:val="20"/>
          <w:color w:val="auto"/>
        </w:rPr>
      </w:pPr>
    </w:p>
    <w:p>
      <w:pPr>
        <w:ind w:left="60"/>
        <w:spacing w:after="0"/>
        <w:tabs>
          <w:tab w:leader="none" w:pos="5800" w:val="left"/>
        </w:tabs>
        <w:rPr>
          <w:sz w:val="20"/>
          <w:szCs w:val="20"/>
          <w:color w:val="auto"/>
        </w:rPr>
      </w:pPr>
      <w:r>
        <w:rPr>
          <w:rFonts w:ascii="Verdana" w:cs="Verdana" w:eastAsia="Verdana" w:hAnsi="Verdana"/>
          <w:sz w:val="13"/>
          <w:szCs w:val="13"/>
          <w:color w:val="auto"/>
        </w:rPr>
        <w:t>directors:</w:t>
      </w:r>
      <w:r>
        <w:rPr>
          <w:sz w:val="20"/>
          <w:szCs w:val="20"/>
          <w:color w:val="auto"/>
        </w:rPr>
        <w:tab/>
      </w:r>
      <w:r>
        <w:rPr>
          <w:rFonts w:ascii="Verdana" w:cs="Verdana" w:eastAsia="Verdana" w:hAnsi="Verdana"/>
          <w:sz w:val="13"/>
          <w:szCs w:val="13"/>
          <w:color w:val="auto"/>
        </w:rPr>
        <w:t>)</w:t>
      </w:r>
    </w:p>
    <w:p>
      <w:pPr>
        <w:spacing w:after="0" w:line="12" w:lineRule="exact"/>
        <w:rPr>
          <w:sz w:val="20"/>
          <w:szCs w:val="20"/>
          <w:color w:val="auto"/>
        </w:rPr>
      </w:pPr>
    </w:p>
    <w:p>
      <w:pPr>
        <w:jc w:val="right"/>
        <w:spacing w:after="0"/>
        <w:rPr>
          <w:sz w:val="20"/>
          <w:szCs w:val="20"/>
          <w:color w:val="auto"/>
        </w:rPr>
      </w:pPr>
      <w:r>
        <w:rPr>
          <w:rFonts w:ascii="Verdana" w:cs="Verdana" w:eastAsia="Verdana" w:hAnsi="Verdana"/>
          <w:sz w:val="13"/>
          <w:szCs w:val="13"/>
          <w:color w:val="auto"/>
        </w:rPr>
        <w:t>)</w:t>
      </w:r>
    </w:p>
    <w:p>
      <w:pPr>
        <w:spacing w:after="0" w:line="1" w:lineRule="exact"/>
        <w:rPr>
          <w:sz w:val="20"/>
          <w:szCs w:val="20"/>
          <w:color w:val="auto"/>
        </w:rPr>
      </w:pPr>
    </w:p>
    <w:p>
      <w:pPr>
        <w:jc w:val="right"/>
        <w:spacing w:after="0"/>
        <w:rPr>
          <w:sz w:val="20"/>
          <w:szCs w:val="20"/>
          <w:color w:val="auto"/>
        </w:rPr>
      </w:pPr>
      <w:r>
        <w:rPr>
          <w:rFonts w:ascii="Verdana" w:cs="Verdana" w:eastAsia="Verdana" w:hAnsi="Verdana"/>
          <w:sz w:val="13"/>
          <w:szCs w:val="13"/>
          <w:color w:val="auto"/>
        </w:rPr>
        <w:t>)</w:t>
      </w:r>
    </w:p>
    <w:p>
      <w:pPr>
        <w:spacing w:after="0" w:line="245" w:lineRule="exact"/>
        <w:rPr>
          <w:sz w:val="20"/>
          <w:szCs w:val="20"/>
          <w:color w:val="auto"/>
        </w:rPr>
      </w:pPr>
    </w:p>
    <w:p>
      <w:pPr>
        <w:ind w:left="5220"/>
        <w:spacing w:after="0"/>
        <w:rPr>
          <w:sz w:val="20"/>
          <w:szCs w:val="20"/>
          <w:color w:val="auto"/>
        </w:rPr>
      </w:pPr>
      <w:r>
        <w:rPr>
          <w:rFonts w:ascii="Verdana" w:cs="Verdana" w:eastAsia="Verdana" w:hAnsi="Verdana"/>
          <w:sz w:val="13"/>
          <w:szCs w:val="13"/>
          <w:color w:val="auto"/>
        </w:rPr>
        <w:t>Director</w:t>
      </w:r>
    </w:p>
    <w:p>
      <w:pPr>
        <w:spacing w:after="0" w:line="200" w:lineRule="exact"/>
        <w:rPr>
          <w:sz w:val="20"/>
          <w:szCs w:val="20"/>
          <w:color w:val="auto"/>
        </w:rPr>
      </w:pPr>
    </w:p>
    <w:p>
      <w:pPr>
        <w:spacing w:after="0" w:line="374" w:lineRule="exact"/>
        <w:rPr>
          <w:sz w:val="20"/>
          <w:szCs w:val="20"/>
          <w:color w:val="auto"/>
        </w:rPr>
      </w:pPr>
    </w:p>
    <w:p>
      <w:pPr>
        <w:ind w:left="5220"/>
        <w:spacing w:after="0"/>
        <w:rPr>
          <w:sz w:val="20"/>
          <w:szCs w:val="20"/>
          <w:color w:val="auto"/>
        </w:rPr>
      </w:pPr>
      <w:r>
        <w:rPr>
          <w:rFonts w:ascii="Verdana" w:cs="Verdana" w:eastAsia="Verdana" w:hAnsi="Verdana"/>
          <w:sz w:val="13"/>
          <w:szCs w:val="13"/>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Verdana" w:cs="Verdana" w:eastAsia="Verdana" w:hAnsi="Verdana"/>
          <w:sz w:val="13"/>
          <w:szCs w:val="13"/>
          <w:color w:val="auto"/>
        </w:rPr>
        <w:t>/s/ Dominic Keenan</w:t>
      </w:r>
    </w:p>
    <w:p>
      <w:pPr>
        <w:spacing w:after="0" w:line="1" w:lineRule="exact"/>
        <w:rPr>
          <w:sz w:val="20"/>
          <w:szCs w:val="20"/>
          <w:color w:val="auto"/>
        </w:rPr>
      </w:pPr>
    </w:p>
    <w:p>
      <w:pPr>
        <w:spacing w:after="0"/>
        <w:rPr>
          <w:sz w:val="20"/>
          <w:szCs w:val="20"/>
          <w:color w:val="auto"/>
        </w:rPr>
      </w:pPr>
      <w:r>
        <w:rPr>
          <w:rFonts w:ascii="Verdana" w:cs="Verdana" w:eastAsia="Verdana" w:hAnsi="Verdana"/>
          <w:sz w:val="12"/>
          <w:szCs w:val="12"/>
          <w:color w:val="auto"/>
        </w:rPr>
        <w:t>………………………………………………………………….</w:t>
      </w:r>
    </w:p>
    <w:p>
      <w:pPr>
        <w:spacing w:after="0" w:line="13" w:lineRule="exact"/>
        <w:rPr>
          <w:sz w:val="20"/>
          <w:szCs w:val="20"/>
          <w:color w:val="auto"/>
        </w:rPr>
      </w:pPr>
    </w:p>
    <w:p>
      <w:pPr>
        <w:spacing w:after="0"/>
        <w:rPr>
          <w:sz w:val="20"/>
          <w:szCs w:val="20"/>
          <w:color w:val="auto"/>
        </w:rPr>
      </w:pPr>
      <w:r>
        <w:rPr>
          <w:rFonts w:ascii="Verdana" w:cs="Verdana" w:eastAsia="Verdana" w:hAnsi="Verdana"/>
          <w:sz w:val="13"/>
          <w:szCs w:val="13"/>
          <w:color w:val="auto"/>
        </w:rPr>
        <w:t>Dominic Keenan</w:t>
      </w:r>
    </w:p>
    <w:p>
      <w:pPr>
        <w:spacing w:after="0" w:line="203" w:lineRule="exact"/>
        <w:rPr>
          <w:sz w:val="20"/>
          <w:szCs w:val="20"/>
          <w:color w:val="auto"/>
        </w:rPr>
      </w:pPr>
    </w:p>
    <w:p>
      <w:pPr>
        <w:spacing w:after="0"/>
        <w:rPr>
          <w:sz w:val="20"/>
          <w:szCs w:val="20"/>
          <w:color w:val="auto"/>
        </w:rPr>
      </w:pPr>
      <w:r>
        <w:rPr>
          <w:rFonts w:ascii="Verdana" w:cs="Verdana" w:eastAsia="Verdana" w:hAnsi="Verdana"/>
          <w:sz w:val="13"/>
          <w:szCs w:val="13"/>
          <w:color w:val="auto"/>
        </w:rPr>
        <w:t>/s/ Todd Molz</w:t>
      </w:r>
    </w:p>
    <w:p>
      <w:pPr>
        <w:spacing w:after="0" w:line="1" w:lineRule="exact"/>
        <w:rPr>
          <w:sz w:val="20"/>
          <w:szCs w:val="20"/>
          <w:color w:val="auto"/>
        </w:rPr>
      </w:pPr>
    </w:p>
    <w:p>
      <w:pPr>
        <w:spacing w:after="0"/>
        <w:rPr>
          <w:sz w:val="20"/>
          <w:szCs w:val="20"/>
          <w:color w:val="auto"/>
        </w:rPr>
      </w:pPr>
      <w:r>
        <w:rPr>
          <w:rFonts w:ascii="Verdana" w:cs="Verdana" w:eastAsia="Verdana" w:hAnsi="Verdana"/>
          <w:sz w:val="12"/>
          <w:szCs w:val="12"/>
          <w:color w:val="auto"/>
        </w:rPr>
        <w:t>………………………………………………………………….</w:t>
      </w:r>
    </w:p>
    <w:p>
      <w:pPr>
        <w:spacing w:after="0" w:line="13" w:lineRule="exact"/>
        <w:rPr>
          <w:sz w:val="20"/>
          <w:szCs w:val="20"/>
          <w:color w:val="auto"/>
        </w:rPr>
      </w:pPr>
    </w:p>
    <w:p>
      <w:pPr>
        <w:spacing w:after="0"/>
        <w:rPr>
          <w:sz w:val="20"/>
          <w:szCs w:val="20"/>
          <w:color w:val="auto"/>
        </w:rPr>
      </w:pPr>
      <w:r>
        <w:rPr>
          <w:rFonts w:ascii="Verdana" w:cs="Verdana" w:eastAsia="Verdana" w:hAnsi="Verdana"/>
          <w:sz w:val="13"/>
          <w:szCs w:val="13"/>
          <w:color w:val="auto"/>
        </w:rPr>
        <w:t>Todd Molz</w:t>
      </w:r>
    </w:p>
    <w:p>
      <w:pPr>
        <w:spacing w:after="0" w:line="200" w:lineRule="exact"/>
        <w:rPr>
          <w:sz w:val="20"/>
          <w:szCs w:val="20"/>
          <w:color w:val="auto"/>
        </w:rPr>
      </w:pPr>
    </w:p>
    <w:p>
      <w:pPr>
        <w:sectPr>
          <w:pgSz w:w="11900" w:h="16838" w:orient="portrait"/>
          <w:cols w:equalWidth="0" w:num="2">
            <w:col w:w="5880" w:space="380"/>
            <w:col w:w="3899"/>
          </w:cols>
          <w:pgMar w:left="30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00"/>
        <w:spacing w:after="0"/>
        <w:rPr>
          <w:sz w:val="20"/>
          <w:szCs w:val="20"/>
          <w:color w:val="auto"/>
        </w:rPr>
      </w:pPr>
      <w:r>
        <w:rPr>
          <w:rFonts w:ascii="Verdana" w:cs="Verdana" w:eastAsia="Verdana" w:hAnsi="Verdana"/>
          <w:sz w:val="12"/>
          <w:szCs w:val="12"/>
          <w:color w:val="auto"/>
        </w:rPr>
        <w:t>10</w:t>
      </w:r>
    </w:p>
    <w:p>
      <w:pPr>
        <w:sectPr>
          <w:pgSz w:w="11900" w:h="16838" w:orient="portrait"/>
          <w:cols w:equalWidth="0" w:num="1">
            <w:col w:w="10159"/>
          </w:cols>
          <w:pgMar w:left="300" w:top="1440" w:right="1440" w:bottom="1440" w:gutter="0" w:footer="0" w:header="0"/>
          <w:type w:val="continuous"/>
        </w:sectPr>
      </w:pPr>
    </w:p>
    <w:bookmarkStart w:id="246" w:name="page247"/>
    <w:bookmarkEnd w:id="246"/>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 Jay S. Wintrob, certify that:</w:t>
      </w:r>
    </w:p>
    <w:p>
      <w:pPr>
        <w:spacing w:after="0" w:line="136" w:lineRule="exact"/>
        <w:rPr>
          <w:sz w:val="20"/>
          <w:szCs w:val="20"/>
          <w:color w:val="auto"/>
        </w:rPr>
      </w:pPr>
    </w:p>
    <w:p>
      <w:pPr>
        <w:ind w:left="300" w:hanging="263"/>
        <w:spacing w:after="0"/>
        <w:tabs>
          <w:tab w:leader="none" w:pos="3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for the quarter ended June 30, 2022 of Oaktree Capital Group, LLC;</w:t>
      </w:r>
    </w:p>
    <w:p>
      <w:pPr>
        <w:spacing w:after="0" w:line="136" w:lineRule="exact"/>
        <w:rPr>
          <w:rFonts w:ascii="Arial" w:cs="Arial" w:eastAsia="Arial" w:hAnsi="Arial"/>
          <w:sz w:val="14"/>
          <w:szCs w:val="14"/>
          <w:color w:val="auto"/>
        </w:rPr>
      </w:pPr>
    </w:p>
    <w:p>
      <w:pPr>
        <w:ind w:left="360" w:right="80" w:hanging="323"/>
        <w:spacing w:after="0" w:line="290" w:lineRule="auto"/>
        <w:tabs>
          <w:tab w:leader="none" w:pos="301" w:val="left"/>
        </w:tabs>
        <w:numPr>
          <w:ilvl w:val="0"/>
          <w:numId w:val="7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4"/>
          <w:szCs w:val="14"/>
          <w:color w:val="auto"/>
        </w:rPr>
      </w:pPr>
    </w:p>
    <w:p>
      <w:pPr>
        <w:ind w:left="360" w:right="140" w:hanging="323"/>
        <w:spacing w:after="0" w:line="290" w:lineRule="auto"/>
        <w:tabs>
          <w:tab w:leader="none" w:pos="301" w:val="left"/>
        </w:tabs>
        <w:numPr>
          <w:ilvl w:val="0"/>
          <w:numId w:val="7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14"/>
          <w:szCs w:val="14"/>
          <w:color w:val="auto"/>
        </w:rPr>
      </w:pPr>
    </w:p>
    <w:p>
      <w:pPr>
        <w:ind w:left="360" w:right="320" w:hanging="323"/>
        <w:spacing w:after="0" w:line="290" w:lineRule="auto"/>
        <w:tabs>
          <w:tab w:leader="none" w:pos="301"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4"/>
          <w:szCs w:val="14"/>
          <w:color w:val="auto"/>
        </w:rPr>
      </w:pPr>
    </w:p>
    <w:p>
      <w:pPr>
        <w:ind w:left="680" w:right="20" w:hanging="325"/>
        <w:spacing w:after="0" w:line="271" w:lineRule="auto"/>
        <w:tabs>
          <w:tab w:leader="none" w:pos="629" w:val="left"/>
        </w:tabs>
        <w:numPr>
          <w:ilvl w:val="1"/>
          <w:numId w:val="7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1" w:lineRule="exact"/>
        <w:rPr>
          <w:rFonts w:ascii="Arial" w:cs="Arial" w:eastAsia="Arial" w:hAnsi="Arial"/>
          <w:sz w:val="14"/>
          <w:szCs w:val="14"/>
          <w:color w:val="auto"/>
        </w:rPr>
      </w:pPr>
    </w:p>
    <w:p>
      <w:pPr>
        <w:ind w:left="680" w:hanging="325"/>
        <w:spacing w:after="0" w:line="271" w:lineRule="auto"/>
        <w:tabs>
          <w:tab w:leader="none" w:pos="629" w:val="left"/>
        </w:tabs>
        <w:numPr>
          <w:ilvl w:val="1"/>
          <w:numId w:val="7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Arial" w:cs="Arial" w:eastAsia="Arial" w:hAnsi="Arial"/>
          <w:sz w:val="14"/>
          <w:szCs w:val="14"/>
          <w:color w:val="auto"/>
        </w:rPr>
      </w:pPr>
    </w:p>
    <w:p>
      <w:pPr>
        <w:ind w:left="680" w:right="240" w:hanging="325"/>
        <w:spacing w:after="0" w:line="290" w:lineRule="auto"/>
        <w:tabs>
          <w:tab w:leader="none" w:pos="621" w:val="left"/>
        </w:tabs>
        <w:numPr>
          <w:ilvl w:val="1"/>
          <w:numId w:val="7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14"/>
          <w:szCs w:val="14"/>
          <w:color w:val="auto"/>
        </w:rPr>
      </w:pPr>
    </w:p>
    <w:p>
      <w:pPr>
        <w:ind w:left="680" w:right="20" w:hanging="325"/>
        <w:spacing w:after="0" w:line="271" w:lineRule="auto"/>
        <w:tabs>
          <w:tab w:leader="none" w:pos="629" w:val="left"/>
        </w:tabs>
        <w:numPr>
          <w:ilvl w:val="1"/>
          <w:numId w:val="7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Arial" w:cs="Arial" w:eastAsia="Arial" w:hAnsi="Arial"/>
          <w:sz w:val="14"/>
          <w:szCs w:val="14"/>
          <w:color w:val="auto"/>
        </w:rPr>
      </w:pPr>
    </w:p>
    <w:p>
      <w:pPr>
        <w:ind w:left="360" w:right="200" w:hanging="323"/>
        <w:spacing w:after="0" w:line="290" w:lineRule="auto"/>
        <w:tabs>
          <w:tab w:leader="none" w:pos="301"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14"/>
          <w:szCs w:val="14"/>
          <w:color w:val="auto"/>
        </w:rPr>
      </w:pPr>
    </w:p>
    <w:p>
      <w:pPr>
        <w:ind w:left="680" w:right="40" w:hanging="325"/>
        <w:spacing w:after="0" w:line="290" w:lineRule="auto"/>
        <w:tabs>
          <w:tab w:leader="none" w:pos="629" w:val="left"/>
        </w:tabs>
        <w:numPr>
          <w:ilvl w:val="1"/>
          <w:numId w:val="7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14"/>
          <w:szCs w:val="14"/>
          <w:color w:val="auto"/>
        </w:rPr>
      </w:pPr>
    </w:p>
    <w:p>
      <w:pPr>
        <w:ind w:right="260" w:firstLine="355"/>
        <w:spacing w:after="0" w:line="480" w:lineRule="auto"/>
        <w:tabs>
          <w:tab w:leader="none" w:pos="617" w:val="left"/>
        </w:tabs>
        <w:numPr>
          <w:ilvl w:val="1"/>
          <w:numId w:val="7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 August 12, 2022</w:t>
      </w:r>
    </w:p>
    <w:p>
      <w:pPr>
        <w:spacing w:after="0" w:line="322"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/s/ Jay S. Wintrob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14605</wp:posOffset>
            </wp:positionV>
            <wp:extent cx="323405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10"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Jay S. Wintrob</w:t>
      </w:r>
    </w:p>
    <w:p>
      <w:pPr>
        <w:spacing w:after="0" w:line="25"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Chief Executive Officer</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857" w:right="3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 Daniel D. Levin, certify that:</w:t>
      </w:r>
    </w:p>
    <w:p>
      <w:pPr>
        <w:spacing w:after="0" w:line="136" w:lineRule="exact"/>
        <w:rPr>
          <w:sz w:val="20"/>
          <w:szCs w:val="20"/>
          <w:color w:val="auto"/>
        </w:rPr>
      </w:pPr>
    </w:p>
    <w:p>
      <w:pPr>
        <w:ind w:left="300" w:hanging="263"/>
        <w:spacing w:after="0"/>
        <w:tabs>
          <w:tab w:leader="none" w:pos="3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for the quarter ended June 30, 2022 of Oaktree Capital Group, LLC;</w:t>
      </w:r>
    </w:p>
    <w:p>
      <w:pPr>
        <w:spacing w:after="0" w:line="136" w:lineRule="exact"/>
        <w:rPr>
          <w:rFonts w:ascii="Arial" w:cs="Arial" w:eastAsia="Arial" w:hAnsi="Arial"/>
          <w:sz w:val="14"/>
          <w:szCs w:val="14"/>
          <w:color w:val="auto"/>
        </w:rPr>
      </w:pPr>
    </w:p>
    <w:p>
      <w:pPr>
        <w:ind w:left="360" w:right="80" w:hanging="323"/>
        <w:spacing w:after="0" w:line="290" w:lineRule="auto"/>
        <w:tabs>
          <w:tab w:leader="none" w:pos="301"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4"/>
          <w:szCs w:val="14"/>
          <w:color w:val="auto"/>
        </w:rPr>
      </w:pPr>
    </w:p>
    <w:p>
      <w:pPr>
        <w:ind w:left="360" w:right="140" w:hanging="323"/>
        <w:spacing w:after="0" w:line="290" w:lineRule="auto"/>
        <w:tabs>
          <w:tab w:leader="none" w:pos="301"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14"/>
          <w:szCs w:val="14"/>
          <w:color w:val="auto"/>
        </w:rPr>
      </w:pPr>
    </w:p>
    <w:p>
      <w:pPr>
        <w:ind w:left="360" w:right="320" w:hanging="323"/>
        <w:spacing w:after="0" w:line="290" w:lineRule="auto"/>
        <w:tabs>
          <w:tab w:leader="none" w:pos="301"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4"/>
          <w:szCs w:val="14"/>
          <w:color w:val="auto"/>
        </w:rPr>
      </w:pPr>
    </w:p>
    <w:p>
      <w:pPr>
        <w:ind w:left="680" w:right="20" w:hanging="325"/>
        <w:spacing w:after="0" w:line="271" w:lineRule="auto"/>
        <w:tabs>
          <w:tab w:leader="none" w:pos="629" w:val="left"/>
        </w:tabs>
        <w:numPr>
          <w:ilvl w:val="1"/>
          <w:numId w:val="7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1" w:lineRule="exact"/>
        <w:rPr>
          <w:rFonts w:ascii="Arial" w:cs="Arial" w:eastAsia="Arial" w:hAnsi="Arial"/>
          <w:sz w:val="14"/>
          <w:szCs w:val="14"/>
          <w:color w:val="auto"/>
        </w:rPr>
      </w:pPr>
    </w:p>
    <w:p>
      <w:pPr>
        <w:ind w:left="680" w:hanging="325"/>
        <w:spacing w:after="0" w:line="271" w:lineRule="auto"/>
        <w:tabs>
          <w:tab w:leader="none" w:pos="629" w:val="left"/>
        </w:tabs>
        <w:numPr>
          <w:ilvl w:val="1"/>
          <w:numId w:val="7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Arial" w:cs="Arial" w:eastAsia="Arial" w:hAnsi="Arial"/>
          <w:sz w:val="14"/>
          <w:szCs w:val="14"/>
          <w:color w:val="auto"/>
        </w:rPr>
      </w:pPr>
    </w:p>
    <w:p>
      <w:pPr>
        <w:ind w:left="680" w:right="240" w:hanging="325"/>
        <w:spacing w:after="0" w:line="290" w:lineRule="auto"/>
        <w:tabs>
          <w:tab w:leader="none" w:pos="621" w:val="left"/>
        </w:tabs>
        <w:numPr>
          <w:ilvl w:val="1"/>
          <w:numId w:val="7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14"/>
          <w:szCs w:val="14"/>
          <w:color w:val="auto"/>
        </w:rPr>
      </w:pPr>
    </w:p>
    <w:p>
      <w:pPr>
        <w:ind w:left="680" w:right="20" w:hanging="325"/>
        <w:spacing w:after="0" w:line="271" w:lineRule="auto"/>
        <w:tabs>
          <w:tab w:leader="none" w:pos="629" w:val="left"/>
        </w:tabs>
        <w:numPr>
          <w:ilvl w:val="1"/>
          <w:numId w:val="7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Arial" w:cs="Arial" w:eastAsia="Arial" w:hAnsi="Arial"/>
          <w:sz w:val="14"/>
          <w:szCs w:val="14"/>
          <w:color w:val="auto"/>
        </w:rPr>
      </w:pPr>
    </w:p>
    <w:p>
      <w:pPr>
        <w:ind w:left="360" w:right="200" w:hanging="323"/>
        <w:spacing w:after="0" w:line="290" w:lineRule="auto"/>
        <w:tabs>
          <w:tab w:leader="none" w:pos="301"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14"/>
          <w:szCs w:val="14"/>
          <w:color w:val="auto"/>
        </w:rPr>
      </w:pPr>
    </w:p>
    <w:p>
      <w:pPr>
        <w:ind w:left="680" w:right="40" w:hanging="325"/>
        <w:spacing w:after="0" w:line="290" w:lineRule="auto"/>
        <w:tabs>
          <w:tab w:leader="none" w:pos="629" w:val="left"/>
        </w:tabs>
        <w:numPr>
          <w:ilvl w:val="1"/>
          <w:numId w:val="7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14"/>
          <w:szCs w:val="14"/>
          <w:color w:val="auto"/>
        </w:rPr>
      </w:pPr>
    </w:p>
    <w:p>
      <w:pPr>
        <w:ind w:right="260" w:firstLine="355"/>
        <w:spacing w:after="0" w:line="480" w:lineRule="auto"/>
        <w:tabs>
          <w:tab w:leader="none" w:pos="617" w:val="left"/>
        </w:tabs>
        <w:numPr>
          <w:ilvl w:val="1"/>
          <w:numId w:val="7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 August 12, 2022</w:t>
      </w:r>
    </w:p>
    <w:p>
      <w:pPr>
        <w:spacing w:after="0" w:line="322"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/s/ Daniel D.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14605</wp:posOffset>
            </wp:positionV>
            <wp:extent cx="323405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10"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Daniel D. Levin</w:t>
      </w:r>
    </w:p>
    <w:p>
      <w:pPr>
        <w:spacing w:after="0" w:line="25"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(Principal Financial Officer)</w:t>
      </w:r>
    </w:p>
    <w:p>
      <w:pPr>
        <w:sectPr>
          <w:pgSz w:w="11900" w:h="16838" w:orient="portrait"/>
          <w:cols w:equalWidth="0" w:num="1">
            <w:col w:w="11280"/>
          </w:cols>
          <w:pgMar w:left="300" w:top="729" w:right="319" w:bottom="1440" w:gutter="0" w:footer="0" w:header="0"/>
        </w:sectPr>
      </w:pPr>
    </w:p>
    <w:bookmarkStart w:id="248" w:name="page249"/>
    <w:bookmarkEnd w:id="248"/>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22" w:lineRule="exact"/>
        <w:rPr>
          <w:sz w:val="20"/>
          <w:szCs w:val="20"/>
          <w:color w:val="auto"/>
        </w:rPr>
      </w:pPr>
    </w:p>
    <w:p>
      <w:pPr>
        <w:jc w:val="both"/>
        <w:ind w:right="120" w:firstLine="509"/>
        <w:spacing w:after="0" w:line="271" w:lineRule="auto"/>
        <w:rPr>
          <w:sz w:val="20"/>
          <w:szCs w:val="20"/>
          <w:color w:val="auto"/>
        </w:rPr>
      </w:pPr>
      <w:r>
        <w:rPr>
          <w:rFonts w:ascii="Arial" w:cs="Arial" w:eastAsia="Arial" w:hAnsi="Arial"/>
          <w:sz w:val="14"/>
          <w:szCs w:val="14"/>
          <w:color w:val="auto"/>
        </w:rPr>
        <w:t>In connection with the Quarterly Report on Form 10-Q of Oaktree Capital Group, LLC (the “Company”) for the quarter ended June 30, 2022 as filed with the Securities and Exchange Commission on the date hereof (the “Report”), I, Jay S. Wintrob, certify, pursuant to 18 U.S.C. § 1350, as adopted pursuant to Section 906 of the Sarbanes-Oxley Act of 2002, that:</w:t>
      </w:r>
    </w:p>
    <w:p>
      <w:pPr>
        <w:spacing w:after="0" w:line="91" w:lineRule="exact"/>
        <w:rPr>
          <w:sz w:val="20"/>
          <w:szCs w:val="20"/>
          <w:color w:val="auto"/>
        </w:rPr>
      </w:pPr>
    </w:p>
    <w:p>
      <w:pPr>
        <w:ind w:left="360" w:hanging="323"/>
        <w:spacing w:after="0"/>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360" w:right="480" w:hanging="323"/>
        <w:spacing w:after="0" w:line="290" w:lineRule="auto"/>
        <w:tabs>
          <w:tab w:leader="none" w:pos="356"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at the dates and for the periods presented.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Date: August 12, 2022</w:t>
      </w:r>
    </w:p>
    <w:p>
      <w:pPr>
        <w:spacing w:after="0" w:line="189"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/s/ Jay S. Wintrob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14605</wp:posOffset>
            </wp:positionV>
            <wp:extent cx="323405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10"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Jay S. Wintrob</w:t>
      </w:r>
    </w:p>
    <w:p>
      <w:pPr>
        <w:spacing w:after="0" w:line="25"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Chief Executive Officer</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(Principal Executive Officer)</w:t>
      </w:r>
    </w:p>
    <w:p>
      <w:pPr>
        <w:spacing w:after="0" w:line="130" w:lineRule="exact"/>
        <w:rPr>
          <w:sz w:val="20"/>
          <w:szCs w:val="20"/>
          <w:color w:val="auto"/>
        </w:rPr>
      </w:pPr>
    </w:p>
    <w:p>
      <w:pPr>
        <w:ind w:right="640" w:firstLine="668"/>
        <w:spacing w:after="0" w:line="290" w:lineRule="auto"/>
        <w:rPr>
          <w:sz w:val="20"/>
          <w:szCs w:val="20"/>
          <w:color w:val="auto"/>
        </w:rPr>
      </w:pPr>
      <w:r>
        <w:rPr>
          <w:rFonts w:ascii="Arial" w:cs="Arial" w:eastAsia="Arial" w:hAnsi="Arial"/>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78" w:lineRule="exact"/>
        <w:rPr>
          <w:sz w:val="20"/>
          <w:szCs w:val="20"/>
          <w:color w:val="auto"/>
        </w:rPr>
      </w:pPr>
    </w:p>
    <w:p>
      <w:pPr>
        <w:ind w:right="180" w:firstLine="668"/>
        <w:spacing w:after="0" w:line="271" w:lineRule="auto"/>
        <w:rPr>
          <w:sz w:val="20"/>
          <w:szCs w:val="20"/>
          <w:color w:val="auto"/>
        </w:rPr>
      </w:pPr>
      <w:r>
        <w:rPr>
          <w:rFonts w:ascii="Arial" w:cs="Arial" w:eastAsia="Arial" w:hAnsi="Arial"/>
          <w:sz w:val="14"/>
          <w:szCs w:val="14"/>
          <w:color w:val="auto"/>
        </w:rPr>
        <w:t>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80"/>
          </w:cols>
          <w:pgMar w:left="300" w:top="729" w:right="3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22"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4"/>
          <w:szCs w:val="14"/>
          <w:color w:val="auto"/>
        </w:rPr>
        <w:t>In connection with the Quarterly Report on Form 10-Q of Oaktree Capital Group, LLC (the “Company”) for the quarter ended June 30, 2022 as filed with the Securities and Exchange Commission on the date hereof (the “Report”), I, Daniel D. Levin, certify, pursuant to 18 U.S.C. § 1350, as adopted pursuant to Section 906 of the Sarbanes-Oxley Act of 2002, that:</w:t>
      </w:r>
    </w:p>
    <w:p>
      <w:pPr>
        <w:spacing w:after="0" w:line="91" w:lineRule="exact"/>
        <w:rPr>
          <w:sz w:val="20"/>
          <w:szCs w:val="20"/>
          <w:color w:val="auto"/>
        </w:rPr>
      </w:pPr>
    </w:p>
    <w:p>
      <w:pPr>
        <w:ind w:left="360" w:hanging="323"/>
        <w:spacing w:after="0"/>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360" w:right="480" w:hanging="323"/>
        <w:spacing w:after="0" w:line="290" w:lineRule="auto"/>
        <w:tabs>
          <w:tab w:leader="none" w:pos="356"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at the dates and for the periods presented.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Date: August 12, 2022</w:t>
      </w:r>
    </w:p>
    <w:p>
      <w:pPr>
        <w:spacing w:after="0" w:line="41"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/s/ Daniel D.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14605</wp:posOffset>
            </wp:positionV>
            <wp:extent cx="323405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10"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Daniel D. Levin</w:t>
      </w:r>
    </w:p>
    <w:p>
      <w:pPr>
        <w:spacing w:after="0" w:line="25"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(Principal Financial Officer)</w:t>
      </w:r>
    </w:p>
    <w:p>
      <w:pPr>
        <w:spacing w:after="0" w:line="130" w:lineRule="exact"/>
        <w:rPr>
          <w:sz w:val="20"/>
          <w:szCs w:val="20"/>
          <w:color w:val="auto"/>
        </w:rPr>
      </w:pPr>
    </w:p>
    <w:p>
      <w:pPr>
        <w:ind w:right="640" w:firstLine="668"/>
        <w:spacing w:after="0" w:line="290" w:lineRule="auto"/>
        <w:rPr>
          <w:sz w:val="20"/>
          <w:szCs w:val="20"/>
          <w:color w:val="auto"/>
        </w:rPr>
      </w:pPr>
      <w:r>
        <w:rPr>
          <w:rFonts w:ascii="Arial" w:cs="Arial" w:eastAsia="Arial" w:hAnsi="Arial"/>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78" w:lineRule="exact"/>
        <w:rPr>
          <w:sz w:val="20"/>
          <w:szCs w:val="20"/>
          <w:color w:val="auto"/>
        </w:rPr>
      </w:pPr>
    </w:p>
    <w:p>
      <w:pPr>
        <w:ind w:right="180" w:firstLine="668"/>
        <w:spacing w:after="0" w:line="271" w:lineRule="auto"/>
        <w:rPr>
          <w:sz w:val="20"/>
          <w:szCs w:val="20"/>
          <w:color w:val="auto"/>
        </w:rPr>
      </w:pPr>
      <w:r>
        <w:rPr>
          <w:rFonts w:ascii="Arial" w:cs="Arial" w:eastAsia="Arial" w:hAnsi="Arial"/>
          <w:sz w:val="14"/>
          <w:szCs w:val="14"/>
          <w:color w:val="auto"/>
        </w:rPr>
        <w:t>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decimal"/>
      <w:start w:val="2"/>
    </w:lvl>
  </w:abstractNum>
  <w:abstractNum w:abstractNumId="3">
    <w:nsid w:val="2D517796"/>
    <w:multiLevelType w:val="hybridMultilevel"/>
    <w:lvl w:ilvl="0">
      <w:lvlJc w:val="left"/>
      <w:lvlText w:val="(%1)"/>
      <w:numFmt w:val="lowerLetter"/>
      <w:start w:val="2"/>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1)"/>
      <w:numFmt w:val="decimal"/>
      <w:start w:val="2"/>
    </w:lvl>
  </w:abstractNum>
  <w:abstractNum w:abstractNumId="11">
    <w:nsid w:val="725A06FB"/>
    <w:multiLevelType w:val="hybridMultilevel"/>
    <w:lvl w:ilvl="0">
      <w:lvlJc w:val="left"/>
      <w:lvlText w:val="(%1)"/>
      <w:numFmt w:val="decimal"/>
      <w:start w:val="1"/>
    </w:lvl>
  </w:abstractNum>
  <w:abstractNum w:abstractNumId="12">
    <w:nsid w:val="2CD89A32"/>
    <w:multiLevelType w:val="hybridMultilevel"/>
    <w:lvl w:ilvl="0">
      <w:lvlJc w:val="left"/>
      <w:lvlText w:val="(%1)"/>
      <w:numFmt w:val="lowerRoman"/>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1."/>
      <w:numFmt w:val="decimal"/>
      <w:start w:val="13"/>
    </w:lvl>
  </w:abstractNum>
  <w:abstractNum w:abstractNumId="16">
    <w:nsid w:val="542289EC"/>
    <w:multiLevelType w:val="hybridMultilevel"/>
    <w:lvl w:ilvl="0">
      <w:lvlJc w:val="left"/>
      <w:lvlText w:val="(%1)"/>
      <w:numFmt w:val="decimal"/>
      <w:start w:val="1"/>
    </w:lvl>
  </w:abstractNum>
  <w:abstractNum w:abstractNumId="17">
    <w:nsid w:val="6DE91B18"/>
    <w:multiLevelType w:val="hybridMultilevel"/>
    <w:lvl w:ilvl="0">
      <w:lvlJc w:val="left"/>
      <w:lvlText w:val="•"/>
      <w:numFmt w:val="bullet"/>
      <w:start w:val="1"/>
    </w:lvl>
    <w:lvl w:ilvl="1">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upperLetter"/>
      <w:start w:val="1"/>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2"/>
    </w:lvl>
  </w:abstractNum>
  <w:abstractNum w:abstractNumId="25">
    <w:nsid w:val="1BA026FA"/>
    <w:multiLevelType w:val="hybridMultilevel"/>
    <w:lvl w:ilvl="0">
      <w:lvlJc w:val="left"/>
      <w:lvlText w:val="(%1)"/>
      <w:numFmt w:val="lowerLetter"/>
      <w:start w:val="1"/>
    </w:lvl>
  </w:abstractNum>
  <w:abstractNum w:abstractNumId="26">
    <w:nsid w:val="79A1DEAA"/>
    <w:multiLevelType w:val="hybridMultilevel"/>
    <w:lvl w:ilvl="0">
      <w:lvlJc w:val="left"/>
      <w:lvlText w:val="(%1)"/>
      <w:numFmt w:val="lowerLetter"/>
      <w:start w:val="3"/>
    </w:lvl>
  </w:abstractNum>
  <w:abstractNum w:abstractNumId="27">
    <w:nsid w:val="75C6C33A"/>
    <w:multiLevelType w:val="hybridMultilevel"/>
    <w:lvl w:ilvl="0">
      <w:lvlJc w:val="left"/>
      <w:lvlText w:val="(%1)"/>
      <w:numFmt w:val="lowerLetter"/>
      <w:start w:val="6"/>
    </w:lvl>
  </w:abstractNum>
  <w:abstractNum w:abstractNumId="28">
    <w:nsid w:val="12E685FB"/>
    <w:multiLevelType w:val="hybridMultilevel"/>
    <w:lvl w:ilvl="0">
      <w:lvlJc w:val="left"/>
      <w:lvlText w:val="%1."/>
      <w:numFmt w:val="decimal"/>
      <w:start w:val="3"/>
    </w:lvl>
  </w:abstractNum>
  <w:abstractNum w:abstractNumId="29">
    <w:nsid w:val="70C6A529"/>
    <w:multiLevelType w:val="hybridMultilevel"/>
    <w:lvl w:ilvl="0">
      <w:lvlJc w:val="left"/>
      <w:lvlText w:val="(%1)"/>
      <w:numFmt w:val="lowerLetter"/>
      <w:start w:val="10"/>
    </w:lvl>
  </w:abstractNum>
  <w:abstractNum w:abstractNumId="30">
    <w:nsid w:val="520EEDD1"/>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31">
    <w:nsid w:val="374A3FE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2">
    <w:nsid w:val="4F4EF005"/>
    <w:multiLevelType w:val="hybridMultilevel"/>
    <w:lvl w:ilvl="0">
      <w:lvlJc w:val="left"/>
      <w:lvlText w:val="(%1)"/>
      <w:numFmt w:val="lowerLetter"/>
      <w:start w:val="12"/>
    </w:lvl>
  </w:abstractNum>
  <w:abstractNum w:abstractNumId="33">
    <w:nsid w:val="23F9C13C"/>
    <w:multiLevelType w:val="hybridMultilevel"/>
    <w:lvl w:ilvl="0">
      <w:lvlJc w:val="left"/>
      <w:lvlText w:val="%1."/>
      <w:numFmt w:val="decimal"/>
      <w:start w:val="5"/>
    </w:lvl>
  </w:abstractNum>
  <w:abstractNum w:abstractNumId="34">
    <w:nsid w:val="649BB77C"/>
    <w:multiLevelType w:val="hybridMultilevel"/>
    <w:lvl w:ilvl="0">
      <w:lvlJc w:val="left"/>
      <w:lvlText w:val="%1"/>
      <w:numFmt w:val="decimal"/>
      <w:start w:val="1"/>
    </w:lvl>
    <w:lvl w:ilvl="1">
      <w:lvlJc w:val="left"/>
      <w:lvlText w:val="(%2)"/>
      <w:numFmt w:val="lowerLetter"/>
      <w:start w:val="19"/>
    </w:lvl>
  </w:abstractNum>
  <w:abstractNum w:abstractNumId="35">
    <w:nsid w:val="275AC794"/>
    <w:multiLevelType w:val="hybridMultilevel"/>
    <w:lvl w:ilvl="0">
      <w:lvlJc w:val="left"/>
      <w:lvlText w:val="%1."/>
      <w:numFmt w:val="decimal"/>
      <w:start w:val="6"/>
    </w:lvl>
    <w:lvl w:ilvl="1">
      <w:lvlJc w:val="left"/>
      <w:lvlText w:val="%2"/>
      <w:numFmt w:val="lowerLetter"/>
      <w:start w:val="1"/>
    </w:lvl>
  </w:abstractNum>
  <w:abstractNum w:abstractNumId="36">
    <w:nsid w:val="39386575"/>
    <w:multiLevelType w:val="hybridMultilevel"/>
    <w:lvl w:ilvl="0">
      <w:lvlJc w:val="left"/>
      <w:lvlText w:val="%1."/>
      <w:numFmt w:val="decimal"/>
      <w:start w:val="7"/>
    </w:lvl>
  </w:abstractNum>
  <w:abstractNum w:abstractNumId="37">
    <w:nsid w:val="1CF10FD8"/>
    <w:multiLevelType w:val="hybridMultilevel"/>
    <w:lvl w:ilvl="0">
      <w:lvlJc w:val="left"/>
      <w:lvlText w:val="%1."/>
      <w:numFmt w:val="decimal"/>
      <w:start w:val="11"/>
    </w:lvl>
  </w:abstractNum>
  <w:abstractNum w:abstractNumId="38">
    <w:nsid w:val="180115BE"/>
    <w:multiLevelType w:val="hybridMultilevel"/>
    <w:lvl w:ilvl="0">
      <w:lvlJc w:val="left"/>
      <w:lvlText w:val="%1."/>
      <w:numFmt w:val="decimal"/>
      <w:start w:val="12"/>
    </w:lvl>
  </w:abstractNum>
  <w:abstractNum w:abstractNumId="39">
    <w:nsid w:val="235BA861"/>
    <w:multiLevelType w:val="hybridMultilevel"/>
    <w:lvl w:ilvl="0">
      <w:lvlJc w:val="left"/>
      <w:lvlText w:val="%1."/>
      <w:numFmt w:val="decimal"/>
      <w:start w:val="14"/>
    </w:lvl>
  </w:abstractNum>
  <w:abstractNum w:abstractNumId="40">
    <w:nsid w:val="47398C89"/>
    <w:multiLevelType w:val="hybridMultilevel"/>
    <w:lvl w:ilvl="0">
      <w:lvlJc w:val="left"/>
      <w:lvlText w:val="%1."/>
      <w:numFmt w:val="decimal"/>
      <w:start w:val="15"/>
    </w:lvl>
  </w:abstractNum>
  <w:abstractNum w:abstractNumId="41">
    <w:nsid w:val="354FE9F9"/>
    <w:multiLevelType w:val="hybridMultilevel"/>
    <w:lvl w:ilvl="0">
      <w:lvlJc w:val="left"/>
      <w:lvlText w:val="(%1)"/>
      <w:numFmt w:val="lowerLetter"/>
      <w:start w:val="24"/>
    </w:lvl>
  </w:abstractNum>
  <w:abstractNum w:abstractNumId="42">
    <w:nsid w:val="15B5AF5C"/>
    <w:multiLevelType w:val="hybridMultilevel"/>
    <w:lvl w:ilvl="0">
      <w:lvlJc w:val="left"/>
      <w:lvlText w:val="%1."/>
      <w:numFmt w:val="decimal"/>
      <w:start w:val="16"/>
    </w:lvl>
  </w:abstractNum>
  <w:abstractNum w:abstractNumId="43">
    <w:nsid w:val="741226BB"/>
    <w:multiLevelType w:val="hybridMultilevel"/>
    <w:lvl w:ilvl="0">
      <w:lvlJc w:val="left"/>
      <w:lvlText w:val="%1."/>
      <w:numFmt w:val="decimal"/>
      <w:start w:val="17"/>
    </w:lvl>
  </w:abstractNum>
  <w:abstractNum w:abstractNumId="44">
    <w:nsid w:val="D34B6A8"/>
    <w:multiLevelType w:val="hybridMultilevel"/>
    <w:lvl w:ilvl="0">
      <w:lvlJc w:val="left"/>
      <w:lvlText w:val="%1."/>
      <w:numFmt w:val="decimal"/>
      <w:start w:val="18"/>
    </w:lvl>
  </w:abstractNum>
  <w:abstractNum w:abstractNumId="45">
    <w:nsid w:val="10233C99"/>
    <w:multiLevelType w:val="hybridMultilevel"/>
    <w:lvl w:ilvl="0">
      <w:lvlJc w:val="left"/>
      <w:lvlText w:val="%1."/>
      <w:numFmt w:val="decimal"/>
      <w:start w:val="19"/>
    </w:lvl>
  </w:abstractNum>
  <w:abstractNum w:abstractNumId="46">
    <w:nsid w:val="3F6AB60F"/>
    <w:multiLevelType w:val="hybridMultilevel"/>
    <w:lvl w:ilvl="0">
      <w:lvlJc w:val="left"/>
      <w:lvlText w:val="%1."/>
      <w:numFmt w:val="decimal"/>
      <w:start w:val="20"/>
    </w:lvl>
  </w:abstractNum>
  <w:abstractNum w:abstractNumId="47">
    <w:nsid w:val="61574095"/>
    <w:multiLevelType w:val="hybridMultilevel"/>
    <w:lvl w:ilvl="0">
      <w:lvlJc w:val="left"/>
      <w:lvlText w:val="(%1)"/>
      <w:numFmt w:val="lowerLetter"/>
      <w:start w:val="27"/>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upperLetter"/>
      <w:start w:val="1"/>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lowerLetter"/>
      <w:start w:val="3"/>
    </w:lvl>
  </w:abstractNum>
  <w:abstractNum w:abstractNumId="54">
    <w:nsid w:val="25A70BF7"/>
    <w:multiLevelType w:val="hybridMultilevel"/>
    <w:lvl w:ilvl="0">
      <w:lvlJc w:val="left"/>
      <w:lvlText w:val="%1."/>
      <w:numFmt w:val="decimal"/>
      <w:start w:val="2"/>
    </w:lvl>
  </w:abstractNum>
  <w:abstractNum w:abstractNumId="55">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4AD084E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7">
    <w:nsid w:val="1F48EAA1"/>
    <w:multiLevelType w:val="hybridMultilevel"/>
    <w:lvl w:ilvl="0">
      <w:lvlJc w:val="left"/>
      <w:lvlText w:val="(%1)"/>
      <w:numFmt w:val="lowerLetter"/>
      <w:start w:val="3"/>
    </w:lvl>
  </w:abstractNum>
  <w:abstractNum w:abstractNumId="58">
    <w:nsid w:val="1381823A"/>
    <w:multiLevelType w:val="hybridMultilevel"/>
    <w:lvl w:ilvl="0">
      <w:lvlJc w:val="left"/>
      <w:lvlText w:val="(%1)"/>
      <w:numFmt w:val="lowerRoman"/>
      <w:start w:val="1"/>
    </w:lvl>
  </w:abstractNum>
  <w:abstractNum w:abstractNumId="59">
    <w:nsid w:val="5DB70AE5"/>
    <w:multiLevelType w:val="hybridMultilevel"/>
    <w:lvl w:ilvl="0">
      <w:lvlJc w:val="left"/>
      <w:lvlText w:val="%1."/>
      <w:numFmt w:val="decimal"/>
      <w:start w:val="4"/>
    </w:lvl>
  </w:abstractNum>
  <w:abstractNum w:abstractNumId="60">
    <w:nsid w:val="100F8FCA"/>
    <w:multiLevelType w:val="hybridMultilevel"/>
    <w:lvl w:ilvl="0">
      <w:lvlJc w:val="left"/>
      <w:lvlText w:val="%1."/>
      <w:numFmt w:val="decimal"/>
      <w:start w:val="5"/>
    </w:lvl>
  </w:abstractNum>
  <w:abstractNum w:abstractNumId="61">
    <w:nsid w:val="6590700B"/>
    <w:multiLevelType w:val="hybridMultilevel"/>
    <w:lvl w:ilvl="0">
      <w:lvlJc w:val="left"/>
      <w:lvlText w:val="%1."/>
      <w:numFmt w:val="decimal"/>
      <w:start w:val="8"/>
    </w:lvl>
  </w:abstractNum>
  <w:abstractNum w:abstractNumId="62">
    <w:nsid w:val="15014ACB"/>
    <w:multiLevelType w:val="hybridMultilevel"/>
    <w:lvl w:ilvl="0">
      <w:lvlJc w:val="left"/>
      <w:lvlText w:val="%1."/>
      <w:numFmt w:val="decimal"/>
      <w:start w:val="11"/>
    </w:lvl>
  </w:abstractNum>
  <w:abstractNum w:abstractNumId="63">
    <w:nsid w:val="5F5E7FD0"/>
    <w:multiLevelType w:val="hybridMultilevel"/>
    <w:lvl w:ilvl="0">
      <w:lvlJc w:val="left"/>
      <w:lvlText w:val="%1."/>
      <w:numFmt w:val="decimal"/>
      <w:start w:val="12"/>
    </w:lvl>
  </w:abstractNum>
  <w:abstractNum w:abstractNumId="64">
    <w:nsid w:val="98A3148"/>
    <w:multiLevelType w:val="hybridMultilevel"/>
    <w:lvl w:ilvl="0">
      <w:lvlJc w:val="left"/>
      <w:lvlText w:val="(%1)"/>
      <w:numFmt w:val="lowerLetter"/>
      <w:start w:val="10"/>
    </w:lvl>
  </w:abstractNum>
  <w:abstractNum w:abstractNumId="65">
    <w:nsid w:val="799D0247"/>
    <w:multiLevelType w:val="hybridMultilevel"/>
    <w:lvl w:ilvl="0">
      <w:lvlJc w:val="left"/>
      <w:lvlText w:val="%1."/>
      <w:numFmt w:val="decimal"/>
      <w:start w:val="13"/>
    </w:lvl>
  </w:abstractNum>
  <w:abstractNum w:abstractNumId="66">
    <w:nsid w:val="6B94764"/>
    <w:multiLevelType w:val="hybridMultilevel"/>
    <w:lvl w:ilvl="0">
      <w:lvlJc w:val="left"/>
      <w:lvlText w:val="%1."/>
      <w:numFmt w:val="decimal"/>
      <w:start w:val="14"/>
    </w:lvl>
  </w:abstractNum>
  <w:abstractNum w:abstractNumId="67">
    <w:nsid w:val="42C296BD"/>
    <w:multiLevelType w:val="hybridMultilevel"/>
    <w:lvl w:ilvl="0">
      <w:lvlJc w:val="left"/>
      <w:lvlText w:val="%1."/>
      <w:numFmt w:val="decimal"/>
      <w:start w:val="15"/>
    </w:lvl>
  </w:abstractNum>
  <w:abstractNum w:abstractNumId="68">
    <w:nsid w:val="168E121F"/>
    <w:multiLevelType w:val="hybridMultilevel"/>
    <w:lvl w:ilvl="0">
      <w:lvlJc w:val="left"/>
      <w:lvlText w:val="%1."/>
      <w:numFmt w:val="decimal"/>
      <w:start w:val="16"/>
    </w:lvl>
  </w:abstractNum>
  <w:abstractNum w:abstractNumId="69">
    <w:nsid w:val="1EBA5D23"/>
    <w:multiLevelType w:val="hybridMultilevel"/>
    <w:lvl w:ilvl="0">
      <w:lvlJc w:val="left"/>
      <w:lvlText w:val="%1."/>
      <w:numFmt w:val="decimal"/>
      <w:start w:val="17"/>
    </w:lvl>
  </w:abstractNum>
  <w:abstractNum w:abstractNumId="70">
    <w:nsid w:val="661E3F1E"/>
    <w:multiLevelType w:val="hybridMultilevel"/>
    <w:lvl w:ilvl="0">
      <w:lvlJc w:val="left"/>
      <w:lvlText w:val="%1."/>
      <w:numFmt w:val="decimal"/>
      <w:start w:val="18"/>
    </w:lvl>
  </w:abstractNum>
  <w:abstractNum w:abstractNumId="71">
    <w:nsid w:val="5DC79EA8"/>
    <w:multiLevelType w:val="hybridMultilevel"/>
    <w:lvl w:ilvl="0">
      <w:lvlJc w:val="left"/>
      <w:lvlText w:val="(%1)"/>
      <w:numFmt w:val="lowerLetter"/>
      <w:start w:val="13"/>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106" Type="http://schemas.openxmlformats.org/officeDocument/2006/relationships/hyperlink" Target="http://www.sec.gov/Archives/edgar/data/1403528/000119312511167852/dex31.htm" TargetMode="External"/><Relationship Id="rId107" Type="http://schemas.openxmlformats.org/officeDocument/2006/relationships/hyperlink" Target="https://www.sec.gov/Archives/edgar/data/1403528/000119312519262839/d77131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2022-08-13T16:35:13Z</dcterms:created>
  <dcterms:modified xsi:type="dcterms:W3CDTF">2022-08-13T16:35:13Z</dcterms:modified>
</cp:coreProperties>
</file>