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184150</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217170</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HWH International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left="340" w:right="600"/>
        <w:spacing w:after="0" w:line="286" w:lineRule="auto"/>
        <w:rPr>
          <w:sz w:val="20"/>
          <w:szCs w:val="20"/>
          <w:color w:val="auto"/>
        </w:rPr>
      </w:pPr>
      <w:r>
        <w:rPr>
          <w:rFonts w:ascii="Times New Roman" w:cs="Times New Roman" w:eastAsia="Times New Roman" w:hAnsi="Times New Roman"/>
          <w:sz w:val="18"/>
          <w:szCs w:val="18"/>
          <w:b w:val="1"/>
          <w:bCs w:val="1"/>
          <w:color w:val="auto"/>
        </w:rPr>
        <w:t>Units, each consisting of one share of Class A common stock, $0.0001 par value, one-half of one redeemable warrant, and one right (Title of Class of Securities)</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02115M208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OCM Value SPAC Holdings,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OCM Value SPAC Holdings 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Oaktree Fund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Oaktree Fund GP 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Oaktree Capital 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OCM Holdings I,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Oaktree Holdings,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Oaktree Capital Group,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Oaktree Capital Group Holdings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Brookfield Corporation</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HC</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BAM Partners Trust</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HC</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HWH International Inc.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4800 Montgomery LN STE 210</w:t>
            </w:r>
          </w:p>
        </w:tc>
      </w:tr>
      <w:tr>
        <w:trPr>
          <w:trHeight w:val="234"/>
        </w:trPr>
        <w:tc>
          <w:tcPr>
            <w:tcW w:w="1040" w:type="dxa"/>
            <w:vAlign w:val="bottom"/>
          </w:tcPr>
          <w:p>
            <w:pPr>
              <w:spacing w:after="0"/>
              <w:rPr>
                <w:sz w:val="20"/>
                <w:szCs w:val="20"/>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Bethesda, MD 20814</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This statement is filed by the entities and persons listed below, all of whom together are referred to herein as the “Reporting Persons”:</w:t>
            </w:r>
          </w:p>
        </w:tc>
      </w:tr>
      <w:tr>
        <w:trPr>
          <w:trHeight w:val="414"/>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OCM Value SPAC Holdings, L.P. (“OCM Value SPAC”);</w:t>
            </w:r>
          </w:p>
        </w:tc>
      </w:tr>
      <w:tr>
        <w:trPr>
          <w:trHeight w:val="216"/>
        </w:trPr>
        <w:tc>
          <w:tcPr>
            <w:tcW w:w="104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OCM Value SPAC Holdings II, L.P. (“OCM Value SPAC II”)</w:t>
            </w:r>
          </w:p>
        </w:tc>
      </w:tr>
      <w:tr>
        <w:trPr>
          <w:trHeight w:val="216"/>
        </w:trPr>
        <w:tc>
          <w:tcPr>
            <w:tcW w:w="104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Fund GP, LLC (“Fund GP”) in its capacity as the general partner of OCM Value SPAC;</w:t>
            </w:r>
          </w:p>
        </w:tc>
      </w:tr>
      <w:tr>
        <w:trPr>
          <w:trHeight w:val="216"/>
        </w:trPr>
        <w:tc>
          <w:tcPr>
            <w:tcW w:w="104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Fund GP I, L.P. (“GP I”) in its capacity as the managing member of Fund GP;</w:t>
            </w:r>
          </w:p>
        </w:tc>
      </w:tr>
      <w:tr>
        <w:trPr>
          <w:trHeight w:val="216"/>
        </w:trPr>
        <w:tc>
          <w:tcPr>
            <w:tcW w:w="104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Capital I, L.P. (“Capital I”) in its capacity as the general partner of GP I;</w:t>
            </w:r>
          </w:p>
        </w:tc>
      </w:tr>
      <w:tr>
        <w:trPr>
          <w:trHeight w:val="216"/>
        </w:trPr>
        <w:tc>
          <w:tcPr>
            <w:tcW w:w="104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OCM Holdings I, LLC (“Holdings I”) in its capacity as the general partner of Capital I;</w:t>
            </w:r>
          </w:p>
        </w:tc>
      </w:tr>
      <w:tr>
        <w:trPr>
          <w:trHeight w:val="216"/>
        </w:trPr>
        <w:tc>
          <w:tcPr>
            <w:tcW w:w="104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Holdings, LLC (“Holdings”) in its capacity as the managing member of Holdings I;</w:t>
            </w:r>
          </w:p>
        </w:tc>
      </w:tr>
      <w:tr>
        <w:trPr>
          <w:trHeight w:val="216"/>
        </w:trPr>
        <w:tc>
          <w:tcPr>
            <w:tcW w:w="104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(viii)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Capital Group, LLC (“OCG”) in its capacity as the managing member of Holdings;</w:t>
            </w:r>
          </w:p>
        </w:tc>
      </w:tr>
      <w:tr>
        <w:trPr>
          <w:trHeight w:val="216"/>
        </w:trPr>
        <w:tc>
          <w:tcPr>
            <w:tcW w:w="104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(ix)</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Oaktree Capital Group Holdings GP, LLC (“OCGH GP,” and with each of the foregoing, the “Oaktree Reporting Persons”) in its</w:t>
            </w:r>
          </w:p>
        </w:tc>
      </w:tr>
      <w:tr>
        <w:trPr>
          <w:trHeight w:val="216"/>
        </w:trPr>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capacity as the indirect owner of the class B units of OCG;</w:t>
            </w:r>
          </w:p>
        </w:tc>
      </w:tr>
      <w:tr>
        <w:trPr>
          <w:trHeight w:val="216"/>
        </w:trPr>
        <w:tc>
          <w:tcPr>
            <w:tcW w:w="104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Brookfield Corporation (f/k/a Brookfield Asset Management Inc.) (“BAM”) in its capacity as the indirect owner of the class A</w:t>
            </w:r>
          </w:p>
        </w:tc>
      </w:tr>
      <w:tr>
        <w:trPr>
          <w:trHeight w:val="216"/>
        </w:trPr>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units of OCG; and</w:t>
            </w:r>
          </w:p>
        </w:tc>
      </w:tr>
      <w:tr>
        <w:trPr>
          <w:trHeight w:val="216"/>
        </w:trPr>
        <w:tc>
          <w:tcPr>
            <w:tcW w:w="1040" w:type="dxa"/>
            <w:vAlign w:val="bottom"/>
          </w:tcPr>
          <w:p>
            <w:pPr>
              <w:spacing w:after="0"/>
              <w:rPr>
                <w:sz w:val="18"/>
                <w:szCs w:val="18"/>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BAM Partners Trust (the “BAM Partnership,” and with BAM, the “Brookfield Reporting Persons”) in its capacity as the sole</w:t>
            </w:r>
          </w:p>
        </w:tc>
      </w:tr>
      <w:tr>
        <w:trPr>
          <w:trHeight w:val="234"/>
        </w:trPr>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 of Class B Limited Voting Shares of BAM.</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Principal Business Office, or if none, Residence</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address of the Brookfield Reporting Persons is as follows:</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Brookfield Place, 181 Bay Street, Suite 100, Toronto, Ontario, Canada M5J 2T3</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address of the Oaktree Reporting Persons is as follows:</w:t>
            </w:r>
          </w:p>
        </w:tc>
      </w:tr>
      <w:tr>
        <w:trPr>
          <w:trHeight w:val="414"/>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333 S. Grand Avenue, 28th Floor</w:t>
            </w:r>
          </w:p>
        </w:tc>
      </w:tr>
      <w:tr>
        <w:trPr>
          <w:trHeight w:val="234"/>
        </w:trPr>
        <w:tc>
          <w:tcPr>
            <w:tcW w:w="1040" w:type="dxa"/>
            <w:vAlign w:val="bottom"/>
          </w:tcPr>
          <w:p>
            <w:pPr>
              <w:spacing w:after="0"/>
              <w:rPr>
                <w:sz w:val="20"/>
                <w:szCs w:val="20"/>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Los Angeles, CA 90071</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See responses to Item 4 on each cover page.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398"/>
        </w:trPr>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8"/>
          <w:szCs w:val="18"/>
          <w:color w:val="auto"/>
        </w:rPr>
        <w:t>Units, each consisting of one share of Class A common stock, $0.0001 par value, one-half of one redeemable warrant, and one right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868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02115M208</w:t>
            </w:r>
          </w:p>
        </w:tc>
        <w:tc>
          <w:tcPr>
            <w:tcW w:w="86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 (n):</w:t>
            </w:r>
          </w:p>
        </w:tc>
      </w:tr>
      <w:tr>
        <w:trPr>
          <w:trHeight w:val="432"/>
        </w:trPr>
        <w:tc>
          <w:tcPr>
            <w:tcW w:w="102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 Applicable</w:t>
            </w:r>
          </w:p>
        </w:tc>
        <w:tc>
          <w:tcPr>
            <w:tcW w:w="86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868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r>
      <w:tr>
        <w:trPr>
          <w:trHeight w:val="234"/>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responses to Item 9 on each cover page.</w:t>
            </w:r>
          </w:p>
        </w:tc>
      </w:tr>
      <w:tr>
        <w:trPr>
          <w:trHeight w:val="414"/>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(b)</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4"/>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responses to Item 11 on each cover page.</w:t>
            </w:r>
          </w:p>
        </w:tc>
      </w:tr>
      <w:tr>
        <w:trPr>
          <w:trHeight w:val="432"/>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 as to which the Reporting Person has:</w:t>
            </w:r>
          </w:p>
        </w:tc>
      </w:tr>
      <w:tr>
        <w:trPr>
          <w:trHeight w:val="414"/>
        </w:trPr>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Sole power to vote or to direct the vote:</w:t>
            </w:r>
          </w:p>
        </w:tc>
      </w:tr>
      <w:tr>
        <w:trPr>
          <w:trHeight w:val="234"/>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5 on each cover page.</w:t>
            </w:r>
          </w:p>
        </w:tc>
      </w:tr>
      <w:tr>
        <w:trPr>
          <w:trHeight w:val="414"/>
        </w:trPr>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Shared power to vote or to direct the vote:</w:t>
            </w:r>
          </w:p>
        </w:tc>
      </w:tr>
      <w:tr>
        <w:trPr>
          <w:trHeight w:val="234"/>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6 on each cover page.</w:t>
            </w:r>
          </w:p>
        </w:tc>
      </w:tr>
      <w:tr>
        <w:trPr>
          <w:trHeight w:val="414"/>
        </w:trPr>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(iii)</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Sole power to dispose or to direct the disposition of:</w:t>
            </w:r>
          </w:p>
        </w:tc>
      </w:tr>
      <w:tr>
        <w:trPr>
          <w:trHeight w:val="234"/>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7 on each cover page.</w:t>
            </w:r>
          </w:p>
        </w:tc>
      </w:tr>
      <w:tr>
        <w:trPr>
          <w:trHeight w:val="414"/>
        </w:trPr>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(iv)</w:t>
            </w: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Shared power to dispose or to direct the disposition of:</w:t>
            </w:r>
          </w:p>
        </w:tc>
      </w:tr>
      <w:tr>
        <w:trPr>
          <w:trHeight w:val="234"/>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8 on each cover page.</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378"/>
        </w:trPr>
        <w:tc>
          <w:tcPr>
            <w:tcW w:w="102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w:t>
            </w:r>
          </w:p>
        </w:tc>
      </w:tr>
      <w:tr>
        <w:trPr>
          <w:trHeight w:val="303"/>
        </w:trPr>
        <w:tc>
          <w:tcPr>
            <w:tcW w:w="1020" w:type="dxa"/>
            <w:vAlign w:val="bottom"/>
          </w:tcPr>
          <w:p>
            <w:pPr>
              <w:spacing w:after="0"/>
              <w:rPr>
                <w:sz w:val="24"/>
                <w:szCs w:val="24"/>
                <w:color w:val="auto"/>
              </w:rPr>
            </w:pPr>
          </w:p>
        </w:tc>
        <w:tc>
          <w:tcPr>
            <w:tcW w:w="10220" w:type="dxa"/>
            <w:vAlign w:val="bottom"/>
            <w:gridSpan w:val="3"/>
          </w:tcPr>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r>
      <w:tr>
        <w:trPr>
          <w:trHeight w:val="399"/>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102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 Applicable.</w:t>
            </w:r>
          </w:p>
        </w:tc>
        <w:tc>
          <w:tcPr>
            <w:tcW w:w="8680" w:type="dxa"/>
            <w:vAlign w:val="bottom"/>
          </w:tcPr>
          <w:p>
            <w:pPr>
              <w:spacing w:after="0"/>
              <w:rPr>
                <w:sz w:val="24"/>
                <w:szCs w:val="24"/>
                <w:color w:val="auto"/>
              </w:rPr>
            </w:pP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1020" w:type="dxa"/>
            <w:vAlign w:val="bottom"/>
          </w:tcPr>
          <w:p>
            <w:pPr>
              <w:spacing w:after="0"/>
              <w:rPr>
                <w:sz w:val="20"/>
                <w:szCs w:val="20"/>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68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 Applicable.</w:t>
            </w:r>
          </w:p>
        </w:tc>
        <w:tc>
          <w:tcPr>
            <w:tcW w:w="86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102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 Applicable.</w:t>
            </w:r>
          </w:p>
        </w:tc>
        <w:tc>
          <w:tcPr>
            <w:tcW w:w="86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102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 Applicable</w:t>
            </w:r>
          </w:p>
        </w:tc>
        <w:tc>
          <w:tcPr>
            <w:tcW w:w="86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868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w:t>
            </w:r>
          </w:p>
        </w:tc>
      </w:tr>
      <w:tr>
        <w:trPr>
          <w:trHeight w:val="216"/>
        </w:trPr>
        <w:tc>
          <w:tcPr>
            <w:tcW w:w="1020" w:type="dxa"/>
            <w:vAlign w:val="bottom"/>
          </w:tcPr>
          <w:p>
            <w:pPr>
              <w:spacing w:after="0"/>
              <w:rPr>
                <w:sz w:val="18"/>
                <w:szCs w:val="18"/>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held for the purpose of or with the effect of changing or influencing the control of the issuer of the securities and were not acquired and</w:t>
            </w:r>
          </w:p>
        </w:tc>
      </w:tr>
      <w:tr>
        <w:trPr>
          <w:trHeight w:val="216"/>
        </w:trPr>
        <w:tc>
          <w:tcPr>
            <w:tcW w:w="1020" w:type="dxa"/>
            <w:vAlign w:val="bottom"/>
          </w:tcPr>
          <w:p>
            <w:pPr>
              <w:spacing w:after="0"/>
              <w:rPr>
                <w:sz w:val="18"/>
                <w:szCs w:val="18"/>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are not held in connection with or as a participant in any transaction having that purpose or effect, other than activities solely in</w:t>
            </w:r>
          </w:p>
        </w:tc>
      </w:tr>
      <w:tr>
        <w:trPr>
          <w:trHeight w:val="234"/>
        </w:trPr>
        <w:tc>
          <w:tcPr>
            <w:tcW w:w="1020" w:type="dxa"/>
            <w:vAlign w:val="bottom"/>
          </w:tcPr>
          <w:p>
            <w:pPr>
              <w:spacing w:after="0"/>
              <w:rPr>
                <w:sz w:val="20"/>
                <w:szCs w:val="20"/>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connection with a nomination under § 240.14a–11.</w:t>
            </w:r>
          </w:p>
        </w:tc>
      </w:tr>
      <w:tr>
        <w:trPr>
          <w:trHeight w:val="399"/>
        </w:trPr>
        <w:tc>
          <w:tcPr>
            <w:tcW w:w="1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OCM Value SPAC Holdings,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OCM Value SPAC Holdings II,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 Fund GP,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I, L.P. 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 Fund GP 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 Capital 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OCM Holdings I,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 Holdings,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15" w:name="page16"/>
    <w:bookmarkEnd w:id="15"/>
    <w:p>
      <w:pPr>
        <w:ind w:left="4500"/>
        <w:spacing w:after="0"/>
        <w:rPr>
          <w:sz w:val="20"/>
          <w:szCs w:val="20"/>
          <w:color w:val="auto"/>
        </w:rPr>
      </w:pPr>
      <w:r>
        <w:rPr>
          <w:rFonts w:ascii="Times New Roman" w:cs="Times New Roman" w:eastAsia="Times New Roman" w:hAnsi="Times New Roman"/>
          <w:sz w:val="18"/>
          <w:szCs w:val="18"/>
          <w:b w:val="1"/>
          <w:bCs w:val="1"/>
          <w:color w:val="auto"/>
        </w:rPr>
        <w:t>Oaktree Capital Group,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26035</wp:posOffset>
            </wp:positionV>
            <wp:extent cx="3566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Oaktree Capital Group Holdings GP, LLC</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26035</wp:posOffset>
            </wp:positionV>
            <wp:extent cx="3566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Brookfield Corporation</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26035</wp:posOffset>
            </wp:positionV>
            <wp:extent cx="3566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Swati Mandava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Title: Managing Director, Legal &amp; Regulatory</w:t>
      </w: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BAM Partners Trust</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BAM Class B Partners Inc, its Trustee</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26035</wp:posOffset>
            </wp:positionV>
            <wp:extent cx="3566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Kathy Sarpash</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 w:name="page17"/>
    <w:bookmarkEnd w:id="16"/>
    <w:p>
      <w:pPr>
        <w:jc w:val="center"/>
        <w:ind w:right="-27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Joint Filing Agreement, dated as of February 11, 2022, incorporated by reference to the Schedule 13G filled 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80"/>
      </w:cols>
      <w:pgMar w:left="320" w:top="12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2024-02-14T11:27:46Z</dcterms:created>
  <dcterms:modified xsi:type="dcterms:W3CDTF">2024-02-14T11:27:46Z</dcterms:modified>
</cp:coreProperties>
</file>