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Zyversa Therapeutics, Inc.</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(formerly known as Larkspur Health Acquisition Corp.)</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98987D102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jc w:val="both"/>
        <w:ind w:right="952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9"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2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OCM Value SPAC Holdings,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31, 2023, OCM Value SPAC Holdings, L.P. no longer holds any beneficial ownership of Zyversa Therapeutics, Inc. (formerly known as Larkspur Health Acquisition Corp.,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3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Oaktree Fund GP,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OCM Value SPAC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4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Oaktree Fund GP I,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managing member of Oaktree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5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Oaktree Capital I,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6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OCM Holdings I,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7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Oaktree Holdings,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managing member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8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Oaktree Capital Group,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98987D102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620"/>
              <w:spacing w:after="0"/>
              <w:rPr>
                <w:sz w:val="20"/>
                <w:szCs w:val="20"/>
                <w:color w:val="auto"/>
              </w:rPr>
            </w:pPr>
            <w:r>
              <w:rPr>
                <w:rFonts w:ascii="Arial" w:cs="Arial" w:eastAsia="Arial" w:hAnsi="Arial"/>
                <w:sz w:val="18"/>
                <w:szCs w:val="18"/>
                <w:color w:val="auto"/>
                <w:w w:val="84"/>
              </w:rPr>
              <w:t>Page 9 of 17</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Oaktree Capital Group Holdings GP,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indirect owner of the class B units of 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98987D102</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520"/>
              <w:spacing w:after="0"/>
              <w:rPr>
                <w:sz w:val="20"/>
                <w:szCs w:val="20"/>
                <w:color w:val="auto"/>
              </w:rPr>
            </w:pPr>
            <w:r>
              <w:rPr>
                <w:rFonts w:ascii="Arial" w:cs="Arial" w:eastAsia="Arial" w:hAnsi="Arial"/>
                <w:sz w:val="18"/>
                <w:szCs w:val="18"/>
                <w:color w:val="auto"/>
                <w:w w:val="85"/>
              </w:rPr>
              <w:t>Page 10 of 17</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15"/>
                <w:szCs w:val="15"/>
                <w:color w:val="auto"/>
              </w:rPr>
            </w:pPr>
          </w:p>
        </w:tc>
        <w:tc>
          <w:tcPr>
            <w:tcW w:w="918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Brookfield Corporation</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918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w w:val="96"/>
              </w:rPr>
              <w:t>Ontario, Canada</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HC</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indirect owner of the class A units of 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4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98987D102</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540"/>
              <w:spacing w:after="0"/>
              <w:rPr>
                <w:sz w:val="20"/>
                <w:szCs w:val="20"/>
                <w:color w:val="auto"/>
              </w:rPr>
            </w:pPr>
            <w:r>
              <w:rPr>
                <w:rFonts w:ascii="Arial" w:cs="Arial" w:eastAsia="Arial" w:hAnsi="Arial"/>
                <w:sz w:val="18"/>
                <w:szCs w:val="18"/>
                <w:color w:val="auto"/>
                <w:w w:val="83"/>
              </w:rPr>
              <w:t>Page 11 of 17</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15"/>
                <w:szCs w:val="15"/>
                <w:color w:val="auto"/>
              </w:rPr>
            </w:pPr>
          </w:p>
        </w:tc>
        <w:tc>
          <w:tcPr>
            <w:tcW w:w="918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BAM Partners Trust</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918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w w:val="96"/>
              </w:rPr>
              <w:t>Ontario, Canada</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HC</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Solely in its capacity as the sole owner of the class B Limited Voting Shares of Brookfield Corporation (f/k/a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7"/>
          <w:szCs w:val="17"/>
          <w:color w:val="auto"/>
        </w:rPr>
        <w:t>SCHEDULE 13G/A</w:t>
      </w:r>
    </w:p>
    <w:p>
      <w:pPr>
        <w:sectPr>
          <w:pgSz w:w="11900" w:h="16838" w:orient="portrait"/>
          <w:cols w:equalWidth="0" w:num="1">
            <w:col w:w="11240"/>
          </w:cols>
          <w:pgMar w:left="320" w:top="125" w:right="3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CUSIP No. 98987D102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Page 12 of 17</w:t>
      </w:r>
    </w:p>
    <w:p>
      <w:pPr>
        <w:spacing w:after="0" w:line="189" w:lineRule="exact"/>
        <w:rPr>
          <w:sz w:val="20"/>
          <w:szCs w:val="20"/>
          <w:color w:val="auto"/>
        </w:rPr>
      </w:pPr>
    </w:p>
    <w:p>
      <w:pPr>
        <w:sectPr>
          <w:pgSz w:w="11900" w:h="16838" w:orient="portrait"/>
          <w:cols w:equalWidth="0" w:num="2">
            <w:col w:w="9520" w:space="720"/>
            <w:col w:w="100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125" w:right="339" w:bottom="1440" w:gutter="0" w:footer="0" w:header="0"/>
          <w:type w:val="continuous"/>
        </w:sectPr>
      </w:pPr>
    </w:p>
    <w:p>
      <w:pPr>
        <w:spacing w:after="0" w:line="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Zyversa Therapeutics, Inc. (formerly known as Larkspur Health Acquisition Corp.)</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principal executive offices are located at 2200 N. Commerce Parkway, Suite 208, Weston, Florida 33326.</w:t>
      </w:r>
    </w:p>
    <w:p>
      <w:pPr>
        <w:spacing w:after="0" w:line="2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2(a)-(c).</w:t>
      </w:r>
      <w:r>
        <w:rPr>
          <w:sz w:val="20"/>
          <w:szCs w:val="20"/>
          <w:color w:val="auto"/>
        </w:rPr>
        <w:tab/>
      </w:r>
      <w:r>
        <w:rPr>
          <w:rFonts w:ascii="Arial" w:cs="Arial" w:eastAsia="Arial" w:hAnsi="Arial"/>
          <w:sz w:val="16"/>
          <w:szCs w:val="16"/>
          <w:b w:val="1"/>
          <w:bCs w:val="1"/>
          <w:color w:val="auto"/>
        </w:rPr>
        <w:t>Name of Person Filing; Address of Principal Business Office; and Citizenship</w:t>
      </w:r>
    </w:p>
    <w:p>
      <w:pPr>
        <w:spacing w:after="0" w:line="249"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This Schedule 13G is filed jointly by each of the following persons (collectively, the “Reporting Persons”) pursuant to a joint filing agreement attached hereto as Exhibit 1:</w:t>
      </w:r>
    </w:p>
    <w:p>
      <w:pPr>
        <w:spacing w:after="0" w:line="209" w:lineRule="exact"/>
        <w:rPr>
          <w:sz w:val="20"/>
          <w:szCs w:val="20"/>
          <w:color w:val="auto"/>
        </w:rPr>
      </w:pPr>
    </w:p>
    <w:p>
      <w:pPr>
        <w:ind w:left="340" w:right="3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OCM Value SPAC Holdings, L.P., a Delaware limited partnership (“OCM Value SPAC”), no longer holds any beneficial ownership of the common stock of the Issuer;</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Oaktree Fund GP, LLC, a Delaware limited liability company (“Fund GP”), in its capacity as the general partner of OCM Value SPAC;</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(“GP I”), in its capacity as the managing member of Fund GP;</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(“Capital I”), in its capacity as the general partner of GP I;</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OCM Holdings I, LLC, a Delaware limited liability company (“Holdings I”), in its capacity as the general partner of Capital I;</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Oaktree Holdings, LLC, a Delaware limited liability company (“Holdings”), in its capacity as the managing member of Holdings I;</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Oaktree Capital Group, LLC, a Delaware limited liability company (“OCG”), in its capacity as the managing member of Holdings;</w:t>
      </w:r>
    </w:p>
    <w:p>
      <w:pPr>
        <w:spacing w:after="0" w:line="25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(“OCGH GP”), in its capacity as the indirect owner of the class B units of OCG;</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Brookfield Corporation (f/k/a Brookfield Asset Management, Inc.), an Ontario corporation (“BAM”), in its capacity as the indirect owner of the class A units of OCG;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BAM Partners Trust, a trust established under the laws of Ontario (the “BAM Partnership”), in its capacity as the sole owner of Class B Limited Voting Shares of BAM.</w:t>
      </w:r>
    </w:p>
    <w:p>
      <w:pPr>
        <w:spacing w:after="0" w:line="190"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The address of the principal business office of BAM and of the BAM Partnership is Brookfield Place, Suite 300, 181 Bay Street, P.O. Box 762, Toronto, Ontario, Canada M5J 2T3. The address of the principal business office of other Reporting Persons is 333 S. Grand Avenue, 28th Floor, Los Angeles, CA 90071.</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Class A Common Stock, par value $0.0001 per share (the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7"/>
          <w:szCs w:val="17"/>
          <w:color w:val="auto"/>
        </w:rPr>
        <w:t>SCHEDULE 13G/A</w:t>
      </w:r>
    </w:p>
    <w:p>
      <w:pPr>
        <w:sectPr>
          <w:pgSz w:w="11900" w:h="16838" w:orient="portrait"/>
          <w:cols w:equalWidth="0" w:num="1">
            <w:col w:w="11240"/>
          </w:cols>
          <w:pgMar w:left="320" w:top="125" w:right="3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CUSIP No. 98987D102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Page 13 of 17</w:t>
      </w:r>
    </w:p>
    <w:p>
      <w:pPr>
        <w:spacing w:after="0" w:line="189" w:lineRule="exact"/>
        <w:rPr>
          <w:sz w:val="20"/>
          <w:szCs w:val="20"/>
          <w:color w:val="auto"/>
        </w:rPr>
      </w:pPr>
    </w:p>
    <w:p>
      <w:pPr>
        <w:sectPr>
          <w:pgSz w:w="11900" w:h="16838" w:orient="portrait"/>
          <w:cols w:equalWidth="0" w:num="2">
            <w:col w:w="9520" w:space="720"/>
            <w:col w:w="100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740" w:space="560"/>
            <w:col w:w="9940"/>
          </w:cols>
          <w:pgMar w:left="320" w:top="125" w:right="339" w:bottom="1440" w:gutter="0" w:footer="0" w:header="0"/>
          <w:type w:val="continuous"/>
        </w:sectPr>
      </w:pPr>
    </w:p>
    <w:p>
      <w:pPr>
        <w:spacing w:after="0" w:line="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98987D102</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Item 3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The responses of the Reporting Persons to Rows 5-9 and 11 in each of their respective cover pages to this Schedule 13G are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OCM Value SPAC directly no longer holds any shares of common stock, $0.0001 par value of the Issuer.</w:t>
      </w:r>
    </w:p>
    <w:p>
      <w:pPr>
        <w:spacing w:after="0" w:line="233" w:lineRule="exact"/>
        <w:rPr>
          <w:sz w:val="20"/>
          <w:szCs w:val="20"/>
          <w:color w:val="auto"/>
        </w:rPr>
      </w:pPr>
    </w:p>
    <w:p>
      <w:pPr>
        <w:jc w:val="both"/>
        <w:ind w:right="480"/>
        <w:spacing w:after="0" w:line="257" w:lineRule="auto"/>
        <w:rPr>
          <w:sz w:val="20"/>
          <w:szCs w:val="20"/>
          <w:color w:val="auto"/>
        </w:rPr>
      </w:pPr>
      <w:r>
        <w:rPr>
          <w:rFonts w:ascii="Arial" w:cs="Arial" w:eastAsia="Arial" w:hAnsi="Arial"/>
          <w:sz w:val="21"/>
          <w:szCs w:val="21"/>
          <w:color w:val="auto"/>
        </w:rPr>
        <w:t>Fund GP, in its capacity as the general partner of OCM Value SPAC, has the ability to direct the management of OCM Value SPAC’s business regarding the vote and disposition of any securities held by OCM Value SPAC; therefore, Fund GP may be deemed to have indirect beneficial ownership of any shares held by OCM Value SPAC.</w:t>
      </w:r>
    </w:p>
    <w:p>
      <w:pPr>
        <w:spacing w:after="0" w:line="196"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GP I, in its capacity as the managing member of Fund GP, has the ability to direct the management of Fund GP’s business regarding the vote and disposition of any securities held by OCM Value SPAC; therefore, GP I may be deemed to have indirect beneficial ownership of any shares held by OCM Value SPAC.</w:t>
      </w:r>
    </w:p>
    <w:p>
      <w:pPr>
        <w:spacing w:after="0" w:line="213"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Capital I, in its capacity as the general partner of GP I, has the ability to direct the management of GP I’s business regarding the vote and disposition of any securities held by OCM Value SPAC; therefore, Capital I may be deemed to have indirect beneficial ownership of any shares held by OCM Value SPAC.</w:t>
      </w:r>
    </w:p>
    <w:p>
      <w:pPr>
        <w:spacing w:after="0" w:line="213"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Holdings I, in its capacity as the general partner of Capital I, has the ability to direct the management of Capital I’s business regarding the vote and disposition of any securities held by OCM Value SPAC; therefore, Holdings I may be deemed to have indirect beneficial ownership of any shares held by OCM Value SPAC.</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Holdings, in its capacity as the managing member of Holdings I, has the ability to direct the management of Holdings I’s business regarding the vote and disposition of any securities held by OCM Value SPAC; therefore, Holdings may be deemed to have indirect beneficial ownership of any shares held by OCM Value SPAC.</w:t>
      </w:r>
    </w:p>
    <w:p>
      <w:pPr>
        <w:spacing w:after="0" w:line="21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OCG, in its capacity as the managing member of Holdings, has the ability to direct the management of Holdings’ business regarding the vote and disposition of any securities held by OCM Value SPAC; therefore, OCG may be deemed to have indirect beneficial ownership of any shares held by OCM Value SPAC.</w:t>
      </w:r>
    </w:p>
    <w:p>
      <w:pPr>
        <w:spacing w:after="0" w:line="213"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OCGH GP, in its capacity as the managing member of OCG, has the ability to direct the management of Holdings’ business regarding the vote and disposition of any securities held by OCM Value SPAC; therefore, OCGH GP may be deemed to have indirect beneficial ownership of any shares held by OCM Value SPAC.</w:t>
      </w:r>
    </w:p>
    <w:p>
      <w:pPr>
        <w:spacing w:after="0" w:line="21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BAM, in its capacity as the indirect owner of the class A units of OCG, has the ability to appoint and remove certain directors of OCG, and, as such, may indirectly control the decisions of OCG regarding the vote and disposition of any securities held by OCM Value SPAC; therefore, BAM may be deemed to have indirect beneficial ownership of any shares held by OCM Value SPAC.</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BAM Partnership, which is the sole owner of Class B Limited Voting Shares of BAM, has the ability to appoint one half of the board of directors of BAM and, as such, may indirectly control the decisions of BAM regarding the vote and disposition of any securities held by OCM Value SPAC; therefore, the BAM Partnership may be deemed to have indirect beneficial ownership of any shares held by OCM Value SPAC.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98987D102</w:t>
      </w:r>
      <w:r>
        <w:rPr>
          <w:sz w:val="20"/>
          <w:szCs w:val="20"/>
          <w:color w:val="auto"/>
        </w:rPr>
        <w:tab/>
      </w:r>
      <w:r>
        <w:rPr>
          <w:rFonts w:ascii="Arial" w:cs="Arial" w:eastAsia="Arial" w:hAnsi="Arial"/>
          <w:sz w:val="16"/>
          <w:szCs w:val="16"/>
          <w:color w:val="auto"/>
        </w:rPr>
        <w:t>Page 14 of 17</w:t>
      </w:r>
    </w:p>
    <w:p>
      <w:pPr>
        <w:spacing w:after="0" w:line="16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units, and except to the extent of its pecuniary interest, such beneficial ownership is expressly disclaimed by each Reporting Person.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right="480" w:firstLine="648"/>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Item 6 is not applicable.</w:t>
      </w:r>
    </w:p>
    <w:p>
      <w:pPr>
        <w:spacing w:after="0" w:line="236"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Item 7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Item 8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Item 9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98987D102</w:t>
      </w:r>
      <w:r>
        <w:rPr>
          <w:sz w:val="20"/>
          <w:szCs w:val="20"/>
          <w:color w:val="auto"/>
        </w:rPr>
        <w:tab/>
      </w:r>
      <w:r>
        <w:rPr>
          <w:rFonts w:ascii="Arial" w:cs="Arial" w:eastAsia="Arial" w:hAnsi="Arial"/>
          <w:sz w:val="16"/>
          <w:szCs w:val="16"/>
          <w:color w:val="auto"/>
        </w:rPr>
        <w:t>Page 15 of 17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February 14, 2023</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OCM VALUE SPAC HOLDINGS,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FUND GP, LLC</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5900" w:space="300"/>
            <w:col w:w="5040"/>
          </w:cols>
          <w:pgMar w:left="320" w:top="125" w:right="339" w:bottom="1440"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FUND GP I, L.P.</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CAPITAL I, L.P.</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center"/>
        <w:ind w:right="40"/>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98987D102</w:t>
      </w:r>
      <w:r>
        <w:rPr>
          <w:sz w:val="20"/>
          <w:szCs w:val="20"/>
          <w:color w:val="auto"/>
        </w:rPr>
        <w:tab/>
      </w:r>
      <w:r>
        <w:rPr>
          <w:rFonts w:ascii="Arial" w:cs="Arial" w:eastAsia="Arial" w:hAnsi="Arial"/>
          <w:sz w:val="16"/>
          <w:szCs w:val="16"/>
          <w:color w:val="auto"/>
        </w:rPr>
        <w:t>Page 16 of 17</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OCM HOLDINGS I,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Swati Mandava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BAM PARTNERS TRUST</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BAM Class B Partners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ectPr>
          <w:pgSz w:w="11900" w:h="16838" w:orient="portrait"/>
          <w:cols w:equalWidth="0" w:num="2">
            <w:col w:w="5900" w:space="300"/>
            <w:col w:w="5040"/>
          </w:cols>
          <w:pgMar w:left="320" w:top="125" w:right="339" w:bottom="1440"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36830</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center"/>
        <w:ind w:right="40"/>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98987D102</w:t>
      </w:r>
      <w:r>
        <w:rPr>
          <w:sz w:val="20"/>
          <w:szCs w:val="20"/>
          <w:color w:val="auto"/>
        </w:rPr>
        <w:tab/>
      </w:r>
      <w:r>
        <w:rPr>
          <w:rFonts w:ascii="Arial" w:cs="Arial" w:eastAsia="Arial" w:hAnsi="Arial"/>
          <w:sz w:val="16"/>
          <w:szCs w:val="16"/>
          <w:color w:val="auto"/>
        </w:rPr>
        <w:t>Page 17 of 17</w:t>
      </w:r>
    </w:p>
    <w:p>
      <w:pPr>
        <w:spacing w:after="0" w:line="1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0000EE"/>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9"/>
          <w:szCs w:val="19"/>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February 14, 2023</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OCM VALUE SPAC HOLDINGS, L.P.</w:t>
      </w:r>
    </w:p>
    <w:p>
      <w:pPr>
        <w:sectPr>
          <w:pgSz w:w="11900" w:h="16838" w:orient="portrait"/>
          <w:cols w:equalWidth="0" w:num="1">
            <w:col w:w="11240"/>
          </w:cols>
          <w:pgMar w:left="320" w:top="274" w:right="339" w:bottom="1158" w:gutter="0" w:footer="0" w:header="0"/>
        </w:sect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5900" w:space="300"/>
            <w:col w:w="5040"/>
          </w:cols>
          <w:pgMar w:left="320" w:top="274" w:right="339" w:bottom="1158"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FUND GP, LLC</w:t>
      </w:r>
    </w:p>
    <w:p>
      <w:pPr>
        <w:sectPr>
          <w:pgSz w:w="11900" w:h="16838" w:orient="portrait"/>
          <w:cols w:equalWidth="0" w:num="1">
            <w:col w:w="11240"/>
          </w:cols>
          <w:pgMar w:left="320" w:top="274" w:right="339" w:bottom="1158" w:gutter="0" w:footer="0" w:header="0"/>
          <w:type w:val="continuous"/>
        </w:sect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5900" w:space="300"/>
            <w:col w:w="5040"/>
          </w:cols>
          <w:pgMar w:left="320" w:top="274" w:right="339" w:bottom="1158"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FUND GP I,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I,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OCM HOLDINGS I,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CAPITAL GROUP HOLDINGS GP, LLC</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-130810</wp:posOffset>
            </wp:positionV>
            <wp:extent cx="32061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158" w:gutter="0" w:footer="0" w:header="0"/>
          <w:type w:val="continuous"/>
        </w:sectPr>
      </w:pPr>
    </w:p>
    <w:bookmarkStart w:id="18" w:name="page19"/>
    <w:bookmarkEnd w:id="18"/>
    <w:p>
      <w:pPr>
        <w:ind w:left="5600"/>
        <w:spacing w:after="0"/>
        <w:rPr>
          <w:sz w:val="20"/>
          <w:szCs w:val="20"/>
          <w:color w:val="auto"/>
        </w:rPr>
      </w:pPr>
      <w:r>
        <w:rPr>
          <w:rFonts w:ascii="Arial" w:cs="Arial" w:eastAsia="Arial" w:hAnsi="Arial"/>
          <w:sz w:val="18"/>
          <w:szCs w:val="18"/>
          <w:color w:val="auto"/>
        </w:rPr>
        <w:t>BROOKFIELD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ind w:left="560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Swati Mandava</w:t>
            </w:r>
          </w:p>
        </w:tc>
      </w:tr>
      <w:tr>
        <w:trPr>
          <w:trHeight w:val="202"/>
        </w:trPr>
        <w:tc>
          <w:tcPr>
            <w:tcW w:w="6240" w:type="dxa"/>
            <w:vAlign w:val="bottom"/>
          </w:tcPr>
          <w:p>
            <w:pPr>
              <w:ind w:left="5600"/>
              <w:spacing w:after="0" w:line="201"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Swati Mandava</w:t>
            </w:r>
          </w:p>
        </w:tc>
      </w:tr>
      <w:tr>
        <w:trPr>
          <w:trHeight w:val="230"/>
        </w:trPr>
        <w:tc>
          <w:tcPr>
            <w:tcW w:w="6240" w:type="dxa"/>
            <w:vAlign w:val="bottom"/>
          </w:tcPr>
          <w:p>
            <w:pPr>
              <w:ind w:left="560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Senior Vice President Legal &amp; Regulatory</w:t>
            </w:r>
          </w:p>
        </w:tc>
      </w:tr>
      <w:tr>
        <w:trPr>
          <w:trHeight w:val="432"/>
        </w:trPr>
        <w:tc>
          <w:tcPr>
            <w:tcW w:w="11240" w:type="dxa"/>
            <w:vAlign w:val="bottom"/>
            <w:gridSpan w:val="2"/>
          </w:tcPr>
          <w:p>
            <w:pPr>
              <w:ind w:left="5600"/>
              <w:spacing w:after="0"/>
              <w:rPr>
                <w:sz w:val="20"/>
                <w:szCs w:val="20"/>
                <w:color w:val="auto"/>
              </w:rPr>
            </w:pPr>
            <w:r>
              <w:rPr>
                <w:rFonts w:ascii="Arial" w:cs="Arial" w:eastAsia="Arial" w:hAnsi="Arial"/>
                <w:sz w:val="18"/>
                <w:szCs w:val="18"/>
                <w:color w:val="auto"/>
              </w:rPr>
              <w:t>BAM PARTNERS TRUST</w:t>
            </w:r>
          </w:p>
        </w:tc>
      </w:tr>
      <w:tr>
        <w:trPr>
          <w:trHeight w:val="418"/>
        </w:trPr>
        <w:tc>
          <w:tcPr>
            <w:tcW w:w="6240" w:type="dxa"/>
            <w:vAlign w:val="bottom"/>
          </w:tcPr>
          <w:p>
            <w:pPr>
              <w:ind w:left="560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BAM Class B Partners Inc.</w:t>
            </w:r>
          </w:p>
        </w:tc>
      </w:tr>
      <w:tr>
        <w:trPr>
          <w:trHeight w:val="230"/>
        </w:trPr>
        <w:tc>
          <w:tcPr>
            <w:tcW w:w="6240" w:type="dxa"/>
            <w:vAlign w:val="bottom"/>
          </w:tcPr>
          <w:p>
            <w:pPr>
              <w:ind w:left="5600"/>
              <w:spacing w:after="0"/>
              <w:rPr>
                <w:sz w:val="20"/>
                <w:szCs w:val="20"/>
                <w:color w:val="auto"/>
              </w:rPr>
            </w:pPr>
            <w:r>
              <w:rPr>
                <w:rFonts w:ascii="Arial" w:cs="Arial" w:eastAsia="Arial" w:hAnsi="Arial"/>
                <w:sz w:val="18"/>
                <w:szCs w:val="18"/>
                <w:color w:val="auto"/>
              </w:rPr>
              <w:t>Its:</w:t>
            </w:r>
          </w:p>
        </w:tc>
        <w:tc>
          <w:tcPr>
            <w:tcW w:w="5000" w:type="dxa"/>
            <w:vAlign w:val="bottom"/>
          </w:tcPr>
          <w:p>
            <w:pPr>
              <w:spacing w:after="0"/>
              <w:rPr>
                <w:sz w:val="20"/>
                <w:szCs w:val="20"/>
                <w:color w:val="auto"/>
              </w:rPr>
            </w:pPr>
            <w:r>
              <w:rPr>
                <w:rFonts w:ascii="Arial" w:cs="Arial" w:eastAsia="Arial" w:hAnsi="Arial"/>
                <w:sz w:val="18"/>
                <w:szCs w:val="18"/>
                <w:color w:val="auto"/>
              </w:rPr>
              <w:t>Trustee</w:t>
            </w:r>
          </w:p>
        </w:tc>
      </w:tr>
      <w:tr>
        <w:trPr>
          <w:trHeight w:val="439"/>
        </w:trPr>
        <w:tc>
          <w:tcPr>
            <w:tcW w:w="6240" w:type="dxa"/>
            <w:vAlign w:val="bottom"/>
          </w:tcPr>
          <w:p>
            <w:pPr>
              <w:ind w:left="560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Kathy Sarpash</w:t>
            </w:r>
          </w:p>
        </w:tc>
      </w:tr>
      <w:tr>
        <w:trPr>
          <w:trHeight w:val="202"/>
        </w:trPr>
        <w:tc>
          <w:tcPr>
            <w:tcW w:w="6240" w:type="dxa"/>
            <w:vAlign w:val="bottom"/>
          </w:tcPr>
          <w:p>
            <w:pPr>
              <w:ind w:left="5600"/>
              <w:spacing w:after="0" w:line="201"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Kathy Sarpash</w:t>
            </w:r>
          </w:p>
        </w:tc>
      </w:tr>
      <w:tr>
        <w:trPr>
          <w:trHeight w:val="230"/>
        </w:trPr>
        <w:tc>
          <w:tcPr>
            <w:tcW w:w="6240" w:type="dxa"/>
            <w:vAlign w:val="bottom"/>
          </w:tcPr>
          <w:p>
            <w:pPr>
              <w:ind w:left="560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Secretary</w:t>
            </w:r>
          </w:p>
        </w:tc>
      </w:tr>
      <w:tr>
        <w:trPr>
          <w:trHeight w:val="601"/>
        </w:trPr>
        <w:tc>
          <w:tcPr>
            <w:tcW w:w="62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2023-02-14T17:22:20Z</dcterms:created>
  <dcterms:modified xsi:type="dcterms:W3CDTF">2023-02-14T17:22:20Z</dcterms:modified>
</cp:coreProperties>
</file>