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13517_sc13da.htm"/>
      <w:bookmarkStart w:id="1" w:name="ksef20013517_sc13da"/>
      <w:bookmarkStart w:id="2" w:name="ef20013517_sc13da.htm"/>
      <w:bookmarkStart w:id="3" w:name="ksef20013517_sc13d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13D/A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4)</w:t>
      </w:r>
    </w:p>
    <w:p>
      <w:pPr>
        <w:pStyle w:val="TextBody"/>
        <w:bidi w:val="0"/>
        <w:spacing w:before="0" w:after="0"/>
        <w:jc w:val="left"/>
        <w:rPr>
          <w:color w:val="000000"/>
        </w:rPr>
      </w:pPr>
      <w:r>
        <w:rPr>
          <w:color w:val="000000"/>
        </w:rPr>
        <w:t> </w:t>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TO BE INCLUDED IN STATEMENTS FILED PURSUANT TO RULE 13d-1(a)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AND AMENDMENTS THERETO FILED PURSUANT TO RULE 13d-2(a)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Garrett Motion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Issuer)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Common Stock, $0.001 par value per share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(Title of Class of Securities)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366505105</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(CUSIP Number)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Todd E. Molz</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General Counsel, Chief Administrative Officer &amp; Managing Director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Oaktree Capital Group Holdings GP, LLC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333 South Grand Avenue, 28th Floor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Los Angeles California 90071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(213) 830-6300</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Address and Telephone Number of Person Authorized to Receive Notices and Communications)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October 24, 2023</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Event Which Requires Filing of this Statement)</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the filing person has previously filed a statement on Schedule 13G to report the acquisition that is the subject of this Schedule 13D, and is filing this schedule because of §§ 240.13d-1(e), 240.13d-1(f) or 240.13d-1(g), check the following box. ☐</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Note: </w:t>
      </w:r>
      <w:r>
        <w:rPr>
          <w:rFonts w:ascii="Times New Roman" w:hAnsi="Times New Roman"/>
          <w:color w:val="000000"/>
          <w:sz w:val="20"/>
        </w:rPr>
        <w:t>Schedules filed in paper format shall include a signed original and five copies of the schedule, including all exhibits. See Rule 13d-7 for other parties to whom copies are to be sent.</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left"/>
        <w:rPr>
          <w:color w:val="000000"/>
        </w:rPr>
      </w:pPr>
      <w:r>
        <w:rPr>
          <w:color w:val="000000"/>
        </w:rPr>
        <w:t> </w:t>
      </w:r>
    </w:p>
    <w:p>
      <w:pPr>
        <w:pStyle w:val="HorizontalLine"/>
        <w:bidi w:val="0"/>
        <w:jc w:val="left"/>
        <w:rPr/>
      </w:pPr>
      <w:r>
        <w:rPr/>
      </w:r>
    </w:p>
    <w:p>
      <w:pPr>
        <w:pStyle w:val="HorizontalLine"/>
        <w:pBdr>
          <w:bottom w:val="single" w:sz="12" w:space="0" w:color="808080"/>
        </w:pBdr>
        <w:bidi w:val="0"/>
        <w:spacing w:before="200" w:after="200"/>
        <w:jc w:val="left"/>
        <w:rPr/>
      </w:pPr>
      <w:r>
        <w:rPr/>
      </w:r>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Oaktree Value Opportunities Fund Holdings, L.P.</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OO (See Item 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9,174,939</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9,174,939</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9,174,939</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b/>
              </w:rPr>
            </w:pPr>
            <w:r>
              <w:rPr>
                <w:b/>
              </w:rPr>
              <w:t>3.8%(1)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PN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Calculated based on 242,419,764 shares of Common Stock outstanding as of October 18, 2023, as reported in the Issuer’s quarterly report on Form 10-Q filed with the SEC on October 24, 2023.</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OCM Opps GTM Holdings, LLC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OO (See Item 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30,913,991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30,913,991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30,913,991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b/>
              </w:rPr>
            </w:pPr>
            <w:r>
              <w:rPr>
                <w:b/>
              </w:rPr>
              <w:t>12.8%(1)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PN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Calculated based on 242,419,764 shares of Common Stock outstanding as of October 18, 2023, as reported in the Issuer’s quarterly report on Form 10-Q filed with the SEC on October 24, 2023.</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Atlas OCM Holdings, LLC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Not Applicable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10,294,336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10,294,336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10,294,336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b/>
              </w:rPr>
            </w:pPr>
            <w:r>
              <w:rPr>
                <w:b/>
              </w:rPr>
              <w:t>4.3%(1)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Calculated based on 242,419,764 shares of Common Stock outstanding as of October 18, 2023, as reported in the Issuer’s quarterly report on Form 10-Q filed with the SEC on October 24, 2023.</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Oaktree Capital Group, LLC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Not Applicable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33,788,480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33,788,480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33,788,480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b/>
              </w:rPr>
            </w:pPr>
            <w:r>
              <w:rPr>
                <w:b/>
              </w:rPr>
              <w:t>13.9%(1)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Calculated based on 242,419,764 shares of Common Stock outstanding as of October 18, 2023, as reported in the Issuer’s quarterly report on Form 10-Q filed with the SEC on October 24, 2023.</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Brookfield Corporation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Not Applicable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Ontario, Canada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33,788,480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33,788,480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33,788,480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b/>
              </w:rPr>
            </w:pPr>
            <w:r>
              <w:rPr>
                <w:b/>
              </w:rPr>
              <w:t>13.9%(1)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HC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Calculated based on 242,419,764 shares of Common Stock outstanding as of October 18, 2023, as reported in the Issuer’s quarterly report on Form 10-Q filed with the SEC on October 24, 2023.</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BAM Partners Trust</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Not Applicable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Ontario, Canada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33,788,480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33,788,480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33,788,480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b/>
              </w:rPr>
            </w:pPr>
            <w:r>
              <w:rPr>
                <w:b/>
              </w:rPr>
              <w:t>13.9%(1)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HC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Calculated based on 242,419,764 shares of Common Stock outstanding as of October 18, 2023, as reported in the Issuer’s quarterly report on Form 10-Q filed with the SEC on October 24, 2023.</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Oaktree Phoenix Investment Fund, L.P.</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Not Applicable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Cayman Islands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1,119,397</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1,119,397</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1,119,397</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b/>
              </w:rPr>
            </w:pPr>
            <w:r>
              <w:rPr>
                <w:b/>
              </w:rPr>
              <w:t>0.5%(1)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PN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Calculated based on 242,419,764 shares of Common Stock outstanding as of October 18, 2023, as reported in the Issuer’s quarterly report on Form 10-Q filed with the SEC on October 24, 2023.</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tbl>
      <w:tblPr>
        <w:tblW w:w="10205" w:type="dxa"/>
        <w:jc w:val="left"/>
        <w:tblInd w:w="-10" w:type="dxa"/>
        <w:tblLayout w:type="fixed"/>
        <w:tblCellMar>
          <w:top w:w="28" w:type="dxa"/>
          <w:left w:w="28" w:type="dxa"/>
          <w:bottom w:w="28" w:type="dxa"/>
          <w:right w:w="0" w:type="dxa"/>
        </w:tblCellMar>
      </w:tblPr>
      <w:tblGrid>
        <w:gridCol w:w="4183"/>
        <w:gridCol w:w="223"/>
        <w:gridCol w:w="705"/>
        <w:gridCol w:w="4505"/>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Oaktree Opportunities Fund Xb Holdings (Delaware) LP</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OO (See Item 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5"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5"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5"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5"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2,874,489</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5"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5"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5"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5"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2,874,489</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2,874,489</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b/>
              </w:rPr>
            </w:pPr>
            <w:r>
              <w:rPr>
                <w:b/>
              </w:rPr>
              <w:t>1.2%(1)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PN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Calculated based on 242,419,764 shares of Common Stock outstanding as of October 18, 2023, as reported in the Issuer’s quarterly report on Form 10-Q filed with the SEC on October 24, 2023.</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Brookfield Asset Management ULC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Not Applicable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British Columbia, Canada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10,294,336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10,294,336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10,294,336</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lineRule="auto" w:line="240" w:before="0" w:after="0"/>
              <w:jc w:val="left"/>
              <w:rPr>
                <w:b/>
              </w:rPr>
            </w:pPr>
            <w:r>
              <w:rPr>
                <w:b/>
              </w:rPr>
              <w:t>4.3%(1)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OO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Calculated based on 242,419,764 shares of Common Stock outstanding as of October 18, 2023, as reported in the Issuer’s quarterly report on Form 10-Q filed with the SEC on October 24, 2023.</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Explanatory Note: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Amendment No. 4 amends the Schedule 13D filed on May 14, 2021 (the “Original Schedule 13D”), as amended by Amendment No. 1 filed on April 17, 2023 (the “Amendment No. 1”) as amended by Amendment No. 2 filed on June 9, 2023 (the “Amendment No. 2”), and as further amended by Amendment No. 3 filed on June 12, 2023 (the “Amendment No. 3”, as amended by this Amendment No. 4, the “Schedule 13D”). The class of equity securities to which this Schedule 13D relates is the common stock, par value $0.001 per share (the “Common Stock”). Unless specifically amended hereby, the disclosures set forth in the Original Schedule 13D remain unchanged, provided that if any Item amended herein is incorporated by reference into any other Item in the Schedule 13D as previously amended, such incorporation by reference is also amended hereby. Capitalized terms used but not otherwise defined herein have the meanings given to them in the Original Schedule 13D.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2a47620eedc4496191c4297e239eda20"/>
      <w:bookmarkStart w:id="5" w:name="z2a47620eedc4496191c4297e239eda20"/>
      <w:bookmarkEnd w:id="5"/>
    </w:p>
    <w:tbl>
      <w:tblPr>
        <w:tblW w:w="4210" w:type="dxa"/>
        <w:jc w:val="left"/>
        <w:tblInd w:w="0" w:type="dxa"/>
        <w:tblLayout w:type="fixed"/>
        <w:tblCellMar>
          <w:top w:w="0" w:type="dxa"/>
          <w:left w:w="0" w:type="dxa"/>
          <w:bottom w:w="0" w:type="dxa"/>
          <w:right w:w="0" w:type="dxa"/>
        </w:tblCellMar>
      </w:tblPr>
      <w:tblGrid>
        <w:gridCol w:w="740"/>
        <w:gridCol w:w="3470"/>
      </w:tblGrid>
      <w:tr>
        <w:trPr/>
        <w:tc>
          <w:tcPr>
            <w:tcW w:w="740" w:type="dxa"/>
            <w:tcBorders/>
            <w:vAlign w:val="center"/>
          </w:tcPr>
          <w:p>
            <w:pPr>
              <w:pStyle w:val="TableContents"/>
              <w:bidi w:val="0"/>
              <w:spacing w:before="0" w:after="0"/>
              <w:jc w:val="left"/>
              <w:rPr>
                <w:b/>
              </w:rPr>
            </w:pPr>
            <w:r>
              <w:rPr>
                <w:b/>
              </w:rPr>
              <w:t>Item 5.</w:t>
            </w:r>
          </w:p>
        </w:tc>
        <w:tc>
          <w:tcPr>
            <w:tcW w:w="3470" w:type="dxa"/>
            <w:tcBorders/>
            <w:vAlign w:val="center"/>
          </w:tcPr>
          <w:p>
            <w:pPr>
              <w:pStyle w:val="TableContents"/>
              <w:bidi w:val="0"/>
              <w:spacing w:before="0" w:after="0"/>
              <w:jc w:val="left"/>
              <w:rPr>
                <w:b/>
              </w:rPr>
            </w:pPr>
            <w:r>
              <w:rPr>
                <w:b/>
              </w:rPr>
              <w:t>Interest in Securities of the Issuer.</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Item 5 (a), (b), and (c) of the Original Schedule 13D are hereby amended and restated in their entirety as follows: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and (b)</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information contained on the cover pages of this Statement is incorporated herein by reference.</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In the aggregate, the Reporting Persons beneficially own, as of the date hereof, 44,082,816 shares of Common Stock, representing approximately 18.2% of the Common Stock outstanding as of the date hereof. All such ownership percentages of the securities reported herein are based upon 242,419,764 shares of Common Stock outstanding as of October 18, 2023, as reported by the Issuer in its quarterly report on Form 10-Q filed with the SEC on October 24, 2023. This Amendment No. 4 is being filed to reflect a change in the percentage previously reported solely as a result of the change in the outstanding shares of Common Stock reported by the Issuer in the 10-Q.</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Oaktree Value Opportunities Fund Holdings, L.P. directly holds 9,174,939 shares of Common Stock;</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OCM Opps GTM Holdings, LLC directly holds 30,913,991 shares of Common Stock;</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Oaktree Phoenix Investment Fund LP directly holds 1,119,397 shares of Common Stock;</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Oaktree Opportunities Fund Xb Holdings (Delaware) LP (together with Oaktree Value Opportunities Fund Holdings, L.P., OCM Opps GTM Holdings, LLC, and Oaktree Phoenix Investment Fund LP, the “Direct Holders” and each a “Direct Holder”) directly holds 2,874,489 shares of Common Stock;</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Oaktree Capital Group, LLC, in its capacity as the indirect manager of OCM Opps GTM Holdings, LLC and Oaktree Opportunities Fund Xb Holdings (Delaware) LP (the “OCG Entities”), may be deemed to beneficially own the 33,788,480 shares of Common Stock held directly by the OCG Entities;</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Atlas OCM Holdings, LLC, in its capacity as the indirect manager of Oaktree Value Opportunities Fund Holdings, L.P. and Oaktree Phoenix Investment Fund LP (the “Atlas Entities”), may be deemed to beneficially own the 10,294,336 shares of Common Stock held directly by the Atlas Entities;</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Brookfield Corporation, in its capacity as the indirect owner of the class A units of Oaktree Capital Group, LLC, may be deemed to beneficially own the 33,788,480 shares of Common Stock held directly by the OCG Entities;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BAM Partners Trust, in its capacity as the sole owner of Class B Limited Voting Shares of Brookfield Corporation, may be deemed to beneficially own the 33,788,480 shares of Common Stock held directly by the OCG Entities; and</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Brookfield Asset Management ULC, in its capacity as the indirect owner of Class A units of Atlas OCM Holdings, LLC, may be deemed to beneficially own the 10,294,336 shares of Common Stock held directly by the Atlas Entities.</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With respect to the shares of Common Stock reported herein, each of the Reporting Persons may be deemed to have shared voting and dispositive power or the shared power to direct the vote and disposition of the shares of Common Stock which such Reporting Person may be deemed to beneficially own as set forth above.</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Neither the filing of this Schedule 13D nor any of its contents shall be deemed to constitute an admission by any of the Reporting Persons that it is the beneficial owner of any of the shares of Common Stock referred to herein for the purposes of Section 13(d) of the Act, or for any other purpose, and such beneficial ownership is expressly disclaimed by each Reporting Person, other than each Direct Holder with respect to securities reported as directly held by such Direct Holder.</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Other than as set forth in this Schedule 13D, the Reporting Persons have not effected any transactions related to the Common Stock during the past 60 days.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18"/>
        </w:rPr>
      </w:pPr>
      <w:r>
        <w:rPr>
          <w:rFonts w:ascii="Times New Roman" w:hAnsi="Times New Roman"/>
          <w:b/>
          <w:color w:val="000000"/>
          <w:sz w:val="18"/>
        </w:rPr>
        <w:t>SIGNATURE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After reasonable inquiry and to the best of my knowledge and belief, I certify that the information set forth in this statement is true, complete and correct.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cbd15f360ac14f0f86da2514914d1382"/>
      <w:bookmarkStart w:id="7" w:name="zcbd15f360ac14f0f86da2514914d1382"/>
      <w:bookmarkEnd w:id="7"/>
    </w:p>
    <w:tbl>
      <w:tblPr>
        <w:tblW w:w="8379" w:type="dxa"/>
        <w:jc w:val="left"/>
        <w:tblInd w:w="0" w:type="dxa"/>
        <w:tblLayout w:type="fixed"/>
        <w:tblCellMar>
          <w:top w:w="0" w:type="dxa"/>
          <w:left w:w="0" w:type="dxa"/>
          <w:bottom w:w="0" w:type="dxa"/>
          <w:right w:w="0" w:type="dxa"/>
        </w:tblCellMar>
      </w:tblPr>
      <w:tblGrid>
        <w:gridCol w:w="2375"/>
        <w:gridCol w:w="478"/>
        <w:gridCol w:w="5526"/>
      </w:tblGrid>
      <w:tr>
        <w:trPr/>
        <w:tc>
          <w:tcPr>
            <w:tcW w:w="2375" w:type="dxa"/>
            <w:tcBorders/>
            <w:vAlign w:val="center"/>
          </w:tcPr>
          <w:p>
            <w:pPr>
              <w:pStyle w:val="TableContents"/>
              <w:bidi w:val="0"/>
              <w:spacing w:before="0" w:after="0"/>
              <w:jc w:val="left"/>
              <w:rPr/>
            </w:pPr>
            <w:r>
              <w:rPr/>
              <w:t>Dated: October 27, 2023</w:t>
            </w:r>
          </w:p>
        </w:tc>
        <w:tc>
          <w:tcPr>
            <w:tcW w:w="6004" w:type="dxa"/>
            <w:gridSpan w:val="2"/>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0"/>
              <w:jc w:val="left"/>
              <w:rPr>
                <w:b/>
              </w:rPr>
            </w:pPr>
            <w:r>
              <w:rPr>
                <w:b/>
              </w:rPr>
              <w:t>Oaktree Value Opportunities Fund Holdings, L.P.</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vAlign w:val="center"/>
          </w:tcPr>
          <w:p>
            <w:pPr>
              <w:pStyle w:val="TableContents"/>
              <w:bidi w:val="0"/>
              <w:spacing w:before="0" w:after="0"/>
              <w:jc w:val="left"/>
              <w:rPr/>
            </w:pPr>
            <w:r>
              <w:rPr/>
              <w:t>Oaktree Value Opportunities Fund GP, L.P.</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Its:</w:t>
            </w:r>
          </w:p>
        </w:tc>
        <w:tc>
          <w:tcPr>
            <w:tcW w:w="5526" w:type="dxa"/>
            <w:tcBorders/>
            <w:vAlign w:val="center"/>
          </w:tcPr>
          <w:p>
            <w:pPr>
              <w:pStyle w:val="TableContents"/>
              <w:bidi w:val="0"/>
              <w:spacing w:before="0" w:after="0"/>
              <w:jc w:val="left"/>
              <w:rPr/>
            </w:pPr>
            <w:r>
              <w:rPr/>
              <w:t>General Partner</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vAlign w:val="center"/>
          </w:tcPr>
          <w:p>
            <w:pPr>
              <w:pStyle w:val="TableContents"/>
              <w:bidi w:val="0"/>
              <w:spacing w:before="0" w:after="0"/>
              <w:jc w:val="left"/>
              <w:rPr/>
            </w:pPr>
            <w:r>
              <w:rPr/>
              <w:t>Oaktree Value Opportunities Fung GP Ltd.</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Its:</w:t>
            </w:r>
          </w:p>
        </w:tc>
        <w:tc>
          <w:tcPr>
            <w:tcW w:w="5526" w:type="dxa"/>
            <w:tcBorders/>
            <w:vAlign w:val="center"/>
          </w:tcPr>
          <w:p>
            <w:pPr>
              <w:pStyle w:val="TableContents"/>
              <w:bidi w:val="0"/>
              <w:spacing w:before="0" w:after="0"/>
              <w:jc w:val="left"/>
              <w:rPr/>
            </w:pPr>
            <w:r>
              <w:rPr/>
              <w:t>General Partner</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vAlign w:val="center"/>
          </w:tcPr>
          <w:p>
            <w:pPr>
              <w:pStyle w:val="TableContents"/>
              <w:bidi w:val="0"/>
              <w:spacing w:before="0" w:after="0"/>
              <w:jc w:val="left"/>
              <w:rPr/>
            </w:pPr>
            <w:r>
              <w:rPr/>
              <w:t>Oaktree Capital Management, L.P.</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Its:</w:t>
            </w:r>
          </w:p>
        </w:tc>
        <w:tc>
          <w:tcPr>
            <w:tcW w:w="5526" w:type="dxa"/>
            <w:tcBorders/>
            <w:vAlign w:val="center"/>
          </w:tcPr>
          <w:p>
            <w:pPr>
              <w:pStyle w:val="TableContents"/>
              <w:bidi w:val="0"/>
              <w:spacing w:before="0" w:after="0"/>
              <w:jc w:val="left"/>
              <w:rPr/>
            </w:pPr>
            <w:r>
              <w:rPr/>
              <w:t>Director</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5526"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bottom w:val="single" w:sz="12" w:space="0" w:color="000000"/>
            </w:tcBorders>
            <w:tcMar>
              <w:bottom w:w="28" w:type="dxa"/>
            </w:tcMar>
            <w:vAlign w:val="center"/>
          </w:tcPr>
          <w:p>
            <w:pPr>
              <w:pStyle w:val="TableContents"/>
              <w:bidi w:val="0"/>
              <w:spacing w:before="0" w:after="283"/>
              <w:jc w:val="left"/>
              <w:rPr/>
            </w:pPr>
            <w:r>
              <w:rPr/>
              <w:t>/s/ Henry Orren</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0"/>
              <w:jc w:val="left"/>
              <w:rPr/>
            </w:pPr>
            <w:r>
              <w:rPr/>
              <w:t>Name: Henry Orren</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0"/>
              <w:jc w:val="left"/>
              <w:rPr/>
            </w:pPr>
            <w:r>
              <w:rPr/>
              <w:t>Title: Senior Vice President</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0"/>
              <w:jc w:val="left"/>
              <w:rPr>
                <w:b/>
              </w:rPr>
            </w:pPr>
            <w:r>
              <w:rPr>
                <w:b/>
              </w:rPr>
              <w:t>OCM Opps GTM Holdings, LLC</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vAlign w:val="center"/>
          </w:tcPr>
          <w:p>
            <w:pPr>
              <w:pStyle w:val="TableContents"/>
              <w:bidi w:val="0"/>
              <w:spacing w:before="0" w:after="0"/>
              <w:jc w:val="left"/>
              <w:rPr/>
            </w:pPr>
            <w:r>
              <w:rPr/>
              <w:t>Oaktree Fund GP, LLC</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Its:</w:t>
            </w:r>
          </w:p>
        </w:tc>
        <w:tc>
          <w:tcPr>
            <w:tcW w:w="5526" w:type="dxa"/>
            <w:tcBorders/>
            <w:vAlign w:val="center"/>
          </w:tcPr>
          <w:p>
            <w:pPr>
              <w:pStyle w:val="TableContents"/>
              <w:bidi w:val="0"/>
              <w:spacing w:before="0" w:after="0"/>
              <w:jc w:val="left"/>
              <w:rPr/>
            </w:pPr>
            <w:r>
              <w:rPr/>
              <w:t>General Partner</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vAlign w:val="center"/>
          </w:tcPr>
          <w:p>
            <w:pPr>
              <w:pStyle w:val="TableContents"/>
              <w:bidi w:val="0"/>
              <w:spacing w:before="0" w:after="0"/>
              <w:jc w:val="left"/>
              <w:rPr/>
            </w:pPr>
            <w:r>
              <w:rPr/>
              <w:t>Oaktree Fund GP I, L.P.</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Its:</w:t>
            </w:r>
          </w:p>
        </w:tc>
        <w:tc>
          <w:tcPr>
            <w:tcW w:w="5526" w:type="dxa"/>
            <w:tcBorders/>
            <w:vAlign w:val="center"/>
          </w:tcPr>
          <w:p>
            <w:pPr>
              <w:pStyle w:val="TableContents"/>
              <w:bidi w:val="0"/>
              <w:spacing w:before="0" w:after="0"/>
              <w:jc w:val="left"/>
              <w:rPr/>
            </w:pPr>
            <w:r>
              <w:rPr/>
              <w:t>Managing Member</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bottom w:val="single" w:sz="12" w:space="0" w:color="000000"/>
            </w:tcBorders>
            <w:tcMar>
              <w:bottom w:w="28" w:type="dxa"/>
            </w:tcMar>
            <w:vAlign w:val="center"/>
          </w:tcPr>
          <w:p>
            <w:pPr>
              <w:pStyle w:val="TableContents"/>
              <w:bidi w:val="0"/>
              <w:spacing w:before="0" w:after="283"/>
              <w:jc w:val="left"/>
              <w:rPr/>
            </w:pPr>
            <w:r>
              <w:rPr/>
              <w:t>/s/ Henry Orren</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0"/>
              <w:jc w:val="left"/>
              <w:rPr/>
            </w:pPr>
            <w:r>
              <w:rPr/>
              <w:t>Name: Henry Orren</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0"/>
              <w:jc w:val="left"/>
              <w:rPr/>
            </w:pPr>
            <w:r>
              <w:rPr/>
              <w:t>Title: Authorized Signatory</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5526"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0"/>
              <w:jc w:val="left"/>
              <w:rPr>
                <w:b/>
              </w:rPr>
            </w:pPr>
            <w:r>
              <w:rPr>
                <w:b/>
              </w:rPr>
              <w:t>Oaktree Phoenix Investment Fund L.P.</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vAlign w:val="center"/>
          </w:tcPr>
          <w:p>
            <w:pPr>
              <w:pStyle w:val="TableContents"/>
              <w:bidi w:val="0"/>
              <w:spacing w:before="0" w:after="0"/>
              <w:jc w:val="left"/>
              <w:rPr/>
            </w:pPr>
            <w:r>
              <w:rPr/>
              <w:t>Oaktree Phoenix Investment Fund GP, L.P.</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Its:</w:t>
            </w:r>
          </w:p>
        </w:tc>
        <w:tc>
          <w:tcPr>
            <w:tcW w:w="5526" w:type="dxa"/>
            <w:tcBorders/>
            <w:vAlign w:val="center"/>
          </w:tcPr>
          <w:p>
            <w:pPr>
              <w:pStyle w:val="TableContents"/>
              <w:bidi w:val="0"/>
              <w:spacing w:before="0" w:after="0"/>
              <w:jc w:val="left"/>
              <w:rPr/>
            </w:pPr>
            <w:r>
              <w:rPr/>
              <w:t>General Partner</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vAlign w:val="center"/>
          </w:tcPr>
          <w:p>
            <w:pPr>
              <w:pStyle w:val="TableContents"/>
              <w:bidi w:val="0"/>
              <w:spacing w:before="0" w:after="0"/>
              <w:jc w:val="left"/>
              <w:rPr/>
            </w:pPr>
            <w:r>
              <w:rPr/>
              <w:t>Oaktree Phoenix Investment Fund GP, Ltd.</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Its:</w:t>
            </w:r>
          </w:p>
        </w:tc>
        <w:tc>
          <w:tcPr>
            <w:tcW w:w="5526" w:type="dxa"/>
            <w:tcBorders/>
            <w:vAlign w:val="center"/>
          </w:tcPr>
          <w:p>
            <w:pPr>
              <w:pStyle w:val="TableContents"/>
              <w:bidi w:val="0"/>
              <w:spacing w:before="0" w:after="0"/>
              <w:jc w:val="left"/>
              <w:rPr/>
            </w:pPr>
            <w:r>
              <w:rPr/>
              <w:t>General Partner</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vAlign w:val="center"/>
          </w:tcPr>
          <w:p>
            <w:pPr>
              <w:pStyle w:val="TableContents"/>
              <w:bidi w:val="0"/>
              <w:spacing w:before="0" w:after="0"/>
              <w:jc w:val="left"/>
              <w:rPr/>
            </w:pPr>
            <w:r>
              <w:rPr/>
              <w:t>Oaktree Capital Management, L.P.</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Its:</w:t>
            </w:r>
          </w:p>
        </w:tc>
        <w:tc>
          <w:tcPr>
            <w:tcW w:w="5526" w:type="dxa"/>
            <w:tcBorders/>
            <w:vAlign w:val="center"/>
          </w:tcPr>
          <w:p>
            <w:pPr>
              <w:pStyle w:val="TableContents"/>
              <w:bidi w:val="0"/>
              <w:spacing w:before="0" w:after="0"/>
              <w:jc w:val="left"/>
              <w:rPr/>
            </w:pPr>
            <w:r>
              <w:rPr/>
              <w:t>Director</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5526"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bottom w:val="single" w:sz="12" w:space="0" w:color="000000"/>
            </w:tcBorders>
            <w:tcMar>
              <w:bottom w:w="28" w:type="dxa"/>
            </w:tcMar>
            <w:vAlign w:val="center"/>
          </w:tcPr>
          <w:p>
            <w:pPr>
              <w:pStyle w:val="TableContents"/>
              <w:bidi w:val="0"/>
              <w:spacing w:before="0" w:after="283"/>
              <w:jc w:val="left"/>
              <w:rPr/>
            </w:pPr>
            <w:r>
              <w:rPr/>
              <w:t>/s/ Henry Orren</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0"/>
              <w:jc w:val="left"/>
              <w:rPr/>
            </w:pPr>
            <w:r>
              <w:rPr/>
              <w:t>Name: Henry Orren</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0"/>
              <w:jc w:val="left"/>
              <w:rPr/>
            </w:pPr>
            <w:r>
              <w:rPr/>
              <w:t>Title: Senior Vice President</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0"/>
              <w:jc w:val="left"/>
              <w:rPr>
                <w:b/>
              </w:rPr>
            </w:pPr>
            <w:r>
              <w:rPr>
                <w:b/>
              </w:rPr>
              <w:t>Oaktree Opportunities Fund Xb Holdings (Delaware), L.P.</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vAlign w:val="center"/>
          </w:tcPr>
          <w:p>
            <w:pPr>
              <w:pStyle w:val="TableContents"/>
              <w:bidi w:val="0"/>
              <w:spacing w:before="0" w:after="0"/>
              <w:jc w:val="left"/>
              <w:rPr/>
            </w:pPr>
            <w:r>
              <w:rPr/>
              <w:t>Oaktree Fund GP, LLC</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Its:</w:t>
            </w:r>
          </w:p>
        </w:tc>
        <w:tc>
          <w:tcPr>
            <w:tcW w:w="5526" w:type="dxa"/>
            <w:tcBorders/>
            <w:vAlign w:val="center"/>
          </w:tcPr>
          <w:p>
            <w:pPr>
              <w:pStyle w:val="TableContents"/>
              <w:bidi w:val="0"/>
              <w:spacing w:before="0" w:after="0"/>
              <w:jc w:val="left"/>
              <w:rPr/>
            </w:pPr>
            <w:r>
              <w:rPr/>
              <w:t>General Partner</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vAlign w:val="center"/>
          </w:tcPr>
          <w:p>
            <w:pPr>
              <w:pStyle w:val="TableContents"/>
              <w:bidi w:val="0"/>
              <w:spacing w:before="0" w:after="0"/>
              <w:jc w:val="left"/>
              <w:rPr/>
            </w:pPr>
            <w:r>
              <w:rPr/>
              <w:t>Oaktree Fund GP I, L.P.</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Its:</w:t>
            </w:r>
          </w:p>
        </w:tc>
        <w:tc>
          <w:tcPr>
            <w:tcW w:w="5526" w:type="dxa"/>
            <w:tcBorders/>
            <w:vAlign w:val="center"/>
          </w:tcPr>
          <w:p>
            <w:pPr>
              <w:pStyle w:val="TableContents"/>
              <w:bidi w:val="0"/>
              <w:spacing w:before="0" w:after="0"/>
              <w:jc w:val="left"/>
              <w:rPr/>
            </w:pPr>
            <w:r>
              <w:rPr/>
              <w:t>Managing Member</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0"/>
              <w:jc w:val="left"/>
              <w:rPr/>
            </w:pPr>
            <w:r>
              <w:rPr/>
              <w:t>By:</w:t>
            </w:r>
          </w:p>
        </w:tc>
        <w:tc>
          <w:tcPr>
            <w:tcW w:w="5526" w:type="dxa"/>
            <w:tcBorders>
              <w:bottom w:val="single" w:sz="12" w:space="0" w:color="000000"/>
            </w:tcBorders>
            <w:tcMar>
              <w:bottom w:w="28" w:type="dxa"/>
            </w:tcMar>
            <w:vAlign w:val="center"/>
          </w:tcPr>
          <w:p>
            <w:pPr>
              <w:pStyle w:val="TableContents"/>
              <w:bidi w:val="0"/>
              <w:spacing w:before="0" w:after="283"/>
              <w:jc w:val="left"/>
              <w:rPr/>
            </w:pPr>
            <w:r>
              <w:rPr/>
              <w:t>/s/ Henry Orren</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0"/>
              <w:jc w:val="left"/>
              <w:rPr/>
            </w:pPr>
            <w:r>
              <w:rPr/>
              <w:t>Name: Henry Orren</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0"/>
              <w:jc w:val="left"/>
              <w:rPr/>
            </w:pPr>
            <w:r>
              <w:rPr/>
              <w:t>Title: Authorized Signatory</w:t>
            </w:r>
          </w:p>
        </w:tc>
      </w:tr>
      <w:tr>
        <w:trPr/>
        <w:tc>
          <w:tcPr>
            <w:tcW w:w="23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tbl>
      <w:tblPr>
        <w:tblW w:w="4444" w:type="dxa"/>
        <w:jc w:val="left"/>
        <w:tblInd w:w="0" w:type="dxa"/>
        <w:tblLayout w:type="fixed"/>
        <w:tblCellMar>
          <w:top w:w="0" w:type="dxa"/>
          <w:left w:w="0" w:type="dxa"/>
          <w:bottom w:w="0" w:type="dxa"/>
          <w:right w:w="0" w:type="dxa"/>
        </w:tblCellMar>
      </w:tblPr>
      <w:tblGrid>
        <w:gridCol w:w="60"/>
        <w:gridCol w:w="535"/>
        <w:gridCol w:w="3849"/>
      </w:tblGrid>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b/>
              </w:rPr>
            </w:pPr>
            <w:r>
              <w:rPr>
                <w:b/>
              </w:rPr>
              <w:t>Atlas OCM Holdings, LLC</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left"/>
              <w:rPr/>
            </w:pPr>
            <w:r>
              <w:rPr/>
              <w:t>By:</w:t>
            </w:r>
          </w:p>
        </w:tc>
        <w:tc>
          <w:tcPr>
            <w:tcW w:w="3849" w:type="dxa"/>
            <w:tcBorders>
              <w:bottom w:val="single" w:sz="12" w:space="0" w:color="000000"/>
            </w:tcBorders>
            <w:tcMar>
              <w:bottom w:w="28" w:type="dxa"/>
            </w:tcMar>
            <w:vAlign w:val="center"/>
          </w:tcPr>
          <w:p>
            <w:pPr>
              <w:pStyle w:val="TableContents"/>
              <w:bidi w:val="0"/>
              <w:spacing w:before="0" w:after="283"/>
              <w:jc w:val="left"/>
              <w:rPr/>
            </w:pPr>
            <w:r>
              <w:rPr/>
              <w:t>/s/ Henry Orren</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pPr>
            <w:r>
              <w:rPr/>
              <w:t>Name: Henry Orren</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pPr>
            <w:r>
              <w:rPr/>
              <w:t>Title: Senior Vice President</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b/>
              </w:rPr>
            </w:pPr>
            <w:r>
              <w:rPr>
                <w:b/>
              </w:rPr>
              <w:t>Oaktree Capital Group, LLC</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left"/>
              <w:rPr/>
            </w:pPr>
            <w:r>
              <w:rPr/>
              <w:t>By:</w:t>
            </w:r>
          </w:p>
        </w:tc>
        <w:tc>
          <w:tcPr>
            <w:tcW w:w="3849" w:type="dxa"/>
            <w:tcBorders>
              <w:bottom w:val="single" w:sz="12" w:space="0" w:color="000000"/>
            </w:tcBorders>
            <w:tcMar>
              <w:bottom w:w="28" w:type="dxa"/>
            </w:tcMar>
            <w:vAlign w:val="center"/>
          </w:tcPr>
          <w:p>
            <w:pPr>
              <w:pStyle w:val="TableContents"/>
              <w:bidi w:val="0"/>
              <w:spacing w:before="0" w:after="283"/>
              <w:jc w:val="left"/>
              <w:rPr/>
            </w:pPr>
            <w:r>
              <w:rPr/>
              <w:t>/s/ Henry Orren</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pPr>
            <w:r>
              <w:rPr/>
              <w:t>Name: Henry Orren</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pPr>
            <w:r>
              <w:rPr/>
              <w:t>Title: Senior Vice President</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b/>
              </w:rPr>
            </w:pPr>
            <w:r>
              <w:rPr>
                <w:b/>
              </w:rPr>
              <w:t>Brookfield Corporation</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left"/>
              <w:rPr/>
            </w:pPr>
            <w:r>
              <w:rPr/>
              <w:t>By:</w:t>
            </w:r>
          </w:p>
        </w:tc>
        <w:tc>
          <w:tcPr>
            <w:tcW w:w="3849" w:type="dxa"/>
            <w:tcBorders>
              <w:bottom w:val="single" w:sz="12" w:space="0" w:color="000000"/>
            </w:tcBorders>
            <w:tcMar>
              <w:bottom w:w="28" w:type="dxa"/>
            </w:tcMar>
            <w:vAlign w:val="center"/>
          </w:tcPr>
          <w:p>
            <w:pPr>
              <w:pStyle w:val="TableContents"/>
              <w:bidi w:val="0"/>
              <w:spacing w:before="0" w:after="283"/>
              <w:jc w:val="left"/>
              <w:rPr/>
            </w:pPr>
            <w:r>
              <w:rPr/>
              <w:t>/s/ Swati Mandava</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pPr>
            <w:r>
              <w:rPr/>
              <w:t>Name: Swati Mandava</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pPr>
            <w:r>
              <w:rPr/>
              <w:t>Title: Managing Director, Legal &amp; Regulatory</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b/>
              </w:rPr>
            </w:pPr>
            <w:r>
              <w:rPr>
                <w:b/>
              </w:rPr>
              <w:t>BAM Partners Trust</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left"/>
              <w:rPr/>
            </w:pPr>
            <w:r>
              <w:rPr/>
              <w:t>By:</w:t>
            </w:r>
          </w:p>
        </w:tc>
        <w:tc>
          <w:tcPr>
            <w:tcW w:w="3849" w:type="dxa"/>
            <w:tcBorders/>
            <w:vAlign w:val="center"/>
          </w:tcPr>
          <w:p>
            <w:pPr>
              <w:pStyle w:val="TableContents"/>
              <w:bidi w:val="0"/>
              <w:spacing w:before="0" w:after="0"/>
              <w:jc w:val="left"/>
              <w:rPr/>
            </w:pPr>
            <w:r>
              <w:rPr/>
              <w:t>BAM Class B Partners Inc.</w:t>
            </w:r>
          </w:p>
        </w:tc>
      </w:tr>
      <w:tr>
        <w:trPr/>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left"/>
              <w:rPr/>
            </w:pPr>
            <w:r>
              <w:rPr/>
              <w:t>Its:</w:t>
            </w:r>
          </w:p>
        </w:tc>
        <w:tc>
          <w:tcPr>
            <w:tcW w:w="3849" w:type="dxa"/>
            <w:tcBorders/>
            <w:vAlign w:val="center"/>
          </w:tcPr>
          <w:p>
            <w:pPr>
              <w:pStyle w:val="TableContents"/>
              <w:bidi w:val="0"/>
              <w:spacing w:before="0" w:after="0"/>
              <w:jc w:val="left"/>
              <w:rPr/>
            </w:pPr>
            <w:r>
              <w:rPr/>
              <w:t>Trustee</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left"/>
              <w:rPr/>
            </w:pPr>
            <w:r>
              <w:rPr/>
              <w:t>By:</w:t>
            </w:r>
          </w:p>
        </w:tc>
        <w:tc>
          <w:tcPr>
            <w:tcW w:w="3849" w:type="dxa"/>
            <w:tcBorders>
              <w:bottom w:val="single" w:sz="12" w:space="0" w:color="000000"/>
            </w:tcBorders>
            <w:tcMar>
              <w:bottom w:w="28" w:type="dxa"/>
            </w:tcMar>
            <w:vAlign w:val="center"/>
          </w:tcPr>
          <w:p>
            <w:pPr>
              <w:pStyle w:val="TableContents"/>
              <w:bidi w:val="0"/>
              <w:spacing w:before="0" w:after="283"/>
              <w:jc w:val="left"/>
              <w:rPr/>
            </w:pPr>
            <w:r>
              <w:rPr/>
              <w:t>/s/ Kathy Sarpash</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pPr>
            <w:r>
              <w:rPr/>
              <w:t>Name: Kathy Sarpash</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pPr>
            <w:r>
              <w:rPr/>
              <w:t>Title: Secretary</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b/>
              </w:rPr>
            </w:pPr>
            <w:r>
              <w:rPr>
                <w:b/>
              </w:rPr>
              <w:t>Brookfield Asset Management ULC</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left"/>
              <w:rPr/>
            </w:pPr>
            <w:r>
              <w:rPr/>
              <w:t>By:</w:t>
            </w:r>
          </w:p>
        </w:tc>
        <w:tc>
          <w:tcPr>
            <w:tcW w:w="3849" w:type="dxa"/>
            <w:tcBorders>
              <w:bottom w:val="single" w:sz="12" w:space="0" w:color="000000"/>
            </w:tcBorders>
            <w:tcMar>
              <w:bottom w:w="28" w:type="dxa"/>
            </w:tcMar>
            <w:vAlign w:val="center"/>
          </w:tcPr>
          <w:p>
            <w:pPr>
              <w:pStyle w:val="TableContents"/>
              <w:bidi w:val="0"/>
              <w:spacing w:before="0" w:after="283"/>
              <w:jc w:val="left"/>
              <w:rPr/>
            </w:pPr>
            <w:r>
              <w:rPr/>
              <w:t>/s/ Kathy Sarpash</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pPr>
            <w:r>
              <w:rPr/>
              <w:t>Name: Kathy Sarpash</w:t>
            </w:r>
          </w:p>
        </w:tc>
      </w:tr>
      <w:tr>
        <w:trPr/>
        <w:tc>
          <w:tcPr>
            <w:tcW w:w="60"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0"/>
              <w:jc w:val="left"/>
              <w:rPr/>
            </w:pPr>
            <w:r>
              <w:rPr/>
              <w:t>Title: Managing Director, Legal &amp; Regulatory</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2856</Words>
  <Characters>14282</Characters>
  <CharactersWithSpaces>17486</CharactersWithSpaces>
  <Paragraphs>1446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