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1314450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69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69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Oaktree Capital Group, LLC</w:t>
      </w:r>
    </w:p>
    <w:p>
      <w:pPr>
        <w:spacing w:after="0" w:line="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001-35500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26-0174894</w:t>
      </w:r>
    </w:p>
    <w:p>
      <w:pPr>
        <w:spacing w:after="0" w:line="24" w:lineRule="exact"/>
        <w:rPr>
          <w:sz w:val="24"/>
          <w:szCs w:val="24"/>
          <w:color w:val="auto"/>
        </w:rPr>
      </w:pPr>
    </w:p>
    <w:p>
      <w:pPr>
        <w:sectPr>
          <w:pgSz w:w="11900" w:h="16838" w:orient="portrait"/>
          <w:cols w:equalWidth="0" w:num="3">
            <w:col w:w="4580" w:space="720"/>
            <w:col w:w="3000" w:space="720"/>
            <w:col w:w="1540"/>
          </w:cols>
          <w:pgMar w:left="320" w:top="1440" w:right="101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60" w:space="720"/>
            <w:col w:w="2880" w:space="720"/>
            <w:col w:w="1680"/>
          </w:cols>
          <w:pgMar w:left="320" w:top="1440" w:right="1019" w:bottom="1440" w:gutter="0" w:footer="0" w:header="0"/>
          <w:type w:val="continuous"/>
        </w:sectPr>
      </w:pPr>
    </w:p>
    <w:p>
      <w:pPr>
        <w:spacing w:after="0" w:line="42"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333 South Grand Avenue, 28th Floor</w:t>
      </w:r>
    </w:p>
    <w:p>
      <w:pPr>
        <w:jc w:val="center"/>
        <w:ind w:right="-639"/>
        <w:spacing w:after="0" w:line="200" w:lineRule="auto"/>
        <w:rPr>
          <w:sz w:val="20"/>
          <w:szCs w:val="20"/>
          <w:color w:val="auto"/>
        </w:rPr>
      </w:pPr>
      <w:r>
        <w:rPr>
          <w:rFonts w:ascii="Times New Roman" w:cs="Times New Roman" w:eastAsia="Times New Roman" w:hAnsi="Times New Roman"/>
          <w:sz w:val="18"/>
          <w:szCs w:val="18"/>
          <w:b w:val="1"/>
          <w:bCs w:val="1"/>
          <w:color w:val="auto"/>
        </w:rPr>
        <w:t>Los Angeles, CA 90071</w:t>
      </w:r>
    </w:p>
    <w:p>
      <w:pPr>
        <w:spacing w:after="0" w:line="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1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(213) 830-6300</w:t>
      </w:r>
    </w:p>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Not Applicable</w:t>
      </w:r>
    </w:p>
    <w:p>
      <w:pPr>
        <w:ind w:left="37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9"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040" w:firstLine="26"/>
        <w:spacing w:after="0" w:line="360" w:lineRule="auto"/>
        <w:tabs>
          <w:tab w:leader="none" w:pos="46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type w:val="continuous"/>
        </w:sectPr>
      </w:pPr>
    </w:p>
    <w:bookmarkStart w:id="1" w:name="page2"/>
    <w:bookmarkEnd w:id="1"/>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3860" w:type="dxa"/>
            <w:vAlign w:val="bottom"/>
            <w:gridSpan w:val="2"/>
            <w:vMerge w:val="continue"/>
          </w:tcPr>
          <w:p>
            <w:pPr>
              <w:spacing w:after="0"/>
              <w:rPr>
                <w:sz w:val="16"/>
                <w:szCs w:val="16"/>
                <w:color w:val="auto"/>
              </w:rPr>
            </w:pPr>
          </w:p>
        </w:tc>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9"/>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6.625% Series A preferred units</w:t>
            </w:r>
          </w:p>
        </w:tc>
        <w:tc>
          <w:tcPr>
            <w:tcW w:w="8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OAK-PA</w:t>
            </w:r>
          </w:p>
        </w:tc>
        <w:tc>
          <w:tcPr>
            <w:tcW w:w="16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6.550% Series B preferred units</w:t>
            </w:r>
          </w:p>
        </w:tc>
        <w:tc>
          <w:tcPr>
            <w:tcW w:w="3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OAK-PB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46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0"/>
          <w:szCs w:val="20"/>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40" w:right="1100" w:hanging="1308"/>
        <w:spacing w:after="0" w:line="239"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2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On June 29, 2023, Oaktree Capital Group, LLC (“OCG”) filed a Current Report on Form 8-K reporting that Jay Wintrob’s service as chief executive officer of OCG will cease in the first quarter of 2024, at which time he will also cease to be a member of the board of directors of OCG. At the time of such filing, the specific date of Mr. Wintrob’s cessation of service had not been determined. This Current Report on Form 8-K/A amends such filing to include such information. The effective date of Mr. Wintrob’s cessation of service as chief executive officer of OCG and a member of the board of directors of OCG has been determined to be March 1, 2024.</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64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Exhibits.</w:t>
            </w:r>
          </w:p>
        </w:tc>
        <w:tc>
          <w:tcPr>
            <w:tcW w:w="10120" w:type="dxa"/>
            <w:vAlign w:val="bottom"/>
          </w:tcPr>
          <w:p>
            <w:pPr>
              <w:spacing w:after="0"/>
              <w:rPr>
                <w:sz w:val="24"/>
                <w:szCs w:val="24"/>
                <w:color w:val="auto"/>
              </w:rPr>
            </w:pPr>
          </w:p>
        </w:tc>
      </w:tr>
      <w:tr>
        <w:trPr>
          <w:trHeight w:val="6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20" w:type="dxa"/>
            <w:vAlign w:val="bottom"/>
          </w:tcPr>
          <w:p>
            <w:pPr>
              <w:ind w:left="4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tcPr>
          <w:p>
            <w:pPr>
              <w:spacing w:after="0"/>
              <w:rPr>
                <w:sz w:val="20"/>
                <w:szCs w:val="20"/>
                <w:color w:val="auto"/>
              </w:rPr>
            </w:pPr>
          </w:p>
        </w:tc>
      </w:tr>
      <w:tr>
        <w:trPr>
          <w:trHeight w:val="3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19"/>
        </w:trPr>
        <w:tc>
          <w:tcPr>
            <w:tcW w:w="1120" w:type="dxa"/>
            <w:vAlign w:val="bottom"/>
            <w:tcBorders>
              <w:bottom w:val="single" w:sz="8" w:color="9A9A9A"/>
            </w:tcBorders>
          </w:tcPr>
          <w:p>
            <w:pPr>
              <w:spacing w:after="0"/>
              <w:rPr>
                <w:sz w:val="24"/>
                <w:szCs w:val="24"/>
                <w:color w:val="auto"/>
              </w:rPr>
            </w:pPr>
          </w:p>
        </w:tc>
        <w:tc>
          <w:tcPr>
            <w:tcW w:w="10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OAKTREE CAPITAL GROUP, LLC</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Todd E. Molz</w:t>
            </w: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E. Molz</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&amp; Chief Administrative Officer</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12, 2024</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2024-01-12T16:12:18Z</dcterms:created>
  <dcterms:modified xsi:type="dcterms:W3CDTF">2024-01-12T16:12:18Z</dcterms:modified>
</cp:coreProperties>
</file>