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6"/>
          <w:szCs w:val="26"/>
          <w:b w:val="1"/>
          <w:bCs w:val="1"/>
          <w:color w:val="auto"/>
        </w:rPr>
        <w:t>UNITED STATES</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16"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w:t>
      </w:r>
    </w:p>
    <w:p>
      <w:pPr>
        <w:spacing w:after="0" w:line="136"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FORM 10-Q</w:t>
      </w:r>
    </w:p>
    <w:p>
      <w:pPr>
        <w:spacing w:after="0" w:line="48"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________________</w:t>
      </w:r>
    </w:p>
    <w:p>
      <w:pPr>
        <w:spacing w:after="0" w:line="201" w:lineRule="exact"/>
        <w:rPr>
          <w:sz w:val="24"/>
          <w:szCs w:val="24"/>
          <w:color w:val="auto"/>
        </w:rPr>
      </w:pPr>
    </w:p>
    <w:p>
      <w:pPr>
        <w:ind w:left="3560" w:right="1900" w:hanging="3557"/>
        <w:spacing w:after="0" w:line="379" w:lineRule="auto"/>
        <w:tabs>
          <w:tab w:leader="none" w:pos="357"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or</w:t>
      </w:r>
    </w:p>
    <w:p>
      <w:pPr>
        <w:spacing w:after="0" w:line="114"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tbl>
      <w:tblPr>
        <w:tblLayout w:type="fixed"/>
        <w:tblInd w:w="144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7"/>
                <w:szCs w:val="17"/>
                <w:b w:val="1"/>
                <w:bCs w:val="1"/>
                <w:color w:val="auto"/>
              </w:rPr>
              <w:t>For the transition period from</w:t>
            </w:r>
          </w:p>
        </w:tc>
        <w:tc>
          <w:tcPr>
            <w:tcW w:w="720" w:type="dxa"/>
            <w:vAlign w:val="bottom"/>
          </w:tcPr>
          <w:p>
            <w:pPr>
              <w:ind w:left="40"/>
              <w:spacing w:after="0"/>
              <w:rPr>
                <w:sz w:val="20"/>
                <w:szCs w:val="20"/>
                <w:color w:val="auto"/>
              </w:rPr>
            </w:pPr>
            <w:r>
              <w:rPr>
                <w:rFonts w:ascii="Arial" w:cs="Arial" w:eastAsia="Arial" w:hAnsi="Arial"/>
                <w:sz w:val="17"/>
                <w:szCs w:val="17"/>
                <w:b w:val="1"/>
                <w:bCs w:val="1"/>
                <w:color w:val="auto"/>
              </w:rPr>
              <w:t>to</w:t>
            </w:r>
          </w:p>
        </w:tc>
        <w:tc>
          <w:tcPr>
            <w:tcW w:w="2900" w:type="dxa"/>
            <w:vAlign w:val="bottom"/>
          </w:tcPr>
          <w:p>
            <w:pPr>
              <w:jc w:val="right"/>
              <w:ind w:right="2310"/>
              <w:spacing w:after="0"/>
              <w:rPr>
                <w:sz w:val="20"/>
                <w:szCs w:val="20"/>
                <w:color w:val="auto"/>
              </w:rPr>
            </w:pPr>
            <w:r>
              <w:rPr>
                <w:rFonts w:ascii="Arial" w:cs="Arial" w:eastAsia="Arial" w:hAnsi="Arial"/>
                <w:sz w:val="17"/>
                <w:szCs w:val="17"/>
                <w:b w:val="1"/>
                <w:bCs w:val="1"/>
                <w:color w:val="auto"/>
              </w:rPr>
              <w:t>.</w:t>
            </w:r>
          </w:p>
        </w:tc>
      </w:tr>
      <w:tr>
        <w:trPr>
          <w:trHeight w:val="331"/>
        </w:trPr>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gridSpan w:val="4"/>
          </w:tcPr>
          <w:p>
            <w:pPr>
              <w:jc w:val="center"/>
              <w:ind w:left="457"/>
              <w:spacing w:after="0"/>
              <w:rPr>
                <w:sz w:val="20"/>
                <w:szCs w:val="20"/>
                <w:color w:val="auto"/>
              </w:rPr>
            </w:pPr>
            <w:r>
              <w:rPr>
                <w:rFonts w:ascii="Arial" w:cs="Arial" w:eastAsia="Arial" w:hAnsi="Arial"/>
                <w:sz w:val="17"/>
                <w:szCs w:val="17"/>
                <w:b w:val="1"/>
                <w:bCs w:val="1"/>
                <w:color w:val="auto"/>
              </w:rPr>
              <w:t>Commission File Number 001-35500</w:t>
            </w:r>
          </w:p>
        </w:tc>
        <w:tc>
          <w:tcPr>
            <w:tcW w:w="2900" w:type="dxa"/>
            <w:vAlign w:val="bottom"/>
          </w:tcPr>
          <w:p>
            <w:pPr>
              <w:spacing w:after="0"/>
              <w:rPr>
                <w:sz w:val="24"/>
                <w:szCs w:val="24"/>
                <w:color w:val="auto"/>
              </w:rPr>
            </w:pPr>
          </w:p>
        </w:tc>
      </w:tr>
      <w:tr>
        <w:trPr>
          <w:trHeight w:val="306"/>
        </w:trPr>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gridSpan w:val="3"/>
          </w:tcPr>
          <w:p>
            <w:pPr>
              <w:jc w:val="center"/>
              <w:ind w:left="1177"/>
              <w:spacing w:after="0"/>
              <w:rPr>
                <w:sz w:val="20"/>
                <w:szCs w:val="20"/>
                <w:color w:val="auto"/>
              </w:rPr>
            </w:pPr>
            <w:r>
              <w:rPr>
                <w:rFonts w:ascii="Arial" w:cs="Arial" w:eastAsia="Arial" w:hAnsi="Arial"/>
                <w:sz w:val="22"/>
                <w:szCs w:val="22"/>
                <w:b w:val="1"/>
                <w:bCs w:val="1"/>
                <w:color w:val="auto"/>
              </w:rPr>
              <w:t>________________</w:t>
            </w:r>
          </w:p>
        </w:tc>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3"/>
        </w:trPr>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60" w:type="dxa"/>
            <w:vAlign w:val="bottom"/>
            <w:gridSpan w:val="5"/>
          </w:tcPr>
          <w:p>
            <w:pPr>
              <w:jc w:val="center"/>
              <w:ind w:right="2310"/>
              <w:spacing w:after="0"/>
              <w:rPr>
                <w:sz w:val="20"/>
                <w:szCs w:val="20"/>
                <w:color w:val="auto"/>
              </w:rPr>
            </w:pPr>
            <w:r>
              <w:rPr>
                <w:rFonts w:ascii="Arial" w:cs="Arial" w:eastAsia="Arial" w:hAnsi="Arial"/>
                <w:sz w:val="27"/>
                <w:szCs w:val="27"/>
                <w:b w:val="1"/>
                <w:bCs w:val="1"/>
                <w:color w:val="auto"/>
              </w:rPr>
              <w:t>Brookfield Oaktree Holdings, LLC</w:t>
            </w:r>
          </w:p>
        </w:tc>
      </w:tr>
      <w:tr>
        <w:trPr>
          <w:trHeight w:val="241"/>
        </w:trPr>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60" w:type="dxa"/>
            <w:vAlign w:val="bottom"/>
            <w:gridSpan w:val="5"/>
          </w:tcPr>
          <w:p>
            <w:pPr>
              <w:jc w:val="center"/>
              <w:ind w:right="2310"/>
              <w:spacing w:after="0"/>
              <w:rPr>
                <w:sz w:val="20"/>
                <w:szCs w:val="20"/>
                <w:color w:val="auto"/>
              </w:rPr>
            </w:pPr>
            <w:r>
              <w:rPr>
                <w:rFonts w:ascii="Arial" w:cs="Arial" w:eastAsia="Arial" w:hAnsi="Arial"/>
                <w:sz w:val="17"/>
                <w:szCs w:val="17"/>
                <w:color w:val="auto"/>
              </w:rPr>
              <w:t>(Exact name of registrant as specified in its charter)</w:t>
            </w:r>
          </w:p>
        </w:tc>
      </w:tr>
      <w:tr>
        <w:trPr>
          <w:trHeight w:val="165"/>
        </w:trPr>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gridSpan w:val="3"/>
          </w:tcPr>
          <w:p>
            <w:pPr>
              <w:jc w:val="center"/>
              <w:ind w:left="1157"/>
              <w:spacing w:after="0"/>
              <w:rPr>
                <w:sz w:val="20"/>
                <w:szCs w:val="20"/>
                <w:color w:val="auto"/>
              </w:rPr>
            </w:pPr>
            <w:r>
              <w:rPr>
                <w:rFonts w:ascii="Arial" w:cs="Arial" w:eastAsia="Arial" w:hAnsi="Arial"/>
                <w:sz w:val="12"/>
                <w:szCs w:val="12"/>
                <w:b w:val="1"/>
                <w:bCs w:val="1"/>
                <w:color w:val="auto"/>
              </w:rPr>
              <w:t>_______________________________</w:t>
            </w:r>
          </w:p>
        </w:tc>
        <w:tc>
          <w:tcPr>
            <w:tcW w:w="7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212"/>
        </w:trPr>
        <w:tc>
          <w:tcPr>
            <w:tcW w:w="320" w:type="dxa"/>
            <w:vAlign w:val="bottom"/>
          </w:tcPr>
          <w:p>
            <w:pPr>
              <w:spacing w:after="0"/>
              <w:rPr>
                <w:sz w:val="18"/>
                <w:szCs w:val="18"/>
                <w:color w:val="auto"/>
              </w:rPr>
            </w:pPr>
          </w:p>
        </w:tc>
        <w:tc>
          <w:tcPr>
            <w:tcW w:w="152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rPr>
              <w:t>Delaware</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00" w:type="dxa"/>
            <w:vAlign w:val="bottom"/>
          </w:tcPr>
          <w:p>
            <w:pPr>
              <w:jc w:val="center"/>
              <w:ind w:right="550"/>
              <w:spacing w:after="0"/>
              <w:rPr>
                <w:sz w:val="20"/>
                <w:szCs w:val="20"/>
                <w:color w:val="auto"/>
              </w:rPr>
            </w:pPr>
            <w:r>
              <w:rPr>
                <w:rFonts w:ascii="Arial" w:cs="Arial" w:eastAsia="Arial" w:hAnsi="Arial"/>
                <w:sz w:val="14"/>
                <w:szCs w:val="14"/>
                <w:b w:val="1"/>
                <w:bCs w:val="1"/>
                <w:color w:val="auto"/>
                <w:w w:val="96"/>
              </w:rPr>
              <w:t>26-0174894</w:t>
            </w:r>
          </w:p>
        </w:tc>
      </w:tr>
      <w:tr>
        <w:trPr>
          <w:trHeight w:val="149"/>
        </w:trPr>
        <w:tc>
          <w:tcPr>
            <w:tcW w:w="320" w:type="dxa"/>
            <w:vAlign w:val="bottom"/>
          </w:tcPr>
          <w:p>
            <w:pPr>
              <w:spacing w:after="0"/>
              <w:rPr>
                <w:sz w:val="12"/>
                <w:szCs w:val="12"/>
                <w:color w:val="auto"/>
              </w:rPr>
            </w:pPr>
          </w:p>
        </w:tc>
        <w:tc>
          <w:tcPr>
            <w:tcW w:w="4960" w:type="dxa"/>
            <w:vAlign w:val="bottom"/>
            <w:gridSpan w:val="5"/>
          </w:tcPr>
          <w:p>
            <w:pPr>
              <w:jc w:val="center"/>
              <w:ind w:right="2960"/>
              <w:spacing w:after="0" w:line="149" w:lineRule="exact"/>
              <w:rPr>
                <w:sz w:val="20"/>
                <w:szCs w:val="20"/>
                <w:color w:val="auto"/>
              </w:rPr>
            </w:pPr>
            <w:r>
              <w:rPr>
                <w:rFonts w:ascii="Arial" w:cs="Arial" w:eastAsia="Arial" w:hAnsi="Arial"/>
                <w:sz w:val="14"/>
                <w:szCs w:val="14"/>
                <w:color w:val="auto"/>
                <w:w w:val="98"/>
              </w:rPr>
              <w:t>(State or other jurisdiction of</w:t>
            </w:r>
          </w:p>
        </w:tc>
        <w:tc>
          <w:tcPr>
            <w:tcW w:w="720" w:type="dxa"/>
            <w:vAlign w:val="bottom"/>
          </w:tcPr>
          <w:p>
            <w:pPr>
              <w:spacing w:after="0"/>
              <w:rPr>
                <w:sz w:val="12"/>
                <w:szCs w:val="12"/>
                <w:color w:val="auto"/>
              </w:rPr>
            </w:pPr>
          </w:p>
        </w:tc>
        <w:tc>
          <w:tcPr>
            <w:tcW w:w="2900" w:type="dxa"/>
            <w:vAlign w:val="bottom"/>
          </w:tcPr>
          <w:p>
            <w:pPr>
              <w:jc w:val="center"/>
              <w:ind w:right="550"/>
              <w:spacing w:after="0" w:line="149" w:lineRule="exact"/>
              <w:rPr>
                <w:sz w:val="20"/>
                <w:szCs w:val="20"/>
                <w:color w:val="auto"/>
              </w:rPr>
            </w:pPr>
            <w:r>
              <w:rPr>
                <w:rFonts w:ascii="Arial" w:cs="Arial" w:eastAsia="Arial" w:hAnsi="Arial"/>
                <w:sz w:val="14"/>
                <w:szCs w:val="14"/>
                <w:color w:val="auto"/>
                <w:w w:val="97"/>
              </w:rPr>
              <w:t>(I.R.S. Employer</w:t>
            </w:r>
          </w:p>
        </w:tc>
      </w:tr>
      <w:tr>
        <w:trPr>
          <w:trHeight w:val="180"/>
        </w:trPr>
        <w:tc>
          <w:tcPr>
            <w:tcW w:w="320" w:type="dxa"/>
            <w:vAlign w:val="bottom"/>
          </w:tcPr>
          <w:p>
            <w:pPr>
              <w:spacing w:after="0"/>
              <w:rPr>
                <w:sz w:val="15"/>
                <w:szCs w:val="15"/>
                <w:color w:val="auto"/>
              </w:rPr>
            </w:pPr>
          </w:p>
        </w:tc>
        <w:tc>
          <w:tcPr>
            <w:tcW w:w="4960" w:type="dxa"/>
            <w:vAlign w:val="bottom"/>
            <w:gridSpan w:val="5"/>
          </w:tcPr>
          <w:p>
            <w:pPr>
              <w:jc w:val="center"/>
              <w:ind w:right="2940"/>
              <w:spacing w:after="0"/>
              <w:rPr>
                <w:sz w:val="20"/>
                <w:szCs w:val="20"/>
                <w:color w:val="auto"/>
              </w:rPr>
            </w:pPr>
            <w:r>
              <w:rPr>
                <w:rFonts w:ascii="Arial" w:cs="Arial" w:eastAsia="Arial" w:hAnsi="Arial"/>
                <w:sz w:val="14"/>
                <w:szCs w:val="14"/>
                <w:color w:val="auto"/>
                <w:w w:val="97"/>
              </w:rPr>
              <w:t>incorporation or organization)</w:t>
            </w:r>
          </w:p>
        </w:tc>
        <w:tc>
          <w:tcPr>
            <w:tcW w:w="720" w:type="dxa"/>
            <w:vAlign w:val="bottom"/>
          </w:tcPr>
          <w:p>
            <w:pPr>
              <w:spacing w:after="0"/>
              <w:rPr>
                <w:sz w:val="15"/>
                <w:szCs w:val="15"/>
                <w:color w:val="auto"/>
              </w:rPr>
            </w:pPr>
          </w:p>
        </w:tc>
        <w:tc>
          <w:tcPr>
            <w:tcW w:w="2900" w:type="dxa"/>
            <w:vAlign w:val="bottom"/>
          </w:tcPr>
          <w:p>
            <w:pPr>
              <w:jc w:val="center"/>
              <w:ind w:right="530"/>
              <w:spacing w:after="0"/>
              <w:rPr>
                <w:sz w:val="20"/>
                <w:szCs w:val="20"/>
                <w:color w:val="auto"/>
              </w:rPr>
            </w:pPr>
            <w:r>
              <w:rPr>
                <w:rFonts w:ascii="Arial" w:cs="Arial" w:eastAsia="Arial" w:hAnsi="Arial"/>
                <w:sz w:val="14"/>
                <w:szCs w:val="14"/>
                <w:color w:val="auto"/>
                <w:w w:val="97"/>
              </w:rPr>
              <w:t>Identification Number)</w:t>
            </w:r>
          </w:p>
        </w:tc>
      </w:tr>
      <w:tr>
        <w:trPr>
          <w:trHeight w:val="324"/>
        </w:trPr>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gridSpan w:val="4"/>
          </w:tcPr>
          <w:p>
            <w:pPr>
              <w:jc w:val="center"/>
              <w:ind w:left="437"/>
              <w:spacing w:after="0"/>
              <w:rPr>
                <w:sz w:val="20"/>
                <w:szCs w:val="20"/>
                <w:color w:val="auto"/>
              </w:rPr>
            </w:pPr>
            <w:r>
              <w:rPr>
                <w:rFonts w:ascii="Arial" w:cs="Arial" w:eastAsia="Arial" w:hAnsi="Arial"/>
                <w:sz w:val="17"/>
                <w:szCs w:val="17"/>
                <w:b w:val="1"/>
                <w:bCs w:val="1"/>
                <w:color w:val="auto"/>
              </w:rPr>
              <w:t>333 South Grand Avenue, 28th Floor</w:t>
            </w:r>
          </w:p>
        </w:tc>
        <w:tc>
          <w:tcPr>
            <w:tcW w:w="2900" w:type="dxa"/>
            <w:vAlign w:val="bottom"/>
          </w:tcPr>
          <w:p>
            <w:pPr>
              <w:spacing w:after="0"/>
              <w:rPr>
                <w:sz w:val="24"/>
                <w:szCs w:val="24"/>
                <w:color w:val="auto"/>
              </w:rPr>
            </w:pPr>
          </w:p>
        </w:tc>
      </w:tr>
      <w:tr>
        <w:trPr>
          <w:trHeight w:val="206"/>
        </w:trPr>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40" w:type="dxa"/>
            <w:vAlign w:val="bottom"/>
            <w:gridSpan w:val="3"/>
          </w:tcPr>
          <w:p>
            <w:pPr>
              <w:jc w:val="center"/>
              <w:ind w:left="1157"/>
              <w:spacing w:after="0"/>
              <w:rPr>
                <w:sz w:val="20"/>
                <w:szCs w:val="20"/>
                <w:color w:val="auto"/>
              </w:rPr>
            </w:pPr>
            <w:r>
              <w:rPr>
                <w:rFonts w:ascii="Arial" w:cs="Arial" w:eastAsia="Arial" w:hAnsi="Arial"/>
                <w:sz w:val="17"/>
                <w:szCs w:val="17"/>
                <w:b w:val="1"/>
                <w:bCs w:val="1"/>
                <w:color w:val="auto"/>
              </w:rPr>
              <w:t>Los Angeles, CA 90071</w:t>
            </w:r>
          </w:p>
        </w:tc>
        <w:tc>
          <w:tcPr>
            <w:tcW w:w="7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18"/>
        </w:trPr>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3"/>
          </w:tcPr>
          <w:p>
            <w:pPr>
              <w:jc w:val="center"/>
              <w:ind w:left="1157"/>
              <w:spacing w:after="0"/>
              <w:rPr>
                <w:sz w:val="20"/>
                <w:szCs w:val="20"/>
                <w:color w:val="auto"/>
              </w:rPr>
            </w:pPr>
            <w:r>
              <w:rPr>
                <w:rFonts w:ascii="Arial" w:cs="Arial" w:eastAsia="Arial" w:hAnsi="Arial"/>
                <w:sz w:val="17"/>
                <w:szCs w:val="17"/>
                <w:b w:val="1"/>
                <w:bCs w:val="1"/>
                <w:color w:val="auto"/>
              </w:rPr>
              <w:t>Telephone: (213) 830-6300</w:t>
            </w:r>
          </w:p>
        </w:tc>
        <w:tc>
          <w:tcPr>
            <w:tcW w:w="7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68"/>
        </w:trPr>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60" w:type="dxa"/>
            <w:vAlign w:val="bottom"/>
            <w:gridSpan w:val="4"/>
          </w:tcPr>
          <w:p>
            <w:pPr>
              <w:jc w:val="center"/>
              <w:ind w:left="437"/>
              <w:spacing w:after="0"/>
              <w:rPr>
                <w:sz w:val="20"/>
                <w:szCs w:val="20"/>
                <w:color w:val="auto"/>
              </w:rPr>
            </w:pPr>
            <w:r>
              <w:rPr>
                <w:rFonts w:ascii="Arial" w:cs="Arial" w:eastAsia="Arial" w:hAnsi="Arial"/>
                <w:sz w:val="14"/>
                <w:szCs w:val="14"/>
                <w:color w:val="auto"/>
                <w:w w:val="97"/>
              </w:rPr>
              <w:t>(Address, zip code, and telephone number, including</w:t>
            </w:r>
          </w:p>
        </w:tc>
        <w:tc>
          <w:tcPr>
            <w:tcW w:w="2900" w:type="dxa"/>
            <w:vAlign w:val="bottom"/>
          </w:tcPr>
          <w:p>
            <w:pPr>
              <w:spacing w:after="0"/>
              <w:rPr>
                <w:sz w:val="14"/>
                <w:szCs w:val="14"/>
                <w:color w:val="auto"/>
              </w:rPr>
            </w:pPr>
          </w:p>
        </w:tc>
      </w:tr>
      <w:tr>
        <w:trPr>
          <w:trHeight w:val="144"/>
        </w:trPr>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gridSpan w:val="4"/>
          </w:tcPr>
          <w:p>
            <w:pPr>
              <w:jc w:val="center"/>
              <w:ind w:left="437"/>
              <w:spacing w:after="0" w:line="145" w:lineRule="exact"/>
              <w:rPr>
                <w:sz w:val="20"/>
                <w:szCs w:val="20"/>
                <w:color w:val="auto"/>
              </w:rPr>
            </w:pPr>
            <w:r>
              <w:rPr>
                <w:rFonts w:ascii="Arial" w:cs="Arial" w:eastAsia="Arial" w:hAnsi="Arial"/>
                <w:sz w:val="14"/>
                <w:szCs w:val="14"/>
                <w:color w:val="auto"/>
                <w:w w:val="98"/>
              </w:rPr>
              <w:t>area code, of registrant’s principal executive offices)</w:t>
            </w:r>
          </w:p>
        </w:tc>
        <w:tc>
          <w:tcPr>
            <w:tcW w:w="2900" w:type="dxa"/>
            <w:vAlign w:val="bottom"/>
          </w:tcPr>
          <w:p>
            <w:pPr>
              <w:spacing w:after="0"/>
              <w:rPr>
                <w:sz w:val="12"/>
                <w:szCs w:val="12"/>
                <w:color w:val="auto"/>
              </w:rPr>
            </w:pPr>
          </w:p>
        </w:tc>
      </w:tr>
      <w:tr>
        <w:trPr>
          <w:trHeight w:val="165"/>
        </w:trPr>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gridSpan w:val="3"/>
          </w:tcPr>
          <w:p>
            <w:pPr>
              <w:jc w:val="center"/>
              <w:ind w:left="1157"/>
              <w:spacing w:after="0"/>
              <w:rPr>
                <w:sz w:val="20"/>
                <w:szCs w:val="20"/>
                <w:color w:val="auto"/>
              </w:rPr>
            </w:pPr>
            <w:r>
              <w:rPr>
                <w:rFonts w:ascii="Arial" w:cs="Arial" w:eastAsia="Arial" w:hAnsi="Arial"/>
                <w:sz w:val="12"/>
                <w:szCs w:val="12"/>
                <w:b w:val="1"/>
                <w:bCs w:val="1"/>
                <w:color w:val="auto"/>
              </w:rPr>
              <w:t>_______________________________</w:t>
            </w:r>
          </w:p>
        </w:tc>
        <w:tc>
          <w:tcPr>
            <w:tcW w:w="7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284"/>
        </w:trPr>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60" w:type="dxa"/>
            <w:vAlign w:val="bottom"/>
            <w:gridSpan w:val="5"/>
          </w:tcPr>
          <w:p>
            <w:pPr>
              <w:jc w:val="right"/>
              <w:ind w:right="275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162"/>
        </w:trPr>
        <w:tc>
          <w:tcPr>
            <w:tcW w:w="3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Title of each class</w:t>
            </w:r>
          </w:p>
        </w:tc>
        <w:tc>
          <w:tcPr>
            <w:tcW w:w="3440" w:type="dxa"/>
            <w:vAlign w:val="bottom"/>
            <w:gridSpan w:val="3"/>
          </w:tcPr>
          <w:p>
            <w:pPr>
              <w:jc w:val="center"/>
              <w:ind w:left="1157"/>
              <w:spacing w:after="0"/>
              <w:rPr>
                <w:sz w:val="20"/>
                <w:szCs w:val="20"/>
                <w:color w:val="auto"/>
              </w:rPr>
            </w:pPr>
            <w:r>
              <w:rPr>
                <w:rFonts w:ascii="Arial" w:cs="Arial" w:eastAsia="Arial" w:hAnsi="Arial"/>
                <w:sz w:val="14"/>
                <w:szCs w:val="14"/>
                <w:b w:val="1"/>
                <w:bCs w:val="1"/>
                <w:color w:val="auto"/>
                <w:w w:val="97"/>
              </w:rPr>
              <w:t>Trading Symbol(s)</w:t>
            </w:r>
          </w:p>
        </w:tc>
        <w:tc>
          <w:tcPr>
            <w:tcW w:w="720" w:type="dxa"/>
            <w:vAlign w:val="bottom"/>
          </w:tcPr>
          <w:p>
            <w:pPr>
              <w:spacing w:after="0"/>
              <w:rPr>
                <w:sz w:val="14"/>
                <w:szCs w:val="14"/>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20"/>
        </w:trPr>
        <w:tc>
          <w:tcPr>
            <w:tcW w:w="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188"/>
        </w:trPr>
        <w:tc>
          <w:tcPr>
            <w:tcW w:w="1840" w:type="dxa"/>
            <w:vAlign w:val="bottom"/>
            <w:gridSpan w:val="3"/>
          </w:tcPr>
          <w:p>
            <w:pPr>
              <w:jc w:val="center"/>
              <w:ind w:right="20"/>
              <w:spacing w:after="0"/>
              <w:rPr>
                <w:sz w:val="20"/>
                <w:szCs w:val="20"/>
                <w:color w:val="auto"/>
              </w:rPr>
            </w:pPr>
            <w:r>
              <w:rPr>
                <w:rFonts w:ascii="Arial" w:cs="Arial" w:eastAsia="Arial" w:hAnsi="Arial"/>
                <w:sz w:val="13"/>
                <w:szCs w:val="13"/>
                <w:color w:val="auto"/>
                <w:w w:val="98"/>
              </w:rPr>
              <w:t>6.625% Series A preferred units</w:t>
            </w:r>
          </w:p>
        </w:tc>
        <w:tc>
          <w:tcPr>
            <w:tcW w:w="1740" w:type="dxa"/>
            <w:vAlign w:val="bottom"/>
          </w:tcPr>
          <w:p>
            <w:pPr>
              <w:spacing w:after="0"/>
              <w:rPr>
                <w:sz w:val="16"/>
                <w:szCs w:val="16"/>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3"/>
                <w:szCs w:val="13"/>
                <w:color w:val="auto"/>
                <w:w w:val="97"/>
              </w:rPr>
              <w:t>OAK-PA</w:t>
            </w:r>
          </w:p>
        </w:tc>
        <w:tc>
          <w:tcPr>
            <w:tcW w:w="72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auto"/>
                <w:w w:val="98"/>
              </w:rPr>
              <w:t>New York Stock Exchange</w:t>
            </w:r>
          </w:p>
        </w:tc>
      </w:tr>
      <w:tr>
        <w:trPr>
          <w:trHeight w:val="180"/>
        </w:trPr>
        <w:tc>
          <w:tcPr>
            <w:tcW w:w="1840" w:type="dxa"/>
            <w:vAlign w:val="bottom"/>
            <w:gridSpan w:val="3"/>
          </w:tcPr>
          <w:p>
            <w:pPr>
              <w:jc w:val="center"/>
              <w:ind w:right="20"/>
              <w:spacing w:after="0"/>
              <w:rPr>
                <w:sz w:val="20"/>
                <w:szCs w:val="20"/>
                <w:color w:val="auto"/>
              </w:rPr>
            </w:pPr>
            <w:r>
              <w:rPr>
                <w:rFonts w:ascii="Arial" w:cs="Arial" w:eastAsia="Arial" w:hAnsi="Arial"/>
                <w:sz w:val="13"/>
                <w:szCs w:val="13"/>
                <w:color w:val="auto"/>
                <w:w w:val="98"/>
              </w:rPr>
              <w:t>6.550% Series B preferred units</w:t>
            </w:r>
          </w:p>
        </w:tc>
        <w:tc>
          <w:tcPr>
            <w:tcW w:w="1740" w:type="dxa"/>
            <w:vAlign w:val="bottom"/>
          </w:tcPr>
          <w:p>
            <w:pPr>
              <w:spacing w:after="0"/>
              <w:rPr>
                <w:sz w:val="15"/>
                <w:szCs w:val="15"/>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3"/>
                <w:szCs w:val="13"/>
                <w:color w:val="auto"/>
                <w:w w:val="97"/>
              </w:rPr>
              <w:t>OAK-PB</w:t>
            </w:r>
          </w:p>
        </w:tc>
        <w:tc>
          <w:tcPr>
            <w:tcW w:w="72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auto"/>
                <w:w w:val="98"/>
              </w:rPr>
              <w:t>New York Stock Exchange</w:t>
            </w:r>
          </w:p>
        </w:tc>
      </w:tr>
    </w:tbl>
    <w:p>
      <w:pPr>
        <w:spacing w:after="0" w:line="200" w:lineRule="exact"/>
        <w:rPr>
          <w:sz w:val="24"/>
          <w:szCs w:val="24"/>
          <w:color w:val="auto"/>
        </w:rPr>
      </w:pPr>
    </w:p>
    <w:p>
      <w:pPr>
        <w:spacing w:after="0" w:line="217" w:lineRule="exact"/>
        <w:rPr>
          <w:sz w:val="24"/>
          <w:szCs w:val="24"/>
          <w:color w:val="auto"/>
        </w:rPr>
      </w:pPr>
    </w:p>
    <w:p>
      <w:pPr>
        <w:ind w:right="160" w:firstLine="309"/>
        <w:spacing w:after="0" w:line="17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112" w:lineRule="exact"/>
        <w:rPr>
          <w:sz w:val="24"/>
          <w:szCs w:val="24"/>
          <w:color w:val="auto"/>
        </w:rPr>
      </w:pPr>
    </w:p>
    <w:p>
      <w:pPr>
        <w:ind w:right="60" w:firstLine="309"/>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48"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00" w:type="dxa"/>
        <w:tblCellMar>
          <w:top w:w="0" w:type="dxa"/>
          <w:left w:w="0" w:type="dxa"/>
          <w:bottom w:w="0" w:type="dxa"/>
          <w:right w:w="0" w:type="dxa"/>
        </w:tblCellMar>
      </w:tblPr>
      <w:tr>
        <w:trPr>
          <w:trHeight w:val="172"/>
        </w:trPr>
        <w:tc>
          <w:tcPr>
            <w:tcW w:w="1540" w:type="dxa"/>
            <w:vAlign w:val="bottom"/>
          </w:tcPr>
          <w:p>
            <w:pPr>
              <w:jc w:val="center"/>
              <w:ind w:right="196"/>
              <w:spacing w:after="0"/>
              <w:rPr>
                <w:sz w:val="20"/>
                <w:szCs w:val="20"/>
                <w:color w:val="auto"/>
              </w:rPr>
            </w:pPr>
            <w:r>
              <w:rPr>
                <w:rFonts w:ascii="Arial" w:cs="Arial" w:eastAsia="Arial" w:hAnsi="Arial"/>
                <w:sz w:val="13"/>
                <w:szCs w:val="13"/>
                <w:color w:val="auto"/>
                <w:w w:val="99"/>
              </w:rPr>
              <w:t>Large accelerated filer</w:t>
            </w:r>
          </w:p>
        </w:tc>
        <w:tc>
          <w:tcPr>
            <w:tcW w:w="2440" w:type="dxa"/>
            <w:vAlign w:val="bottom"/>
          </w:tcPr>
          <w:p>
            <w:pPr>
              <w:ind w:left="280"/>
              <w:spacing w:after="0"/>
              <w:rPr>
                <w:sz w:val="20"/>
                <w:szCs w:val="20"/>
                <w:color w:val="auto"/>
              </w:rPr>
            </w:pPr>
            <w:r>
              <w:rPr>
                <w:rFonts w:ascii="Wingdings" w:cs="Wingdings" w:eastAsia="Wingdings" w:hAnsi="Wingdings"/>
                <w:sz w:val="13"/>
                <w:szCs w:val="13"/>
                <w:b w:val="1"/>
                <w:bCs w:val="1"/>
                <w:color w:val="auto"/>
              </w:rPr>
              <w:t>o</w:t>
            </w:r>
          </w:p>
        </w:tc>
        <w:tc>
          <w:tcPr>
            <w:tcW w:w="3940" w:type="dxa"/>
            <w:vAlign w:val="bottom"/>
          </w:tcPr>
          <w:p>
            <w:pPr>
              <w:jc w:val="center"/>
              <w:ind w:left="1636"/>
              <w:spacing w:after="0"/>
              <w:rPr>
                <w:sz w:val="20"/>
                <w:szCs w:val="20"/>
                <w:color w:val="auto"/>
              </w:rPr>
            </w:pPr>
            <w:r>
              <w:rPr>
                <w:rFonts w:ascii="Arial" w:cs="Arial" w:eastAsia="Arial" w:hAnsi="Arial"/>
                <w:sz w:val="13"/>
                <w:szCs w:val="13"/>
                <w:color w:val="auto"/>
                <w:w w:val="98"/>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540" w:type="dxa"/>
            <w:vAlign w:val="bottom"/>
          </w:tcPr>
          <w:p>
            <w:pPr>
              <w:jc w:val="center"/>
              <w:ind w:right="196"/>
              <w:spacing w:after="0"/>
              <w:rPr>
                <w:sz w:val="20"/>
                <w:szCs w:val="20"/>
                <w:color w:val="auto"/>
              </w:rPr>
            </w:pPr>
            <w:r>
              <w:rPr>
                <w:rFonts w:ascii="Arial" w:cs="Arial" w:eastAsia="Arial" w:hAnsi="Arial"/>
                <w:sz w:val="13"/>
                <w:szCs w:val="13"/>
                <w:color w:val="auto"/>
              </w:rPr>
              <w:t>Non-accelerated filer</w:t>
            </w:r>
          </w:p>
        </w:tc>
        <w:tc>
          <w:tcPr>
            <w:tcW w:w="2440" w:type="dxa"/>
            <w:vAlign w:val="bottom"/>
          </w:tcPr>
          <w:p>
            <w:pPr>
              <w:ind w:left="280"/>
              <w:spacing w:after="0"/>
              <w:rPr>
                <w:sz w:val="20"/>
                <w:szCs w:val="20"/>
                <w:color w:val="auto"/>
              </w:rPr>
            </w:pPr>
            <w:r>
              <w:rPr>
                <w:rFonts w:ascii="Wingdings" w:cs="Wingdings" w:eastAsia="Wingdings" w:hAnsi="Wingdings"/>
                <w:sz w:val="13"/>
                <w:szCs w:val="13"/>
                <w:b w:val="1"/>
                <w:bCs w:val="1"/>
                <w:color w:val="auto"/>
              </w:rPr>
              <w:t>x</w:t>
            </w:r>
          </w:p>
        </w:tc>
        <w:tc>
          <w:tcPr>
            <w:tcW w:w="3940" w:type="dxa"/>
            <w:vAlign w:val="bottom"/>
          </w:tcPr>
          <w:p>
            <w:pPr>
              <w:jc w:val="center"/>
              <w:ind w:left="1616"/>
              <w:spacing w:after="0"/>
              <w:rPr>
                <w:sz w:val="20"/>
                <w:szCs w:val="20"/>
                <w:color w:val="auto"/>
              </w:rPr>
            </w:pPr>
            <w:r>
              <w:rPr>
                <w:rFonts w:ascii="Arial" w:cs="Arial" w:eastAsia="Arial" w:hAnsi="Arial"/>
                <w:sz w:val="13"/>
                <w:szCs w:val="13"/>
                <w:color w:val="auto"/>
                <w:w w:val="99"/>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40" w:type="dxa"/>
            <w:vAlign w:val="bottom"/>
          </w:tcPr>
          <w:p>
            <w:pPr>
              <w:jc w:val="center"/>
              <w:ind w:left="1616"/>
              <w:spacing w:after="0"/>
              <w:rPr>
                <w:sz w:val="20"/>
                <w:szCs w:val="20"/>
                <w:color w:val="auto"/>
              </w:rPr>
            </w:pPr>
            <w:r>
              <w:rPr>
                <w:rFonts w:ascii="Arial" w:cs="Arial" w:eastAsia="Arial" w:hAnsi="Arial"/>
                <w:sz w:val="13"/>
                <w:szCs w:val="13"/>
                <w:color w:val="auto"/>
                <w:w w:val="99"/>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4" w:lineRule="exact"/>
        <w:rPr>
          <w:sz w:val="24"/>
          <w:szCs w:val="24"/>
          <w:color w:val="auto"/>
        </w:rPr>
      </w:pPr>
    </w:p>
    <w:p>
      <w:pPr>
        <w:ind w:right="360" w:firstLine="309"/>
        <w:spacing w:after="0" w:line="278"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8" w:lineRule="exact"/>
        <w:rPr>
          <w:sz w:val="24"/>
          <w:szCs w:val="24"/>
          <w:color w:val="auto"/>
        </w:rPr>
      </w:pPr>
    </w:p>
    <w:p>
      <w:pPr>
        <w:ind w:left="320" w:right="2800"/>
        <w:spacing w:after="0" w:line="2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12, 2025, there were 118,832,320 Class A units and 41,758,979 Class B units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565150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963"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0" w:type="dxa"/>
            <w:vAlign w:val="bottom"/>
            <w:gridSpan w:val="9"/>
          </w:tcPr>
          <w:p>
            <w:pPr>
              <w:ind w:left="1060"/>
              <w:spacing w:after="0"/>
              <w:rPr>
                <w:sz w:val="20"/>
                <w:szCs w:val="20"/>
                <w:color w:val="auto"/>
              </w:rPr>
            </w:pPr>
            <w:r>
              <w:rPr>
                <w:rFonts w:ascii="Arial" w:cs="Arial" w:eastAsia="Arial" w:hAnsi="Arial"/>
                <w:sz w:val="17"/>
                <w:szCs w:val="17"/>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0420" w:type="dxa"/>
            <w:vAlign w:val="bottom"/>
            <w:gridSpan w:val="23"/>
            <w:vMerge w:val="restart"/>
          </w:tcPr>
          <w:p>
            <w:pPr>
              <w:spacing w:after="0"/>
              <w:rPr>
                <w:sz w:val="20"/>
                <w:szCs w:val="20"/>
                <w:color w:val="auto"/>
              </w:rPr>
            </w:pPr>
            <w:r>
              <w:rPr>
                <w:rFonts w:ascii="Arial" w:cs="Arial" w:eastAsia="Arial" w:hAnsi="Arial"/>
                <w:sz w:val="17"/>
                <w:szCs w:val="17"/>
                <w:color w:val="auto"/>
              </w:rPr>
              <w:t>PART I – FINANCIAL INFORMATION</w:t>
            </w:r>
          </w:p>
        </w:tc>
        <w:tc>
          <w:tcPr>
            <w:tcW w:w="800" w:type="dxa"/>
            <w:vAlign w:val="bottom"/>
            <w:gridSpan w:val="5"/>
          </w:tcPr>
          <w:p>
            <w:pPr>
              <w:ind w:left="4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20" w:type="dxa"/>
            <w:vAlign w:val="bottom"/>
            <w:gridSpan w:val="23"/>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gridSpan w:val="4"/>
          </w:tcPr>
          <w:p>
            <w:pPr>
              <w:spacing w:after="0" w:line="185" w:lineRule="exact"/>
              <w:rPr>
                <w:sz w:val="20"/>
                <w:szCs w:val="20"/>
                <w:color w:val="auto"/>
              </w:rPr>
            </w:pPr>
            <w:r>
              <w:rPr>
                <w:rFonts w:ascii="Arial" w:cs="Arial" w:eastAsia="Arial" w:hAnsi="Arial"/>
                <w:sz w:val="17"/>
                <w:szCs w:val="17"/>
                <w:color w:val="0000FF"/>
              </w:rPr>
              <w:t>Item 1.</w:t>
            </w:r>
          </w:p>
        </w:tc>
        <w:tc>
          <w:tcPr>
            <w:tcW w:w="9340" w:type="dxa"/>
            <w:vAlign w:val="bottom"/>
            <w:gridSpan w:val="19"/>
          </w:tcPr>
          <w:p>
            <w:pPr>
              <w:spacing w:after="0" w:line="185" w:lineRule="exact"/>
              <w:rPr>
                <w:sz w:val="20"/>
                <w:szCs w:val="20"/>
                <w:color w:val="auto"/>
              </w:rPr>
            </w:pPr>
            <w:r>
              <w:rPr>
                <w:rFonts w:ascii="Arial" w:cs="Arial" w:eastAsia="Arial" w:hAnsi="Arial"/>
                <w:sz w:val="17"/>
                <w:szCs w:val="17"/>
                <w:color w:val="0000FF"/>
              </w:rPr>
              <w:t>Financial Statements (Unaudited)</w:t>
            </w:r>
          </w:p>
        </w:tc>
        <w:tc>
          <w:tcPr>
            <w:tcW w:w="240" w:type="dxa"/>
            <w:vAlign w:val="bottom"/>
            <w:gridSpan w:val="3"/>
          </w:tcPr>
          <w:p>
            <w:pPr>
              <w:ind w:left="40"/>
              <w:spacing w:after="0" w:line="185" w:lineRule="exact"/>
              <w:rPr>
                <w:sz w:val="20"/>
                <w:szCs w:val="20"/>
                <w:color w:val="auto"/>
              </w:rPr>
            </w:pPr>
            <w:r>
              <w:rPr>
                <w:rFonts w:ascii="Arial" w:cs="Arial" w:eastAsia="Arial" w:hAnsi="Arial"/>
                <w:sz w:val="17"/>
                <w:szCs w:val="17"/>
                <w:color w:val="0000FF"/>
              </w:rPr>
              <w:t>1</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40" w:type="dxa"/>
            <w:vAlign w:val="bottom"/>
            <w:gridSpan w:val="15"/>
          </w:tcPr>
          <w:p>
            <w:pPr>
              <w:spacing w:after="0"/>
              <w:rPr>
                <w:sz w:val="20"/>
                <w:szCs w:val="20"/>
                <w:color w:val="auto"/>
              </w:rPr>
            </w:pPr>
            <w:r>
              <w:rPr>
                <w:rFonts w:ascii="Arial" w:cs="Arial" w:eastAsia="Arial" w:hAnsi="Arial"/>
                <w:sz w:val="17"/>
                <w:szCs w:val="17"/>
                <w:color w:val="0000FF"/>
              </w:rPr>
              <w:t>Condensed Consolidated Statements of Financial Condition as of September 30, 2025 and December 31, 2024</w:t>
            </w:r>
          </w:p>
        </w:tc>
        <w:tc>
          <w:tcPr>
            <w:tcW w:w="9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FF"/>
              </w:rPr>
              <w:t>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Operations for the Three and Nine Months Ended September 30, 2025 and 2024</w:t>
            </w:r>
          </w:p>
        </w:tc>
        <w:tc>
          <w:tcPr>
            <w:tcW w:w="240" w:type="dxa"/>
            <w:vAlign w:val="bottom"/>
            <w:gridSpan w:val="3"/>
          </w:tcPr>
          <w:p>
            <w:pPr>
              <w:ind w:left="40"/>
              <w:spacing w:after="0"/>
              <w:rPr>
                <w:sz w:val="20"/>
                <w:szCs w:val="20"/>
                <w:color w:val="auto"/>
              </w:rPr>
            </w:pPr>
            <w:r>
              <w:rPr>
                <w:rFonts w:ascii="Arial" w:cs="Arial" w:eastAsia="Arial" w:hAnsi="Arial"/>
                <w:sz w:val="17"/>
                <w:szCs w:val="17"/>
                <w:color w:val="0000FF"/>
              </w:rPr>
              <w:t>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Comprehensive Income (Loss) for the Three and Nine Months Ended September</w:t>
            </w:r>
          </w:p>
        </w:tc>
        <w:tc>
          <w:tcPr>
            <w:tcW w:w="40" w:type="dxa"/>
            <w:vAlign w:val="bottom"/>
            <w:vMerge w:val="restart"/>
          </w:tcPr>
          <w:p>
            <w:pPr>
              <w:spacing w:after="0"/>
              <w:rPr>
                <w:sz w:val="17"/>
                <w:szCs w:val="17"/>
                <w:color w:val="auto"/>
              </w:rPr>
            </w:pPr>
          </w:p>
        </w:tc>
        <w:tc>
          <w:tcPr>
            <w:tcW w:w="200" w:type="dxa"/>
            <w:vAlign w:val="bottom"/>
            <w:gridSpan w:val="2"/>
            <w:vMerge w:val="restart"/>
          </w:tcPr>
          <w:p>
            <w:pPr>
              <w:spacing w:after="0"/>
              <w:rPr>
                <w:sz w:val="20"/>
                <w:szCs w:val="20"/>
                <w:color w:val="auto"/>
              </w:rPr>
            </w:pPr>
            <w:r>
              <w:rPr>
                <w:rFonts w:ascii="Arial" w:cs="Arial" w:eastAsia="Arial" w:hAnsi="Arial"/>
                <w:sz w:val="17"/>
                <w:szCs w:val="17"/>
                <w:color w:val="0000FF"/>
              </w:rPr>
              <w:t>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gridSpan w:val="5"/>
          </w:tcPr>
          <w:p>
            <w:pPr>
              <w:spacing w:after="0" w:line="161" w:lineRule="exact"/>
              <w:rPr>
                <w:sz w:val="20"/>
                <w:szCs w:val="20"/>
                <w:color w:val="auto"/>
              </w:rPr>
            </w:pPr>
            <w:r>
              <w:rPr>
                <w:rFonts w:ascii="Arial" w:cs="Arial" w:eastAsia="Arial" w:hAnsi="Arial"/>
                <w:sz w:val="17"/>
                <w:szCs w:val="17"/>
                <w:color w:val="0000FF"/>
              </w:rPr>
              <w:t>30, 2025 and 2024</w:t>
            </w:r>
          </w:p>
        </w:tc>
        <w:tc>
          <w:tcPr>
            <w:tcW w:w="764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40" w:type="dxa"/>
            <w:vAlign w:val="bottom"/>
            <w:gridSpan w:val="15"/>
          </w:tcPr>
          <w:p>
            <w:pPr>
              <w:spacing w:after="0"/>
              <w:rPr>
                <w:sz w:val="20"/>
                <w:szCs w:val="20"/>
                <w:color w:val="auto"/>
              </w:rPr>
            </w:pPr>
            <w:r>
              <w:rPr>
                <w:rFonts w:ascii="Arial" w:cs="Arial" w:eastAsia="Arial" w:hAnsi="Arial"/>
                <w:sz w:val="17"/>
                <w:szCs w:val="17"/>
                <w:color w:val="0000FF"/>
              </w:rPr>
              <w:t>Condensed Consolidated Statements of Cash Flows for the Nine Months Ended September 30, 2025 and 2024</w:t>
            </w:r>
          </w:p>
        </w:tc>
        <w:tc>
          <w:tcPr>
            <w:tcW w:w="9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FF"/>
              </w:rPr>
              <w:t>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gridSpan w:val="19"/>
          </w:tcPr>
          <w:p>
            <w:pPr>
              <w:spacing w:after="0" w:line="179" w:lineRule="exact"/>
              <w:rPr>
                <w:sz w:val="20"/>
                <w:szCs w:val="20"/>
                <w:color w:val="auto"/>
              </w:rPr>
            </w:pPr>
            <w:r>
              <w:rPr>
                <w:rFonts w:ascii="Arial" w:cs="Arial" w:eastAsia="Arial" w:hAnsi="Arial"/>
                <w:sz w:val="17"/>
                <w:szCs w:val="17"/>
                <w:color w:val="0000FF"/>
              </w:rPr>
              <w:t>Condensed Consolidated Statements of Changes in Unitholders’ Capital for the Three and Nine Months Ended September</w:t>
            </w:r>
          </w:p>
        </w:tc>
        <w:tc>
          <w:tcPr>
            <w:tcW w:w="240" w:type="dxa"/>
            <w:vAlign w:val="bottom"/>
            <w:gridSpan w:val="3"/>
            <w:vMerge w:val="restart"/>
          </w:tcPr>
          <w:p>
            <w:pPr>
              <w:ind w:left="40"/>
              <w:spacing w:after="0"/>
              <w:rPr>
                <w:sz w:val="20"/>
                <w:szCs w:val="20"/>
                <w:color w:val="auto"/>
              </w:rPr>
            </w:pPr>
            <w:r>
              <w:rPr>
                <w:rFonts w:ascii="Arial" w:cs="Arial" w:eastAsia="Arial" w:hAnsi="Arial"/>
                <w:sz w:val="17"/>
                <w:szCs w:val="17"/>
                <w:color w:val="0000FF"/>
              </w:rPr>
              <w:t>6</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9160" w:type="dxa"/>
            <w:vAlign w:val="bottom"/>
            <w:tcBorders>
              <w:top w:val="single" w:sz="8" w:color="0000FF"/>
            </w:tcBorders>
            <w:gridSpan w:val="16"/>
          </w:tcPr>
          <w:p>
            <w:pPr>
              <w:spacing w:after="0" w:line="161" w:lineRule="exact"/>
              <w:rPr>
                <w:sz w:val="20"/>
                <w:szCs w:val="20"/>
                <w:color w:val="auto"/>
              </w:rPr>
            </w:pPr>
            <w:r>
              <w:rPr>
                <w:rFonts w:ascii="Arial" w:cs="Arial" w:eastAsia="Arial" w:hAnsi="Arial"/>
                <w:sz w:val="17"/>
                <w:szCs w:val="17"/>
                <w:color w:val="0000FF"/>
              </w:rPr>
              <w:t>30, 2025 and 2024</w:t>
            </w:r>
          </w:p>
        </w:tc>
        <w:tc>
          <w:tcPr>
            <w:tcW w:w="40" w:type="dxa"/>
            <w:vAlign w:val="bottom"/>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60" w:type="dxa"/>
            <w:vAlign w:val="bottom"/>
            <w:gridSpan w:val="11"/>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508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FF"/>
              </w:rPr>
              <w:t>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2.</w:t>
            </w:r>
          </w:p>
        </w:tc>
        <w:tc>
          <w:tcPr>
            <w:tcW w:w="9340" w:type="dxa"/>
            <w:vAlign w:val="bottom"/>
            <w:gridSpan w:val="19"/>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45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3.</w:t>
            </w:r>
          </w:p>
        </w:tc>
        <w:tc>
          <w:tcPr>
            <w:tcW w:w="9340" w:type="dxa"/>
            <w:vAlign w:val="bottom"/>
            <w:gridSpan w:val="19"/>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59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4.</w:t>
            </w:r>
          </w:p>
        </w:tc>
        <w:tc>
          <w:tcPr>
            <w:tcW w:w="9340" w:type="dxa"/>
            <w:vAlign w:val="bottom"/>
            <w:gridSpan w:val="19"/>
          </w:tcPr>
          <w:p>
            <w:pPr>
              <w:spacing w:after="0"/>
              <w:rPr>
                <w:sz w:val="20"/>
                <w:szCs w:val="20"/>
                <w:color w:val="auto"/>
              </w:rPr>
            </w:pPr>
            <w:r>
              <w:rPr>
                <w:rFonts w:ascii="Arial" w:cs="Arial" w:eastAsia="Arial" w:hAnsi="Arial"/>
                <w:sz w:val="17"/>
                <w:szCs w:val="17"/>
                <w:color w:val="0000FF"/>
              </w:rPr>
              <w:t>Controls and Procedures</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60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0" w:type="dxa"/>
            <w:vAlign w:val="bottom"/>
          </w:tcPr>
          <w:p>
            <w:pPr>
              <w:spacing w:after="0"/>
              <w:rPr>
                <w:sz w:val="24"/>
                <w:szCs w:val="24"/>
                <w:color w:val="auto"/>
              </w:rPr>
            </w:pPr>
          </w:p>
        </w:tc>
        <w:tc>
          <w:tcPr>
            <w:tcW w:w="10420" w:type="dxa"/>
            <w:vAlign w:val="bottom"/>
            <w:gridSpan w:val="23"/>
          </w:tcPr>
          <w:p>
            <w:pPr>
              <w:spacing w:after="0"/>
              <w:rPr>
                <w:sz w:val="20"/>
                <w:szCs w:val="20"/>
                <w:color w:val="auto"/>
              </w:rPr>
            </w:pPr>
            <w:r>
              <w:rPr>
                <w:rFonts w:ascii="Arial" w:cs="Arial" w:eastAsia="Arial" w:hAnsi="Arial"/>
                <w:sz w:val="17"/>
                <w:szCs w:val="17"/>
                <w:color w:val="0000FF"/>
              </w:rPr>
              <w:t>PART II – OTHER INFORMATION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gridSpan w:val="4"/>
          </w:tcPr>
          <w:p>
            <w:pPr>
              <w:spacing w:after="0" w:line="185" w:lineRule="exact"/>
              <w:rPr>
                <w:sz w:val="20"/>
                <w:szCs w:val="20"/>
                <w:color w:val="auto"/>
              </w:rPr>
            </w:pPr>
            <w:r>
              <w:rPr>
                <w:rFonts w:ascii="Arial" w:cs="Arial" w:eastAsia="Arial" w:hAnsi="Arial"/>
                <w:sz w:val="17"/>
                <w:szCs w:val="17"/>
                <w:color w:val="0000FF"/>
              </w:rPr>
              <w:t>Item 1.</w:t>
            </w:r>
          </w:p>
        </w:tc>
        <w:tc>
          <w:tcPr>
            <w:tcW w:w="9340" w:type="dxa"/>
            <w:vAlign w:val="bottom"/>
            <w:gridSpan w:val="19"/>
          </w:tcPr>
          <w:p>
            <w:pPr>
              <w:spacing w:after="0" w:line="185" w:lineRule="exact"/>
              <w:rPr>
                <w:sz w:val="20"/>
                <w:szCs w:val="20"/>
                <w:color w:val="auto"/>
              </w:rPr>
            </w:pPr>
            <w:r>
              <w:rPr>
                <w:rFonts w:ascii="Arial" w:cs="Arial" w:eastAsia="Arial" w:hAnsi="Arial"/>
                <w:sz w:val="17"/>
                <w:szCs w:val="17"/>
                <w:color w:val="0000FF"/>
              </w:rPr>
              <w:t>Legal Proceedings</w:t>
            </w:r>
          </w:p>
        </w:tc>
        <w:tc>
          <w:tcPr>
            <w:tcW w:w="440" w:type="dxa"/>
            <w:vAlign w:val="bottom"/>
            <w:gridSpan w:val="4"/>
          </w:tcPr>
          <w:p>
            <w:pPr>
              <w:ind w:left="40"/>
              <w:spacing w:after="0" w:line="185" w:lineRule="exact"/>
              <w:rPr>
                <w:sz w:val="20"/>
                <w:szCs w:val="20"/>
                <w:color w:val="auto"/>
              </w:rPr>
            </w:pPr>
            <w:r>
              <w:rPr>
                <w:rFonts w:ascii="Arial" w:cs="Arial" w:eastAsia="Arial" w:hAnsi="Arial"/>
                <w:sz w:val="17"/>
                <w:szCs w:val="17"/>
                <w:color w:val="0000FF"/>
              </w:rPr>
              <w:t>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1A.</w:t>
            </w:r>
          </w:p>
        </w:tc>
        <w:tc>
          <w:tcPr>
            <w:tcW w:w="9340" w:type="dxa"/>
            <w:vAlign w:val="bottom"/>
            <w:gridSpan w:val="19"/>
          </w:tcPr>
          <w:p>
            <w:pPr>
              <w:spacing w:after="0"/>
              <w:rPr>
                <w:sz w:val="20"/>
                <w:szCs w:val="20"/>
                <w:color w:val="auto"/>
              </w:rPr>
            </w:pPr>
            <w:r>
              <w:rPr>
                <w:rFonts w:ascii="Arial" w:cs="Arial" w:eastAsia="Arial" w:hAnsi="Arial"/>
                <w:sz w:val="17"/>
                <w:szCs w:val="17"/>
                <w:color w:val="0000FF"/>
              </w:rPr>
              <w:t>Risk Factors</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7"/>
                <w:szCs w:val="17"/>
                <w:color w:val="0000FF"/>
              </w:rPr>
              <w:t>Item 2.</w:t>
            </w:r>
          </w:p>
        </w:tc>
        <w:tc>
          <w:tcPr>
            <w:tcW w:w="440" w:type="dxa"/>
            <w:vAlign w:val="bottom"/>
            <w:gridSpan w:val="2"/>
          </w:tcPr>
          <w:p>
            <w:pPr>
              <w:spacing w:after="0"/>
              <w:rPr>
                <w:sz w:val="17"/>
                <w:szCs w:val="17"/>
                <w:color w:val="auto"/>
              </w:rPr>
            </w:pPr>
          </w:p>
        </w:tc>
        <w:tc>
          <w:tcPr>
            <w:tcW w:w="9340" w:type="dxa"/>
            <w:vAlign w:val="bottom"/>
            <w:gridSpan w:val="19"/>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3.</w:t>
            </w:r>
          </w:p>
        </w:tc>
        <w:tc>
          <w:tcPr>
            <w:tcW w:w="9340" w:type="dxa"/>
            <w:vAlign w:val="bottom"/>
            <w:gridSpan w:val="19"/>
          </w:tcPr>
          <w:p>
            <w:pPr>
              <w:spacing w:after="0"/>
              <w:rPr>
                <w:sz w:val="20"/>
                <w:szCs w:val="20"/>
                <w:color w:val="auto"/>
              </w:rPr>
            </w:pPr>
            <w:r>
              <w:rPr>
                <w:rFonts w:ascii="Arial" w:cs="Arial" w:eastAsia="Arial" w:hAnsi="Arial"/>
                <w:sz w:val="17"/>
                <w:szCs w:val="17"/>
                <w:color w:val="0000FF"/>
              </w:rPr>
              <w:t>Defaults Upon Senior Securities</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4.</w:t>
            </w:r>
          </w:p>
        </w:tc>
        <w:tc>
          <w:tcPr>
            <w:tcW w:w="9340" w:type="dxa"/>
            <w:vAlign w:val="bottom"/>
            <w:gridSpan w:val="19"/>
          </w:tcPr>
          <w:p>
            <w:pPr>
              <w:spacing w:after="0"/>
              <w:rPr>
                <w:sz w:val="20"/>
                <w:szCs w:val="20"/>
                <w:color w:val="auto"/>
              </w:rPr>
            </w:pPr>
            <w:r>
              <w:rPr>
                <w:rFonts w:ascii="Arial" w:cs="Arial" w:eastAsia="Arial" w:hAnsi="Arial"/>
                <w:sz w:val="17"/>
                <w:szCs w:val="17"/>
                <w:color w:val="0000FF"/>
              </w:rPr>
              <w:t>Mine Safety Disclosures</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5.</w:t>
            </w:r>
          </w:p>
        </w:tc>
        <w:tc>
          <w:tcPr>
            <w:tcW w:w="9340" w:type="dxa"/>
            <w:vAlign w:val="bottom"/>
            <w:gridSpan w:val="19"/>
          </w:tcPr>
          <w:p>
            <w:pPr>
              <w:spacing w:after="0"/>
              <w:rPr>
                <w:sz w:val="20"/>
                <w:szCs w:val="20"/>
                <w:color w:val="auto"/>
              </w:rPr>
            </w:pPr>
            <w:r>
              <w:rPr>
                <w:rFonts w:ascii="Arial" w:cs="Arial" w:eastAsia="Arial" w:hAnsi="Arial"/>
                <w:sz w:val="17"/>
                <w:szCs w:val="17"/>
                <w:color w:val="0000FF"/>
              </w:rPr>
              <w:t>Other Information</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Item 6.</w:t>
            </w:r>
          </w:p>
        </w:tc>
        <w:tc>
          <w:tcPr>
            <w:tcW w:w="9340" w:type="dxa"/>
            <w:vAlign w:val="bottom"/>
            <w:gridSpan w:val="19"/>
          </w:tcPr>
          <w:p>
            <w:pPr>
              <w:spacing w:after="0"/>
              <w:rPr>
                <w:sz w:val="20"/>
                <w:szCs w:val="20"/>
                <w:color w:val="auto"/>
              </w:rPr>
            </w:pPr>
            <w:r>
              <w:rPr>
                <w:rFonts w:ascii="Arial" w:cs="Arial" w:eastAsia="Arial" w:hAnsi="Arial"/>
                <w:sz w:val="17"/>
                <w:szCs w:val="17"/>
                <w:color w:val="0000FF"/>
              </w:rPr>
              <w:t>Exhibits</w:t>
            </w:r>
          </w:p>
        </w:tc>
        <w:tc>
          <w:tcPr>
            <w:tcW w:w="440" w:type="dxa"/>
            <w:vAlign w:val="bottom"/>
            <w:gridSpan w:val="4"/>
          </w:tcPr>
          <w:p>
            <w:pPr>
              <w:ind w:left="40"/>
              <w:spacing w:after="0"/>
              <w:rPr>
                <w:sz w:val="20"/>
                <w:szCs w:val="20"/>
                <w:color w:val="auto"/>
              </w:rPr>
            </w:pPr>
            <w:r>
              <w:rPr>
                <w:rFonts w:ascii="Arial" w:cs="Arial" w:eastAsia="Arial" w:hAnsi="Arial"/>
                <w:sz w:val="17"/>
                <w:szCs w:val="17"/>
                <w:color w:val="0000FF"/>
              </w:rPr>
              <w:t>62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Signature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5"/>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232" w:lineRule="exact"/>
        <w:rPr>
          <w:sz w:val="20"/>
          <w:szCs w:val="20"/>
          <w:color w:val="auto"/>
        </w:rPr>
      </w:pPr>
    </w:p>
    <w:p>
      <w:pPr>
        <w:ind w:firstLine="619"/>
        <w:spacing w:after="0"/>
        <w:rPr>
          <w:sz w:val="20"/>
          <w:szCs w:val="20"/>
          <w:color w:val="auto"/>
        </w:rPr>
      </w:pPr>
      <w:r>
        <w:rPr>
          <w:rFonts w:ascii="Arial" w:cs="Arial" w:eastAsia="Arial" w:hAnsi="Arial"/>
          <w:sz w:val="17"/>
          <w:szCs w:val="17"/>
          <w:color w:val="auto"/>
        </w:rPr>
        <w:t>This quarterly report contains forward-looking statements within the meaning of Section 27A of the U.S. Securities Act of 1933, as amended (the “Securities Act”), and Section 21E of the U.S. Securities Exchange Act of 1934, as amended (the “Exchange Act”), which reflect our current views with respect to, among other things, our future results of operations and financial performance. In some cases, you can identify forward-looking statements by words such as “anticipate,” “approximately,” “believe,” “continue,” “could,” “estimate,” “expect,” “intend,” “may,” “outlook,” “plan,” “potential,” “predict,” “seek,” “should,” “will” and “would” or the negative version of these words or other comparable or similar words. These statements identify prospective information including, without limitation, statements with respect to the recently announced transaction whereby</w:t>
      </w:r>
    </w:p>
    <w:p>
      <w:pPr>
        <w:spacing w:after="0" w:line="3" w:lineRule="exact"/>
        <w:rPr>
          <w:sz w:val="20"/>
          <w:szCs w:val="20"/>
          <w:color w:val="auto"/>
        </w:rPr>
      </w:pPr>
    </w:p>
    <w:p>
      <w:pPr>
        <w:ind w:right="400"/>
        <w:spacing w:after="0" w:line="229" w:lineRule="auto"/>
        <w:rPr>
          <w:sz w:val="20"/>
          <w:szCs w:val="20"/>
          <w:color w:val="auto"/>
        </w:rPr>
      </w:pPr>
      <w:r>
        <w:rPr>
          <w:rFonts w:ascii="Arial" w:cs="Arial" w:eastAsia="Arial" w:hAnsi="Arial"/>
          <w:sz w:val="17"/>
          <w:szCs w:val="17"/>
          <w:color w:val="auto"/>
        </w:rPr>
        <w:t>Brookfield will acquire the approximately 26% interest in Oaktree that it does not already own, subject to regulatory approvals and customary closing conditions. Important factors could cause actual results to differ, possibly materially, from those indicated in these statements. Forward-</w:t>
      </w:r>
    </w:p>
    <w:p>
      <w:pPr>
        <w:spacing w:after="0" w:line="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spacing w:after="0" w:line="131"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In addition to factors previously disclosed in Brookfield Oaktree Holdings, LLC’s (“BOH”) reports filed with securities regulators in the United States and those identified elsewhere in this quarterly report, the following factors, among others, could cause actual results to differ materially from forward-looking statements and information or historical performance: the ability of BOH to retain and hire key service providers; the continued availability of capital and financing; the business, economic and political conditions in the markets in which BOH operates; changes in BOH’s anticipated revenue and income, which are inherently volatile; changes in the value of BOH’s investments; the pace of Oaktree’s raising of new funds; changes in assets under management; the timing and receipt of, and impact of taxes on, carried interest; distributions from and liquidation of Oaktree’s existing funds; the amount and timing of distributions on BOH’s preferred units; changes in BOH’s operating or other expenses; the degree to which BOH encounters competition; and general political, economic and market conditions.</w:t>
      </w:r>
    </w:p>
    <w:p>
      <w:pPr>
        <w:spacing w:after="0" w:line="111"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Any forward-looking statements and information speak only as of the date of this quarterly report or as of the date they were made, and except as required by law, BOH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BOH’s most recent report on Form 10-K for the year ended December 31, 2024 filed with the Securities and Exchange Commission (“SEC”) (our “annual report”), and in this quarterly report, and in each case any material updates to these factors contained in any of BOH’s future filings.</w:t>
      </w:r>
    </w:p>
    <w:p>
      <w:pPr>
        <w:spacing w:after="0" w:line="135"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spacing w:after="0" w:line="111" w:lineRule="exact"/>
        <w:rPr>
          <w:sz w:val="20"/>
          <w:szCs w:val="20"/>
          <w:color w:val="auto"/>
        </w:rPr>
      </w:pPr>
    </w:p>
    <w:p>
      <w:pPr>
        <w:ind w:right="180" w:firstLine="619"/>
        <w:spacing w:after="0" w:line="290" w:lineRule="auto"/>
        <w:rPr>
          <w:sz w:val="20"/>
          <w:szCs w:val="20"/>
          <w:color w:val="auto"/>
        </w:rPr>
      </w:pPr>
      <w:r>
        <w:rPr>
          <w:rFonts w:ascii="Arial" w:cs="Arial" w:eastAsia="Arial" w:hAnsi="Arial"/>
          <w:sz w:val="17"/>
          <w:szCs w:val="17"/>
          <w:color w:val="auto"/>
        </w:rPr>
        <w:t>This quarterly report and its contents do not constitute and should not be construed as (a) a recommendation to buy, (b) an offer to buy or solicitation of an offer to buy, (c) an offer to sell or (d) advice in relation to, any securities of BOH or securities of any Oaktree investment fund.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this quarterly report, unless the context otherwise requires:</w:t>
      </w:r>
    </w:p>
    <w:p>
      <w:pPr>
        <w:spacing w:after="0" w:line="16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“Oaktree” refers to (i) Brookfield Oaktree Holdings, LLC and, where applicable, its subsidiaries and affiliates prior to October 1, 2019 and (ii) the Oaktree Operating Group and, where applicable, their respective subsidiaries and affiliates after September 30, 2019.</w:t>
      </w:r>
    </w:p>
    <w:p>
      <w:pPr>
        <w:spacing w:after="0" w:line="9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“BOH,” “Company,” “we,” “us,” “our” or “our company” refers to Brookfield Oaktree Holdings, LLC and, where applicable, its subsidiaries and affiliates, including, as the context requires, affiliated Oaktree Operating Group members after September 30, 2019.</w:t>
      </w:r>
    </w:p>
    <w:p>
      <w:pPr>
        <w:spacing w:after="0" w:line="95" w:lineRule="exact"/>
        <w:rPr>
          <w:sz w:val="20"/>
          <w:szCs w:val="20"/>
          <w:color w:val="auto"/>
        </w:rPr>
      </w:pPr>
    </w:p>
    <w:p>
      <w:pPr>
        <w:jc w:val="both"/>
        <w:ind w:right="640" w:firstLine="619"/>
        <w:spacing w:after="0" w:line="290" w:lineRule="auto"/>
        <w:rPr>
          <w:sz w:val="20"/>
          <w:szCs w:val="20"/>
          <w:color w:val="auto"/>
        </w:rPr>
      </w:pPr>
      <w:r>
        <w:rPr>
          <w:rFonts w:ascii="Arial" w:cs="Arial" w:eastAsia="Arial" w:hAnsi="Arial"/>
          <w:sz w:val="17"/>
          <w:szCs w:val="17"/>
          <w:color w:val="auto"/>
        </w:rPr>
        <w:t>“OCM” refers to Oaktree Capital Management, L.P. and, where applicable, its subsidiaries and affiliates. OCM is one of the Oaktree Operating Group entities but not one of our subsidiaries. OCM acts as the U.S. registered investment adviser to most of the Oaktree funds.</w:t>
      </w:r>
    </w:p>
    <w:p>
      <w:pPr>
        <w:spacing w:after="0" w:line="95"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“Oaktree Operating Group,” or “Operating Group,” refers collectively to the entities that either (i) act as or control the general partners and investment advisers of the Oaktree funds or (ii) hold interests in other entities or investments generating income for the business of Oaktree.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492125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3" w:name="page4"/>
    <w:bookmarkEnd w:id="3"/>
    <w:p>
      <w:pPr>
        <w:ind w:right="180" w:firstLine="619"/>
        <w:spacing w:after="0" w:line="290" w:lineRule="auto"/>
        <w:rPr>
          <w:sz w:val="20"/>
          <w:szCs w:val="20"/>
          <w:color w:val="auto"/>
        </w:rPr>
      </w:pPr>
      <w:r>
        <w:rPr>
          <w:rFonts w:ascii="Arial" w:cs="Arial" w:eastAsia="Arial" w:hAnsi="Arial"/>
          <w:sz w:val="17"/>
          <w:szCs w:val="17"/>
          <w:color w:val="auto"/>
        </w:rPr>
        <w:t>“OCGH” refers to Oaktree Capital Group Holdings, L.P., a Delaware limited partnership, which holds an interest in the Oaktree Operating Group and all of our Class B units.</w:t>
      </w:r>
    </w:p>
    <w:p>
      <w:pPr>
        <w:spacing w:after="0" w:line="95"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“OCGH unitholders” refers collectively to Oaktree’s senior executives, current and former Oaktree employees and their respective transferees who hold interests in the Oaktree Operating Group through OCGH.</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“OEP” refers to Oaktree Equity Plan, L.P., a Delaware limited partnership, which holds an interest in the Oaktree Operating Group.</w:t>
      </w:r>
    </w:p>
    <w:p>
      <w:pPr>
        <w:spacing w:after="0" w:line="191" w:lineRule="exact"/>
        <w:rPr>
          <w:sz w:val="20"/>
          <w:szCs w:val="20"/>
          <w:color w:val="auto"/>
        </w:rPr>
      </w:pPr>
    </w:p>
    <w:p>
      <w:pPr>
        <w:ind w:firstLine="619"/>
        <w:spacing w:after="0"/>
        <w:rPr>
          <w:sz w:val="20"/>
          <w:szCs w:val="20"/>
          <w:color w:val="auto"/>
        </w:rPr>
      </w:pPr>
      <w:r>
        <w:rPr>
          <w:rFonts w:ascii="Arial" w:cs="Arial" w:eastAsia="Arial" w:hAnsi="Arial"/>
          <w:sz w:val="17"/>
          <w:szCs w:val="17"/>
          <w:color w:val="auto"/>
        </w:rPr>
        <w:t>“assets under management,” or “AUM,” generally refers to the sum of (i) the assets Oaktree manages and equals the NAV (as defined below) of the assets Oaktree manages, (ii) the leverage on which management fees are charged, (iii) the undrawn capital that Oaktree is entitled to call from investors in the funds pursuant to their capital commitments, (iv) investment proceeds held in trust for use in investment activities, (v) Oaktree’s pro rata portion of AUM managed by its equity method investments such as DoubleLine Capital LP and its affiliates (“DoubleLine”) and Duration Capital LP and its affiliates, in which Oaktree holds minority ownership interests, and (vi) 100% of the AUM managed by 17Capital LLP and its affiliates in which Oaktree acquired a majority ownership interest in 2022. For Oaktree’s collateralized loan obligation vehicles, AUM</w:t>
      </w:r>
    </w:p>
    <w:p>
      <w:pPr>
        <w:spacing w:after="0" w:line="3"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represents the aggregate par value of collateral assets and principal cash; for Oaktree’s business development companies, gross assets (including assets acquired with leverage), net of cash; for Oaktree’s special purpose acquisition companies (“SPACs”), the proceeds of any initial public</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below may not be directly comparable to the AUM metrics of other investment managers.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“Class A units” refer to the common units of BOH designated as Class A units.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“CLOs” refer to collateralized loan obligation vehicles.</w:t>
      </w:r>
    </w:p>
    <w:p>
      <w:pPr>
        <w:spacing w:after="0" w:line="165" w:lineRule="exact"/>
        <w:rPr>
          <w:sz w:val="20"/>
          <w:szCs w:val="20"/>
          <w:color w:val="auto"/>
        </w:rPr>
      </w:pPr>
    </w:p>
    <w:p>
      <w:pPr>
        <w:ind w:right="180" w:firstLine="619"/>
        <w:spacing w:after="0" w:line="290" w:lineRule="auto"/>
        <w:rPr>
          <w:sz w:val="20"/>
          <w:szCs w:val="20"/>
          <w:color w:val="auto"/>
        </w:rPr>
      </w:pPr>
      <w:r>
        <w:rPr>
          <w:rFonts w:ascii="Arial" w:cs="Arial" w:eastAsia="Arial" w:hAnsi="Arial"/>
          <w:sz w:val="17"/>
          <w:szCs w:val="17"/>
          <w:color w:val="auto"/>
        </w:rPr>
        <w:t>“common units” or “common unitholders” refer to the Class A common units of BOH or Class A common unitholders, respectively, unless otherwise specified.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funds” refers to the funds that we are required to consolidate as of the applicable reporting date.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“funds” refers to investment funds and, where applicable, CLOs and separate accounts that are managed by Oaktree or its subsidiaries.</w:t>
      </w:r>
    </w:p>
    <w:p>
      <w:pPr>
        <w:spacing w:after="0" w:line="165" w:lineRule="exact"/>
        <w:rPr>
          <w:sz w:val="20"/>
          <w:szCs w:val="20"/>
          <w:color w:val="auto"/>
        </w:rPr>
      </w:pPr>
    </w:p>
    <w:p>
      <w:pPr>
        <w:ind w:right="60" w:firstLine="619"/>
        <w:spacing w:after="0" w:line="271" w:lineRule="auto"/>
        <w:rPr>
          <w:sz w:val="20"/>
          <w:szCs w:val="20"/>
          <w:color w:val="auto"/>
        </w:rPr>
      </w:pPr>
      <w:r>
        <w:rPr>
          <w:rFonts w:ascii="Arial" w:cs="Arial" w:eastAsia="Arial" w:hAnsi="Arial"/>
          <w:sz w:val="17"/>
          <w:szCs w:val="17"/>
          <w:color w:val="auto"/>
        </w:rPr>
        <w:t>“net asset value,” or “NAV,” refers to the value of all the assets of a fund (including cash and accrued interest and dividends) less all liabilities of the fund (including accrued expenses and any reserves established by the general partner or investment manager of such fund in their discretion, for contingent liabilities) without reduction for accrued incentives because they are reflected in the partners’ capital of the fund.</w:t>
      </w:r>
    </w:p>
    <w:p>
      <w:pPr>
        <w:spacing w:after="0" w:line="111" w:lineRule="exact"/>
        <w:rPr>
          <w:sz w:val="20"/>
          <w:szCs w:val="20"/>
          <w:color w:val="auto"/>
        </w:rPr>
      </w:pPr>
    </w:p>
    <w:p>
      <w:pPr>
        <w:ind w:right="240" w:firstLine="619"/>
        <w:spacing w:after="0" w:line="290" w:lineRule="auto"/>
        <w:rPr>
          <w:sz w:val="20"/>
          <w:szCs w:val="20"/>
          <w:color w:val="auto"/>
        </w:rPr>
      </w:pPr>
      <w:r>
        <w:rPr>
          <w:rFonts w:ascii="Arial" w:cs="Arial" w:eastAsia="Arial" w:hAnsi="Arial"/>
          <w:sz w:val="17"/>
          <w:szCs w:val="17"/>
          <w:color w:val="auto"/>
        </w:rPr>
        <w:t>“preferred units” or “preferred unitholders” refers to the Series A and Series B preferred units of BOH or Series A and Series B preferred unitholders, respectively,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737870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012"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Brookfield Oaktree Holdings, LLC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Financial Condition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3"/>
              </w:rPr>
              <w:t>As of</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6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September 30, 2025</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w w:val="99"/>
              </w:rPr>
              <w:t>December 31, 2024</w:t>
            </w:r>
          </w:p>
        </w:tc>
        <w:tc>
          <w:tcPr>
            <w:tcW w:w="0" w:type="dxa"/>
            <w:vAlign w:val="bottom"/>
          </w:tcPr>
          <w:p>
            <w:pPr>
              <w:spacing w:after="0"/>
              <w:rPr>
                <w:sz w:val="1"/>
                <w:szCs w:val="1"/>
                <w:color w:val="auto"/>
              </w:rPr>
            </w:pPr>
          </w:p>
        </w:tc>
      </w:tr>
      <w:tr>
        <w:trPr>
          <w:trHeight w:val="175"/>
        </w:trPr>
        <w:tc>
          <w:tcPr>
            <w:tcW w:w="84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6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8,587</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22,303</w:t>
            </w:r>
          </w:p>
        </w:tc>
        <w:tc>
          <w:tcPr>
            <w:tcW w:w="0" w:type="dxa"/>
            <w:vAlign w:val="bottom"/>
          </w:tcPr>
          <w:p>
            <w:pPr>
              <w:spacing w:after="0"/>
              <w:rPr>
                <w:sz w:val="1"/>
                <w:szCs w:val="1"/>
                <w:color w:val="auto"/>
              </w:rPr>
            </w:pPr>
          </w:p>
        </w:tc>
      </w:tr>
      <w:tr>
        <w:trPr>
          <w:trHeight w:val="155"/>
        </w:trPr>
        <w:tc>
          <w:tcPr>
            <w:tcW w:w="8460" w:type="dxa"/>
            <w:vAlign w:val="bottom"/>
          </w:tcPr>
          <w:p>
            <w:pPr>
              <w:spacing w:after="0" w:line="155" w:lineRule="exact"/>
              <w:rPr>
                <w:sz w:val="20"/>
                <w:szCs w:val="20"/>
                <w:color w:val="auto"/>
              </w:rPr>
            </w:pPr>
            <w:r>
              <w:rPr>
                <w:rFonts w:ascii="Arial" w:cs="Arial" w:eastAsia="Arial" w:hAnsi="Arial"/>
                <w:sz w:val="14"/>
                <w:szCs w:val="14"/>
                <w:color w:val="auto"/>
              </w:rPr>
              <w:t>Corporate investments (includes $306,687 and $307,825 measured at fair value as of September 30, 2025</w:t>
            </w:r>
          </w:p>
        </w:tc>
        <w:tc>
          <w:tcPr>
            <w:tcW w:w="3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1,330,524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1,520,260</w:t>
            </w:r>
          </w:p>
        </w:tc>
        <w:tc>
          <w:tcPr>
            <w:tcW w:w="0" w:type="dxa"/>
            <w:vAlign w:val="bottom"/>
          </w:tcPr>
          <w:p>
            <w:pPr>
              <w:spacing w:after="0"/>
              <w:rPr>
                <w:sz w:val="1"/>
                <w:szCs w:val="1"/>
                <w:color w:val="auto"/>
              </w:rPr>
            </w:pPr>
          </w:p>
        </w:tc>
      </w:tr>
      <w:tr>
        <w:trPr>
          <w:trHeight w:val="180"/>
        </w:trPr>
        <w:tc>
          <w:tcPr>
            <w:tcW w:w="8460" w:type="dxa"/>
            <w:vAlign w:val="bottom"/>
          </w:tcPr>
          <w:p>
            <w:pPr>
              <w:spacing w:after="0"/>
              <w:rPr>
                <w:sz w:val="20"/>
                <w:szCs w:val="20"/>
                <w:color w:val="auto"/>
              </w:rPr>
            </w:pPr>
            <w:r>
              <w:rPr>
                <w:rFonts w:ascii="Arial" w:cs="Arial" w:eastAsia="Arial" w:hAnsi="Arial"/>
                <w:sz w:val="14"/>
                <w:szCs w:val="14"/>
                <w:color w:val="auto"/>
              </w:rPr>
              <w:t>and December 31, 2024, respectively)</w:t>
            </w: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60" w:type="dxa"/>
            <w:vAlign w:val="bottom"/>
          </w:tcPr>
          <w:p>
            <w:pPr>
              <w:spacing w:after="0"/>
              <w:rPr>
                <w:sz w:val="20"/>
                <w:szCs w:val="20"/>
                <w:color w:val="auto"/>
              </w:rPr>
            </w:pPr>
            <w:r>
              <w:rPr>
                <w:rFonts w:ascii="Arial" w:cs="Arial" w:eastAsia="Arial" w:hAnsi="Arial"/>
                <w:sz w:val="14"/>
                <w:szCs w:val="14"/>
                <w:color w:val="auto"/>
              </w:rPr>
              <w:t>Due from affiliates</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3"/>
        </w:trPr>
        <w:tc>
          <w:tcPr>
            <w:tcW w:w="8460" w:type="dxa"/>
            <w:vAlign w:val="bottom"/>
          </w:tcPr>
          <w:p>
            <w:pPr>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31,526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16,728</w:t>
            </w: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i w:val="1"/>
                <w:iCs w:val="1"/>
                <w:color w:val="auto"/>
              </w:rPr>
              <w:t>Assets of consolidated funds: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60" w:type="dxa"/>
            <w:vAlign w:val="bottom"/>
          </w:tcPr>
          <w:p>
            <w:pPr>
              <w:spacing w:after="0"/>
              <w:rPr>
                <w:sz w:val="20"/>
                <w:szCs w:val="20"/>
                <w:color w:val="auto"/>
              </w:rPr>
            </w:pPr>
            <w:r>
              <w:rPr>
                <w:rFonts w:ascii="Arial" w:cs="Arial" w:eastAsia="Arial" w:hAnsi="Arial"/>
                <w:sz w:val="14"/>
                <w:szCs w:val="14"/>
                <w:color w:val="auto"/>
              </w:rPr>
              <w:t>Cash and cash-equivalents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281,785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427,548</w:t>
            </w:r>
          </w:p>
        </w:tc>
        <w:tc>
          <w:tcPr>
            <w:tcW w:w="0" w:type="dxa"/>
            <w:vAlign w:val="bottom"/>
          </w:tcPr>
          <w:p>
            <w:pPr>
              <w:spacing w:after="0"/>
              <w:rPr>
                <w:sz w:val="1"/>
                <w:szCs w:val="1"/>
                <w:color w:val="auto"/>
              </w:rPr>
            </w:pPr>
          </w:p>
        </w:tc>
      </w:tr>
      <w:tr>
        <w:trPr>
          <w:trHeight w:val="193"/>
        </w:trPr>
        <w:tc>
          <w:tcPr>
            <w:tcW w:w="846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4,847,399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4,946,862</w:t>
            </w:r>
          </w:p>
        </w:tc>
        <w:tc>
          <w:tcPr>
            <w:tcW w:w="0" w:type="dxa"/>
            <w:vAlign w:val="bottom"/>
          </w:tcPr>
          <w:p>
            <w:pPr>
              <w:spacing w:after="0"/>
              <w:rPr>
                <w:sz w:val="1"/>
                <w:szCs w:val="1"/>
                <w:color w:val="auto"/>
              </w:rPr>
            </w:pPr>
          </w:p>
        </w:tc>
      </w:tr>
      <w:tr>
        <w:trPr>
          <w:trHeight w:val="193"/>
        </w:trPr>
        <w:tc>
          <w:tcPr>
            <w:tcW w:w="8460" w:type="dxa"/>
            <w:vAlign w:val="bottom"/>
          </w:tcPr>
          <w:p>
            <w:pPr>
              <w:spacing w:after="0"/>
              <w:rPr>
                <w:sz w:val="20"/>
                <w:szCs w:val="20"/>
                <w:color w:val="auto"/>
              </w:rPr>
            </w:pPr>
            <w:r>
              <w:rPr>
                <w:rFonts w:ascii="Arial" w:cs="Arial" w:eastAsia="Arial" w:hAnsi="Arial"/>
                <w:sz w:val="14"/>
                <w:szCs w:val="14"/>
                <w:color w:val="auto"/>
              </w:rPr>
              <w:t>Dividends and interest receivable</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23,076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34,127</w:t>
            </w:r>
          </w:p>
        </w:tc>
        <w:tc>
          <w:tcPr>
            <w:tcW w:w="0" w:type="dxa"/>
            <w:vAlign w:val="bottom"/>
          </w:tcPr>
          <w:p>
            <w:pPr>
              <w:spacing w:after="0"/>
              <w:rPr>
                <w:sz w:val="1"/>
                <w:szCs w:val="1"/>
                <w:color w:val="auto"/>
              </w:rPr>
            </w:pPr>
          </w:p>
        </w:tc>
      </w:tr>
      <w:tr>
        <w:trPr>
          <w:trHeight w:val="193"/>
        </w:trPr>
        <w:tc>
          <w:tcPr>
            <w:tcW w:w="8460" w:type="dxa"/>
            <w:vAlign w:val="bottom"/>
          </w:tcPr>
          <w:p>
            <w:pPr>
              <w:spacing w:after="0"/>
              <w:rPr>
                <w:sz w:val="20"/>
                <w:szCs w:val="20"/>
                <w:color w:val="auto"/>
              </w:rPr>
            </w:pPr>
            <w:r>
              <w:rPr>
                <w:rFonts w:ascii="Arial" w:cs="Arial" w:eastAsia="Arial" w:hAnsi="Arial"/>
                <w:sz w:val="14"/>
                <w:szCs w:val="14"/>
                <w:color w:val="auto"/>
              </w:rPr>
              <w:t>Receivable for securities sold</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24,094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22,688</w:t>
            </w:r>
          </w:p>
        </w:tc>
        <w:tc>
          <w:tcPr>
            <w:tcW w:w="0" w:type="dxa"/>
            <w:vAlign w:val="bottom"/>
          </w:tcPr>
          <w:p>
            <w:pPr>
              <w:spacing w:after="0"/>
              <w:rPr>
                <w:sz w:val="1"/>
                <w:szCs w:val="1"/>
                <w:color w:val="auto"/>
              </w:rPr>
            </w:pPr>
          </w:p>
        </w:tc>
      </w:tr>
      <w:tr>
        <w:trPr>
          <w:trHeight w:val="193"/>
        </w:trPr>
        <w:tc>
          <w:tcPr>
            <w:tcW w:w="8460" w:type="dxa"/>
            <w:vAlign w:val="bottom"/>
          </w:tcPr>
          <w:p>
            <w:pPr>
              <w:spacing w:after="0"/>
              <w:rPr>
                <w:sz w:val="20"/>
                <w:szCs w:val="20"/>
                <w:color w:val="auto"/>
              </w:rPr>
            </w:pPr>
            <w:r>
              <w:rPr>
                <w:rFonts w:ascii="Arial" w:cs="Arial" w:eastAsia="Arial" w:hAnsi="Arial"/>
                <w:sz w:val="14"/>
                <w:szCs w:val="14"/>
                <w:color w:val="auto"/>
              </w:rPr>
              <w:t>Derivative assets, at fair value</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44,051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33,349</w:t>
            </w:r>
          </w:p>
        </w:tc>
        <w:tc>
          <w:tcPr>
            <w:tcW w:w="0" w:type="dxa"/>
            <w:vAlign w:val="bottom"/>
          </w:tcPr>
          <w:p>
            <w:pPr>
              <w:spacing w:after="0"/>
              <w:rPr>
                <w:sz w:val="1"/>
                <w:szCs w:val="1"/>
                <w:color w:val="auto"/>
              </w:rPr>
            </w:pPr>
          </w:p>
        </w:tc>
      </w:tr>
      <w:tr>
        <w:trPr>
          <w:trHeight w:val="197"/>
        </w:trPr>
        <w:tc>
          <w:tcPr>
            <w:tcW w:w="8460" w:type="dxa"/>
            <w:vAlign w:val="bottom"/>
          </w:tcPr>
          <w:p>
            <w:pPr>
              <w:spacing w:after="0"/>
              <w:rPr>
                <w:sz w:val="20"/>
                <w:szCs w:val="20"/>
                <w:color w:val="auto"/>
              </w:rPr>
            </w:pPr>
            <w:r>
              <w:rPr>
                <w:rFonts w:ascii="Arial" w:cs="Arial" w:eastAsia="Arial" w:hAnsi="Arial"/>
                <w:sz w:val="14"/>
                <w:szCs w:val="14"/>
                <w:color w:val="auto"/>
              </w:rPr>
              <w:t>Other assets, net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38,403</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49,340</w:t>
            </w:r>
          </w:p>
        </w:tc>
        <w:tc>
          <w:tcPr>
            <w:tcW w:w="0" w:type="dxa"/>
            <w:vAlign w:val="bottom"/>
          </w:tcPr>
          <w:p>
            <w:pPr>
              <w:spacing w:after="0"/>
              <w:rPr>
                <w:sz w:val="1"/>
                <w:szCs w:val="1"/>
                <w:color w:val="auto"/>
              </w:rPr>
            </w:pPr>
          </w:p>
        </w:tc>
      </w:tr>
      <w:tr>
        <w:trPr>
          <w:trHeight w:val="190"/>
        </w:trPr>
        <w:tc>
          <w:tcPr>
            <w:tcW w:w="846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6,629,997</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7,073,432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Capital</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4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460" w:type="dxa"/>
            <w:vAlign w:val="bottom"/>
          </w:tcPr>
          <w:p>
            <w:pPr>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Accrued compensation expense</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Due to affiliates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3"/>
        </w:trPr>
        <w:tc>
          <w:tcPr>
            <w:tcW w:w="8460" w:type="dxa"/>
            <w:vAlign w:val="bottom"/>
          </w:tcPr>
          <w:p>
            <w:pPr>
              <w:ind w:left="620"/>
              <w:spacing w:after="0"/>
              <w:rPr>
                <w:sz w:val="20"/>
                <w:szCs w:val="20"/>
                <w:color w:val="auto"/>
              </w:rPr>
            </w:pPr>
            <w:r>
              <w:rPr>
                <w:rFonts w:ascii="Arial" w:cs="Arial" w:eastAsia="Arial" w:hAnsi="Arial"/>
                <w:sz w:val="14"/>
                <w:szCs w:val="14"/>
                <w:i w:val="1"/>
                <w:iCs w:val="1"/>
                <w:color w:val="auto"/>
              </w:rPr>
              <w:t>Liabilities of consolidated funds: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Accounts payable, accrued expenses and other liabilities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24,362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12,981</w:t>
            </w: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Payables for securities purchased</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78,816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102,607</w:t>
            </w: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Derivative liabilities, at fair value</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70,865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13,385</w:t>
            </w: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Distributions payable</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4"/>
        </w:trPr>
        <w:tc>
          <w:tcPr>
            <w:tcW w:w="8460" w:type="dxa"/>
            <w:vAlign w:val="bottom"/>
          </w:tcPr>
          <w:p>
            <w:pPr>
              <w:ind w:left="300"/>
              <w:spacing w:after="0"/>
              <w:rPr>
                <w:sz w:val="20"/>
                <w:szCs w:val="20"/>
                <w:color w:val="auto"/>
              </w:rPr>
            </w:pPr>
            <w:r>
              <w:rPr>
                <w:rFonts w:ascii="Arial" w:cs="Arial" w:eastAsia="Arial" w:hAnsi="Arial"/>
                <w:sz w:val="14"/>
                <w:szCs w:val="14"/>
                <w:color w:val="auto"/>
              </w:rPr>
              <w:t>Debt obligations of the consolidated funds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1,170,611</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1,472,795</w:t>
            </w:r>
          </w:p>
        </w:tc>
        <w:tc>
          <w:tcPr>
            <w:tcW w:w="0" w:type="dxa"/>
            <w:vAlign w:val="bottom"/>
          </w:tcPr>
          <w:p>
            <w:pPr>
              <w:spacing w:after="0"/>
              <w:rPr>
                <w:sz w:val="1"/>
                <w:szCs w:val="1"/>
                <w:color w:val="auto"/>
              </w:rPr>
            </w:pPr>
          </w:p>
        </w:tc>
      </w:tr>
      <w:tr>
        <w:trPr>
          <w:trHeight w:val="186"/>
        </w:trPr>
        <w:tc>
          <w:tcPr>
            <w:tcW w:w="846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1,345,312</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1,602,984</w:t>
            </w:r>
          </w:p>
        </w:tc>
        <w:tc>
          <w:tcPr>
            <w:tcW w:w="0" w:type="dxa"/>
            <w:vAlign w:val="bottom"/>
          </w:tcPr>
          <w:p>
            <w:pPr>
              <w:spacing w:after="0"/>
              <w:rPr>
                <w:sz w:val="1"/>
                <w:szCs w:val="1"/>
                <w:color w:val="auto"/>
              </w:rPr>
            </w:pPr>
          </w:p>
        </w:tc>
      </w:tr>
      <w:tr>
        <w:trPr>
          <w:trHeight w:val="173"/>
        </w:trPr>
        <w:tc>
          <w:tcPr>
            <w:tcW w:w="8460" w:type="dxa"/>
            <w:vAlign w:val="bottom"/>
          </w:tcPr>
          <w:p>
            <w:pPr>
              <w:spacing w:after="0"/>
              <w:rPr>
                <w:sz w:val="20"/>
                <w:szCs w:val="20"/>
                <w:color w:val="auto"/>
              </w:rPr>
            </w:pPr>
            <w:r>
              <w:rPr>
                <w:rFonts w:ascii="Arial" w:cs="Arial" w:eastAsia="Arial" w:hAnsi="Arial"/>
                <w:sz w:val="14"/>
                <w:szCs w:val="14"/>
                <w:color w:val="auto"/>
              </w:rPr>
              <w:t>Commitments and contingencies (Note 13)</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60" w:type="dxa"/>
            <w:vAlign w:val="bottom"/>
          </w:tcPr>
          <w:p>
            <w:pPr>
              <w:spacing w:after="0"/>
              <w:rPr>
                <w:sz w:val="20"/>
                <w:szCs w:val="20"/>
                <w:color w:val="auto"/>
              </w:rPr>
            </w:pPr>
            <w:r>
              <w:rPr>
                <w:rFonts w:ascii="Arial" w:cs="Arial" w:eastAsia="Arial" w:hAnsi="Arial"/>
                <w:sz w:val="14"/>
                <w:szCs w:val="14"/>
                <w:color w:val="auto"/>
              </w:rPr>
              <w:t>Non-controlling redeemable interests in consolidated funds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3,103,747</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3,069,084</w:t>
            </w:r>
          </w:p>
        </w:tc>
        <w:tc>
          <w:tcPr>
            <w:tcW w:w="0" w:type="dxa"/>
            <w:vAlign w:val="bottom"/>
          </w:tcPr>
          <w:p>
            <w:pPr>
              <w:spacing w:after="0"/>
              <w:rPr>
                <w:sz w:val="1"/>
                <w:szCs w:val="1"/>
                <w:color w:val="auto"/>
              </w:rPr>
            </w:pPr>
          </w:p>
        </w:tc>
      </w:tr>
      <w:tr>
        <w:trPr>
          <w:trHeight w:val="173"/>
        </w:trPr>
        <w:tc>
          <w:tcPr>
            <w:tcW w:w="8460" w:type="dxa"/>
            <w:vAlign w:val="bottom"/>
          </w:tcPr>
          <w:p>
            <w:pPr>
              <w:spacing w:after="0"/>
              <w:rPr>
                <w:sz w:val="20"/>
                <w:szCs w:val="20"/>
                <w:color w:val="auto"/>
              </w:rPr>
            </w:pPr>
            <w:r>
              <w:rPr>
                <w:rFonts w:ascii="Arial" w:cs="Arial" w:eastAsia="Arial" w:hAnsi="Arial"/>
                <w:sz w:val="14"/>
                <w:szCs w:val="14"/>
                <w:color w:val="auto"/>
              </w:rPr>
              <w:t>Unitholders’ capital:</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Series A preferred units, 7,200,000 units issued and outstanding as of September 30, 2025 and December 31, 2024</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173,669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173,669</w:t>
            </w:r>
          </w:p>
        </w:tc>
        <w:tc>
          <w:tcPr>
            <w:tcW w:w="0" w:type="dxa"/>
            <w:vAlign w:val="bottom"/>
          </w:tcPr>
          <w:p>
            <w:pPr>
              <w:spacing w:after="0"/>
              <w:rPr>
                <w:sz w:val="1"/>
                <w:szCs w:val="1"/>
                <w:color w:val="auto"/>
              </w:rPr>
            </w:pPr>
          </w:p>
        </w:tc>
      </w:tr>
      <w:tr>
        <w:trPr>
          <w:trHeight w:val="193"/>
        </w:trPr>
        <w:tc>
          <w:tcPr>
            <w:tcW w:w="8460" w:type="dxa"/>
            <w:vAlign w:val="bottom"/>
          </w:tcPr>
          <w:p>
            <w:pPr>
              <w:ind w:left="300"/>
              <w:spacing w:after="0"/>
              <w:rPr>
                <w:sz w:val="20"/>
                <w:szCs w:val="20"/>
                <w:color w:val="auto"/>
              </w:rPr>
            </w:pPr>
            <w:r>
              <w:rPr>
                <w:rFonts w:ascii="Arial" w:cs="Arial" w:eastAsia="Arial" w:hAnsi="Arial"/>
                <w:sz w:val="14"/>
                <w:szCs w:val="14"/>
                <w:color w:val="auto"/>
              </w:rPr>
              <w:t>Series B preferred units, 9,400,000 units issued and outstanding as of September 30, 2025 and December 31, 2024</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226,915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226,915</w:t>
            </w:r>
          </w:p>
        </w:tc>
        <w:tc>
          <w:tcPr>
            <w:tcW w:w="0" w:type="dxa"/>
            <w:vAlign w:val="bottom"/>
          </w:tcPr>
          <w:p>
            <w:pPr>
              <w:spacing w:after="0"/>
              <w:rPr>
                <w:sz w:val="1"/>
                <w:szCs w:val="1"/>
                <w:color w:val="auto"/>
              </w:rPr>
            </w:pPr>
          </w:p>
        </w:tc>
      </w:tr>
      <w:tr>
        <w:trPr>
          <w:trHeight w:val="155"/>
        </w:trPr>
        <w:tc>
          <w:tcPr>
            <w:tcW w:w="8460" w:type="dxa"/>
            <w:vAlign w:val="bottom"/>
          </w:tcPr>
          <w:p>
            <w:pPr>
              <w:ind w:left="300"/>
              <w:spacing w:after="0" w:line="155" w:lineRule="exact"/>
              <w:rPr>
                <w:sz w:val="20"/>
                <w:szCs w:val="20"/>
                <w:color w:val="auto"/>
              </w:rPr>
            </w:pPr>
            <w:r>
              <w:rPr>
                <w:rFonts w:ascii="Arial" w:cs="Arial" w:eastAsia="Arial" w:hAnsi="Arial"/>
                <w:sz w:val="14"/>
                <w:szCs w:val="14"/>
                <w:color w:val="auto"/>
              </w:rPr>
              <w:t>Class A units, no par value, unlimited units authorized, 118,832,320 and 116,373,234 units issued and outstanding as of</w:t>
            </w:r>
          </w:p>
        </w:tc>
        <w:tc>
          <w:tcPr>
            <w:tcW w:w="3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60" w:type="dxa"/>
            <w:vAlign w:val="bottom"/>
          </w:tcPr>
          <w:p>
            <w:pPr>
              <w:ind w:left="460"/>
              <w:spacing w:after="0"/>
              <w:rPr>
                <w:sz w:val="20"/>
                <w:szCs w:val="20"/>
                <w:color w:val="auto"/>
              </w:rPr>
            </w:pPr>
            <w:r>
              <w:rPr>
                <w:rFonts w:ascii="Arial" w:cs="Arial" w:eastAsia="Arial" w:hAnsi="Arial"/>
                <w:sz w:val="14"/>
                <w:szCs w:val="14"/>
                <w:color w:val="auto"/>
              </w:rPr>
              <w:t>September 30, 2025 and December 31, 2024, respectively</w:t>
            </w: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60" w:type="dxa"/>
            <w:vAlign w:val="bottom"/>
          </w:tcPr>
          <w:p>
            <w:pPr>
              <w:ind w:left="300"/>
              <w:spacing w:after="0" w:line="142" w:lineRule="exact"/>
              <w:rPr>
                <w:sz w:val="20"/>
                <w:szCs w:val="20"/>
                <w:color w:val="auto"/>
              </w:rPr>
            </w:pPr>
            <w:r>
              <w:rPr>
                <w:rFonts w:ascii="Arial" w:cs="Arial" w:eastAsia="Arial" w:hAnsi="Arial"/>
                <w:sz w:val="14"/>
                <w:szCs w:val="14"/>
                <w:color w:val="auto"/>
                <w:w w:val="98"/>
              </w:rPr>
              <w:t>Class B units, no par value, unlimited units authorized, 41,758,979 and 43,822,210 units issued and outstanding as of September 30,</w:t>
            </w:r>
          </w:p>
        </w:tc>
        <w:tc>
          <w:tcPr>
            <w:tcW w:w="3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60" w:type="dxa"/>
            <w:vAlign w:val="bottom"/>
          </w:tcPr>
          <w:p>
            <w:pPr>
              <w:ind w:left="460"/>
              <w:spacing w:after="0"/>
              <w:rPr>
                <w:sz w:val="20"/>
                <w:szCs w:val="20"/>
                <w:color w:val="auto"/>
              </w:rPr>
            </w:pPr>
            <w:r>
              <w:rPr>
                <w:rFonts w:ascii="Arial" w:cs="Arial" w:eastAsia="Arial" w:hAnsi="Arial"/>
                <w:sz w:val="14"/>
                <w:szCs w:val="14"/>
                <w:color w:val="auto"/>
              </w:rPr>
              <w:t>2025 and December 31, 2024, respectively</w:t>
            </w: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300"/>
              <w:spacing w:after="0"/>
              <w:rPr>
                <w:sz w:val="20"/>
                <w:szCs w:val="20"/>
                <w:color w:val="auto"/>
              </w:rPr>
            </w:pPr>
            <w:r>
              <w:rPr>
                <w:rFonts w:ascii="Arial" w:cs="Arial" w:eastAsia="Arial" w:hAnsi="Arial"/>
                <w:sz w:val="14"/>
                <w:szCs w:val="14"/>
                <w:color w:val="auto"/>
              </w:rPr>
              <w:t>Paid-in capital</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1,795,825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1,663,384</w:t>
            </w:r>
          </w:p>
        </w:tc>
        <w:tc>
          <w:tcPr>
            <w:tcW w:w="0" w:type="dxa"/>
            <w:vAlign w:val="bottom"/>
          </w:tcPr>
          <w:p>
            <w:pPr>
              <w:spacing w:after="0"/>
              <w:rPr>
                <w:sz w:val="1"/>
                <w:szCs w:val="1"/>
                <w:color w:val="auto"/>
              </w:rPr>
            </w:pPr>
          </w:p>
        </w:tc>
      </w:tr>
      <w:tr>
        <w:trPr>
          <w:trHeight w:val="194"/>
        </w:trPr>
        <w:tc>
          <w:tcPr>
            <w:tcW w:w="8460" w:type="dxa"/>
            <w:vAlign w:val="bottom"/>
          </w:tcPr>
          <w:p>
            <w:pPr>
              <w:ind w:left="300"/>
              <w:spacing w:after="0"/>
              <w:rPr>
                <w:sz w:val="20"/>
                <w:szCs w:val="20"/>
                <w:color w:val="auto"/>
              </w:rPr>
            </w:pPr>
            <w:r>
              <w:rPr>
                <w:rFonts w:ascii="Arial" w:cs="Arial" w:eastAsia="Arial" w:hAnsi="Arial"/>
                <w:sz w:val="14"/>
                <w:szCs w:val="14"/>
                <w:color w:val="auto"/>
              </w:rPr>
              <w:t>Retained earnings (accumulated deficit)</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(24,984)</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329,631</w:t>
            </w:r>
          </w:p>
        </w:tc>
        <w:tc>
          <w:tcPr>
            <w:tcW w:w="0" w:type="dxa"/>
            <w:vAlign w:val="bottom"/>
          </w:tcPr>
          <w:p>
            <w:pPr>
              <w:spacing w:after="0"/>
              <w:rPr>
                <w:sz w:val="1"/>
                <w:szCs w:val="1"/>
                <w:color w:val="auto"/>
              </w:rPr>
            </w:pPr>
          </w:p>
        </w:tc>
      </w:tr>
      <w:tr>
        <w:trPr>
          <w:trHeight w:val="186"/>
        </w:trPr>
        <w:tc>
          <w:tcPr>
            <w:tcW w:w="8460" w:type="dxa"/>
            <w:vAlign w:val="bottom"/>
          </w:tcPr>
          <w:p>
            <w:pPr>
              <w:ind w:left="620"/>
              <w:spacing w:after="0"/>
              <w:rPr>
                <w:sz w:val="20"/>
                <w:szCs w:val="20"/>
                <w:color w:val="auto"/>
              </w:rPr>
            </w:pPr>
            <w:r>
              <w:rPr>
                <w:rFonts w:ascii="Arial" w:cs="Arial" w:eastAsia="Arial" w:hAnsi="Arial"/>
                <w:sz w:val="14"/>
                <w:szCs w:val="14"/>
                <w:color w:val="auto"/>
              </w:rPr>
              <w:t>Unitholders’ capital attributable to Brookfield Oaktree Holdings, LLC</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2,171,425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2,393,599</w:t>
            </w:r>
          </w:p>
        </w:tc>
        <w:tc>
          <w:tcPr>
            <w:tcW w:w="0" w:type="dxa"/>
            <w:vAlign w:val="bottom"/>
          </w:tcPr>
          <w:p>
            <w:pPr>
              <w:spacing w:after="0"/>
              <w:rPr>
                <w:sz w:val="1"/>
                <w:szCs w:val="1"/>
                <w:color w:val="auto"/>
              </w:rPr>
            </w:pPr>
          </w:p>
        </w:tc>
      </w:tr>
      <w:tr>
        <w:trPr>
          <w:trHeight w:val="194"/>
        </w:trPr>
        <w:tc>
          <w:tcPr>
            <w:tcW w:w="8460" w:type="dxa"/>
            <w:vAlign w:val="bottom"/>
          </w:tcPr>
          <w:p>
            <w:pPr>
              <w:ind w:left="300"/>
              <w:spacing w:after="0"/>
              <w:rPr>
                <w:sz w:val="20"/>
                <w:szCs w:val="20"/>
                <w:color w:val="auto"/>
              </w:rPr>
            </w:pPr>
            <w:r>
              <w:rPr>
                <w:rFonts w:ascii="Arial" w:cs="Arial" w:eastAsia="Arial" w:hAnsi="Arial"/>
                <w:sz w:val="14"/>
                <w:szCs w:val="14"/>
                <w:color w:val="auto"/>
              </w:rPr>
              <w:t>Non-controlling interests in consolidated subsidiaries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9,513</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7,765</w:t>
            </w:r>
          </w:p>
        </w:tc>
        <w:tc>
          <w:tcPr>
            <w:tcW w:w="0" w:type="dxa"/>
            <w:vAlign w:val="bottom"/>
          </w:tcPr>
          <w:p>
            <w:pPr>
              <w:spacing w:after="0"/>
              <w:rPr>
                <w:sz w:val="1"/>
                <w:szCs w:val="1"/>
                <w:color w:val="auto"/>
              </w:rPr>
            </w:pPr>
          </w:p>
        </w:tc>
      </w:tr>
      <w:tr>
        <w:trPr>
          <w:trHeight w:val="190"/>
        </w:trPr>
        <w:tc>
          <w:tcPr>
            <w:tcW w:w="8460" w:type="dxa"/>
            <w:vAlign w:val="bottom"/>
          </w:tcPr>
          <w:p>
            <w:pPr>
              <w:ind w:left="620"/>
              <w:spacing w:after="0"/>
              <w:rPr>
                <w:sz w:val="20"/>
                <w:szCs w:val="20"/>
                <w:color w:val="auto"/>
              </w:rPr>
            </w:pPr>
            <w:r>
              <w:rPr>
                <w:rFonts w:ascii="Arial" w:cs="Arial" w:eastAsia="Arial" w:hAnsi="Arial"/>
                <w:sz w:val="14"/>
                <w:szCs w:val="14"/>
                <w:color w:val="auto"/>
              </w:rPr>
              <w:t>Total unitholders’ capital</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2,180,938</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2,401,364</w:t>
            </w:r>
          </w:p>
        </w:tc>
        <w:tc>
          <w:tcPr>
            <w:tcW w:w="0" w:type="dxa"/>
            <w:vAlign w:val="bottom"/>
          </w:tcPr>
          <w:p>
            <w:pPr>
              <w:spacing w:after="0"/>
              <w:rPr>
                <w:sz w:val="1"/>
                <w:szCs w:val="1"/>
                <w:color w:val="auto"/>
              </w:rPr>
            </w:pPr>
          </w:p>
        </w:tc>
      </w:tr>
      <w:tr>
        <w:trPr>
          <w:trHeight w:val="190"/>
        </w:trPr>
        <w:tc>
          <w:tcPr>
            <w:tcW w:w="8460" w:type="dxa"/>
            <w:vAlign w:val="bottom"/>
          </w:tcPr>
          <w:p>
            <w:pPr>
              <w:ind w:left="620"/>
              <w:spacing w:after="0"/>
              <w:rPr>
                <w:sz w:val="20"/>
                <w:szCs w:val="20"/>
                <w:color w:val="auto"/>
              </w:rPr>
            </w:pPr>
            <w:r>
              <w:rPr>
                <w:rFonts w:ascii="Arial" w:cs="Arial" w:eastAsia="Arial" w:hAnsi="Arial"/>
                <w:sz w:val="14"/>
                <w:szCs w:val="14"/>
                <w:color w:val="auto"/>
              </w:rPr>
              <w:t>Total liabilities and unitholders’ capital</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6,629,997</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7,073,432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Please see accompanying notes to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unit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5"/>
          </w:tcPr>
          <w:p>
            <w:pPr>
              <w:ind w:left="120"/>
              <w:spacing w:after="0"/>
              <w:rPr>
                <w:sz w:val="20"/>
                <w:szCs w:val="20"/>
                <w:color w:val="auto"/>
              </w:rPr>
            </w:pPr>
            <w:r>
              <w:rPr>
                <w:rFonts w:ascii="Arial" w:cs="Arial" w:eastAsia="Arial" w:hAnsi="Arial"/>
                <w:sz w:val="12"/>
                <w:szCs w:val="12"/>
                <w:b w:val="1"/>
                <w:bCs w:val="1"/>
                <w:color w:val="auto"/>
              </w:rPr>
              <w:t>Three months ended September 30,</w:t>
            </w:r>
          </w:p>
        </w:tc>
        <w:tc>
          <w:tcPr>
            <w:tcW w:w="260" w:type="dxa"/>
            <w:vAlign w:val="bottom"/>
          </w:tcPr>
          <w:p>
            <w:pPr>
              <w:spacing w:after="0"/>
              <w:rPr>
                <w:sz w:val="14"/>
                <w:szCs w:val="14"/>
                <w:color w:val="auto"/>
              </w:rPr>
            </w:pPr>
          </w:p>
        </w:tc>
        <w:tc>
          <w:tcPr>
            <w:tcW w:w="2540" w:type="dxa"/>
            <w:vAlign w:val="bottom"/>
            <w:gridSpan w:val="4"/>
          </w:tcPr>
          <w:p>
            <w:pPr>
              <w:jc w:val="right"/>
              <w:ind w:right="323"/>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20"/>
                <w:szCs w:val="20"/>
                <w:color w:val="auto"/>
              </w:rPr>
            </w:pPr>
            <w:r>
              <w:rPr>
                <w:rFonts w:ascii="Arial" w:cs="Arial" w:eastAsia="Arial" w:hAnsi="Arial"/>
                <w:sz w:val="15"/>
                <w:szCs w:val="15"/>
                <w:color w:val="auto"/>
              </w:rPr>
              <w:t>Revenues: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121,035</w:t>
            </w:r>
          </w:p>
        </w:tc>
        <w:tc>
          <w:tcPr>
            <w:tcW w:w="22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115,041</w:t>
            </w:r>
          </w:p>
        </w:tc>
        <w:tc>
          <w:tcPr>
            <w:tcW w:w="20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381,735</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372,817</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117,529</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39,321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25,279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43,106</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60,033</w:t>
            </w:r>
          </w:p>
        </w:tc>
        <w:tc>
          <w:tcPr>
            <w:tcW w:w="0" w:type="dxa"/>
            <w:vAlign w:val="bottom"/>
          </w:tcPr>
          <w:p>
            <w:pPr>
              <w:spacing w:after="0"/>
              <w:rPr>
                <w:sz w:val="1"/>
                <w:szCs w:val="1"/>
                <w:color w:val="auto"/>
              </w:rPr>
            </w:pPr>
          </w:p>
        </w:tc>
      </w:tr>
      <w:tr>
        <w:trPr>
          <w:trHeight w:val="199"/>
        </w:trPr>
        <w:tc>
          <w:tcPr>
            <w:tcW w:w="544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160,356</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140,320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424,841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550,379</w:t>
            </w:r>
          </w:p>
        </w:tc>
        <w:tc>
          <w:tcPr>
            <w:tcW w:w="0" w:type="dxa"/>
            <w:vAlign w:val="bottom"/>
          </w:tcPr>
          <w:p>
            <w:pPr>
              <w:spacing w:after="0"/>
              <w:rPr>
                <w:sz w:val="1"/>
                <w:szCs w:val="1"/>
                <w:color w:val="auto"/>
              </w:rPr>
            </w:pPr>
          </w:p>
        </w:tc>
      </w:tr>
      <w:tr>
        <w:trPr>
          <w:trHeight w:val="186"/>
        </w:trPr>
        <w:tc>
          <w:tcPr>
            <w:tcW w:w="5440" w:type="dxa"/>
            <w:vAlign w:val="bottom"/>
          </w:tcPr>
          <w:p>
            <w:pPr>
              <w:spacing w:after="0"/>
              <w:rPr>
                <w:sz w:val="20"/>
                <w:szCs w:val="20"/>
                <w:color w:val="auto"/>
              </w:rPr>
            </w:pPr>
            <w:r>
              <w:rPr>
                <w:rFonts w:ascii="Arial" w:cs="Arial" w:eastAsia="Arial" w:hAnsi="Arial"/>
                <w:sz w:val="15"/>
                <w:szCs w:val="15"/>
                <w:color w:val="auto"/>
              </w:rPr>
              <w:t>Expenses: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Compensation and benefits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(808)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(737)</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(22,168)</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(2,663)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(2,712)</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(16,234)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(19,642)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(65,499)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(64,303)</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(16,896)</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(69,223)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(72,785)</w:t>
            </w:r>
          </w:p>
        </w:tc>
        <w:tc>
          <w:tcPr>
            <w:tcW w:w="0" w:type="dxa"/>
            <w:vAlign w:val="bottom"/>
          </w:tcPr>
          <w:p>
            <w:pPr>
              <w:spacing w:after="0"/>
              <w:rPr>
                <w:sz w:val="1"/>
                <w:szCs w:val="1"/>
                <w:color w:val="auto"/>
              </w:rPr>
            </w:pPr>
          </w:p>
        </w:tc>
      </w:tr>
      <w:tr>
        <w:trPr>
          <w:trHeight w:val="199"/>
        </w:trPr>
        <w:tc>
          <w:tcPr>
            <w:tcW w:w="544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(33,863)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(41,936)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(138,193)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(162,705)</w:t>
            </w:r>
          </w:p>
        </w:tc>
        <w:tc>
          <w:tcPr>
            <w:tcW w:w="0" w:type="dxa"/>
            <w:vAlign w:val="bottom"/>
          </w:tcPr>
          <w:p>
            <w:pPr>
              <w:spacing w:after="0"/>
              <w:rPr>
                <w:sz w:val="1"/>
                <w:szCs w:val="1"/>
                <w:color w:val="auto"/>
              </w:rPr>
            </w:pPr>
          </w:p>
        </w:tc>
      </w:tr>
      <w:tr>
        <w:trPr>
          <w:trHeight w:val="206"/>
        </w:trPr>
        <w:tc>
          <w:tcPr>
            <w:tcW w:w="5440" w:type="dxa"/>
            <w:vAlign w:val="bottom"/>
          </w:tcPr>
          <w:p>
            <w:pPr>
              <w:spacing w:after="0"/>
              <w:rPr>
                <w:sz w:val="20"/>
                <w:szCs w:val="20"/>
                <w:color w:val="auto"/>
              </w:rPr>
            </w:pPr>
            <w:r>
              <w:rPr>
                <w:rFonts w:ascii="Arial" w:cs="Arial" w:eastAsia="Arial" w:hAnsi="Arial"/>
                <w:sz w:val="15"/>
                <w:szCs w:val="15"/>
                <w:color w:val="auto"/>
              </w:rPr>
              <w:t>Other income (loss):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Net realized gain on consolidated funds’ investments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31,278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32,533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106,415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35,614</w:t>
            </w:r>
          </w:p>
        </w:tc>
        <w:tc>
          <w:tcPr>
            <w:tcW w:w="0" w:type="dxa"/>
            <w:vAlign w:val="bottom"/>
          </w:tcPr>
          <w:p>
            <w:pPr>
              <w:spacing w:after="0"/>
              <w:rPr>
                <w:sz w:val="1"/>
                <w:szCs w:val="1"/>
                <w:color w:val="auto"/>
              </w:rPr>
            </w:pPr>
          </w:p>
        </w:tc>
      </w:tr>
      <w:tr>
        <w:trPr>
          <w:trHeight w:val="157"/>
        </w:trPr>
        <w:tc>
          <w:tcPr>
            <w:tcW w:w="5440" w:type="dxa"/>
            <w:vAlign w:val="bottom"/>
          </w:tcPr>
          <w:p>
            <w:pPr>
              <w:ind w:left="300"/>
              <w:spacing w:after="0" w:line="157" w:lineRule="exact"/>
              <w:rPr>
                <w:sz w:val="20"/>
                <w:szCs w:val="20"/>
                <w:color w:val="auto"/>
              </w:rPr>
            </w:pPr>
            <w:r>
              <w:rPr>
                <w:rFonts w:ascii="Arial" w:cs="Arial" w:eastAsia="Arial" w:hAnsi="Arial"/>
                <w:sz w:val="15"/>
                <w:szCs w:val="15"/>
                <w:color w:val="auto"/>
              </w:rPr>
              <w:t>Net change in unrealized appreciation (depreciation) on consolidated</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23,383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52,467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(116,961)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147,646</w:t>
            </w:r>
          </w:p>
        </w:tc>
        <w:tc>
          <w:tcPr>
            <w:tcW w:w="0" w:type="dxa"/>
            <w:vAlign w:val="bottom"/>
          </w:tcPr>
          <w:p>
            <w:pPr>
              <w:spacing w:after="0"/>
              <w:rPr>
                <w:sz w:val="1"/>
                <w:szCs w:val="1"/>
                <w:color w:val="auto"/>
              </w:rPr>
            </w:pPr>
          </w:p>
        </w:tc>
      </w:tr>
      <w:tr>
        <w:trPr>
          <w:trHeight w:val="204"/>
        </w:trPr>
        <w:tc>
          <w:tcPr>
            <w:tcW w:w="5440" w:type="dxa"/>
            <w:vAlign w:val="bottom"/>
          </w:tcPr>
          <w:p>
            <w:pPr>
              <w:ind w:left="460"/>
              <w:spacing w:after="0"/>
              <w:rPr>
                <w:sz w:val="20"/>
                <w:szCs w:val="20"/>
                <w:color w:val="auto"/>
              </w:rPr>
            </w:pPr>
            <w:r>
              <w:rPr>
                <w:rFonts w:ascii="Arial" w:cs="Arial" w:eastAsia="Arial" w:hAnsi="Arial"/>
                <w:sz w:val="15"/>
                <w:szCs w:val="15"/>
                <w:color w:val="auto"/>
              </w:rPr>
              <w:t>funds’ investments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620"/>
              <w:spacing w:after="0"/>
              <w:rPr>
                <w:sz w:val="20"/>
                <w:szCs w:val="20"/>
                <w:color w:val="auto"/>
              </w:rPr>
            </w:pPr>
            <w:r>
              <w:rPr>
                <w:rFonts w:ascii="Arial" w:cs="Arial" w:eastAsia="Arial" w:hAnsi="Arial"/>
                <w:sz w:val="15"/>
                <w:szCs w:val="15"/>
                <w:color w:val="auto"/>
              </w:rPr>
              <w:t>Total other income (loss)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54,661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85,000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(10,546)</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183,260</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181,154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183,384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276,102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570,934</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20"/>
                <w:szCs w:val="20"/>
                <w:color w:val="auto"/>
              </w:rPr>
            </w:pPr>
            <w:r>
              <w:rPr>
                <w:rFonts w:ascii="Arial" w:cs="Arial" w:eastAsia="Arial" w:hAnsi="Arial"/>
                <w:sz w:val="15"/>
                <w:szCs w:val="15"/>
                <w:color w:val="auto"/>
              </w:rPr>
              <w:t>Net income</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181,154</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183,384</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276,102</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570,934</w:t>
            </w:r>
          </w:p>
        </w:tc>
        <w:tc>
          <w:tcPr>
            <w:tcW w:w="0" w:type="dxa"/>
            <w:vAlign w:val="bottom"/>
          </w:tcPr>
          <w:p>
            <w:pPr>
              <w:spacing w:after="0"/>
              <w:rPr>
                <w:sz w:val="1"/>
                <w:szCs w:val="1"/>
                <w:color w:val="auto"/>
              </w:rPr>
            </w:pPr>
          </w:p>
        </w:tc>
      </w:tr>
      <w:tr>
        <w:trPr>
          <w:trHeight w:val="206"/>
        </w:trPr>
        <w:tc>
          <w:tcPr>
            <w:tcW w:w="5440" w:type="dxa"/>
            <w:vAlign w:val="bottom"/>
          </w:tcPr>
          <w:p>
            <w:pPr>
              <w:spacing w:after="0"/>
              <w:rPr>
                <w:sz w:val="20"/>
                <w:szCs w:val="20"/>
                <w:color w:val="auto"/>
              </w:rPr>
            </w:pPr>
            <w:r>
              <w:rPr>
                <w:rFonts w:ascii="Arial" w:cs="Arial" w:eastAsia="Arial" w:hAnsi="Arial"/>
                <w:sz w:val="15"/>
                <w:szCs w:val="15"/>
                <w:color w:val="auto"/>
              </w:rPr>
              <w:t>Less: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440" w:type="dxa"/>
            <w:vAlign w:val="bottom"/>
          </w:tcPr>
          <w:p>
            <w:pPr>
              <w:ind w:left="300"/>
              <w:spacing w:after="0" w:line="157" w:lineRule="exact"/>
              <w:rPr>
                <w:sz w:val="20"/>
                <w:szCs w:val="20"/>
                <w:color w:val="auto"/>
              </w:rPr>
            </w:pPr>
            <w:r>
              <w:rPr>
                <w:rFonts w:ascii="Arial" w:cs="Arial" w:eastAsia="Arial" w:hAnsi="Arial"/>
                <w:sz w:val="15"/>
                <w:szCs w:val="15"/>
                <w:color w:val="auto"/>
              </w:rPr>
              <w:t>Net (income) loss attributable to non-controlling interests in consolidated</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(114,644)</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(139,377)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(191,257)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(336,844)</w:t>
            </w:r>
          </w:p>
        </w:tc>
        <w:tc>
          <w:tcPr>
            <w:tcW w:w="0" w:type="dxa"/>
            <w:vAlign w:val="bottom"/>
          </w:tcPr>
          <w:p>
            <w:pPr>
              <w:spacing w:after="0"/>
              <w:rPr>
                <w:sz w:val="1"/>
                <w:szCs w:val="1"/>
                <w:color w:val="auto"/>
              </w:rPr>
            </w:pPr>
          </w:p>
        </w:tc>
      </w:tr>
      <w:tr>
        <w:trPr>
          <w:trHeight w:val="204"/>
        </w:trPr>
        <w:tc>
          <w:tcPr>
            <w:tcW w:w="5440" w:type="dxa"/>
            <w:vAlign w:val="bottom"/>
          </w:tcPr>
          <w:p>
            <w:pPr>
              <w:ind w:left="460"/>
              <w:spacing w:after="0"/>
              <w:rPr>
                <w:sz w:val="20"/>
                <w:szCs w:val="20"/>
                <w:color w:val="auto"/>
              </w:rPr>
            </w:pPr>
            <w:r>
              <w:rPr>
                <w:rFonts w:ascii="Arial" w:cs="Arial" w:eastAsia="Arial" w:hAnsi="Arial"/>
                <w:sz w:val="15"/>
                <w:szCs w:val="15"/>
                <w:color w:val="auto"/>
              </w:rPr>
              <w:t>funds</w:t>
            </w: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440" w:type="dxa"/>
            <w:vAlign w:val="bottom"/>
          </w:tcPr>
          <w:p>
            <w:pPr>
              <w:ind w:left="300"/>
              <w:spacing w:after="0" w:line="157" w:lineRule="exact"/>
              <w:rPr>
                <w:sz w:val="20"/>
                <w:szCs w:val="20"/>
                <w:color w:val="auto"/>
              </w:rPr>
            </w:pPr>
            <w:r>
              <w:rPr>
                <w:rFonts w:ascii="Arial" w:cs="Arial" w:eastAsia="Arial" w:hAnsi="Arial"/>
                <w:sz w:val="15"/>
                <w:szCs w:val="15"/>
                <w:color w:val="auto"/>
              </w:rPr>
              <w:t>Net (income) loss attributable to non-controlling interests in consolidated</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(416)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(1,748)</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(62,081)</w:t>
            </w:r>
          </w:p>
        </w:tc>
        <w:tc>
          <w:tcPr>
            <w:tcW w:w="0" w:type="dxa"/>
            <w:vAlign w:val="bottom"/>
          </w:tcPr>
          <w:p>
            <w:pPr>
              <w:spacing w:after="0"/>
              <w:rPr>
                <w:sz w:val="1"/>
                <w:szCs w:val="1"/>
                <w:color w:val="auto"/>
              </w:rPr>
            </w:pPr>
          </w:p>
        </w:tc>
      </w:tr>
      <w:tr>
        <w:trPr>
          <w:trHeight w:val="204"/>
        </w:trPr>
        <w:tc>
          <w:tcPr>
            <w:tcW w:w="5440" w:type="dxa"/>
            <w:vAlign w:val="bottom"/>
          </w:tcPr>
          <w:p>
            <w:pPr>
              <w:ind w:left="460"/>
              <w:spacing w:after="0"/>
              <w:rPr>
                <w:sz w:val="20"/>
                <w:szCs w:val="20"/>
                <w:color w:val="auto"/>
              </w:rPr>
            </w:pPr>
            <w:r>
              <w:rPr>
                <w:rFonts w:ascii="Arial" w:cs="Arial" w:eastAsia="Arial" w:hAnsi="Arial"/>
                <w:sz w:val="15"/>
                <w:szCs w:val="15"/>
                <w:color w:val="auto"/>
              </w:rPr>
              <w:t>subsidiaries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4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66,533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43,591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83,097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172,009</w:t>
            </w:r>
          </w:p>
        </w:tc>
        <w:tc>
          <w:tcPr>
            <w:tcW w:w="0" w:type="dxa"/>
            <w:vAlign w:val="bottom"/>
          </w:tcPr>
          <w:p>
            <w:pPr>
              <w:spacing w:after="0"/>
              <w:rPr>
                <w:sz w:val="1"/>
                <w:szCs w:val="1"/>
                <w:color w:val="auto"/>
              </w:rPr>
            </w:pPr>
          </w:p>
        </w:tc>
      </w:tr>
      <w:tr>
        <w:trPr>
          <w:trHeight w:val="206"/>
        </w:trPr>
        <w:tc>
          <w:tcPr>
            <w:tcW w:w="544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(20,487)</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(20,487)</w:t>
            </w:r>
          </w:p>
        </w:tc>
        <w:tc>
          <w:tcPr>
            <w:tcW w:w="0" w:type="dxa"/>
            <w:vAlign w:val="bottom"/>
          </w:tcPr>
          <w:p>
            <w:pPr>
              <w:spacing w:after="0"/>
              <w:rPr>
                <w:sz w:val="1"/>
                <w:szCs w:val="1"/>
                <w:color w:val="auto"/>
              </w:rPr>
            </w:pPr>
          </w:p>
        </w:tc>
      </w:tr>
      <w:tr>
        <w:trPr>
          <w:trHeight w:val="137"/>
        </w:trPr>
        <w:tc>
          <w:tcPr>
            <w:tcW w:w="5440" w:type="dxa"/>
            <w:vAlign w:val="bottom"/>
          </w:tcPr>
          <w:p>
            <w:pPr>
              <w:spacing w:after="0" w:line="137" w:lineRule="exact"/>
              <w:rPr>
                <w:sz w:val="20"/>
                <w:szCs w:val="20"/>
                <w:color w:val="auto"/>
              </w:rPr>
            </w:pPr>
            <w:r>
              <w:rPr>
                <w:rFonts w:ascii="Arial" w:cs="Arial" w:eastAsia="Arial" w:hAnsi="Arial"/>
                <w:sz w:val="15"/>
                <w:szCs w:val="15"/>
                <w:color w:val="auto"/>
              </w:rPr>
              <w:t>Net income attributable to Brookfield Oaktree Holdings, LLC Class A</w:t>
            </w: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59,704</w:t>
            </w:r>
          </w:p>
        </w:tc>
        <w:tc>
          <w:tcPr>
            <w:tcW w:w="220" w:type="dxa"/>
            <w:vAlign w:val="bottom"/>
          </w:tcPr>
          <w:p>
            <w:pPr>
              <w:spacing w:after="0"/>
              <w:rPr>
                <w:sz w:val="11"/>
                <w:szCs w:val="11"/>
                <w:color w:val="auto"/>
              </w:rPr>
            </w:pP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36,762</w:t>
            </w:r>
          </w:p>
        </w:tc>
        <w:tc>
          <w:tcPr>
            <w:tcW w:w="200" w:type="dxa"/>
            <w:vAlign w:val="bottom"/>
          </w:tcPr>
          <w:p>
            <w:pPr>
              <w:spacing w:after="0"/>
              <w:rPr>
                <w:sz w:val="11"/>
                <w:szCs w:val="11"/>
                <w:color w:val="auto"/>
              </w:rPr>
            </w:pPr>
          </w:p>
        </w:tc>
        <w:tc>
          <w:tcPr>
            <w:tcW w:w="260" w:type="dxa"/>
            <w:vAlign w:val="bottom"/>
            <w:vMerge w:val="restart"/>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62,610</w:t>
            </w:r>
          </w:p>
        </w:tc>
        <w:tc>
          <w:tcPr>
            <w:tcW w:w="200" w:type="dxa"/>
            <w:vAlign w:val="bottom"/>
          </w:tcPr>
          <w:p>
            <w:pPr>
              <w:spacing w:after="0"/>
              <w:rPr>
                <w:sz w:val="11"/>
                <w:szCs w:val="11"/>
                <w:color w:val="auto"/>
              </w:rPr>
            </w:pP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151,522</w:t>
            </w:r>
          </w:p>
        </w:tc>
        <w:tc>
          <w:tcPr>
            <w:tcW w:w="0" w:type="dxa"/>
            <w:vAlign w:val="bottom"/>
          </w:tcPr>
          <w:p>
            <w:pPr>
              <w:spacing w:after="0"/>
              <w:rPr>
                <w:sz w:val="1"/>
                <w:szCs w:val="1"/>
                <w:color w:val="auto"/>
              </w:rPr>
            </w:pPr>
          </w:p>
        </w:tc>
      </w:tr>
      <w:tr>
        <w:trPr>
          <w:trHeight w:val="185"/>
        </w:trPr>
        <w:tc>
          <w:tcPr>
            <w:tcW w:w="5440" w:type="dxa"/>
            <w:vAlign w:val="bottom"/>
          </w:tcPr>
          <w:p>
            <w:pPr>
              <w:ind w:left="160"/>
              <w:spacing w:after="0"/>
              <w:rPr>
                <w:sz w:val="20"/>
                <w:szCs w:val="20"/>
                <w:color w:val="auto"/>
              </w:rPr>
            </w:pPr>
            <w:r>
              <w:rPr>
                <w:rFonts w:ascii="Arial" w:cs="Arial" w:eastAsia="Arial" w:hAnsi="Arial"/>
                <w:sz w:val="15"/>
                <w:szCs w:val="15"/>
                <w:color w:val="auto"/>
              </w:rPr>
              <w:t>unitholders</w:t>
            </w:r>
          </w:p>
        </w:tc>
        <w:tc>
          <w:tcPr>
            <w:tcW w:w="2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440" w:type="dxa"/>
            <w:vAlign w:val="bottom"/>
          </w:tcPr>
          <w:p>
            <w:pPr>
              <w:spacing w:after="0"/>
              <w:rPr>
                <w:sz w:val="20"/>
                <w:szCs w:val="20"/>
                <w:color w:val="auto"/>
              </w:rPr>
            </w:pPr>
            <w:r>
              <w:rPr>
                <w:rFonts w:ascii="Arial" w:cs="Arial" w:eastAsia="Arial" w:hAnsi="Arial"/>
                <w:sz w:val="15"/>
                <w:szCs w:val="15"/>
                <w:color w:val="auto"/>
              </w:rPr>
              <w:t>Distributions declared per Class A unit</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0.28</w:t>
            </w: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0.65</w:t>
            </w:r>
          </w:p>
        </w:tc>
        <w:tc>
          <w:tcPr>
            <w:tcW w:w="200" w:type="dxa"/>
            <w:vAlign w:val="bottom"/>
          </w:tcPr>
          <w:p>
            <w:pPr>
              <w:spacing w:after="0"/>
              <w:rPr>
                <w:sz w:val="24"/>
                <w:szCs w:val="24"/>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1.86</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5"/>
                <w:szCs w:val="15"/>
                <w:color w:val="auto"/>
              </w:rPr>
              <w:t>Net income per Class A unit (basic and diluted):</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40" w:type="dxa"/>
            <w:vAlign w:val="bottom"/>
            <w:vMerge w:val="continue"/>
          </w:tcPr>
          <w:p>
            <w:pPr>
              <w:spacing w:after="0"/>
              <w:rPr>
                <w:sz w:val="14"/>
                <w:szCs w:val="14"/>
                <w:color w:val="auto"/>
              </w:rPr>
            </w:pP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0.50</w:t>
            </w:r>
          </w:p>
        </w:tc>
        <w:tc>
          <w:tcPr>
            <w:tcW w:w="220" w:type="dxa"/>
            <w:vAlign w:val="bottom"/>
          </w:tcPr>
          <w:p>
            <w:pPr>
              <w:spacing w:after="0"/>
              <w:rPr>
                <w:sz w:val="14"/>
                <w:szCs w:val="14"/>
                <w:color w:val="auto"/>
              </w:rPr>
            </w:pP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0.33</w:t>
            </w:r>
          </w:p>
        </w:tc>
        <w:tc>
          <w:tcPr>
            <w:tcW w:w="200" w:type="dxa"/>
            <w:vAlign w:val="bottom"/>
          </w:tcPr>
          <w:p>
            <w:pPr>
              <w:spacing w:after="0"/>
              <w:rPr>
                <w:sz w:val="14"/>
                <w:szCs w:val="14"/>
                <w:color w:val="auto"/>
              </w:rPr>
            </w:pPr>
          </w:p>
        </w:tc>
        <w:tc>
          <w:tcPr>
            <w:tcW w:w="260" w:type="dxa"/>
            <w:vAlign w:val="bottom"/>
            <w:vMerge w:val="restart"/>
          </w:tcPr>
          <w:p>
            <w:pPr>
              <w:jc w:val="right"/>
              <w:ind w:right="63"/>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0.53</w:t>
            </w:r>
          </w:p>
        </w:tc>
        <w:tc>
          <w:tcPr>
            <w:tcW w:w="200" w:type="dxa"/>
            <w:vAlign w:val="bottom"/>
          </w:tcPr>
          <w:p>
            <w:pPr>
              <w:spacing w:after="0"/>
              <w:rPr>
                <w:sz w:val="14"/>
                <w:szCs w:val="14"/>
                <w:color w:val="auto"/>
              </w:rPr>
            </w:pP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13"/>
        </w:trPr>
        <w:tc>
          <w:tcPr>
            <w:tcW w:w="5440" w:type="dxa"/>
            <w:vAlign w:val="bottom"/>
          </w:tcPr>
          <w:p>
            <w:pPr>
              <w:ind w:left="300"/>
              <w:spacing w:after="0"/>
              <w:rPr>
                <w:sz w:val="20"/>
                <w:szCs w:val="20"/>
                <w:color w:val="auto"/>
              </w:rPr>
            </w:pPr>
            <w:r>
              <w:rPr>
                <w:rFonts w:ascii="Arial" w:cs="Arial" w:eastAsia="Arial" w:hAnsi="Arial"/>
                <w:sz w:val="15"/>
                <w:szCs w:val="15"/>
                <w:color w:val="auto"/>
              </w:rPr>
              <w:t>Net income per Class A unit</w:t>
            </w:r>
          </w:p>
        </w:tc>
        <w:tc>
          <w:tcPr>
            <w:tcW w:w="2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40" w:type="dxa"/>
            <w:vAlign w:val="bottom"/>
          </w:tcPr>
          <w:p>
            <w:pPr>
              <w:ind w:left="300"/>
              <w:spacing w:after="0"/>
              <w:rPr>
                <w:sz w:val="20"/>
                <w:szCs w:val="20"/>
                <w:color w:val="auto"/>
              </w:rPr>
            </w:pPr>
            <w:r>
              <w:rPr>
                <w:rFonts w:ascii="Arial" w:cs="Arial" w:eastAsia="Arial" w:hAnsi="Arial"/>
                <w:sz w:val="15"/>
                <w:szCs w:val="15"/>
                <w:color w:val="auto"/>
              </w:rPr>
              <w:t>Weighted average number of Class A units outstanding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118,832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112,694</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117,968</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110,091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 September 30,</w:t>
            </w:r>
          </w:p>
        </w:tc>
        <w:tc>
          <w:tcPr>
            <w:tcW w:w="260" w:type="dxa"/>
            <w:vAlign w:val="bottom"/>
          </w:tcPr>
          <w:p>
            <w:pPr>
              <w:spacing w:after="0"/>
              <w:rPr>
                <w:sz w:val="14"/>
                <w:szCs w:val="14"/>
                <w:color w:val="auto"/>
              </w:rPr>
            </w:pPr>
          </w:p>
        </w:tc>
        <w:tc>
          <w:tcPr>
            <w:tcW w:w="2500" w:type="dxa"/>
            <w:vAlign w:val="bottom"/>
            <w:gridSpan w:val="4"/>
          </w:tcPr>
          <w:p>
            <w:pPr>
              <w:jc w:val="right"/>
              <w:ind w:right="304"/>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433"/>
        </w:trPr>
        <w:tc>
          <w:tcPr>
            <w:tcW w:w="5400" w:type="dxa"/>
            <w:vAlign w:val="bottom"/>
          </w:tcPr>
          <w:p>
            <w:pPr>
              <w:spacing w:after="0"/>
              <w:rPr>
                <w:sz w:val="20"/>
                <w:szCs w:val="20"/>
                <w:color w:val="auto"/>
              </w:rPr>
            </w:pPr>
            <w:r>
              <w:rPr>
                <w:rFonts w:ascii="Arial" w:cs="Arial" w:eastAsia="Arial" w:hAnsi="Arial"/>
                <w:sz w:val="15"/>
                <w:szCs w:val="15"/>
                <w:color w:val="auto"/>
              </w:rPr>
              <w:t>Net income</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181,154</w:t>
            </w: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183,384</w:t>
            </w:r>
          </w:p>
        </w:tc>
        <w:tc>
          <w:tcPr>
            <w:tcW w:w="200" w:type="dxa"/>
            <w:vAlign w:val="bottom"/>
          </w:tcPr>
          <w:p>
            <w:pPr>
              <w:spacing w:after="0"/>
              <w:rPr>
                <w:sz w:val="24"/>
                <w:szCs w:val="24"/>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276,102</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570,934</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20"/>
                <w:szCs w:val="20"/>
                <w:color w:val="auto"/>
              </w:rPr>
            </w:pPr>
            <w:r>
              <w:rPr>
                <w:rFonts w:ascii="Arial" w:cs="Arial" w:eastAsia="Arial" w:hAnsi="Arial"/>
                <w:sz w:val="15"/>
                <w:szCs w:val="15"/>
                <w:color w:val="auto"/>
              </w:rPr>
              <w:t>Other comprehensive loss, net of tax:</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300"/>
              <w:spacing w:after="0"/>
              <w:rPr>
                <w:sz w:val="20"/>
                <w:szCs w:val="20"/>
                <w:color w:val="auto"/>
              </w:rPr>
            </w:pPr>
            <w:r>
              <w:rPr>
                <w:rFonts w:ascii="Arial" w:cs="Arial" w:eastAsia="Arial" w:hAnsi="Arial"/>
                <w:sz w:val="15"/>
                <w:szCs w:val="15"/>
                <w:color w:val="auto"/>
              </w:rPr>
              <w:t>Foreign currency translation adjustments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(1,501)</w:t>
            </w:r>
          </w:p>
        </w:tc>
        <w:tc>
          <w:tcPr>
            <w:tcW w:w="0" w:type="dxa"/>
            <w:vAlign w:val="bottom"/>
          </w:tcPr>
          <w:p>
            <w:pPr>
              <w:spacing w:after="0"/>
              <w:rPr>
                <w:sz w:val="1"/>
                <w:szCs w:val="1"/>
                <w:color w:val="auto"/>
              </w:rPr>
            </w:pPr>
          </w:p>
        </w:tc>
      </w:tr>
      <w:tr>
        <w:trPr>
          <w:trHeight w:val="199"/>
        </w:trPr>
        <w:tc>
          <w:tcPr>
            <w:tcW w:w="5400" w:type="dxa"/>
            <w:vAlign w:val="bottom"/>
          </w:tcPr>
          <w:p>
            <w:pPr>
              <w:ind w:left="620"/>
              <w:spacing w:after="0"/>
              <w:rPr>
                <w:sz w:val="20"/>
                <w:szCs w:val="20"/>
                <w:color w:val="auto"/>
              </w:rPr>
            </w:pPr>
            <w:r>
              <w:rPr>
                <w:rFonts w:ascii="Arial" w:cs="Arial" w:eastAsia="Arial" w:hAnsi="Arial"/>
                <w:sz w:val="15"/>
                <w:szCs w:val="15"/>
                <w:color w:val="auto"/>
              </w:rPr>
              <w:t>Other comprehensive loss, net of tax</w:t>
            </w:r>
          </w:p>
        </w:tc>
        <w:tc>
          <w:tcPr>
            <w:tcW w:w="2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(1,501)</w:t>
            </w:r>
          </w:p>
        </w:tc>
        <w:tc>
          <w:tcPr>
            <w:tcW w:w="0" w:type="dxa"/>
            <w:vAlign w:val="bottom"/>
          </w:tcPr>
          <w:p>
            <w:pPr>
              <w:spacing w:after="0"/>
              <w:rPr>
                <w:sz w:val="1"/>
                <w:szCs w:val="1"/>
                <w:color w:val="auto"/>
              </w:rPr>
            </w:pPr>
          </w:p>
        </w:tc>
      </w:tr>
      <w:tr>
        <w:trPr>
          <w:trHeight w:val="199"/>
        </w:trPr>
        <w:tc>
          <w:tcPr>
            <w:tcW w:w="5400" w:type="dxa"/>
            <w:vAlign w:val="bottom"/>
          </w:tcPr>
          <w:p>
            <w:pPr>
              <w:spacing w:after="0"/>
              <w:rPr>
                <w:sz w:val="20"/>
                <w:szCs w:val="20"/>
                <w:color w:val="auto"/>
              </w:rPr>
            </w:pPr>
            <w:r>
              <w:rPr>
                <w:rFonts w:ascii="Arial" w:cs="Arial" w:eastAsia="Arial" w:hAnsi="Arial"/>
                <w:sz w:val="15"/>
                <w:szCs w:val="15"/>
                <w:color w:val="auto"/>
              </w:rPr>
              <w:t>Total comprehensive income</w:t>
            </w: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181,154</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183,384</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276,102</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569,433</w:t>
            </w:r>
          </w:p>
        </w:tc>
        <w:tc>
          <w:tcPr>
            <w:tcW w:w="0" w:type="dxa"/>
            <w:vAlign w:val="bottom"/>
          </w:tcPr>
          <w:p>
            <w:pPr>
              <w:spacing w:after="0"/>
              <w:rPr>
                <w:sz w:val="1"/>
                <w:szCs w:val="1"/>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300"/>
              <w:spacing w:after="0" w:line="157" w:lineRule="exact"/>
              <w:rPr>
                <w:sz w:val="20"/>
                <w:szCs w:val="20"/>
                <w:color w:val="auto"/>
              </w:rPr>
            </w:pPr>
            <w:r>
              <w:rPr>
                <w:rFonts w:ascii="Arial" w:cs="Arial" w:eastAsia="Arial" w:hAnsi="Arial"/>
                <w:sz w:val="15"/>
                <w:szCs w:val="15"/>
                <w:color w:val="auto"/>
              </w:rPr>
              <w:t>Comprehensive income attributable to non-controlling interests in</w:t>
            </w:r>
          </w:p>
        </w:tc>
        <w:tc>
          <w:tcPr>
            <w:tcW w:w="2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(114,644)</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(139,377)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(191,257)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(336,844)</w:t>
            </w:r>
          </w:p>
        </w:tc>
        <w:tc>
          <w:tcPr>
            <w:tcW w:w="0" w:type="dxa"/>
            <w:vAlign w:val="bottom"/>
          </w:tcPr>
          <w:p>
            <w:pPr>
              <w:spacing w:after="0"/>
              <w:rPr>
                <w:sz w:val="1"/>
                <w:szCs w:val="1"/>
                <w:color w:val="auto"/>
              </w:rPr>
            </w:pPr>
          </w:p>
        </w:tc>
      </w:tr>
      <w:tr>
        <w:trPr>
          <w:trHeight w:val="204"/>
        </w:trPr>
        <w:tc>
          <w:tcPr>
            <w:tcW w:w="5400" w:type="dxa"/>
            <w:vAlign w:val="bottom"/>
          </w:tcPr>
          <w:p>
            <w:pPr>
              <w:ind w:left="460"/>
              <w:spacing w:after="0"/>
              <w:rPr>
                <w:sz w:val="20"/>
                <w:szCs w:val="20"/>
                <w:color w:val="auto"/>
              </w:rPr>
            </w:pPr>
            <w:r>
              <w:rPr>
                <w:rFonts w:ascii="Arial" w:cs="Arial" w:eastAsia="Arial" w:hAnsi="Arial"/>
                <w:sz w:val="15"/>
                <w:szCs w:val="15"/>
                <w:color w:val="auto"/>
              </w:rPr>
              <w:t>consolidated funds</w:t>
            </w: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300"/>
              <w:spacing w:after="0" w:line="157" w:lineRule="exact"/>
              <w:rPr>
                <w:sz w:val="20"/>
                <w:szCs w:val="20"/>
                <w:color w:val="auto"/>
              </w:rPr>
            </w:pPr>
            <w:r>
              <w:rPr>
                <w:rFonts w:ascii="Arial" w:cs="Arial" w:eastAsia="Arial" w:hAnsi="Arial"/>
                <w:sz w:val="15"/>
                <w:szCs w:val="15"/>
                <w:color w:val="auto"/>
              </w:rPr>
              <w:t>Comprehensive (income) loss attributable to non-controlling interests in</w:t>
            </w:r>
          </w:p>
        </w:tc>
        <w:tc>
          <w:tcPr>
            <w:tcW w:w="2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(416)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(1,748)</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(61,606)</w:t>
            </w:r>
          </w:p>
        </w:tc>
        <w:tc>
          <w:tcPr>
            <w:tcW w:w="0" w:type="dxa"/>
            <w:vAlign w:val="bottom"/>
          </w:tcPr>
          <w:p>
            <w:pPr>
              <w:spacing w:after="0"/>
              <w:rPr>
                <w:sz w:val="1"/>
                <w:szCs w:val="1"/>
                <w:color w:val="auto"/>
              </w:rPr>
            </w:pPr>
          </w:p>
        </w:tc>
      </w:tr>
      <w:tr>
        <w:trPr>
          <w:trHeight w:val="204"/>
        </w:trPr>
        <w:tc>
          <w:tcPr>
            <w:tcW w:w="5400" w:type="dxa"/>
            <w:vAlign w:val="bottom"/>
          </w:tcPr>
          <w:p>
            <w:pPr>
              <w:ind w:left="460"/>
              <w:spacing w:after="0"/>
              <w:rPr>
                <w:sz w:val="20"/>
                <w:szCs w:val="20"/>
                <w:color w:val="auto"/>
              </w:rPr>
            </w:pPr>
            <w:r>
              <w:rPr>
                <w:rFonts w:ascii="Arial" w:cs="Arial" w:eastAsia="Arial" w:hAnsi="Arial"/>
                <w:sz w:val="15"/>
                <w:szCs w:val="15"/>
                <w:color w:val="auto"/>
              </w:rPr>
              <w:t>consolidated subsidiaries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00" w:type="dxa"/>
            <w:vAlign w:val="bottom"/>
          </w:tcPr>
          <w:p>
            <w:pPr>
              <w:spacing w:after="0"/>
              <w:rPr>
                <w:sz w:val="20"/>
                <w:szCs w:val="20"/>
                <w:color w:val="auto"/>
              </w:rPr>
            </w:pPr>
            <w:r>
              <w:rPr>
                <w:rFonts w:ascii="Arial" w:cs="Arial" w:eastAsia="Arial" w:hAnsi="Arial"/>
                <w:sz w:val="15"/>
                <w:szCs w:val="15"/>
                <w:color w:val="auto"/>
              </w:rPr>
              <w:t>Comprehensive income attributable to BOH</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66,533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43,591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83,097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170,983</w:t>
            </w:r>
          </w:p>
        </w:tc>
        <w:tc>
          <w:tcPr>
            <w:tcW w:w="0" w:type="dxa"/>
            <w:vAlign w:val="bottom"/>
          </w:tcPr>
          <w:p>
            <w:pPr>
              <w:spacing w:after="0"/>
              <w:rPr>
                <w:sz w:val="1"/>
                <w:szCs w:val="1"/>
                <w:color w:val="auto"/>
              </w:rPr>
            </w:pPr>
          </w:p>
        </w:tc>
      </w:tr>
      <w:tr>
        <w:trPr>
          <w:trHeight w:val="207"/>
        </w:trPr>
        <w:tc>
          <w:tcPr>
            <w:tcW w:w="5400" w:type="dxa"/>
            <w:vAlign w:val="bottom"/>
          </w:tcPr>
          <w:p>
            <w:pPr>
              <w:ind w:left="300"/>
              <w:spacing w:after="0"/>
              <w:rPr>
                <w:sz w:val="20"/>
                <w:szCs w:val="20"/>
                <w:color w:val="auto"/>
              </w:rPr>
            </w:pPr>
            <w:r>
              <w:rPr>
                <w:rFonts w:ascii="Arial" w:cs="Arial" w:eastAsia="Arial" w:hAnsi="Arial"/>
                <w:sz w:val="15"/>
                <w:szCs w:val="15"/>
                <w:color w:val="auto"/>
              </w:rPr>
              <w:t>Comprehensive income attributable to preferred unitholders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(20,487)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(20,487)</w:t>
            </w:r>
          </w:p>
        </w:tc>
        <w:tc>
          <w:tcPr>
            <w:tcW w:w="0" w:type="dxa"/>
            <w:vAlign w:val="bottom"/>
          </w:tcPr>
          <w:p>
            <w:pPr>
              <w:spacing w:after="0"/>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5"/>
                <w:szCs w:val="15"/>
                <w:color w:val="auto"/>
              </w:rPr>
              <w:t>Comprehensive income attributable to BOH Class A unitholders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59,704</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36,762</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62,610</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150,496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condensed consolidated financial statements.</w:t>
      </w:r>
    </w:p>
    <w:p>
      <w:pPr>
        <w:sectPr>
          <w:pgSz w:w="11900" w:h="16838" w:orient="portrait"/>
          <w:cols w:equalWidth="0" w:num="1">
            <w:col w:w="11220"/>
          </w:cols>
          <w:pgMar w:left="340" w:top="856"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2"/>
                <w:szCs w:val="12"/>
                <w:b w:val="1"/>
                <w:bCs w:val="1"/>
                <w:color w:val="auto"/>
              </w:rPr>
              <w:t>Nine months ended September 30,</w:t>
            </w:r>
          </w:p>
        </w:tc>
      </w:tr>
      <w:tr>
        <w:trPr>
          <w:trHeight w:val="183"/>
        </w:trPr>
        <w:tc>
          <w:tcPr>
            <w:tcW w:w="8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2"/>
                <w:szCs w:val="12"/>
                <w:b w:val="1"/>
                <w:bCs w:val="1"/>
                <w:color w:val="auto"/>
              </w:rPr>
              <w:t>2024</w:t>
            </w: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Cash flows from operating activities: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276,102</w:t>
            </w:r>
          </w:p>
        </w:tc>
        <w:tc>
          <w:tcPr>
            <w:tcW w:w="2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570,934</w:t>
            </w: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color w:val="auto"/>
              </w:rPr>
              <w:t>Adjustments to reconcile net income (loss) to net cash used in operating activities: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Investment income</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(43,106)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(60,033)</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Net realized and unrealized (gain) loss from consolidated funds’ investments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10,546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(183,260)</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Accretion of original issue and market discount of consolidated funds’ investments, net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(43,869)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(52,021)</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Income distributions from corporate investments in funds and companies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171,867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68,390</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Other non-cash items</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3,450</w:t>
            </w: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color w:val="auto"/>
              </w:rPr>
              <w:t>Cash flows due to changes in operating assets and liabilities: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Increase in other assets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(14,798)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(5,820)</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(Increase) decrease in net due from affiliates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209,317</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Decrease in accrued compensation expense</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(91,953)</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Decrease in accounts payable, accrued expenses and other liabilities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(465)</w:t>
            </w: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i w:val="1"/>
                <w:iCs w:val="1"/>
                <w:color w:val="auto"/>
              </w:rPr>
              <w:t>Cash flows due to changes in operating assets and liabilities of consolidated funds: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Decrease (increase) in dividends and interest receivable</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11,051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(8,723)</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Decrease (increase) in receivables for investments sold</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(1,406)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30,707</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Decrease in other assets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10,938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42,660</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(Decrease) increase in accounts payable, accrued expenses and other liabilities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11,380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(31,739)</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(Decrease) increase in payables for investments purchased</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(23,791)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118,789</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Purchases of investments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(1,779,534)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(3,134,754)</w:t>
            </w:r>
          </w:p>
        </w:tc>
      </w:tr>
      <w:tr>
        <w:trPr>
          <w:trHeight w:val="206"/>
        </w:trPr>
        <w:tc>
          <w:tcPr>
            <w:tcW w:w="8440" w:type="dxa"/>
            <w:vAlign w:val="bottom"/>
          </w:tcPr>
          <w:p>
            <w:pPr>
              <w:ind w:left="620"/>
              <w:spacing w:after="0"/>
              <w:rPr>
                <w:sz w:val="20"/>
                <w:szCs w:val="20"/>
                <w:color w:val="auto"/>
              </w:rPr>
            </w:pPr>
            <w:r>
              <w:rPr>
                <w:rFonts w:ascii="Arial" w:cs="Arial" w:eastAsia="Arial" w:hAnsi="Arial"/>
                <w:sz w:val="15"/>
                <w:szCs w:val="15"/>
                <w:color w:val="auto"/>
              </w:rPr>
              <w:t>Proceeds from maturities and sales of investments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1,959,168</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2,015,917</w:t>
            </w:r>
          </w:p>
        </w:tc>
      </w:tr>
      <w:tr>
        <w:trPr>
          <w:trHeight w:val="199"/>
        </w:trPr>
        <w:tc>
          <w:tcPr>
            <w:tcW w:w="8440" w:type="dxa"/>
            <w:vAlign w:val="bottom"/>
          </w:tcPr>
          <w:p>
            <w:pPr>
              <w:ind w:left="620"/>
              <w:spacing w:after="0"/>
              <w:rPr>
                <w:sz w:val="20"/>
                <w:szCs w:val="20"/>
                <w:color w:val="auto"/>
              </w:rPr>
            </w:pPr>
            <w:r>
              <w:rPr>
                <w:rFonts w:ascii="Arial" w:cs="Arial" w:eastAsia="Arial" w:hAnsi="Arial"/>
                <w:sz w:val="15"/>
                <w:szCs w:val="15"/>
                <w:color w:val="auto"/>
              </w:rPr>
              <w:t>Net cash provided (used) in operating activities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543,663</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(508,604)</w:t>
            </w:r>
          </w:p>
        </w:tc>
      </w:tr>
      <w:tr>
        <w:trPr>
          <w:trHeight w:val="186"/>
        </w:trPr>
        <w:tc>
          <w:tcPr>
            <w:tcW w:w="844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color w:val="auto"/>
              </w:rPr>
              <w:t>Purchases of U.S. Treasury and other securities</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(250,000)</w:t>
            </w: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color w:val="auto"/>
              </w:rPr>
              <w:t>Proceeds from maturities and sales of U.S. Treasury and other securities</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80,000</w:t>
            </w: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color w:val="auto"/>
              </w:rPr>
              <w:t>Corporate investments in funds and companies</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(36,756)</w:t>
            </w:r>
          </w:p>
        </w:tc>
      </w:tr>
      <w:tr>
        <w:trPr>
          <w:trHeight w:val="206"/>
        </w:trPr>
        <w:tc>
          <w:tcPr>
            <w:tcW w:w="8440" w:type="dxa"/>
            <w:vAlign w:val="bottom"/>
          </w:tcPr>
          <w:p>
            <w:pPr>
              <w:ind w:left="300"/>
              <w:spacing w:after="0"/>
              <w:rPr>
                <w:sz w:val="20"/>
                <w:szCs w:val="20"/>
                <w:color w:val="auto"/>
              </w:rPr>
            </w:pPr>
            <w:r>
              <w:rPr>
                <w:rFonts w:ascii="Arial" w:cs="Arial" w:eastAsia="Arial" w:hAnsi="Arial"/>
                <w:sz w:val="15"/>
                <w:szCs w:val="15"/>
                <w:color w:val="auto"/>
              </w:rPr>
              <w:t>Distributions and proceeds from corporate investments in funds and companies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65,081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162,490</w:t>
            </w:r>
          </w:p>
        </w:tc>
      </w:tr>
      <w:tr>
        <w:trPr>
          <w:trHeight w:val="200"/>
        </w:trPr>
        <w:tc>
          <w:tcPr>
            <w:tcW w:w="8440" w:type="dxa"/>
            <w:vAlign w:val="bottom"/>
          </w:tcPr>
          <w:p>
            <w:pPr>
              <w:ind w:left="620"/>
              <w:spacing w:after="0"/>
              <w:rPr>
                <w:sz w:val="20"/>
                <w:szCs w:val="20"/>
                <w:color w:val="auto"/>
              </w:rPr>
            </w:pPr>
            <w:r>
              <w:rPr>
                <w:rFonts w:ascii="Arial" w:cs="Arial" w:eastAsia="Arial" w:hAnsi="Arial"/>
                <w:sz w:val="15"/>
                <w:szCs w:val="15"/>
                <w:color w:val="auto"/>
              </w:rPr>
              <w:t>Net cash provided (used) by investing activities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65,081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(44,266)</w:t>
            </w:r>
          </w:p>
        </w:tc>
      </w:tr>
    </w:tbl>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Cash Flows (Unaudited)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87"/>
        </w:trPr>
        <w:tc>
          <w:tcPr>
            <w:tcW w:w="8440" w:type="dxa"/>
            <w:vAlign w:val="bottom"/>
            <w:gridSpan w:val="2"/>
          </w:tcPr>
          <w:p>
            <w:pPr>
              <w:spacing w:after="0"/>
              <w:rPr>
                <w:sz w:val="20"/>
                <w:szCs w:val="20"/>
                <w:color w:val="auto"/>
              </w:rPr>
            </w:pPr>
            <w:r>
              <w:rPr>
                <w:rFonts w:ascii="Arial" w:cs="Arial" w:eastAsia="Arial" w:hAnsi="Arial"/>
                <w:sz w:val="15"/>
                <w:szCs w:val="15"/>
                <w:color w:val="auto"/>
              </w:rPr>
              <w:t>Cash flows from financing activities: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Capital contributions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119,433</w:t>
            </w:r>
          </w:p>
        </w:tc>
        <w:tc>
          <w:tcPr>
            <w:tcW w:w="22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37,229</w:t>
            </w: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Distributions to Class A unitholders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(408,324)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(211,591)</w:t>
            </w: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Distributions to OCGH unitholders</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(82,212)</w:t>
            </w: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Distributions to preferred unitholders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(20,487)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(20,487)</w:t>
            </w:r>
          </w:p>
        </w:tc>
        <w:tc>
          <w:tcPr>
            <w:tcW w:w="0" w:type="dxa"/>
            <w:vAlign w:val="bottom"/>
          </w:tcPr>
          <w:p>
            <w:pPr>
              <w:spacing w:after="0"/>
              <w:rPr>
                <w:sz w:val="1"/>
                <w:szCs w:val="1"/>
                <w:color w:val="auto"/>
              </w:rPr>
            </w:pPr>
          </w:p>
        </w:tc>
      </w:tr>
      <w:tr>
        <w:trPr>
          <w:trHeight w:val="206"/>
        </w:trPr>
        <w:tc>
          <w:tcPr>
            <w:tcW w:w="8440" w:type="dxa"/>
            <w:vAlign w:val="bottom"/>
            <w:gridSpan w:val="2"/>
          </w:tcPr>
          <w:p>
            <w:pPr>
              <w:ind w:left="160"/>
              <w:spacing w:after="0"/>
              <w:rPr>
                <w:sz w:val="20"/>
                <w:szCs w:val="20"/>
                <w:color w:val="auto"/>
              </w:rPr>
            </w:pPr>
            <w:r>
              <w:rPr>
                <w:rFonts w:ascii="Arial" w:cs="Arial" w:eastAsia="Arial" w:hAnsi="Arial"/>
                <w:sz w:val="15"/>
                <w:szCs w:val="15"/>
                <w:i w:val="1"/>
                <w:iCs w:val="1"/>
                <w:color w:val="auto"/>
              </w:rPr>
              <w:t>Cash flows from financing activities of consolidated funds: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Contributions from non-controlling interests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633,232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271,806</w:t>
            </w: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Distributions to non-controlling interests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(789,826)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(399,650)</w:t>
            </w: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Payment of debt issuance costs</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(3,378)</w:t>
            </w: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Borrowings on credit facilities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963,095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2,187,422</w:t>
            </w:r>
          </w:p>
        </w:tc>
        <w:tc>
          <w:tcPr>
            <w:tcW w:w="0" w:type="dxa"/>
            <w:vAlign w:val="bottom"/>
          </w:tcPr>
          <w:p>
            <w:pPr>
              <w:spacing w:after="0"/>
              <w:rPr>
                <w:sz w:val="1"/>
                <w:szCs w:val="1"/>
                <w:color w:val="auto"/>
              </w:rPr>
            </w:pPr>
          </w:p>
        </w:tc>
      </w:tr>
      <w:tr>
        <w:trPr>
          <w:trHeight w:val="206"/>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Repayments on credit facilities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(1,265,278)</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(907,670)</w:t>
            </w:r>
          </w:p>
        </w:tc>
        <w:tc>
          <w:tcPr>
            <w:tcW w:w="0" w:type="dxa"/>
            <w:vAlign w:val="bottom"/>
          </w:tcPr>
          <w:p>
            <w:pPr>
              <w:spacing w:after="0"/>
              <w:rPr>
                <w:sz w:val="1"/>
                <w:szCs w:val="1"/>
                <w:color w:val="auto"/>
              </w:rPr>
            </w:pPr>
          </w:p>
        </w:tc>
      </w:tr>
      <w:tr>
        <w:trPr>
          <w:trHeight w:val="199"/>
        </w:trPr>
        <w:tc>
          <w:tcPr>
            <w:tcW w:w="8440" w:type="dxa"/>
            <w:vAlign w:val="bottom"/>
            <w:gridSpan w:val="2"/>
          </w:tcPr>
          <w:p>
            <w:pPr>
              <w:ind w:left="620"/>
              <w:spacing w:after="0"/>
              <w:rPr>
                <w:sz w:val="20"/>
                <w:szCs w:val="20"/>
                <w:color w:val="auto"/>
              </w:rPr>
            </w:pPr>
            <w:r>
              <w:rPr>
                <w:rFonts w:ascii="Arial" w:cs="Arial" w:eastAsia="Arial" w:hAnsi="Arial"/>
                <w:sz w:val="15"/>
                <w:szCs w:val="15"/>
                <w:color w:val="auto"/>
              </w:rPr>
              <w:t>Net cash (used) provided by financing activities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(768,155)</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871,469</w:t>
            </w:r>
          </w:p>
        </w:tc>
        <w:tc>
          <w:tcPr>
            <w:tcW w:w="0" w:type="dxa"/>
            <w:vAlign w:val="bottom"/>
          </w:tcPr>
          <w:p>
            <w:pPr>
              <w:spacing w:after="0"/>
              <w:rPr>
                <w:sz w:val="1"/>
                <w:szCs w:val="1"/>
                <w:color w:val="auto"/>
              </w:rPr>
            </w:pPr>
          </w:p>
        </w:tc>
      </w:tr>
      <w:tr>
        <w:trPr>
          <w:trHeight w:val="199"/>
        </w:trPr>
        <w:tc>
          <w:tcPr>
            <w:tcW w:w="8440" w:type="dxa"/>
            <w:vAlign w:val="bottom"/>
            <w:gridSpan w:val="2"/>
          </w:tcPr>
          <w:p>
            <w:pPr>
              <w:spacing w:after="0"/>
              <w:rPr>
                <w:sz w:val="20"/>
                <w:szCs w:val="20"/>
                <w:color w:val="auto"/>
              </w:rPr>
            </w:pPr>
            <w:r>
              <w:rPr>
                <w:rFonts w:ascii="Arial" w:cs="Arial" w:eastAsia="Arial" w:hAnsi="Arial"/>
                <w:sz w:val="15"/>
                <w:szCs w:val="15"/>
                <w:color w:val="auto"/>
              </w:rPr>
              <w:t>Effect of exchange rate changes on cash</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(8,830)</w:t>
            </w:r>
          </w:p>
        </w:tc>
        <w:tc>
          <w:tcPr>
            <w:tcW w:w="0" w:type="dxa"/>
            <w:vAlign w:val="bottom"/>
          </w:tcPr>
          <w:p>
            <w:pPr>
              <w:spacing w:after="0"/>
              <w:rPr>
                <w:sz w:val="1"/>
                <w:szCs w:val="1"/>
                <w:color w:val="auto"/>
              </w:rPr>
            </w:pPr>
          </w:p>
        </w:tc>
      </w:tr>
      <w:tr>
        <w:trPr>
          <w:trHeight w:val="199"/>
        </w:trPr>
        <w:tc>
          <w:tcPr>
            <w:tcW w:w="8440" w:type="dxa"/>
            <w:vAlign w:val="bottom"/>
            <w:gridSpan w:val="2"/>
          </w:tcPr>
          <w:p>
            <w:pPr>
              <w:spacing w:after="0"/>
              <w:rPr>
                <w:sz w:val="20"/>
                <w:szCs w:val="20"/>
                <w:color w:val="auto"/>
              </w:rPr>
            </w:pPr>
            <w:r>
              <w:rPr>
                <w:rFonts w:ascii="Arial" w:cs="Arial" w:eastAsia="Arial" w:hAnsi="Arial"/>
                <w:sz w:val="15"/>
                <w:szCs w:val="15"/>
                <w:color w:val="auto"/>
              </w:rPr>
              <w:t>Net increase (decrease) in cash and cash-equivalents</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(159,479)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309,769</w:t>
            </w:r>
          </w:p>
        </w:tc>
        <w:tc>
          <w:tcPr>
            <w:tcW w:w="0" w:type="dxa"/>
            <w:vAlign w:val="bottom"/>
          </w:tcPr>
          <w:p>
            <w:pPr>
              <w:spacing w:after="0"/>
              <w:rPr>
                <w:sz w:val="1"/>
                <w:szCs w:val="1"/>
                <w:color w:val="auto"/>
              </w:rPr>
            </w:pPr>
          </w:p>
        </w:tc>
      </w:tr>
      <w:tr>
        <w:trPr>
          <w:trHeight w:val="206"/>
        </w:trPr>
        <w:tc>
          <w:tcPr>
            <w:tcW w:w="8440" w:type="dxa"/>
            <w:vAlign w:val="bottom"/>
            <w:gridSpan w:val="2"/>
          </w:tcPr>
          <w:p>
            <w:pPr>
              <w:spacing w:after="0"/>
              <w:rPr>
                <w:sz w:val="20"/>
                <w:szCs w:val="20"/>
                <w:color w:val="auto"/>
              </w:rPr>
            </w:pPr>
            <w:r>
              <w:rPr>
                <w:rFonts w:ascii="Arial" w:cs="Arial" w:eastAsia="Arial" w:hAnsi="Arial"/>
                <w:sz w:val="15"/>
                <w:szCs w:val="15"/>
                <w:color w:val="auto"/>
              </w:rPr>
              <w:t>Deconsolidation due to restructuring</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(8,805)</w:t>
            </w:r>
          </w:p>
        </w:tc>
        <w:tc>
          <w:tcPr>
            <w:tcW w:w="0" w:type="dxa"/>
            <w:vAlign w:val="bottom"/>
          </w:tcPr>
          <w:p>
            <w:pPr>
              <w:spacing w:after="0"/>
              <w:rPr>
                <w:sz w:val="1"/>
                <w:szCs w:val="1"/>
                <w:color w:val="auto"/>
              </w:rPr>
            </w:pPr>
          </w:p>
        </w:tc>
      </w:tr>
      <w:tr>
        <w:trPr>
          <w:trHeight w:val="206"/>
        </w:trPr>
        <w:tc>
          <w:tcPr>
            <w:tcW w:w="8440" w:type="dxa"/>
            <w:vAlign w:val="bottom"/>
            <w:gridSpan w:val="2"/>
          </w:tcPr>
          <w:p>
            <w:pPr>
              <w:spacing w:after="0"/>
              <w:rPr>
                <w:sz w:val="20"/>
                <w:szCs w:val="20"/>
                <w:color w:val="auto"/>
              </w:rPr>
            </w:pPr>
            <w:r>
              <w:rPr>
                <w:rFonts w:ascii="Arial" w:cs="Arial" w:eastAsia="Arial" w:hAnsi="Arial"/>
                <w:sz w:val="15"/>
                <w:szCs w:val="15"/>
                <w:color w:val="auto"/>
              </w:rPr>
              <w:t>Initial consolidation (deconsolidation) of funds</w:t>
            </w:r>
          </w:p>
        </w:tc>
        <w:tc>
          <w:tcPr>
            <w:tcW w:w="2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(108,345)</w:t>
            </w:r>
          </w:p>
        </w:tc>
        <w:tc>
          <w:tcPr>
            <w:tcW w:w="0" w:type="dxa"/>
            <w:vAlign w:val="bottom"/>
          </w:tcPr>
          <w:p>
            <w:pPr>
              <w:spacing w:after="0"/>
              <w:rPr>
                <w:sz w:val="1"/>
                <w:szCs w:val="1"/>
                <w:color w:val="auto"/>
              </w:rPr>
            </w:pPr>
          </w:p>
        </w:tc>
      </w:tr>
      <w:tr>
        <w:trPr>
          <w:trHeight w:val="207"/>
        </w:trPr>
        <w:tc>
          <w:tcPr>
            <w:tcW w:w="8440" w:type="dxa"/>
            <w:vAlign w:val="bottom"/>
            <w:gridSpan w:val="2"/>
          </w:tcPr>
          <w:p>
            <w:pPr>
              <w:spacing w:after="0"/>
              <w:rPr>
                <w:sz w:val="20"/>
                <w:szCs w:val="20"/>
                <w:color w:val="auto"/>
              </w:rPr>
            </w:pPr>
            <w:r>
              <w:rPr>
                <w:rFonts w:ascii="Arial" w:cs="Arial" w:eastAsia="Arial" w:hAnsi="Arial"/>
                <w:sz w:val="15"/>
                <w:szCs w:val="15"/>
                <w:color w:val="auto"/>
              </w:rPr>
              <w:t>Cash and cash-equivalents, beginning balance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449,851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336,679</w:t>
            </w:r>
          </w:p>
        </w:tc>
        <w:tc>
          <w:tcPr>
            <w:tcW w:w="0" w:type="dxa"/>
            <w:vAlign w:val="bottom"/>
          </w:tcPr>
          <w:p>
            <w:pPr>
              <w:spacing w:after="0"/>
              <w:rPr>
                <w:sz w:val="1"/>
                <w:szCs w:val="1"/>
                <w:color w:val="auto"/>
              </w:rPr>
            </w:pPr>
          </w:p>
        </w:tc>
      </w:tr>
      <w:tr>
        <w:trPr>
          <w:trHeight w:val="200"/>
        </w:trPr>
        <w:tc>
          <w:tcPr>
            <w:tcW w:w="8440" w:type="dxa"/>
            <w:vAlign w:val="bottom"/>
            <w:gridSpan w:val="2"/>
          </w:tcPr>
          <w:p>
            <w:pPr>
              <w:spacing w:after="0"/>
              <w:rPr>
                <w:sz w:val="20"/>
                <w:szCs w:val="20"/>
                <w:color w:val="auto"/>
              </w:rPr>
            </w:pPr>
            <w:r>
              <w:rPr>
                <w:rFonts w:ascii="Arial" w:cs="Arial" w:eastAsia="Arial" w:hAnsi="Arial"/>
                <w:sz w:val="15"/>
                <w:szCs w:val="15"/>
                <w:color w:val="auto"/>
              </w:rPr>
              <w:t>Cash and cash-equivalents, ending balance</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290,372</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529,298</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5"/>
                <w:szCs w:val="15"/>
                <w:color w:val="auto"/>
              </w:rPr>
              <w:t>Reconciliation of cash and cash-equivalents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8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Cash and cash-equivalents – Oaktree</w:t>
            </w:r>
          </w:p>
        </w:tc>
        <w:tc>
          <w:tcPr>
            <w:tcW w:w="544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8,587</w:t>
            </w:r>
          </w:p>
        </w:tc>
        <w:tc>
          <w:tcPr>
            <w:tcW w:w="22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20,841</w:t>
            </w:r>
          </w:p>
        </w:tc>
        <w:tc>
          <w:tcPr>
            <w:tcW w:w="0" w:type="dxa"/>
            <w:vAlign w:val="bottom"/>
          </w:tcPr>
          <w:p>
            <w:pPr>
              <w:spacing w:after="0"/>
              <w:rPr>
                <w:sz w:val="1"/>
                <w:szCs w:val="1"/>
                <w:color w:val="auto"/>
              </w:rPr>
            </w:pPr>
          </w:p>
        </w:tc>
      </w:tr>
      <w:tr>
        <w:trPr>
          <w:trHeight w:val="207"/>
        </w:trPr>
        <w:tc>
          <w:tcPr>
            <w:tcW w:w="8440" w:type="dxa"/>
            <w:vAlign w:val="bottom"/>
            <w:gridSpan w:val="2"/>
          </w:tcPr>
          <w:p>
            <w:pPr>
              <w:spacing w:after="0"/>
              <w:rPr>
                <w:sz w:val="20"/>
                <w:szCs w:val="20"/>
                <w:color w:val="auto"/>
              </w:rPr>
            </w:pPr>
            <w:r>
              <w:rPr>
                <w:rFonts w:ascii="Arial" w:cs="Arial" w:eastAsia="Arial" w:hAnsi="Arial"/>
                <w:sz w:val="15"/>
                <w:szCs w:val="15"/>
                <w:color w:val="auto"/>
              </w:rPr>
              <w:t>Cash and cash-equivalents – consolidated funds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281,785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508,457</w:t>
            </w:r>
          </w:p>
        </w:tc>
        <w:tc>
          <w:tcPr>
            <w:tcW w:w="0" w:type="dxa"/>
            <w:vAlign w:val="bottom"/>
          </w:tcPr>
          <w:p>
            <w:pPr>
              <w:spacing w:after="0"/>
              <w:rPr>
                <w:sz w:val="1"/>
                <w:szCs w:val="1"/>
                <w:color w:val="auto"/>
              </w:rPr>
            </w:pPr>
          </w:p>
        </w:tc>
      </w:tr>
      <w:tr>
        <w:trPr>
          <w:trHeight w:val="200"/>
        </w:trPr>
        <w:tc>
          <w:tcPr>
            <w:tcW w:w="8440" w:type="dxa"/>
            <w:vAlign w:val="bottom"/>
            <w:gridSpan w:val="2"/>
          </w:tcPr>
          <w:p>
            <w:pPr>
              <w:ind w:left="300"/>
              <w:spacing w:after="0"/>
              <w:rPr>
                <w:sz w:val="20"/>
                <w:szCs w:val="20"/>
                <w:color w:val="auto"/>
              </w:rPr>
            </w:pPr>
            <w:r>
              <w:rPr>
                <w:rFonts w:ascii="Arial" w:cs="Arial" w:eastAsia="Arial" w:hAnsi="Arial"/>
                <w:sz w:val="15"/>
                <w:szCs w:val="15"/>
                <w:color w:val="auto"/>
              </w:rPr>
              <w:t>Total cash and cash-equivalents</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290,372</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529,298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Please see accompanying notes to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856" w:right="339" w:bottom="1440" w:gutter="0" w:footer="0" w:header="0"/>
        </w:sectPr>
      </w:pPr>
    </w:p>
    <w:bookmarkStart w:id="9" w:name="page10"/>
    <w:bookmarkEnd w:id="9"/>
    <w:p>
      <w:pPr>
        <w:jc w:val="center"/>
        <w:ind w:right="-3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Condensed Consolidated Statements of Changes in Unitholders’ Capital (Unaudited)</w:t>
      </w:r>
    </w:p>
    <w:p>
      <w:pPr>
        <w:spacing w:after="0" w:line="16"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1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7"/>
          </w:tcPr>
          <w:p>
            <w:pPr>
              <w:ind w:left="300"/>
              <w:spacing w:after="0"/>
              <w:rPr>
                <w:sz w:val="20"/>
                <w:szCs w:val="20"/>
                <w:color w:val="auto"/>
              </w:rPr>
            </w:pPr>
            <w:r>
              <w:rPr>
                <w:rFonts w:ascii="Arial" w:cs="Arial" w:eastAsia="Arial" w:hAnsi="Arial"/>
                <w:sz w:val="10"/>
                <w:szCs w:val="10"/>
                <w:b w:val="1"/>
                <w:bCs w:val="1"/>
                <w:color w:val="auto"/>
              </w:rPr>
              <w:t>Brookfield Oaktree Holdings, LLC</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9"/>
              </w:rPr>
              <w:t>Series A</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Series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Accumulated</w:t>
            </w:r>
          </w:p>
        </w:tc>
        <w:tc>
          <w:tcPr>
            <w:tcW w:w="9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11"/>
                <w:szCs w:val="11"/>
                <w:color w:val="auto"/>
              </w:rPr>
            </w:pPr>
          </w:p>
        </w:tc>
        <w:tc>
          <w:tcPr>
            <w:tcW w:w="740" w:type="dxa"/>
            <w:vAlign w:val="bottom"/>
            <w:vMerge w:val="restart"/>
          </w:tcPr>
          <w:p>
            <w:pPr>
              <w:jc w:val="center"/>
              <w:ind w:right="4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2180" w:type="dxa"/>
            <w:vAlign w:val="bottom"/>
          </w:tcPr>
          <w:p>
            <w:pPr>
              <w:spacing w:after="0"/>
              <w:rPr>
                <w:sz w:val="8"/>
                <w:szCs w:val="8"/>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Class A</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8"/>
                <w:szCs w:val="8"/>
                <w:color w:val="auto"/>
              </w:rPr>
            </w:pPr>
          </w:p>
        </w:tc>
        <w:tc>
          <w:tcPr>
            <w:tcW w:w="74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84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8"/>
                <w:szCs w:val="8"/>
                <w:color w:val="auto"/>
              </w:rPr>
            </w:pPr>
          </w:p>
        </w:tc>
        <w:tc>
          <w:tcPr>
            <w:tcW w:w="84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Interests in</w:t>
            </w: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Preferred</w:t>
            </w:r>
          </w:p>
        </w:tc>
        <w:tc>
          <w:tcPr>
            <w:tcW w:w="100" w:type="dxa"/>
            <w:vAlign w:val="bottom"/>
          </w:tcPr>
          <w:p>
            <w:pPr>
              <w:spacing w:after="0"/>
              <w:rPr>
                <w:sz w:val="8"/>
                <w:szCs w:val="8"/>
                <w:color w:val="auto"/>
              </w:rPr>
            </w:pPr>
          </w:p>
        </w:tc>
        <w:tc>
          <w:tcPr>
            <w:tcW w:w="6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Preferred</w:t>
            </w:r>
          </w:p>
        </w:tc>
        <w:tc>
          <w:tcPr>
            <w:tcW w:w="780" w:type="dxa"/>
            <w:vAlign w:val="bottom"/>
            <w:gridSpan w:val="2"/>
            <w:vMerge w:val="continue"/>
          </w:tcPr>
          <w:p>
            <w:pPr>
              <w:spacing w:after="0"/>
              <w:rPr>
                <w:sz w:val="8"/>
                <w:szCs w:val="8"/>
                <w:color w:val="auto"/>
              </w:rPr>
            </w:pPr>
          </w:p>
        </w:tc>
        <w:tc>
          <w:tcPr>
            <w:tcW w:w="880" w:type="dxa"/>
            <w:vAlign w:val="bottom"/>
            <w:gridSpan w:val="3"/>
          </w:tcPr>
          <w:p>
            <w:pPr>
              <w:jc w:val="center"/>
              <w:ind w:right="80"/>
              <w:spacing w:after="0" w:line="104" w:lineRule="exact"/>
              <w:rPr>
                <w:sz w:val="20"/>
                <w:szCs w:val="20"/>
                <w:color w:val="auto"/>
              </w:rPr>
            </w:pPr>
            <w:r>
              <w:rPr>
                <w:rFonts w:ascii="Arial" w:cs="Arial" w:eastAsia="Arial" w:hAnsi="Arial"/>
                <w:sz w:val="10"/>
                <w:szCs w:val="10"/>
                <w:b w:val="1"/>
                <w:bCs w:val="1"/>
                <w:color w:val="auto"/>
              </w:rPr>
              <w:t>(Accumulated</w:t>
            </w:r>
          </w:p>
        </w:tc>
        <w:tc>
          <w:tcPr>
            <w:tcW w:w="92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8"/>
                <w:szCs w:val="8"/>
                <w:color w:val="auto"/>
              </w:rPr>
            </w:pPr>
          </w:p>
        </w:tc>
        <w:tc>
          <w:tcPr>
            <w:tcW w:w="84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Consolidated</w:t>
            </w:r>
          </w:p>
        </w:tc>
        <w:tc>
          <w:tcPr>
            <w:tcW w:w="100" w:type="dxa"/>
            <w:vAlign w:val="bottom"/>
          </w:tcPr>
          <w:p>
            <w:pPr>
              <w:spacing w:after="0"/>
              <w:rPr>
                <w:sz w:val="8"/>
                <w:szCs w:val="8"/>
                <w:color w:val="auto"/>
              </w:rPr>
            </w:pPr>
          </w:p>
        </w:tc>
        <w:tc>
          <w:tcPr>
            <w:tcW w:w="740" w:type="dxa"/>
            <w:vAlign w:val="bottom"/>
          </w:tcPr>
          <w:p>
            <w:pPr>
              <w:jc w:val="center"/>
              <w:ind w:right="43"/>
              <w:spacing w:after="0" w:line="104" w:lineRule="exact"/>
              <w:rPr>
                <w:sz w:val="20"/>
                <w:szCs w:val="20"/>
                <w:color w:val="auto"/>
              </w:rPr>
            </w:pPr>
            <w:r>
              <w:rPr>
                <w:rFonts w:ascii="Arial" w:cs="Arial" w:eastAsia="Arial" w:hAnsi="Arial"/>
                <w:sz w:val="10"/>
                <w:szCs w:val="10"/>
                <w:b w:val="1"/>
                <w:bCs w:val="1"/>
                <w:color w:val="auto"/>
              </w:rPr>
              <w:t>Unitholders’</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2"/>
                <w:szCs w:val="12"/>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2"/>
                <w:szCs w:val="12"/>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Income (Loss)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Capital</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20"/>
                <w:szCs w:val="20"/>
                <w:color w:val="auto"/>
              </w:rPr>
            </w:pPr>
            <w:r>
              <w:rPr>
                <w:rFonts w:ascii="Arial" w:cs="Arial" w:eastAsia="Arial" w:hAnsi="Arial"/>
                <w:sz w:val="12"/>
                <w:szCs w:val="12"/>
                <w:color w:val="auto"/>
              </w:rPr>
              <w:t>Unitholders’ capital as of June 30, 2025</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118,832</w:t>
            </w:r>
          </w:p>
        </w:tc>
        <w:tc>
          <w:tcPr>
            <w:tcW w:w="10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41,509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3"/>
              <w:spacing w:after="0"/>
              <w:rPr>
                <w:sz w:val="20"/>
                <w:szCs w:val="20"/>
                <w:color w:val="auto"/>
              </w:rPr>
            </w:pPr>
            <w:r>
              <w:rPr>
                <w:rFonts w:ascii="Arial" w:cs="Arial" w:eastAsia="Arial" w:hAnsi="Arial"/>
                <w:sz w:val="12"/>
                <w:szCs w:val="12"/>
                <w:color w:val="auto"/>
              </w:rPr>
              <w:t>173,669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226,915</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w w:val="97"/>
              </w:rPr>
              <w:t>$ 1,782,817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(17,745)</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9,536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2,175,192</w:t>
            </w:r>
          </w:p>
        </w:tc>
        <w:tc>
          <w:tcPr>
            <w:tcW w:w="0" w:type="dxa"/>
            <w:vAlign w:val="bottom"/>
          </w:tcPr>
          <w:p>
            <w:pPr>
              <w:spacing w:after="0"/>
              <w:rPr>
                <w:sz w:val="1"/>
                <w:szCs w:val="1"/>
                <w:color w:val="auto"/>
              </w:rPr>
            </w:pPr>
          </w:p>
        </w:tc>
      </w:tr>
      <w:tr>
        <w:trPr>
          <w:trHeight w:val="168"/>
        </w:trPr>
        <w:tc>
          <w:tcPr>
            <w:tcW w:w="2180" w:type="dxa"/>
            <w:vAlign w:val="bottom"/>
          </w:tcPr>
          <w:p>
            <w:pPr>
              <w:spacing w:after="0"/>
              <w:rPr>
                <w:sz w:val="20"/>
                <w:szCs w:val="20"/>
                <w:color w:val="auto"/>
              </w:rPr>
            </w:pPr>
            <w:r>
              <w:rPr>
                <w:rFonts w:ascii="Arial" w:cs="Arial" w:eastAsia="Arial" w:hAnsi="Arial"/>
                <w:sz w:val="12"/>
                <w:szCs w:val="12"/>
                <w:color w:val="auto"/>
              </w:rPr>
              <w:t>Activity for the three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320"/>
              <w:spacing w:after="0"/>
              <w:rPr>
                <w:sz w:val="20"/>
                <w:szCs w:val="20"/>
                <w:color w:val="auto"/>
              </w:rPr>
            </w:pPr>
            <w:r>
              <w:rPr>
                <w:rFonts w:ascii="Arial" w:cs="Arial" w:eastAsia="Arial" w:hAnsi="Arial"/>
                <w:sz w:val="12"/>
                <w:szCs w:val="12"/>
                <w:color w:val="auto"/>
              </w:rPr>
              <w:t>Net issuance of units</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180" w:type="dxa"/>
            <w:vAlign w:val="bottom"/>
          </w:tcPr>
          <w:p>
            <w:pPr>
              <w:ind w:left="320"/>
              <w:spacing w:after="0"/>
              <w:rPr>
                <w:sz w:val="20"/>
                <w:szCs w:val="20"/>
                <w:color w:val="auto"/>
              </w:rPr>
            </w:pPr>
            <w:r>
              <w:rPr>
                <w:rFonts w:ascii="Arial" w:cs="Arial" w:eastAsia="Arial" w:hAnsi="Arial"/>
                <w:sz w:val="12"/>
                <w:szCs w:val="12"/>
                <w:color w:val="auto"/>
              </w:rPr>
              <w:t>Capital contributions</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13,008</w:t>
            </w:r>
          </w:p>
        </w:tc>
        <w:tc>
          <w:tcPr>
            <w:tcW w:w="0" w:type="dxa"/>
            <w:vAlign w:val="bottom"/>
          </w:tcPr>
          <w:p>
            <w:pPr>
              <w:spacing w:after="0"/>
              <w:rPr>
                <w:sz w:val="1"/>
                <w:szCs w:val="1"/>
                <w:color w:val="auto"/>
              </w:rPr>
            </w:pPr>
          </w:p>
        </w:tc>
      </w:tr>
      <w:tr>
        <w:trPr>
          <w:trHeight w:val="168"/>
        </w:trPr>
        <w:tc>
          <w:tcPr>
            <w:tcW w:w="2180" w:type="dxa"/>
            <w:vAlign w:val="bottom"/>
          </w:tcPr>
          <w:p>
            <w:pPr>
              <w:ind w:left="320"/>
              <w:spacing w:after="0"/>
              <w:rPr>
                <w:sz w:val="20"/>
                <w:szCs w:val="20"/>
                <w:color w:val="auto"/>
              </w:rPr>
            </w:pPr>
            <w:r>
              <w:rPr>
                <w:rFonts w:ascii="Arial" w:cs="Arial" w:eastAsia="Arial" w:hAnsi="Arial"/>
                <w:sz w:val="12"/>
                <w:szCs w:val="12"/>
                <w:color w:val="auto"/>
              </w:rPr>
              <w:t>Distributions declared</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(3,848)</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(66,943)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(73,772)</w:t>
            </w:r>
          </w:p>
        </w:tc>
        <w:tc>
          <w:tcPr>
            <w:tcW w:w="0" w:type="dxa"/>
            <w:vAlign w:val="bottom"/>
          </w:tcPr>
          <w:p>
            <w:pPr>
              <w:spacing w:after="0"/>
              <w:rPr>
                <w:sz w:val="1"/>
                <w:szCs w:val="1"/>
                <w:color w:val="auto"/>
              </w:rPr>
            </w:pPr>
          </w:p>
        </w:tc>
      </w:tr>
      <w:tr>
        <w:trPr>
          <w:trHeight w:val="174"/>
        </w:trPr>
        <w:tc>
          <w:tcPr>
            <w:tcW w:w="218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80" w:type="dxa"/>
            <w:vAlign w:val="bottom"/>
          </w:tcPr>
          <w:p>
            <w:pPr>
              <w:jc w:val="right"/>
              <w:ind w:right="3"/>
              <w:spacing w:after="0"/>
              <w:rPr>
                <w:sz w:val="20"/>
                <w:szCs w:val="20"/>
                <w:color w:val="auto"/>
              </w:rPr>
            </w:pPr>
            <w:r>
              <w:rPr>
                <w:rFonts w:ascii="Arial" w:cs="Arial" w:eastAsia="Arial" w:hAnsi="Arial"/>
                <w:sz w:val="12"/>
                <w:szCs w:val="12"/>
                <w:color w:val="auto"/>
              </w:rPr>
              <w:t>2,981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3,848</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59,704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66,510</w:t>
            </w:r>
          </w:p>
        </w:tc>
        <w:tc>
          <w:tcPr>
            <w:tcW w:w="0" w:type="dxa"/>
            <w:vAlign w:val="bottom"/>
          </w:tcPr>
          <w:p>
            <w:pPr>
              <w:spacing w:after="0"/>
              <w:rPr>
                <w:sz w:val="1"/>
                <w:szCs w:val="1"/>
                <w:color w:val="auto"/>
              </w:rPr>
            </w:pPr>
          </w:p>
        </w:tc>
      </w:tr>
      <w:tr>
        <w:trPr>
          <w:trHeight w:val="116"/>
        </w:trPr>
        <w:tc>
          <w:tcPr>
            <w:tcW w:w="2180" w:type="dxa"/>
            <w:vAlign w:val="bottom"/>
          </w:tcPr>
          <w:p>
            <w:pPr>
              <w:spacing w:after="0" w:line="116" w:lineRule="exact"/>
              <w:rPr>
                <w:sz w:val="20"/>
                <w:szCs w:val="20"/>
                <w:color w:val="auto"/>
              </w:rPr>
            </w:pPr>
            <w:r>
              <w:rPr>
                <w:rFonts w:ascii="Arial" w:cs="Arial" w:eastAsia="Arial" w:hAnsi="Arial"/>
                <w:sz w:val="12"/>
                <w:szCs w:val="12"/>
                <w:color w:val="auto"/>
              </w:rPr>
              <w:t>Unitholders’ capital as of September 30,</w:t>
            </w:r>
          </w:p>
        </w:tc>
        <w:tc>
          <w:tcPr>
            <w:tcW w:w="680" w:type="dxa"/>
            <w:vAlign w:val="bottom"/>
            <w:tcBorders>
              <w:top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118,832</w:t>
            </w: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41,760</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173,669</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226,915</w:t>
            </w:r>
          </w:p>
        </w:tc>
        <w:tc>
          <w:tcPr>
            <w:tcW w:w="80" w:type="dxa"/>
            <w:vAlign w:val="bottom"/>
          </w:tcPr>
          <w:p>
            <w:pPr>
              <w:spacing w:after="0"/>
              <w:rPr>
                <w:sz w:val="10"/>
                <w:szCs w:val="10"/>
                <w:color w:val="auto"/>
              </w:rPr>
            </w:pPr>
          </w:p>
        </w:tc>
        <w:tc>
          <w:tcPr>
            <w:tcW w:w="700" w:type="dxa"/>
            <w:vAlign w:val="bottom"/>
            <w:tcBorders>
              <w:top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w w:val="97"/>
              </w:rPr>
              <w:t>$ 1,795,825</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(24,984)</w:t>
            </w:r>
          </w:p>
        </w:tc>
        <w:tc>
          <w:tcPr>
            <w:tcW w:w="100" w:type="dxa"/>
            <w:vAlign w:val="bottom"/>
          </w:tcPr>
          <w:p>
            <w:pPr>
              <w:spacing w:after="0"/>
              <w:rPr>
                <w:sz w:val="10"/>
                <w:szCs w:val="10"/>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80"/>
              <w:spacing w:after="0" w:line="11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9,513</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2,180,938</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20"/>
                <w:szCs w:val="20"/>
                <w:color w:val="auto"/>
              </w:rPr>
            </w:pPr>
            <w:r>
              <w:rPr>
                <w:rFonts w:ascii="Arial" w:cs="Arial" w:eastAsia="Arial" w:hAnsi="Arial"/>
                <w:sz w:val="12"/>
                <w:szCs w:val="12"/>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1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320"/>
              <w:spacing w:after="0"/>
              <w:rPr>
                <w:sz w:val="20"/>
                <w:szCs w:val="20"/>
                <w:color w:val="auto"/>
              </w:rPr>
            </w:pPr>
            <w:r>
              <w:rPr>
                <w:rFonts w:ascii="Arial" w:cs="Arial" w:eastAsia="Arial" w:hAnsi="Arial"/>
                <w:sz w:val="10"/>
                <w:szCs w:val="10"/>
                <w:b w:val="1"/>
                <w:bCs w:val="1"/>
                <w:color w:val="auto"/>
              </w:rPr>
              <w:t>Brookfield Oaktree Holdings, LLC</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9"/>
              </w:rPr>
              <w:t>Series A</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Series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Accumulated</w:t>
            </w:r>
          </w:p>
        </w:tc>
        <w:tc>
          <w:tcPr>
            <w:tcW w:w="9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11"/>
                <w:szCs w:val="11"/>
                <w:color w:val="auto"/>
              </w:rPr>
            </w:pPr>
          </w:p>
        </w:tc>
        <w:tc>
          <w:tcPr>
            <w:tcW w:w="740" w:type="dxa"/>
            <w:vAlign w:val="bottom"/>
            <w:vMerge w:val="restart"/>
          </w:tcPr>
          <w:p>
            <w:pPr>
              <w:jc w:val="center"/>
              <w:ind w:right="4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2180" w:type="dxa"/>
            <w:vAlign w:val="bottom"/>
          </w:tcPr>
          <w:p>
            <w:pPr>
              <w:spacing w:after="0"/>
              <w:rPr>
                <w:sz w:val="8"/>
                <w:szCs w:val="8"/>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Class A</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Class B</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8"/>
                <w:szCs w:val="8"/>
                <w:color w:val="auto"/>
              </w:rPr>
            </w:pPr>
          </w:p>
        </w:tc>
        <w:tc>
          <w:tcPr>
            <w:tcW w:w="74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84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8"/>
                <w:szCs w:val="8"/>
                <w:color w:val="auto"/>
              </w:rPr>
            </w:pPr>
          </w:p>
        </w:tc>
        <w:tc>
          <w:tcPr>
            <w:tcW w:w="84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Interests in</w:t>
            </w: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Preferred</w:t>
            </w:r>
          </w:p>
        </w:tc>
        <w:tc>
          <w:tcPr>
            <w:tcW w:w="100" w:type="dxa"/>
            <w:vAlign w:val="bottom"/>
          </w:tcPr>
          <w:p>
            <w:pPr>
              <w:spacing w:after="0"/>
              <w:rPr>
                <w:sz w:val="8"/>
                <w:szCs w:val="8"/>
                <w:color w:val="auto"/>
              </w:rPr>
            </w:pPr>
          </w:p>
        </w:tc>
        <w:tc>
          <w:tcPr>
            <w:tcW w:w="6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Preferred</w:t>
            </w:r>
          </w:p>
        </w:tc>
        <w:tc>
          <w:tcPr>
            <w:tcW w:w="780" w:type="dxa"/>
            <w:vAlign w:val="bottom"/>
            <w:gridSpan w:val="2"/>
            <w:vMerge w:val="continue"/>
          </w:tcPr>
          <w:p>
            <w:pPr>
              <w:spacing w:after="0"/>
              <w:rPr>
                <w:sz w:val="8"/>
                <w:szCs w:val="8"/>
                <w:color w:val="auto"/>
              </w:rPr>
            </w:pPr>
          </w:p>
        </w:tc>
        <w:tc>
          <w:tcPr>
            <w:tcW w:w="880" w:type="dxa"/>
            <w:vAlign w:val="bottom"/>
            <w:gridSpan w:val="3"/>
          </w:tcPr>
          <w:p>
            <w:pPr>
              <w:jc w:val="center"/>
              <w:ind w:right="80"/>
              <w:spacing w:after="0" w:line="104" w:lineRule="exact"/>
              <w:rPr>
                <w:sz w:val="20"/>
                <w:szCs w:val="20"/>
                <w:color w:val="auto"/>
              </w:rPr>
            </w:pPr>
            <w:r>
              <w:rPr>
                <w:rFonts w:ascii="Arial" w:cs="Arial" w:eastAsia="Arial" w:hAnsi="Arial"/>
                <w:sz w:val="10"/>
                <w:szCs w:val="10"/>
                <w:b w:val="1"/>
                <w:bCs w:val="1"/>
                <w:color w:val="auto"/>
              </w:rPr>
              <w:t>(Accumulated</w:t>
            </w:r>
          </w:p>
        </w:tc>
        <w:tc>
          <w:tcPr>
            <w:tcW w:w="92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8"/>
                <w:szCs w:val="8"/>
                <w:color w:val="auto"/>
              </w:rPr>
            </w:pPr>
          </w:p>
        </w:tc>
        <w:tc>
          <w:tcPr>
            <w:tcW w:w="84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Consolidated</w:t>
            </w:r>
          </w:p>
        </w:tc>
        <w:tc>
          <w:tcPr>
            <w:tcW w:w="100" w:type="dxa"/>
            <w:vAlign w:val="bottom"/>
          </w:tcPr>
          <w:p>
            <w:pPr>
              <w:spacing w:after="0"/>
              <w:rPr>
                <w:sz w:val="8"/>
                <w:szCs w:val="8"/>
                <w:color w:val="auto"/>
              </w:rPr>
            </w:pPr>
          </w:p>
        </w:tc>
        <w:tc>
          <w:tcPr>
            <w:tcW w:w="740" w:type="dxa"/>
            <w:vAlign w:val="bottom"/>
          </w:tcPr>
          <w:p>
            <w:pPr>
              <w:jc w:val="center"/>
              <w:ind w:right="43"/>
              <w:spacing w:after="0" w:line="104" w:lineRule="exact"/>
              <w:rPr>
                <w:sz w:val="20"/>
                <w:szCs w:val="20"/>
                <w:color w:val="auto"/>
              </w:rPr>
            </w:pPr>
            <w:r>
              <w:rPr>
                <w:rFonts w:ascii="Arial" w:cs="Arial" w:eastAsia="Arial" w:hAnsi="Arial"/>
                <w:sz w:val="10"/>
                <w:szCs w:val="10"/>
                <w:b w:val="1"/>
                <w:bCs w:val="1"/>
                <w:color w:val="auto"/>
              </w:rPr>
              <w:t>Unitholders’</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2"/>
                <w:szCs w:val="12"/>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2"/>
                <w:szCs w:val="12"/>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Income (Loss)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Capital</w:t>
            </w:r>
          </w:p>
        </w:tc>
        <w:tc>
          <w:tcPr>
            <w:tcW w:w="0" w:type="dxa"/>
            <w:vAlign w:val="bottom"/>
          </w:tcPr>
          <w:p>
            <w:pPr>
              <w:spacing w:after="0"/>
              <w:rPr>
                <w:sz w:val="1"/>
                <w:szCs w:val="1"/>
                <w:color w:val="auto"/>
              </w:rPr>
            </w:pPr>
          </w:p>
        </w:tc>
      </w:tr>
      <w:tr>
        <w:trPr>
          <w:trHeight w:val="154"/>
        </w:trPr>
        <w:tc>
          <w:tcPr>
            <w:tcW w:w="2180" w:type="dxa"/>
            <w:vAlign w:val="bottom"/>
          </w:tcPr>
          <w:p>
            <w:pPr>
              <w:spacing w:after="0"/>
              <w:rPr>
                <w:sz w:val="20"/>
                <w:szCs w:val="20"/>
                <w:color w:val="auto"/>
              </w:rPr>
            </w:pPr>
            <w:r>
              <w:rPr>
                <w:rFonts w:ascii="Arial" w:cs="Arial" w:eastAsia="Arial" w:hAnsi="Arial"/>
                <w:sz w:val="12"/>
                <w:szCs w:val="12"/>
                <w:color w:val="auto"/>
              </w:rPr>
              <w:t>Unitholders’ capital as of December 31,</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116,373</w:t>
            </w:r>
          </w:p>
        </w:tc>
        <w:tc>
          <w:tcPr>
            <w:tcW w:w="10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43,823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3"/>
              <w:spacing w:after="0"/>
              <w:rPr>
                <w:sz w:val="20"/>
                <w:szCs w:val="20"/>
                <w:color w:val="auto"/>
              </w:rPr>
            </w:pPr>
            <w:r>
              <w:rPr>
                <w:rFonts w:ascii="Arial" w:cs="Arial" w:eastAsia="Arial" w:hAnsi="Arial"/>
                <w:sz w:val="12"/>
                <w:szCs w:val="12"/>
                <w:color w:val="auto"/>
              </w:rPr>
              <w:t>173,669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226,915</w:t>
            </w:r>
          </w:p>
        </w:tc>
        <w:tc>
          <w:tcPr>
            <w:tcW w:w="8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w w:val="97"/>
              </w:rPr>
              <w:t>$ 1,663,384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329,631</w:t>
            </w:r>
          </w:p>
        </w:tc>
        <w:tc>
          <w:tcPr>
            <w:tcW w:w="10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7,765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2,401,364</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20"/>
                <w:szCs w:val="20"/>
                <w:color w:val="auto"/>
              </w:rPr>
            </w:pPr>
            <w:r>
              <w:rPr>
                <w:rFonts w:ascii="Arial" w:cs="Arial" w:eastAsia="Arial" w:hAnsi="Arial"/>
                <w:sz w:val="12"/>
                <w:szCs w:val="12"/>
                <w:color w:val="auto"/>
              </w:rPr>
              <w:t>2024</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20"/>
                <w:szCs w:val="20"/>
                <w:color w:val="auto"/>
              </w:rPr>
            </w:pPr>
            <w:r>
              <w:rPr>
                <w:rFonts w:ascii="Arial" w:cs="Arial" w:eastAsia="Arial" w:hAnsi="Arial"/>
                <w:sz w:val="12"/>
                <w:szCs w:val="12"/>
                <w:color w:val="auto"/>
              </w:rPr>
              <w:t>Activity for the nine months ended:</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320"/>
              <w:spacing w:after="0"/>
              <w:rPr>
                <w:sz w:val="20"/>
                <w:szCs w:val="20"/>
                <w:color w:val="auto"/>
              </w:rPr>
            </w:pPr>
            <w:r>
              <w:rPr>
                <w:rFonts w:ascii="Arial" w:cs="Arial" w:eastAsia="Arial" w:hAnsi="Arial"/>
                <w:sz w:val="12"/>
                <w:szCs w:val="12"/>
                <w:color w:val="auto"/>
              </w:rPr>
              <w:t>Net issuance of units</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180" w:type="dxa"/>
            <w:vAlign w:val="bottom"/>
          </w:tcPr>
          <w:p>
            <w:pPr>
              <w:ind w:left="320"/>
              <w:spacing w:after="0"/>
              <w:rPr>
                <w:sz w:val="20"/>
                <w:szCs w:val="20"/>
                <w:color w:val="auto"/>
              </w:rPr>
            </w:pPr>
            <w:r>
              <w:rPr>
                <w:rFonts w:ascii="Arial" w:cs="Arial" w:eastAsia="Arial" w:hAnsi="Arial"/>
                <w:sz w:val="12"/>
                <w:szCs w:val="12"/>
                <w:color w:val="auto"/>
              </w:rPr>
              <w:t>Unit exchange</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2,459</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180" w:type="dxa"/>
            <w:vAlign w:val="bottom"/>
          </w:tcPr>
          <w:p>
            <w:pPr>
              <w:ind w:left="320"/>
              <w:spacing w:after="0"/>
              <w:rPr>
                <w:sz w:val="20"/>
                <w:szCs w:val="20"/>
                <w:color w:val="auto"/>
              </w:rPr>
            </w:pPr>
            <w:r>
              <w:rPr>
                <w:rFonts w:ascii="Arial" w:cs="Arial" w:eastAsia="Arial" w:hAnsi="Arial"/>
                <w:sz w:val="12"/>
                <w:szCs w:val="12"/>
                <w:color w:val="auto"/>
              </w:rPr>
              <w:t>Capital contributions</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132,441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132,441</w:t>
            </w:r>
          </w:p>
        </w:tc>
        <w:tc>
          <w:tcPr>
            <w:tcW w:w="0" w:type="dxa"/>
            <w:vAlign w:val="bottom"/>
          </w:tcPr>
          <w:p>
            <w:pPr>
              <w:spacing w:after="0"/>
              <w:rPr>
                <w:sz w:val="1"/>
                <w:szCs w:val="1"/>
                <w:color w:val="auto"/>
              </w:rPr>
            </w:pPr>
          </w:p>
        </w:tc>
      </w:tr>
      <w:tr>
        <w:trPr>
          <w:trHeight w:val="168"/>
        </w:trPr>
        <w:tc>
          <w:tcPr>
            <w:tcW w:w="2180" w:type="dxa"/>
            <w:vAlign w:val="bottom"/>
          </w:tcPr>
          <w:p>
            <w:pPr>
              <w:ind w:left="320"/>
              <w:spacing w:after="0"/>
              <w:rPr>
                <w:sz w:val="20"/>
                <w:szCs w:val="20"/>
                <w:color w:val="auto"/>
              </w:rPr>
            </w:pPr>
            <w:r>
              <w:rPr>
                <w:rFonts w:ascii="Arial" w:cs="Arial" w:eastAsia="Arial" w:hAnsi="Arial"/>
                <w:sz w:val="12"/>
                <w:szCs w:val="12"/>
                <w:color w:val="auto"/>
              </w:rPr>
              <w:t>Distributions declared</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(8,943)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(11,544)</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(417,225)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(437,712)</w:t>
            </w:r>
          </w:p>
        </w:tc>
        <w:tc>
          <w:tcPr>
            <w:tcW w:w="0" w:type="dxa"/>
            <w:vAlign w:val="bottom"/>
          </w:tcPr>
          <w:p>
            <w:pPr>
              <w:spacing w:after="0"/>
              <w:rPr>
                <w:sz w:val="1"/>
                <w:szCs w:val="1"/>
                <w:color w:val="auto"/>
              </w:rPr>
            </w:pPr>
          </w:p>
        </w:tc>
      </w:tr>
      <w:tr>
        <w:trPr>
          <w:trHeight w:val="174"/>
        </w:trPr>
        <w:tc>
          <w:tcPr>
            <w:tcW w:w="218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80" w:type="dxa"/>
            <w:vAlign w:val="bottom"/>
          </w:tcPr>
          <w:p>
            <w:pPr>
              <w:jc w:val="right"/>
              <w:ind w:right="3"/>
              <w:spacing w:after="0"/>
              <w:rPr>
                <w:sz w:val="20"/>
                <w:szCs w:val="20"/>
                <w:color w:val="auto"/>
              </w:rPr>
            </w:pPr>
            <w:r>
              <w:rPr>
                <w:rFonts w:ascii="Arial" w:cs="Arial" w:eastAsia="Arial" w:hAnsi="Arial"/>
                <w:sz w:val="12"/>
                <w:szCs w:val="12"/>
                <w:color w:val="auto"/>
              </w:rPr>
              <w:t>8,943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11,544</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62,610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60" w:type="dxa"/>
            <w:vAlign w:val="bottom"/>
          </w:tcPr>
          <w:p>
            <w:pPr>
              <w:jc w:val="right"/>
              <w:ind w:right="3"/>
              <w:spacing w:after="0"/>
              <w:rPr>
                <w:sz w:val="20"/>
                <w:szCs w:val="20"/>
                <w:color w:val="auto"/>
              </w:rPr>
            </w:pPr>
            <w:r>
              <w:rPr>
                <w:rFonts w:ascii="Arial" w:cs="Arial" w:eastAsia="Arial" w:hAnsi="Arial"/>
                <w:sz w:val="12"/>
                <w:szCs w:val="12"/>
                <w:color w:val="auto"/>
              </w:rPr>
              <w:t>1,748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84,845</w:t>
            </w:r>
          </w:p>
        </w:tc>
        <w:tc>
          <w:tcPr>
            <w:tcW w:w="0" w:type="dxa"/>
            <w:vAlign w:val="bottom"/>
          </w:tcPr>
          <w:p>
            <w:pPr>
              <w:spacing w:after="0"/>
              <w:rPr>
                <w:sz w:val="1"/>
                <w:szCs w:val="1"/>
                <w:color w:val="auto"/>
              </w:rPr>
            </w:pPr>
          </w:p>
        </w:tc>
      </w:tr>
      <w:tr>
        <w:trPr>
          <w:trHeight w:val="116"/>
        </w:trPr>
        <w:tc>
          <w:tcPr>
            <w:tcW w:w="2180" w:type="dxa"/>
            <w:vAlign w:val="bottom"/>
          </w:tcPr>
          <w:p>
            <w:pPr>
              <w:spacing w:after="0" w:line="116" w:lineRule="exact"/>
              <w:rPr>
                <w:sz w:val="20"/>
                <w:szCs w:val="20"/>
                <w:color w:val="auto"/>
              </w:rPr>
            </w:pPr>
            <w:r>
              <w:rPr>
                <w:rFonts w:ascii="Arial" w:cs="Arial" w:eastAsia="Arial" w:hAnsi="Arial"/>
                <w:sz w:val="12"/>
                <w:szCs w:val="12"/>
                <w:color w:val="auto"/>
              </w:rPr>
              <w:t>Unitholders’ capital as of September 30,</w:t>
            </w:r>
          </w:p>
        </w:tc>
        <w:tc>
          <w:tcPr>
            <w:tcW w:w="680" w:type="dxa"/>
            <w:vAlign w:val="bottom"/>
            <w:tcBorders>
              <w:top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118,832</w:t>
            </w: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41,760</w:t>
            </w:r>
          </w:p>
        </w:tc>
        <w:tc>
          <w:tcPr>
            <w:tcW w:w="100" w:type="dxa"/>
            <w:vAlign w:val="bottom"/>
          </w:tcPr>
          <w:p>
            <w:pPr>
              <w:spacing w:after="0"/>
              <w:rPr>
                <w:sz w:val="10"/>
                <w:szCs w:val="10"/>
                <w:color w:val="auto"/>
              </w:rPr>
            </w:pPr>
          </w:p>
        </w:tc>
        <w:tc>
          <w:tcPr>
            <w:tcW w:w="1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173,669</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226,915</w:t>
            </w:r>
          </w:p>
        </w:tc>
        <w:tc>
          <w:tcPr>
            <w:tcW w:w="80" w:type="dxa"/>
            <w:vAlign w:val="bottom"/>
          </w:tcPr>
          <w:p>
            <w:pPr>
              <w:spacing w:after="0"/>
              <w:rPr>
                <w:sz w:val="10"/>
                <w:szCs w:val="10"/>
                <w:color w:val="auto"/>
              </w:rPr>
            </w:pPr>
          </w:p>
        </w:tc>
        <w:tc>
          <w:tcPr>
            <w:tcW w:w="700" w:type="dxa"/>
            <w:vAlign w:val="bottom"/>
            <w:tcBorders>
              <w:top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w w:val="97"/>
              </w:rPr>
              <w:t>$ 1,795,825</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(24,984)</w:t>
            </w:r>
          </w:p>
        </w:tc>
        <w:tc>
          <w:tcPr>
            <w:tcW w:w="100" w:type="dxa"/>
            <w:vAlign w:val="bottom"/>
          </w:tcPr>
          <w:p>
            <w:pPr>
              <w:spacing w:after="0"/>
              <w:rPr>
                <w:sz w:val="10"/>
                <w:szCs w:val="10"/>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80"/>
              <w:spacing w:after="0" w:line="11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9,513</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jc w:val="right"/>
              <w:ind w:right="3"/>
              <w:spacing w:after="0" w:line="116" w:lineRule="exact"/>
              <w:rPr>
                <w:sz w:val="20"/>
                <w:szCs w:val="20"/>
                <w:color w:val="auto"/>
              </w:rPr>
            </w:pPr>
            <w:r>
              <w:rPr>
                <w:rFonts w:ascii="Arial" w:cs="Arial" w:eastAsia="Arial" w:hAnsi="Arial"/>
                <w:sz w:val="12"/>
                <w:szCs w:val="12"/>
                <w:color w:val="auto"/>
              </w:rPr>
              <w:t>2,180,938</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20"/>
                <w:szCs w:val="20"/>
                <w:color w:val="auto"/>
              </w:rPr>
            </w:pPr>
            <w:r>
              <w:rPr>
                <w:rFonts w:ascii="Arial" w:cs="Arial" w:eastAsia="Arial" w:hAnsi="Arial"/>
                <w:sz w:val="12"/>
                <w:szCs w:val="12"/>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left="1880"/>
        <w:spacing w:after="0"/>
        <w:rPr>
          <w:sz w:val="20"/>
          <w:szCs w:val="20"/>
          <w:color w:val="auto"/>
        </w:rPr>
      </w:pPr>
      <w:r>
        <w:rPr>
          <w:rFonts w:ascii="Arial" w:cs="Arial" w:eastAsia="Arial" w:hAnsi="Arial"/>
          <w:sz w:val="17"/>
          <w:szCs w:val="17"/>
          <w:i w:val="1"/>
          <w:iCs w:val="1"/>
          <w:color w:val="auto"/>
        </w:rPr>
        <w:t>Please see accompanying notes to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70485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600"/>
          </w:cols>
          <w:pgMar w:left="980" w:top="856" w:right="1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Changes in Unitholders’ Capital (Unaudited)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7"/>
          </w:tcPr>
          <w:p>
            <w:pPr>
              <w:ind w:left="300"/>
              <w:spacing w:after="0"/>
              <w:rPr>
                <w:sz w:val="20"/>
                <w:szCs w:val="20"/>
                <w:color w:val="auto"/>
              </w:rPr>
            </w:pPr>
            <w:r>
              <w:rPr>
                <w:rFonts w:ascii="Arial" w:cs="Arial" w:eastAsia="Arial" w:hAnsi="Arial"/>
                <w:sz w:val="10"/>
                <w:szCs w:val="10"/>
                <w:b w:val="1"/>
                <w:bCs w:val="1"/>
                <w:color w:val="auto"/>
              </w:rPr>
              <w:t>Brookfield Oaktree Holdings, LLC</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9"/>
              </w:rPr>
              <w:t>Series A</w:t>
            </w:r>
          </w:p>
        </w:tc>
        <w:tc>
          <w:tcPr>
            <w:tcW w:w="80" w:type="dxa"/>
            <w:vAlign w:val="bottom"/>
          </w:tcPr>
          <w:p>
            <w:pPr>
              <w:spacing w:after="0"/>
              <w:rPr>
                <w:sz w:val="11"/>
                <w:szCs w:val="11"/>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Series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Accumulated</w:t>
            </w:r>
          </w:p>
        </w:tc>
        <w:tc>
          <w:tcPr>
            <w:tcW w:w="9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11"/>
                <w:szCs w:val="11"/>
                <w:color w:val="auto"/>
              </w:rPr>
            </w:pPr>
          </w:p>
        </w:tc>
        <w:tc>
          <w:tcPr>
            <w:tcW w:w="740" w:type="dxa"/>
            <w:vAlign w:val="bottom"/>
            <w:vMerge w:val="restart"/>
          </w:tcPr>
          <w:p>
            <w:pPr>
              <w:jc w:val="center"/>
              <w:ind w:right="4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386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Class B</w:t>
            </w: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72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84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8"/>
                <w:szCs w:val="8"/>
                <w:color w:val="auto"/>
              </w:rPr>
            </w:pPr>
          </w:p>
        </w:tc>
        <w:tc>
          <w:tcPr>
            <w:tcW w:w="82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Interests in</w:t>
            </w: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8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8"/>
              </w:rPr>
              <w:t>Preferred</w:t>
            </w:r>
          </w:p>
        </w:tc>
        <w:tc>
          <w:tcPr>
            <w:tcW w:w="80" w:type="dxa"/>
            <w:vAlign w:val="bottom"/>
          </w:tcPr>
          <w:p>
            <w:pPr>
              <w:spacing w:after="0"/>
              <w:rPr>
                <w:sz w:val="8"/>
                <w:szCs w:val="8"/>
                <w:color w:val="auto"/>
              </w:rPr>
            </w:pPr>
          </w:p>
        </w:tc>
        <w:tc>
          <w:tcPr>
            <w:tcW w:w="6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Preferred</w:t>
            </w:r>
          </w:p>
        </w:tc>
        <w:tc>
          <w:tcPr>
            <w:tcW w:w="780" w:type="dxa"/>
            <w:vAlign w:val="bottom"/>
            <w:gridSpan w:val="2"/>
            <w:vMerge w:val="continue"/>
          </w:tcPr>
          <w:p>
            <w:pPr>
              <w:spacing w:after="0"/>
              <w:rPr>
                <w:sz w:val="8"/>
                <w:szCs w:val="8"/>
                <w:color w:val="auto"/>
              </w:rPr>
            </w:pPr>
          </w:p>
        </w:tc>
        <w:tc>
          <w:tcPr>
            <w:tcW w:w="840" w:type="dxa"/>
            <w:vAlign w:val="bottom"/>
            <w:gridSpan w:val="3"/>
          </w:tcPr>
          <w:p>
            <w:pPr>
              <w:jc w:val="center"/>
              <w:ind w:right="80"/>
              <w:spacing w:after="0" w:line="104" w:lineRule="exact"/>
              <w:rPr>
                <w:sz w:val="20"/>
                <w:szCs w:val="20"/>
                <w:color w:val="auto"/>
              </w:rPr>
            </w:pPr>
            <w:r>
              <w:rPr>
                <w:rFonts w:ascii="Arial" w:cs="Arial" w:eastAsia="Arial" w:hAnsi="Arial"/>
                <w:sz w:val="10"/>
                <w:szCs w:val="10"/>
                <w:b w:val="1"/>
                <w:bCs w:val="1"/>
                <w:color w:val="auto"/>
              </w:rPr>
              <w:t>(Accumulated</w:t>
            </w:r>
          </w:p>
        </w:tc>
        <w:tc>
          <w:tcPr>
            <w:tcW w:w="92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8"/>
                <w:szCs w:val="8"/>
                <w:color w:val="auto"/>
              </w:rPr>
            </w:pPr>
          </w:p>
        </w:tc>
        <w:tc>
          <w:tcPr>
            <w:tcW w:w="82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Consolidated</w:t>
            </w:r>
          </w:p>
        </w:tc>
        <w:tc>
          <w:tcPr>
            <w:tcW w:w="100" w:type="dxa"/>
            <w:vAlign w:val="bottom"/>
          </w:tcPr>
          <w:p>
            <w:pPr>
              <w:spacing w:after="0"/>
              <w:rPr>
                <w:sz w:val="8"/>
                <w:szCs w:val="8"/>
                <w:color w:val="auto"/>
              </w:rPr>
            </w:pPr>
          </w:p>
        </w:tc>
        <w:tc>
          <w:tcPr>
            <w:tcW w:w="740" w:type="dxa"/>
            <w:vAlign w:val="bottom"/>
          </w:tcPr>
          <w:p>
            <w:pPr>
              <w:jc w:val="center"/>
              <w:ind w:right="42"/>
              <w:spacing w:after="0" w:line="104" w:lineRule="exact"/>
              <w:rPr>
                <w:sz w:val="20"/>
                <w:szCs w:val="20"/>
                <w:color w:val="auto"/>
              </w:rPr>
            </w:pPr>
            <w:r>
              <w:rPr>
                <w:rFonts w:ascii="Arial" w:cs="Arial" w:eastAsia="Arial" w:hAnsi="Arial"/>
                <w:sz w:val="10"/>
                <w:szCs w:val="10"/>
                <w:b w:val="1"/>
                <w:bCs w:val="1"/>
                <w:color w:val="auto"/>
              </w:rPr>
              <w:t>Unitholders’</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Units</w:t>
            </w:r>
          </w:p>
        </w:tc>
        <w:tc>
          <w:tcPr>
            <w:tcW w:w="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Units</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Units</w:t>
            </w: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Deficit)</w:t>
            </w:r>
          </w:p>
        </w:tc>
        <w:tc>
          <w:tcPr>
            <w:tcW w:w="9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Income (Loss)</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2"/>
                <w:szCs w:val="12"/>
                <w:color w:val="auto"/>
              </w:rPr>
            </w:pPr>
          </w:p>
        </w:tc>
        <w:tc>
          <w:tcPr>
            <w:tcW w:w="740" w:type="dxa"/>
            <w:vAlign w:val="bottom"/>
          </w:tcPr>
          <w:p>
            <w:pPr>
              <w:jc w:val="center"/>
              <w:ind w:right="42"/>
              <w:spacing w:after="0"/>
              <w:rPr>
                <w:sz w:val="20"/>
                <w:szCs w:val="20"/>
                <w:color w:val="auto"/>
              </w:rPr>
            </w:pPr>
            <w:r>
              <w:rPr>
                <w:rFonts w:ascii="Arial" w:cs="Arial" w:eastAsia="Arial" w:hAnsi="Arial"/>
                <w:sz w:val="10"/>
                <w:szCs w:val="10"/>
                <w:b w:val="1"/>
                <w:bCs w:val="1"/>
                <w:color w:val="auto"/>
              </w:rPr>
              <w:t>Capital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20"/>
                <w:szCs w:val="20"/>
                <w:color w:val="auto"/>
              </w:rPr>
            </w:pPr>
            <w:r>
              <w:rPr>
                <w:rFonts w:ascii="Arial" w:cs="Arial" w:eastAsia="Arial" w:hAnsi="Arial"/>
                <w:sz w:val="12"/>
                <w:szCs w:val="12"/>
                <w:color w:val="auto"/>
              </w:rPr>
              <w:t>Unitholders’ capital as of June 30, 2024</w:t>
            </w:r>
          </w:p>
        </w:tc>
        <w:tc>
          <w:tcPr>
            <w:tcW w:w="6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116,373</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43,757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23"/>
              <w:spacing w:after="0"/>
              <w:rPr>
                <w:sz w:val="20"/>
                <w:szCs w:val="20"/>
                <w:color w:val="auto"/>
              </w:rPr>
            </w:pPr>
            <w:r>
              <w:rPr>
                <w:rFonts w:ascii="Arial" w:cs="Arial" w:eastAsia="Arial" w:hAnsi="Arial"/>
                <w:sz w:val="12"/>
                <w:szCs w:val="12"/>
                <w:color w:val="auto"/>
              </w:rPr>
              <w:t>173,669</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226,915</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97"/>
              </w:rPr>
              <w:t>$ 1,563,857</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325,039</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(14,122)</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291,477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2,566,835</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20"/>
                <w:szCs w:val="20"/>
                <w:color w:val="auto"/>
              </w:rPr>
            </w:pPr>
            <w:r>
              <w:rPr>
                <w:rFonts w:ascii="Arial" w:cs="Arial" w:eastAsia="Arial" w:hAnsi="Arial"/>
                <w:sz w:val="12"/>
                <w:szCs w:val="12"/>
                <w:color w:val="auto"/>
              </w:rPr>
              <w:t>Activity for the three months ended: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Net issuance of units</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Deconsolidation of Oaktree Capital I</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14,122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(283,685)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(269,563)</w:t>
            </w: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Capital contributions</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37,500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37,500</w:t>
            </w: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Distributions declared</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(3,848)</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(58,907)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(65,736)</w:t>
            </w:r>
          </w:p>
        </w:tc>
        <w:tc>
          <w:tcPr>
            <w:tcW w:w="0" w:type="dxa"/>
            <w:vAlign w:val="bottom"/>
          </w:tcPr>
          <w:p>
            <w:pPr>
              <w:spacing w:after="0"/>
              <w:rPr>
                <w:sz w:val="1"/>
                <w:szCs w:val="1"/>
                <w:color w:val="auto"/>
              </w:rPr>
            </w:pPr>
          </w:p>
        </w:tc>
      </w:tr>
      <w:tr>
        <w:trPr>
          <w:trHeight w:val="174"/>
        </w:trPr>
        <w:tc>
          <w:tcPr>
            <w:tcW w:w="386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2,981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3,848</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36,762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44,007</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20"/>
                <w:szCs w:val="20"/>
                <w:color w:val="auto"/>
              </w:rPr>
            </w:pPr>
            <w:r>
              <w:rPr>
                <w:rFonts w:ascii="Arial" w:cs="Arial" w:eastAsia="Arial" w:hAnsi="Arial"/>
                <w:sz w:val="12"/>
                <w:szCs w:val="12"/>
                <w:color w:val="auto"/>
              </w:rPr>
              <w:t>Unitholders’ capital as of September 30, 2024</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116,373</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43,772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2"/>
                <w:szCs w:val="12"/>
                <w:color w:val="auto"/>
              </w:rPr>
              <w:t>173,669</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226,915</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97"/>
              </w:rPr>
              <w:t>$ 1,601,357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302,894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8,208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2,313,043</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6"/>
        </w:trPr>
        <w:tc>
          <w:tcPr>
            <w:tcW w:w="38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300"/>
              <w:spacing w:after="0"/>
              <w:rPr>
                <w:sz w:val="20"/>
                <w:szCs w:val="20"/>
                <w:color w:val="auto"/>
              </w:rPr>
            </w:pPr>
            <w:r>
              <w:rPr>
                <w:rFonts w:ascii="Arial" w:cs="Arial" w:eastAsia="Arial" w:hAnsi="Arial"/>
                <w:sz w:val="10"/>
                <w:szCs w:val="10"/>
                <w:b w:val="1"/>
                <w:bCs w:val="1"/>
                <w:color w:val="auto"/>
              </w:rPr>
              <w:t>Brookfield Oaktree Holdings, LLC</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9"/>
              </w:rPr>
              <w:t>Series A</w:t>
            </w:r>
          </w:p>
        </w:tc>
        <w:tc>
          <w:tcPr>
            <w:tcW w:w="80" w:type="dxa"/>
            <w:vAlign w:val="bottom"/>
          </w:tcPr>
          <w:p>
            <w:pPr>
              <w:spacing w:after="0"/>
              <w:rPr>
                <w:sz w:val="11"/>
                <w:szCs w:val="11"/>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Series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Accumulated</w:t>
            </w:r>
          </w:p>
        </w:tc>
        <w:tc>
          <w:tcPr>
            <w:tcW w:w="9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11"/>
                <w:szCs w:val="11"/>
                <w:color w:val="auto"/>
              </w:rPr>
            </w:pPr>
          </w:p>
        </w:tc>
        <w:tc>
          <w:tcPr>
            <w:tcW w:w="740" w:type="dxa"/>
            <w:vAlign w:val="bottom"/>
            <w:vMerge w:val="restart"/>
          </w:tcPr>
          <w:p>
            <w:pPr>
              <w:jc w:val="center"/>
              <w:ind w:right="4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3"/>
        </w:trPr>
        <w:tc>
          <w:tcPr>
            <w:tcW w:w="386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Class B</w:t>
            </w: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72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8"/>
                <w:szCs w:val="8"/>
                <w:color w:val="auto"/>
              </w:rPr>
            </w:pPr>
          </w:p>
        </w:tc>
        <w:tc>
          <w:tcPr>
            <w:tcW w:w="84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8"/>
                <w:szCs w:val="8"/>
                <w:color w:val="auto"/>
              </w:rPr>
            </w:pPr>
          </w:p>
        </w:tc>
        <w:tc>
          <w:tcPr>
            <w:tcW w:w="82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Interests in</w:t>
            </w: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8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8"/>
              </w:rPr>
              <w:t>Preferred</w:t>
            </w:r>
          </w:p>
        </w:tc>
        <w:tc>
          <w:tcPr>
            <w:tcW w:w="80" w:type="dxa"/>
            <w:vAlign w:val="bottom"/>
          </w:tcPr>
          <w:p>
            <w:pPr>
              <w:spacing w:after="0"/>
              <w:rPr>
                <w:sz w:val="8"/>
                <w:szCs w:val="8"/>
                <w:color w:val="auto"/>
              </w:rPr>
            </w:pPr>
          </w:p>
        </w:tc>
        <w:tc>
          <w:tcPr>
            <w:tcW w:w="68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Preferred</w:t>
            </w:r>
          </w:p>
        </w:tc>
        <w:tc>
          <w:tcPr>
            <w:tcW w:w="780" w:type="dxa"/>
            <w:vAlign w:val="bottom"/>
            <w:gridSpan w:val="2"/>
            <w:vMerge w:val="continue"/>
          </w:tcPr>
          <w:p>
            <w:pPr>
              <w:spacing w:after="0"/>
              <w:rPr>
                <w:sz w:val="8"/>
                <w:szCs w:val="8"/>
                <w:color w:val="auto"/>
              </w:rPr>
            </w:pPr>
          </w:p>
        </w:tc>
        <w:tc>
          <w:tcPr>
            <w:tcW w:w="840" w:type="dxa"/>
            <w:vAlign w:val="bottom"/>
            <w:gridSpan w:val="3"/>
          </w:tcPr>
          <w:p>
            <w:pPr>
              <w:jc w:val="center"/>
              <w:ind w:right="80"/>
              <w:spacing w:after="0" w:line="104" w:lineRule="exact"/>
              <w:rPr>
                <w:sz w:val="20"/>
                <w:szCs w:val="20"/>
                <w:color w:val="auto"/>
              </w:rPr>
            </w:pPr>
            <w:r>
              <w:rPr>
                <w:rFonts w:ascii="Arial" w:cs="Arial" w:eastAsia="Arial" w:hAnsi="Arial"/>
                <w:sz w:val="10"/>
                <w:szCs w:val="10"/>
                <w:b w:val="1"/>
                <w:bCs w:val="1"/>
                <w:color w:val="auto"/>
              </w:rPr>
              <w:t>(Accumulated</w:t>
            </w:r>
          </w:p>
        </w:tc>
        <w:tc>
          <w:tcPr>
            <w:tcW w:w="920" w:type="dxa"/>
            <w:vAlign w:val="bottom"/>
            <w:gridSpan w:val="3"/>
          </w:tcPr>
          <w:p>
            <w:pPr>
              <w:jc w:val="center"/>
              <w:ind w:right="100"/>
              <w:spacing w:after="0" w:line="104"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8"/>
                <w:szCs w:val="8"/>
                <w:color w:val="auto"/>
              </w:rPr>
            </w:pPr>
          </w:p>
        </w:tc>
        <w:tc>
          <w:tcPr>
            <w:tcW w:w="82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rPr>
              <w:t>Consolidated</w:t>
            </w:r>
          </w:p>
        </w:tc>
        <w:tc>
          <w:tcPr>
            <w:tcW w:w="100" w:type="dxa"/>
            <w:vAlign w:val="bottom"/>
          </w:tcPr>
          <w:p>
            <w:pPr>
              <w:spacing w:after="0"/>
              <w:rPr>
                <w:sz w:val="8"/>
                <w:szCs w:val="8"/>
                <w:color w:val="auto"/>
              </w:rPr>
            </w:pPr>
          </w:p>
        </w:tc>
        <w:tc>
          <w:tcPr>
            <w:tcW w:w="740" w:type="dxa"/>
            <w:vAlign w:val="bottom"/>
          </w:tcPr>
          <w:p>
            <w:pPr>
              <w:jc w:val="center"/>
              <w:ind w:right="42"/>
              <w:spacing w:after="0" w:line="104" w:lineRule="exact"/>
              <w:rPr>
                <w:sz w:val="20"/>
                <w:szCs w:val="20"/>
                <w:color w:val="auto"/>
              </w:rPr>
            </w:pPr>
            <w:r>
              <w:rPr>
                <w:rFonts w:ascii="Arial" w:cs="Arial" w:eastAsia="Arial" w:hAnsi="Arial"/>
                <w:sz w:val="10"/>
                <w:szCs w:val="10"/>
                <w:b w:val="1"/>
                <w:bCs w:val="1"/>
                <w:color w:val="auto"/>
              </w:rPr>
              <w:t>Unitholders’</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Units</w:t>
            </w:r>
          </w:p>
        </w:tc>
        <w:tc>
          <w:tcPr>
            <w:tcW w:w="7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Units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Units</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Units</w:t>
            </w: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Deficit)</w:t>
            </w:r>
          </w:p>
        </w:tc>
        <w:tc>
          <w:tcPr>
            <w:tcW w:w="9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Income (Loss)</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2"/>
                <w:szCs w:val="12"/>
                <w:color w:val="auto"/>
              </w:rPr>
            </w:pPr>
          </w:p>
        </w:tc>
        <w:tc>
          <w:tcPr>
            <w:tcW w:w="740" w:type="dxa"/>
            <w:vAlign w:val="bottom"/>
          </w:tcPr>
          <w:p>
            <w:pPr>
              <w:jc w:val="center"/>
              <w:ind w:right="42"/>
              <w:spacing w:after="0"/>
              <w:rPr>
                <w:sz w:val="20"/>
                <w:szCs w:val="20"/>
                <w:color w:val="auto"/>
              </w:rPr>
            </w:pPr>
            <w:r>
              <w:rPr>
                <w:rFonts w:ascii="Arial" w:cs="Arial" w:eastAsia="Arial" w:hAnsi="Arial"/>
                <w:sz w:val="10"/>
                <w:szCs w:val="10"/>
                <w:b w:val="1"/>
                <w:bCs w:val="1"/>
                <w:color w:val="auto"/>
              </w:rPr>
              <w:t>Capital</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20"/>
                <w:szCs w:val="20"/>
                <w:color w:val="auto"/>
              </w:rPr>
            </w:pPr>
            <w:r>
              <w:rPr>
                <w:rFonts w:ascii="Arial" w:cs="Arial" w:eastAsia="Arial" w:hAnsi="Arial"/>
                <w:sz w:val="12"/>
                <w:szCs w:val="12"/>
                <w:color w:val="auto"/>
              </w:rPr>
              <w:t>Unitholders’ capital as of December 31, 2023</w:t>
            </w:r>
          </w:p>
        </w:tc>
        <w:tc>
          <w:tcPr>
            <w:tcW w:w="6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109,199</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50,916</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23"/>
              <w:spacing w:after="0"/>
              <w:rPr>
                <w:sz w:val="20"/>
                <w:szCs w:val="20"/>
                <w:color w:val="auto"/>
              </w:rPr>
            </w:pPr>
            <w:r>
              <w:rPr>
                <w:rFonts w:ascii="Arial" w:cs="Arial" w:eastAsia="Arial" w:hAnsi="Arial"/>
                <w:sz w:val="12"/>
                <w:szCs w:val="12"/>
                <w:color w:val="auto"/>
              </w:rPr>
              <w:t>173,669</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226,915</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w w:val="97"/>
              </w:rPr>
              <w:t>$ 1,529,909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334,314</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(13,096)</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333,195</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2,584,906</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20"/>
                <w:szCs w:val="20"/>
                <w:color w:val="auto"/>
              </w:rPr>
            </w:pPr>
            <w:r>
              <w:rPr>
                <w:rFonts w:ascii="Arial" w:cs="Arial" w:eastAsia="Arial" w:hAnsi="Arial"/>
                <w:sz w:val="12"/>
                <w:szCs w:val="12"/>
                <w:color w:val="auto"/>
              </w:rPr>
              <w:t>Activity for the six months ended: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Deconsolidation of Oaktree Capital I</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14,122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(283,685)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(269,563)</w:t>
            </w: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Net issuance of units</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Unit exchange</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7,174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Capital contributions</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37,500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37,500</w:t>
            </w:r>
          </w:p>
        </w:tc>
        <w:tc>
          <w:tcPr>
            <w:tcW w:w="0" w:type="dxa"/>
            <w:vAlign w:val="bottom"/>
          </w:tcPr>
          <w:p>
            <w:pPr>
              <w:spacing w:after="0"/>
              <w:rPr>
                <w:sz w:val="1"/>
                <w:szCs w:val="1"/>
                <w:color w:val="auto"/>
              </w:rPr>
            </w:pPr>
          </w:p>
        </w:tc>
      </w:tr>
      <w:tr>
        <w:trPr>
          <w:trHeight w:val="130"/>
        </w:trPr>
        <w:tc>
          <w:tcPr>
            <w:tcW w:w="3860" w:type="dxa"/>
            <w:vAlign w:val="bottom"/>
          </w:tcPr>
          <w:p>
            <w:pPr>
              <w:ind w:left="320"/>
              <w:spacing w:after="0" w:line="130" w:lineRule="exact"/>
              <w:rPr>
                <w:sz w:val="20"/>
                <w:szCs w:val="20"/>
                <w:color w:val="auto"/>
              </w:rPr>
            </w:pPr>
            <w:r>
              <w:rPr>
                <w:rFonts w:ascii="Arial" w:cs="Arial" w:eastAsia="Arial" w:hAnsi="Arial"/>
                <w:sz w:val="12"/>
                <w:szCs w:val="12"/>
                <w:color w:val="auto"/>
              </w:rPr>
              <w:t>Equity reallocation between controlling and non-controlling</w:t>
            </w:r>
          </w:p>
        </w:tc>
        <w:tc>
          <w:tcPr>
            <w:tcW w:w="7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
              <w:spacing w:after="0" w:line="130" w:lineRule="exact"/>
              <w:rPr>
                <w:sz w:val="20"/>
                <w:szCs w:val="20"/>
                <w:color w:val="auto"/>
              </w:rPr>
            </w:pPr>
            <w:r>
              <w:rPr>
                <w:rFonts w:ascii="Arial" w:cs="Arial" w:eastAsia="Arial" w:hAnsi="Arial"/>
                <w:sz w:val="12"/>
                <w:szCs w:val="12"/>
                <w:color w:val="auto"/>
              </w:rPr>
              <w:t>33,948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(34,219)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2"/>
                <w:szCs w:val="12"/>
                <w:color w:val="auto"/>
              </w:rPr>
              <w:t>(271)</w:t>
            </w:r>
          </w:p>
        </w:tc>
        <w:tc>
          <w:tcPr>
            <w:tcW w:w="0" w:type="dxa"/>
            <w:vAlign w:val="bottom"/>
          </w:tcPr>
          <w:p>
            <w:pPr>
              <w:spacing w:after="0"/>
              <w:rPr>
                <w:sz w:val="1"/>
                <w:szCs w:val="1"/>
                <w:color w:val="auto"/>
              </w:rPr>
            </w:pPr>
          </w:p>
        </w:tc>
      </w:tr>
      <w:tr>
        <w:trPr>
          <w:trHeight w:val="159"/>
        </w:trPr>
        <w:tc>
          <w:tcPr>
            <w:tcW w:w="3860" w:type="dxa"/>
            <w:vAlign w:val="bottom"/>
          </w:tcPr>
          <w:p>
            <w:pPr>
              <w:ind w:left="320"/>
              <w:spacing w:after="0"/>
              <w:rPr>
                <w:sz w:val="20"/>
                <w:szCs w:val="20"/>
                <w:color w:val="auto"/>
              </w:rPr>
            </w:pPr>
            <w:r>
              <w:rPr>
                <w:rFonts w:ascii="Arial" w:cs="Arial" w:eastAsia="Arial" w:hAnsi="Arial"/>
                <w:sz w:val="12"/>
                <w:szCs w:val="12"/>
                <w:color w:val="auto"/>
              </w:rPr>
              <w:t>interests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320"/>
              <w:spacing w:after="0"/>
              <w:rPr>
                <w:sz w:val="20"/>
                <w:szCs w:val="20"/>
                <w:color w:val="auto"/>
              </w:rPr>
            </w:pPr>
            <w:r>
              <w:rPr>
                <w:rFonts w:ascii="Arial" w:cs="Arial" w:eastAsia="Arial" w:hAnsi="Arial"/>
                <w:sz w:val="12"/>
                <w:szCs w:val="12"/>
                <w:color w:val="auto"/>
              </w:rPr>
              <w:t>Distributions declared</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(8,943)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(11,544)</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(182,942)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(68,689)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(272,118)</w:t>
            </w:r>
          </w:p>
        </w:tc>
        <w:tc>
          <w:tcPr>
            <w:tcW w:w="0" w:type="dxa"/>
            <w:vAlign w:val="bottom"/>
          </w:tcPr>
          <w:p>
            <w:pPr>
              <w:spacing w:after="0"/>
              <w:rPr>
                <w:sz w:val="1"/>
                <w:szCs w:val="1"/>
                <w:color w:val="auto"/>
              </w:rPr>
            </w:pPr>
          </w:p>
        </w:tc>
      </w:tr>
      <w:tr>
        <w:trPr>
          <w:trHeight w:val="168"/>
        </w:trPr>
        <w:tc>
          <w:tcPr>
            <w:tcW w:w="386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00" w:type="dxa"/>
            <w:vAlign w:val="bottom"/>
          </w:tcPr>
          <w:p>
            <w:pPr>
              <w:jc w:val="right"/>
              <w:ind w:right="23"/>
              <w:spacing w:after="0"/>
              <w:rPr>
                <w:sz w:val="20"/>
                <w:szCs w:val="20"/>
                <w:color w:val="auto"/>
              </w:rPr>
            </w:pPr>
            <w:r>
              <w:rPr>
                <w:rFonts w:ascii="Arial" w:cs="Arial" w:eastAsia="Arial" w:hAnsi="Arial"/>
                <w:sz w:val="12"/>
                <w:szCs w:val="12"/>
                <w:color w:val="auto"/>
              </w:rPr>
              <w:t>8,943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11,544</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151,522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62,081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234,090</w:t>
            </w:r>
          </w:p>
        </w:tc>
        <w:tc>
          <w:tcPr>
            <w:tcW w:w="0" w:type="dxa"/>
            <w:vAlign w:val="bottom"/>
          </w:tcPr>
          <w:p>
            <w:pPr>
              <w:spacing w:after="0"/>
              <w:rPr>
                <w:sz w:val="1"/>
                <w:szCs w:val="1"/>
                <w:color w:val="auto"/>
              </w:rPr>
            </w:pPr>
          </w:p>
        </w:tc>
      </w:tr>
      <w:tr>
        <w:trPr>
          <w:trHeight w:val="174"/>
        </w:trPr>
        <w:tc>
          <w:tcPr>
            <w:tcW w:w="3860" w:type="dxa"/>
            <w:vAlign w:val="bottom"/>
          </w:tcPr>
          <w:p>
            <w:pPr>
              <w:ind w:left="320"/>
              <w:spacing w:after="0"/>
              <w:rPr>
                <w:sz w:val="20"/>
                <w:szCs w:val="20"/>
                <w:color w:val="auto"/>
              </w:rPr>
            </w:pPr>
            <w:r>
              <w:rPr>
                <w:rFonts w:ascii="Arial" w:cs="Arial" w:eastAsia="Arial" w:hAnsi="Arial"/>
                <w:sz w:val="12"/>
                <w:szCs w:val="12"/>
                <w:color w:val="auto"/>
              </w:rPr>
              <w:t>Foreign currency translation adjustment, net of tax</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(1,501)</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20"/>
                <w:szCs w:val="20"/>
                <w:color w:val="auto"/>
              </w:rPr>
            </w:pPr>
            <w:r>
              <w:rPr>
                <w:rFonts w:ascii="Arial" w:cs="Arial" w:eastAsia="Arial" w:hAnsi="Arial"/>
                <w:sz w:val="12"/>
                <w:szCs w:val="12"/>
                <w:color w:val="auto"/>
              </w:rPr>
              <w:t>Unitholders’ capital as of September 30, 2024</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116,373</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43,772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2"/>
                <w:szCs w:val="12"/>
                <w:color w:val="auto"/>
              </w:rPr>
              <w:t>173,669</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226,915</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w w:val="97"/>
              </w:rPr>
              <w:t>$ 1,601,357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302,894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8,208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2,313,043</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Please see accompanying notes to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used in these condensed consolidated financial statements:</w:t>
      </w:r>
    </w:p>
    <w:p>
      <w:pPr>
        <w:spacing w:after="0" w:line="165" w:lineRule="exact"/>
        <w:rPr>
          <w:sz w:val="20"/>
          <w:szCs w:val="20"/>
          <w:color w:val="auto"/>
        </w:rPr>
      </w:pPr>
    </w:p>
    <w:p>
      <w:pPr>
        <w:ind w:left="620" w:right="840"/>
        <w:spacing w:after="0" w:line="435" w:lineRule="auto"/>
        <w:rPr>
          <w:sz w:val="20"/>
          <w:szCs w:val="20"/>
          <w:color w:val="auto"/>
        </w:rPr>
      </w:pPr>
      <w:r>
        <w:rPr>
          <w:rFonts w:ascii="Arial" w:cs="Arial" w:eastAsia="Arial" w:hAnsi="Arial"/>
          <w:sz w:val="17"/>
          <w:szCs w:val="17"/>
          <w:color w:val="auto"/>
        </w:rPr>
        <w:t>“Oaktree” refers to the Oaktree Operating Group members and, where applicable, their respective subsidiaries and affiliates; and the “Company” refers to Brookfield Oaktree Holdings, LLC and, where applicable, its subsidiaries and affiliates.</w:t>
      </w:r>
    </w:p>
    <w:p>
      <w:pPr>
        <w:ind w:right="120" w:firstLine="619"/>
        <w:spacing w:after="0" w:line="246" w:lineRule="auto"/>
        <w:rPr>
          <w:sz w:val="20"/>
          <w:szCs w:val="20"/>
          <w:color w:val="auto"/>
        </w:rPr>
      </w:pPr>
      <w:r>
        <w:rPr>
          <w:rFonts w:ascii="Arial" w:cs="Arial" w:eastAsia="Arial" w:hAnsi="Arial"/>
          <w:sz w:val="17"/>
          <w:szCs w:val="17"/>
          <w:color w:val="auto"/>
        </w:rPr>
        <w:t>The Company holds Credit, Real Estate and Equity investments managed by leading alternative asset management firms Oaktree Capital Management, L.P. and Brookfield Asset Management Ltd. The Company both directly invests in funds and has indirect exposure through its equity method investment in Oaktree Capital I, L.P. (“Oaktree Capital I”), which as of September 30, 2025, represented an approximately 74% economic interest in Oaktree Capital I, which acts as or controls the general partner of certain Oaktree funds and which holds a majority of Oaktree’s investments in its funds.</w:t>
      </w:r>
    </w:p>
    <w:p>
      <w:pPr>
        <w:spacing w:after="0" w:line="120"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The Company is a Delaware limited liability company that was formed on April 13, 2007 under the name of Oaktree Capital Group, LLC. The Company’s issued and outstanding member interests are divided into certain classes and series of units. The Company’s outstanding units are</w:t>
      </w:r>
    </w:p>
    <w:p>
      <w:pPr>
        <w:ind w:right="20"/>
        <w:spacing w:after="0" w:line="241" w:lineRule="auto"/>
        <w:rPr>
          <w:sz w:val="20"/>
          <w:szCs w:val="20"/>
          <w:color w:val="auto"/>
        </w:rPr>
      </w:pPr>
      <w:r>
        <w:rPr>
          <w:rFonts w:ascii="Arial" w:cs="Arial" w:eastAsia="Arial" w:hAnsi="Arial"/>
          <w:sz w:val="17"/>
          <w:szCs w:val="17"/>
          <w:color w:val="auto"/>
        </w:rPr>
        <w:t>held by (i) an affiliate of Brookfield Corporation (formerly known as Brookfield Asset Management, Inc.) (“Brookfield”) as the sole holder of the Company’s Class A common units, (ii) preferred unitholders as the holders of Series A and Series B preferred units listed on the NYSE, which represent only the right to receive certain distributions from the Company and such other rights as are specified in the relevant preferred unit designations, and (iii) Oaktree Capital Group Holdings, L.P. (“OCGH”) as the sole holder of the Company’s Class B common units, which units do not represent an economic interest in the Company. OCGH is owned by Oaktree’s senior executives, current and former Oaktree employees, and their respective transferees (collectively,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w:t>
      </w:r>
    </w:p>
    <w:p>
      <w:pPr>
        <w:spacing w:after="0" w:line="125" w:lineRule="exact"/>
        <w:rPr>
          <w:sz w:val="20"/>
          <w:szCs w:val="20"/>
          <w:color w:val="auto"/>
        </w:rPr>
      </w:pPr>
    </w:p>
    <w:p>
      <w:pPr>
        <w:ind w:right="20" w:firstLine="619"/>
        <w:spacing w:after="0" w:line="242" w:lineRule="auto"/>
        <w:rPr>
          <w:sz w:val="20"/>
          <w:szCs w:val="20"/>
          <w:color w:val="auto"/>
        </w:rPr>
      </w:pPr>
      <w:r>
        <w:rPr>
          <w:rFonts w:ascii="Arial" w:cs="Arial" w:eastAsia="Arial" w:hAnsi="Arial"/>
          <w:sz w:val="17"/>
          <w:szCs w:val="17"/>
          <w:color w:val="auto"/>
        </w:rPr>
        <w:t>The Company’s ownership and operational structure through September 30, 2025 were the result of (i) certain mergers with affiliates of Brookfield completed on September 30, 2019 (the “Mergers”) and the subsequent restructuring completed on October 1, 2019 in connection with the Mergers (the “2019 Restructuring”), (ii) the restructuring completed on November 30, 2022 in connection with an internal Oaktree reorganization to facilitate the separation of Brookfield’s capital business and asset management business (the “2022 Restructuring”) and (iii) the restructuring</w:t>
      </w:r>
    </w:p>
    <w:p>
      <w:pPr>
        <w:spacing w:after="0" w:line="1" w:lineRule="exact"/>
        <w:rPr>
          <w:sz w:val="20"/>
          <w:szCs w:val="20"/>
          <w:color w:val="auto"/>
        </w:rPr>
      </w:pPr>
    </w:p>
    <w:p>
      <w:pPr>
        <w:ind w:right="380"/>
        <w:spacing w:after="0" w:line="229" w:lineRule="auto"/>
        <w:rPr>
          <w:sz w:val="20"/>
          <w:szCs w:val="20"/>
          <w:color w:val="auto"/>
        </w:rPr>
      </w:pPr>
      <w:r>
        <w:rPr>
          <w:rFonts w:ascii="Arial" w:cs="Arial" w:eastAsia="Arial" w:hAnsi="Arial"/>
          <w:sz w:val="17"/>
          <w:szCs w:val="17"/>
          <w:color w:val="auto"/>
        </w:rPr>
        <w:t>completed on July 1, 2024 in connection with an internal Oaktree reorganization which resulted in the change of the general partner of Oaktree Capital I, L.P. (“Oaktree Capital I”) from Brookfield OCM Holdings II, LLC, a subsidiary of the Company, to Oaktree Capital I GP, LLC, a newly</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formed subsidiary of Oaktree Capital Holdings, LLC (“OCH”) (the “2024 Restructuring”). 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for more information about the 2022 Restructuring. See Item 8.01 of the Company’s Current Report on Form 8-K filed with the SEC on July 1, 2024 for more information about the 2024 Restructuring.</w:t>
      </w:r>
    </w:p>
    <w:p>
      <w:pPr>
        <w:spacing w:after="0" w:line="124" w:lineRule="exact"/>
        <w:rPr>
          <w:sz w:val="20"/>
          <w:szCs w:val="20"/>
          <w:color w:val="auto"/>
        </w:rPr>
      </w:pPr>
    </w:p>
    <w:p>
      <w:pPr>
        <w:ind w:right="160" w:firstLine="619"/>
        <w:spacing w:after="0" w:line="249" w:lineRule="auto"/>
        <w:rPr>
          <w:sz w:val="20"/>
          <w:szCs w:val="20"/>
          <w:color w:val="auto"/>
        </w:rPr>
      </w:pPr>
      <w:r>
        <w:rPr>
          <w:rFonts w:ascii="Arial" w:cs="Arial" w:eastAsia="Arial" w:hAnsi="Arial"/>
          <w:sz w:val="17"/>
          <w:szCs w:val="17"/>
          <w:color w:val="auto"/>
        </w:rPr>
        <w:t>Following the above restructurings, the Company’s holdings and operations primarily represent (i) limited partner investments in certain of Oaktree’s flagship opportunistic funds, (ii) its equity method investment in Oaktree Capital I, which as of September 30, 2025, represented an approximately 74% economic interest in Oaktree Capital I, which holds a majority of Oaktree’s investments in its funds, and (iii) an indirect ownership interest in Brookfield Real Estate Income Trust Inc. (“Brookfield REIT”).</w:t>
      </w:r>
    </w:p>
    <w:p>
      <w:pPr>
        <w:spacing w:after="0" w:line="117" w:lineRule="exact"/>
        <w:rPr>
          <w:sz w:val="20"/>
          <w:szCs w:val="20"/>
          <w:color w:val="auto"/>
        </w:rPr>
      </w:pPr>
    </w:p>
    <w:p>
      <w:pPr>
        <w:ind w:right="340" w:firstLine="619"/>
        <w:spacing w:after="0" w:line="255" w:lineRule="auto"/>
        <w:rPr>
          <w:sz w:val="20"/>
          <w:szCs w:val="20"/>
          <w:color w:val="auto"/>
        </w:rPr>
      </w:pPr>
      <w:r>
        <w:rPr>
          <w:rFonts w:ascii="Arial" w:cs="Arial" w:eastAsia="Arial" w:hAnsi="Arial"/>
          <w:sz w:val="17"/>
          <w:szCs w:val="17"/>
          <w:color w:val="auto"/>
        </w:rPr>
        <w:t>Oaktree is a leader among global investment managers specializing in alternative investments. Oaktree emphasizes an opportunistic, value-oriented and risk-controlled approach to investments in credit, equity, and real estate. Funds managed by Oaktree (the “Oaktree funds”) include commingled funds, separate accounts, collateralized loan obligation vehicles (“CLOs”) and business development companies (“BDCs”).</w:t>
      </w:r>
    </w:p>
    <w:p>
      <w:pPr>
        <w:spacing w:after="0" w:line="99" w:lineRule="exact"/>
        <w:rPr>
          <w:sz w:val="20"/>
          <w:szCs w:val="20"/>
          <w:color w:val="auto"/>
        </w:rPr>
      </w:pPr>
    </w:p>
    <w:p>
      <w:pPr>
        <w:ind w:right="180" w:firstLine="619"/>
        <w:spacing w:after="0" w:line="255" w:lineRule="auto"/>
        <w:rPr>
          <w:sz w:val="20"/>
          <w:szCs w:val="20"/>
          <w:color w:val="auto"/>
        </w:rPr>
      </w:pPr>
      <w:r>
        <w:rPr>
          <w:rFonts w:ascii="Arial" w:cs="Arial" w:eastAsia="Arial" w:hAnsi="Arial"/>
          <w:sz w:val="17"/>
          <w:szCs w:val="17"/>
          <w:color w:val="auto"/>
        </w:rPr>
        <w:t>Following the 2022 Restructuring and prior to the 2024 Restructuring, the Company’s operations were conducted through an indirect economic interest in Oaktree Capital I, and the Company’s revenue included the incentive income generated by certain funds that OCM manages for which the Company, via Oaktree Capital I,</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acted as general partner and the investment income earned from the investments the Company makes in Oaktree funds, third-party funds and other companies. Investment income during such period generally reflected the investment return on a mark-to-market basis and the Company’s equity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participation on the amounts that it invested in Oaktree and third-party funds</w:t>
      </w:r>
      <w:r>
        <w:rPr>
          <w:rFonts w:ascii="Arial" w:cs="Arial" w:eastAsia="Arial" w:hAnsi="Arial"/>
          <w:sz w:val="20"/>
          <w:szCs w:val="20"/>
          <w:color w:val="auto"/>
        </w:rPr>
        <w:t>.</w:t>
      </w:r>
    </w:p>
    <w:p>
      <w:pPr>
        <w:spacing w:after="0" w:line="133" w:lineRule="exact"/>
        <w:rPr>
          <w:sz w:val="20"/>
          <w:szCs w:val="20"/>
          <w:color w:val="auto"/>
        </w:rPr>
      </w:pPr>
    </w:p>
    <w:p>
      <w:pPr>
        <w:ind w:right="40" w:firstLine="619"/>
        <w:spacing w:after="0" w:line="249" w:lineRule="auto"/>
        <w:rPr>
          <w:sz w:val="20"/>
          <w:szCs w:val="20"/>
          <w:color w:val="auto"/>
        </w:rPr>
      </w:pPr>
      <w:r>
        <w:rPr>
          <w:rFonts w:ascii="Arial" w:cs="Arial" w:eastAsia="Arial" w:hAnsi="Arial"/>
          <w:sz w:val="17"/>
          <w:szCs w:val="17"/>
          <w:color w:val="auto"/>
        </w:rPr>
        <w:t>As a result of the 2024 Restructuring, the Company no longer consolidates the operations of Oaktree Capital I, but rather accounts for its approximately 74% interest in Oaktree Capital I as of September 30, 2025 under the equity method of accounting. The Company’s revenue is primarily the investment income earned from (i) limited partner investments in certain of Oaktree’s flagship opportunistic funds, (ii) an equity method investment in Oaktree Capital I, and (iii) an indirect ownership interest in Brookfield REIT.</w:t>
      </w:r>
    </w:p>
    <w:p>
      <w:pPr>
        <w:spacing w:after="0" w:line="104" w:lineRule="exact"/>
        <w:rPr>
          <w:sz w:val="20"/>
          <w:szCs w:val="20"/>
          <w:color w:val="auto"/>
        </w:rPr>
      </w:pPr>
    </w:p>
    <w:p>
      <w:pPr>
        <w:ind w:right="60" w:firstLine="619"/>
        <w:spacing w:after="0" w:line="274" w:lineRule="auto"/>
        <w:rPr>
          <w:sz w:val="20"/>
          <w:szCs w:val="20"/>
          <w:color w:val="auto"/>
        </w:rPr>
      </w:pPr>
      <w:r>
        <w:rPr>
          <w:rFonts w:ascii="Arial" w:cs="Arial" w:eastAsia="Arial" w:hAnsi="Arial"/>
          <w:sz w:val="17"/>
          <w:szCs w:val="17"/>
          <w:color w:val="auto"/>
        </w:rPr>
        <w:t>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95" w:lineRule="exact"/>
        <w:rPr>
          <w:sz w:val="20"/>
          <w:szCs w:val="20"/>
          <w:color w:val="auto"/>
        </w:rPr>
      </w:pPr>
    </w:p>
    <w:p>
      <w:pPr>
        <w:jc w:val="both"/>
        <w:ind w:right="560" w:firstLine="619"/>
        <w:spacing w:after="0" w:line="255" w:lineRule="auto"/>
        <w:rPr>
          <w:sz w:val="20"/>
          <w:szCs w:val="20"/>
          <w:color w:val="auto"/>
        </w:rPr>
      </w:pPr>
      <w:r>
        <w:rPr>
          <w:rFonts w:ascii="Arial" w:cs="Arial" w:eastAsia="Arial" w:hAnsi="Arial"/>
          <w:sz w:val="17"/>
          <w:szCs w:val="17"/>
          <w:color w:val="auto"/>
        </w:rPr>
        <w:t>OCM, an affiliate of the Company, has since the 2019 Restructuring provided certain administrative and other services relating to the operations of the Company’s business. These services are provided pursuant to a Services Agreement between the Company and OCM (as amended from time to time, the “Services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68"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accompanying unaudited condensed consolidated financial statements are prepared in accordance with accounting principles generally accepted in the United States of America (“GAAP”) for interim financial information. The condensed consolidated financial statements, including these notes, are unaudited and exclude some of the disclosures required in annual financial statements. Management believes it has made all necessary adjustments (consisting of only normal recurring items) such that the condensed consolidated financial statements are presented fairly and that estimates made in preparing its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24"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of the Company for the year ended December 31, 2024 included in the Company’s Annual Report on Form 10-K filed with the SEC on March 20, 2025.</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67"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The preparation of the condensed consolidated financial statements in accordance with GAAP requires the Company to make estimates and assumptions that affect the reported amounts of assets and liabilities as of the date of the condensed consolidated financial statements, as well as the reported amounts of income and expenses during the period then ended. Actual results could differ from these estimates.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80" w:firstLine="3"/>
        <w:spacing w:after="0" w:line="444" w:lineRule="auto"/>
        <w:tabs>
          <w:tab w:leader="none" w:pos="191"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Accounting Policies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w:t>
      </w:r>
    </w:p>
    <w:p>
      <w:pPr>
        <w:spacing w:after="0" w:line="165"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126"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In situations where power over an entity’s most significant activities is shared among related parties, a qualitative analysis is required to determine which party within the related party group is most closely associated with the VIE. The party within the related party group that is most closely associated with the VIE is the primary beneficiary and is required to consolidate and disclose the impact of the VIE.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334"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“Consolidated funds” historically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condensed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122"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As a result of the 2024 Restructuring, the Company no longer controls Oaktree Capital I. Therefore, Oaktree Capital I was deconsolidated as of July 1, 2024. As such, certain Oaktree funds and CLOs 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0" w:firstLine="619"/>
        <w:spacing w:after="0" w:line="290" w:lineRule="auto"/>
        <w:rPr>
          <w:sz w:val="20"/>
          <w:szCs w:val="20"/>
          <w:color w:val="auto"/>
        </w:rPr>
      </w:pPr>
      <w:r>
        <w:rPr>
          <w:rFonts w:ascii="Arial" w:cs="Arial" w:eastAsia="Arial" w:hAnsi="Arial"/>
          <w:sz w:val="17"/>
          <w:szCs w:val="17"/>
          <w:color w:val="auto"/>
        </w:rPr>
        <w:t>Certain entities in which the Company is deemed to have significant influence, including Oaktree Capital I, are accounted for under the equity method of accounting.</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Redeemable Interests in Consolidated Funds</w:t>
      </w:r>
    </w:p>
    <w:p>
      <w:pPr>
        <w:spacing w:after="0" w:line="16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condensed 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 For Oaktree sponsored SPACs, the class A ordinary shareholders have redemption rights that are considered to be outside of the Company’s control. These shares are presented as non-controlling redeemable interests on the Company’s condensed consolidated statements of financial condition.</w:t>
      </w:r>
    </w:p>
    <w:p>
      <w:pPr>
        <w:spacing w:after="0" w:line="124" w:lineRule="exact"/>
        <w:rPr>
          <w:sz w:val="20"/>
          <w:szCs w:val="20"/>
          <w:color w:val="auto"/>
        </w:rPr>
      </w:pPr>
    </w:p>
    <w:p>
      <w:pPr>
        <w:jc w:val="both"/>
        <w:ind w:right="120" w:firstLine="619"/>
        <w:spacing w:after="0" w:line="265" w:lineRule="auto"/>
        <w:rPr>
          <w:sz w:val="20"/>
          <w:szCs w:val="20"/>
          <w:color w:val="auto"/>
        </w:rPr>
      </w:pPr>
      <w:r>
        <w:rPr>
          <w:rFonts w:ascii="Arial" w:cs="Arial" w:eastAsia="Arial" w:hAnsi="Arial"/>
          <w:sz w:val="17"/>
          <w:szCs w:val="17"/>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116"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As a result of the 2024 Restructuring, Oaktree Capital I was deconsolidated as of July 1, 2024. As such, the funds consolidated by Oaktree Capital I are no longer consolidated by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 in Consolidated Subsidiaries</w:t>
      </w:r>
    </w:p>
    <w:p>
      <w:pPr>
        <w:spacing w:after="0" w:line="165" w:lineRule="exact"/>
        <w:rPr>
          <w:sz w:val="20"/>
          <w:szCs w:val="20"/>
          <w:color w:val="auto"/>
        </w:rPr>
      </w:pPr>
    </w:p>
    <w:p>
      <w:pPr>
        <w:ind w:right="300" w:firstLine="619"/>
        <w:spacing w:after="0" w:line="265" w:lineRule="auto"/>
        <w:rPr>
          <w:sz w:val="20"/>
          <w:szCs w:val="20"/>
          <w:color w:val="auto"/>
        </w:rPr>
      </w:pPr>
      <w:r>
        <w:rPr>
          <w:rFonts w:ascii="Arial" w:cs="Arial" w:eastAsia="Arial" w:hAnsi="Arial"/>
          <w:sz w:val="17"/>
          <w:szCs w:val="17"/>
          <w:color w:val="auto"/>
        </w:rPr>
        <w:t>Non-controlling interests in consolidated subsidiaries reflect the portion of unitholders’ capital attributable to OCGH unitholders (“OCGH non-controlling interest”) and third parties. All non-controlling interests in consolidated subsidiaries are attributed a share of income or loss in the respective consolidated subsidiary based on the relative economic interests of the OCGH unitholders or third parties after consideration of contractual arrangements that govern allocations of income or loss.</w:t>
      </w:r>
    </w:p>
    <w:p>
      <w:pPr>
        <w:spacing w:after="0" w:line="116"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As a result of the 2024 Restructuring, Oaktree Capital I was deconsolidated as of July 1, 2024. BOH no longer reports OCGH non-controlling interests in Oaktree Capital I.</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6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Financial assets and liabilities measured and reported at fair value are classified as follows:</w:t>
      </w:r>
    </w:p>
    <w:p>
      <w:pPr>
        <w:spacing w:after="0" w:line="165" w:lineRule="exact"/>
        <w:rPr>
          <w:sz w:val="20"/>
          <w:szCs w:val="20"/>
          <w:color w:val="auto"/>
        </w:rPr>
      </w:pPr>
    </w:p>
    <w:p>
      <w:pPr>
        <w:ind w:left="620" w:right="260" w:firstLine="309"/>
        <w:spacing w:after="0" w:line="290" w:lineRule="auto"/>
        <w:rPr>
          <w:sz w:val="20"/>
          <w:szCs w:val="20"/>
          <w:color w:val="auto"/>
        </w:rPr>
      </w:pPr>
      <w:r>
        <w:rPr>
          <w:rFonts w:ascii="Arial" w:cs="Arial" w:eastAsia="Arial" w:hAnsi="Arial"/>
          <w:sz w:val="17"/>
          <w:szCs w:val="17"/>
          <w:color w:val="auto"/>
        </w:rPr>
        <w:t>• Level I – Quoted unadjusted prices for identical instruments in active markets to which the Company has access at the date of measurement. The types of investments in Level I include exchange-traded equities, debt and derivatives with quoted prices.</w:t>
      </w:r>
    </w:p>
    <w:p>
      <w:pPr>
        <w:spacing w:after="0" w:line="95" w:lineRule="exact"/>
        <w:rPr>
          <w:sz w:val="20"/>
          <w:szCs w:val="20"/>
          <w:color w:val="auto"/>
        </w:rPr>
      </w:pPr>
    </w:p>
    <w:p>
      <w:pPr>
        <w:ind w:left="620" w:right="220" w:firstLine="311"/>
        <w:spacing w:after="0" w:line="271" w:lineRule="auto"/>
        <w:tabs>
          <w:tab w:leader="none" w:pos="1234"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in which all significant inputs are directly or indirectly observable. Level II inputs include interest rates, yield curves, volatilities,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right="140"/>
        <w:spacing w:after="0" w:line="271" w:lineRule="auto"/>
        <w:rPr>
          <w:sz w:val="20"/>
          <w:szCs w:val="20"/>
          <w:color w:val="auto"/>
        </w:rPr>
      </w:pPr>
      <w:r>
        <w:rPr>
          <w:rFonts w:ascii="Arial" w:cs="Arial" w:eastAsia="Arial" w:hAnsi="Arial"/>
          <w:sz w:val="17"/>
          <w:szCs w:val="17"/>
          <w:color w:val="auto"/>
        </w:rPr>
        <w:t>prepayment risks, loss severities, credit risks and default rates. The types of investments in Level II generally include corporate bonds and loans, government and agency securities, less liquid and restricted equity investments, over-the-counter traded derivatives, and other investments where the fair value is based on observable inputs.</w:t>
      </w:r>
    </w:p>
    <w:p>
      <w:pPr>
        <w:spacing w:after="0" w:line="111" w:lineRule="exact"/>
        <w:rPr>
          <w:sz w:val="20"/>
          <w:szCs w:val="20"/>
          <w:color w:val="auto"/>
        </w:rPr>
      </w:pPr>
    </w:p>
    <w:p>
      <w:pPr>
        <w:jc w:val="both"/>
        <w:ind w:left="620" w:right="60" w:firstLine="311"/>
        <w:spacing w:after="0" w:line="265" w:lineRule="auto"/>
        <w:tabs>
          <w:tab w:leader="none" w:pos="1234"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III – Valuations for which one or more significant inputs are unobservable. These inputs reflect the Company’s assessment of the 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spacing w:after="0" w:line="116" w:lineRule="exact"/>
        <w:rPr>
          <w:sz w:val="20"/>
          <w:szCs w:val="20"/>
          <w:color w:val="auto"/>
        </w:rPr>
      </w:pPr>
    </w:p>
    <w:p>
      <w:pPr>
        <w:ind w:right="280" w:firstLine="619"/>
        <w:spacing w:after="0" w:line="260" w:lineRule="auto"/>
        <w:rPr>
          <w:sz w:val="20"/>
          <w:szCs w:val="20"/>
          <w:color w:val="auto"/>
        </w:rPr>
      </w:pPr>
      <w:r>
        <w:rPr>
          <w:rFonts w:ascii="Arial" w:cs="Arial" w:eastAsia="Arial" w:hAnsi="Arial"/>
          <w:sz w:val="17"/>
          <w:szCs w:val="17"/>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122" w:lineRule="exact"/>
        <w:rPr>
          <w:sz w:val="20"/>
          <w:szCs w:val="20"/>
          <w:color w:val="auto"/>
        </w:rPr>
      </w:pPr>
    </w:p>
    <w:p>
      <w:pPr>
        <w:ind w:right="120" w:firstLine="619"/>
        <w:spacing w:after="0" w:line="256" w:lineRule="auto"/>
        <w:rPr>
          <w:sz w:val="20"/>
          <w:szCs w:val="20"/>
          <w:color w:val="auto"/>
        </w:rPr>
      </w:pPr>
      <w:r>
        <w:rPr>
          <w:rFonts w:ascii="Arial" w:cs="Arial" w:eastAsia="Arial" w:hAnsi="Arial"/>
          <w:sz w:val="17"/>
          <w:szCs w:val="17"/>
          <w:color w:val="auto"/>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13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 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165" w:lineRule="exact"/>
        <w:rPr>
          <w:sz w:val="20"/>
          <w:szCs w:val="20"/>
          <w:color w:val="auto"/>
        </w:rPr>
      </w:pPr>
    </w:p>
    <w:p>
      <w:pPr>
        <w:ind w:right="320" w:firstLine="619"/>
        <w:spacing w:after="0" w:line="262" w:lineRule="auto"/>
        <w:rPr>
          <w:sz w:val="20"/>
          <w:szCs w:val="20"/>
          <w:color w:val="auto"/>
        </w:rPr>
      </w:pPr>
      <w:r>
        <w:rPr>
          <w:rFonts w:ascii="Arial" w:cs="Arial" w:eastAsia="Arial" w:hAnsi="Arial"/>
          <w:sz w:val="17"/>
          <w:szCs w:val="17"/>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condensed consolidated statements of financial condition. 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condensed consolidated statements of operations. Interest income of CLOs is included in interest and dividend income, and interest expense and other expenses, respectively, are included in interest expense and consolidated fund expenses in the condensed consolidated statements of operations. Changes in the fair value of a CLO’s financial liabilities in accordance with the CLO measurement guidance are included in net change in unrealized appreciation (depreciation) on consolidated funds’ investments in the condensed consolidated statements of operations. Please see notes 6 and 8 for more information. Subsequent to the 2024 Restructuring, the Company no longer consolidates the CLOs due to the deconsolidation of Oaktree Capital I and as a result, changes in the fair value of the CLOs’ financial liabilities are not included in the condensed consolidated statements of operations for periods subsequent to July 1, 2024.</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165" w:lineRule="exact"/>
        <w:rPr>
          <w:sz w:val="20"/>
          <w:szCs w:val="20"/>
          <w:color w:val="auto"/>
        </w:rPr>
      </w:pPr>
    </w:p>
    <w:p>
      <w:pPr>
        <w:ind w:right="140" w:firstLine="619"/>
        <w:spacing w:after="0" w:line="265" w:lineRule="auto"/>
        <w:rPr>
          <w:sz w:val="20"/>
          <w:szCs w:val="20"/>
          <w:color w:val="auto"/>
        </w:rPr>
      </w:pPr>
      <w:r>
        <w:rPr>
          <w:rFonts w:ascii="Arial" w:cs="Arial" w:eastAsia="Arial" w:hAnsi="Arial"/>
          <w:sz w:val="17"/>
          <w:szCs w:val="17"/>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116"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 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 rates, and (b) interest-rate swaps to manage all or a portion of the interest-rate risk associated with its variable-rate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124" w:lineRule="exact"/>
        <w:rPr>
          <w:sz w:val="20"/>
          <w:szCs w:val="20"/>
          <w:color w:val="auto"/>
        </w:rPr>
      </w:pPr>
    </w:p>
    <w:p>
      <w:pPr>
        <w:ind w:right="20" w:firstLine="619"/>
        <w:spacing w:after="0" w:line="260" w:lineRule="auto"/>
        <w:rPr>
          <w:sz w:val="20"/>
          <w:szCs w:val="20"/>
          <w:color w:val="auto"/>
        </w:rPr>
      </w:pPr>
      <w:r>
        <w:rPr>
          <w:rFonts w:ascii="Arial" w:cs="Arial" w:eastAsia="Arial" w:hAnsi="Arial"/>
          <w:sz w:val="17"/>
          <w:szCs w:val="17"/>
          <w:color w:val="auto"/>
        </w:rPr>
        <w:t>The Company recognizes all derivatives as assets or liabilities in its condensed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w:t>
      </w:r>
    </w:p>
    <w:p>
      <w:pPr>
        <w:spacing w:after="0" w:line="122"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119" w:lineRule="exact"/>
        <w:rPr>
          <w:sz w:val="20"/>
          <w:szCs w:val="20"/>
          <w:color w:val="auto"/>
        </w:rPr>
      </w:pPr>
    </w:p>
    <w:p>
      <w:pPr>
        <w:ind w:right="2740" w:firstLine="619"/>
        <w:spacing w:after="0" w:line="290" w:lineRule="auto"/>
        <w:rPr>
          <w:sz w:val="20"/>
          <w:szCs w:val="20"/>
          <w:color w:val="auto"/>
        </w:rPr>
      </w:pPr>
      <w:r>
        <w:rPr>
          <w:rFonts w:ascii="Arial" w:cs="Arial" w:eastAsia="Arial" w:hAnsi="Arial"/>
          <w:sz w:val="17"/>
          <w:szCs w:val="17"/>
          <w:color w:val="auto"/>
        </w:rPr>
        <w:t>Subsequent to the 2024 Restructuring and deconsolidation of Oaktree Capital I, the Company no longer records activity related to derivative and hedging activity.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ind w:right="320" w:firstLine="619"/>
        <w:spacing w:after="0" w:line="290" w:lineRule="auto"/>
        <w:rPr>
          <w:sz w:val="20"/>
          <w:szCs w:val="20"/>
          <w:color w:val="auto"/>
        </w:rPr>
      </w:pPr>
      <w:r>
        <w:rPr>
          <w:rFonts w:ascii="Arial" w:cs="Arial" w:eastAsia="Arial" w:hAnsi="Arial"/>
          <w:sz w:val="17"/>
          <w:szCs w:val="17"/>
          <w:color w:val="auto"/>
        </w:rPr>
        <w:t>Cash and cash-equivalents include demand deposit accounts, money market funds, and other short-term investments with maturities of three months or less at the date of acquisition.</w:t>
      </w:r>
    </w:p>
    <w:p>
      <w:pPr>
        <w:spacing w:after="0" w:line="95" w:lineRule="exact"/>
        <w:rPr>
          <w:sz w:val="20"/>
          <w:szCs w:val="20"/>
          <w:color w:val="auto"/>
        </w:rPr>
      </w:pPr>
    </w:p>
    <w:p>
      <w:pPr>
        <w:ind w:right="240" w:firstLine="619"/>
        <w:spacing w:after="0" w:line="290" w:lineRule="auto"/>
        <w:rPr>
          <w:sz w:val="20"/>
          <w:szCs w:val="20"/>
          <w:color w:val="auto"/>
        </w:rPr>
      </w:pPr>
      <w:r>
        <w:rPr>
          <w:rFonts w:ascii="Arial" w:cs="Arial" w:eastAsia="Arial" w:hAnsi="Arial"/>
          <w:sz w:val="17"/>
          <w:szCs w:val="17"/>
          <w:color w:val="auto"/>
        </w:rPr>
        <w:t>At September 30, 2025 and December 31, 2024, the Company had cash balances with financial institutions in excess of Federal Deposit Insurance Corporation insured limits. The Company monitors the credit standing of these financial institutions.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Corporate investments have historically consisted of investments in funds, companies in which the Company does not have a controlling</w:t>
      </w:r>
    </w:p>
    <w:p>
      <w:pPr>
        <w:spacing w:after="0" w:line="3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financial interest, equities received as part of our sponsorship of SPACs, and non-investment grade debt securities. Prior to the 2024 Restructuring, these investments largely represented investments held by Oaktree Capital I. As a result of the 2024 Restructuring, the Company no longer consolidates Oaktree Capital I and instead, it accounts for its interest in Oaktree Capital I under the equity method of accounting. The carrying value of BOH’s investment in Oaktree Capital I is reflected in Corporate investments. Additionally, Corporate investments also includes the Company’s indirect ownership in Brookfield REIT.</w:t>
      </w:r>
    </w:p>
    <w:p>
      <w:pPr>
        <w:spacing w:after="0" w:line="133"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Investments for which the Company is deemed to have significant influence are accounted for under the equity method of accounting and have historically reflected the Company’s ownership interest in each fund or company. In the case of investments for which the Company is not deemed to have significant influence or control, the fair value option of accounting has been elected. Oaktree Capital I’s underlying general partnership interests are substantially illiquid. While Oaktree Capital I’s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24" w:lineRule="exact"/>
        <w:rPr>
          <w:sz w:val="20"/>
          <w:szCs w:val="20"/>
          <w:color w:val="auto"/>
        </w:rPr>
      </w:pPr>
    </w:p>
    <w:p>
      <w:pPr>
        <w:ind w:right="440" w:firstLine="619"/>
        <w:spacing w:after="0" w:line="290" w:lineRule="auto"/>
        <w:rPr>
          <w:sz w:val="20"/>
          <w:szCs w:val="20"/>
          <w:color w:val="auto"/>
        </w:rPr>
      </w:pPr>
      <w:r>
        <w:rPr>
          <w:rFonts w:ascii="Arial" w:cs="Arial" w:eastAsia="Arial" w:hAnsi="Arial"/>
          <w:sz w:val="17"/>
          <w:szCs w:val="17"/>
          <w:color w:val="auto"/>
        </w:rPr>
        <w:t>Non-investment grade debt securities include domestic and international corporate fixed and floating rate debt and structured credit investments. These securities are classified as trading and are recorded at fair value with changes in fair value included in investment income.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Income</w:t>
      </w:r>
    </w:p>
    <w:p>
      <w:pPr>
        <w:spacing w:after="0" w:line="153" w:lineRule="exact"/>
        <w:rPr>
          <w:sz w:val="20"/>
          <w:szCs w:val="20"/>
          <w:color w:val="auto"/>
        </w:rPr>
      </w:pPr>
    </w:p>
    <w:p>
      <w:pPr>
        <w:ind w:right="100" w:firstLine="619"/>
        <w:spacing w:after="0" w:line="261" w:lineRule="auto"/>
        <w:rPr>
          <w:sz w:val="20"/>
          <w:szCs w:val="20"/>
          <w:color w:val="auto"/>
        </w:rPr>
      </w:pPr>
      <w:r>
        <w:rPr>
          <w:rFonts w:ascii="Arial" w:cs="Arial" w:eastAsia="Arial" w:hAnsi="Arial"/>
          <w:sz w:val="17"/>
          <w:szCs w:val="17"/>
          <w:color w:val="auto"/>
        </w:rPr>
        <w:t>Prior to the 2024 Restructuring, the Company earned incentive income from the investment advisory services provided to its customers by Oaktree Capital I. Revenue was recognized when control of the promised services was transferred to customers in an amount that reflects the</w:t>
      </w:r>
    </w:p>
    <w:p>
      <w:pPr>
        <w:ind w:right="180"/>
        <w:spacing w:after="0" w:line="274" w:lineRule="auto"/>
        <w:rPr>
          <w:sz w:val="20"/>
          <w:szCs w:val="20"/>
          <w:color w:val="auto"/>
        </w:rPr>
      </w:pPr>
      <w:r>
        <w:rPr>
          <w:rFonts w:ascii="Arial" w:cs="Arial" w:eastAsia="Arial" w:hAnsi="Arial"/>
          <w:sz w:val="17"/>
          <w:szCs w:val="17"/>
          <w:color w:val="auto"/>
        </w:rPr>
        <w:t>consideration the Company expects to receive in exchange for those services. These services are generally capable of being distinct and each is accounted for as separate performance obligations comprised of distinct service periods because the services are performed over time.</w:t>
      </w:r>
    </w:p>
    <w:p>
      <w:pPr>
        <w:spacing w:after="0" w:line="108"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 (b) 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 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128" w:lineRule="exact"/>
        <w:rPr>
          <w:sz w:val="20"/>
          <w:szCs w:val="20"/>
          <w:color w:val="auto"/>
        </w:rPr>
      </w:pPr>
    </w:p>
    <w:p>
      <w:pPr>
        <w:ind w:right="220" w:firstLine="619"/>
        <w:spacing w:after="0" w:line="265" w:lineRule="auto"/>
        <w:rPr>
          <w:sz w:val="20"/>
          <w:szCs w:val="20"/>
          <w:color w:val="auto"/>
        </w:rPr>
      </w:pPr>
      <w:r>
        <w:rPr>
          <w:rFonts w:ascii="Arial" w:cs="Arial" w:eastAsia="Arial" w:hAnsi="Arial"/>
          <w:sz w:val="17"/>
          <w:szCs w:val="17"/>
          <w:color w:val="auto"/>
        </w:rPr>
        <w:t>Incentives received by Oaktree Capital I before the revenue recognition criteria have been met are deferred and recorded as a deferred incentive income liability within accounts payable, accrued expenses and other liabilities in the condensed consolidated statements of financial condition. Oaktree Capital I may have received tax distributions related to taxable income allocated by funds, which are treated as an advance of incentive income and subject to the same recognition criteria. Tax distributions are contractually not subject to clawback.</w:t>
      </w:r>
    </w:p>
    <w:p>
      <w:pPr>
        <w:spacing w:after="0" w:line="116"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Oaktree Capital I may have earned incentive income upon deconsolidation of a SPAC arising from the completion of a merger with an identified target. Upon deconsolidation, Oaktree Capital I derecognizes the net assets of the entity and records any gain or loss related to the remeasurement of its investments to fair value as incentive income in its condensed consolidated statements of operations. Subsequent fair value changes in Oaktree Capital I’s investments held in the entity were recorded in investment income in its condensed consolidated statements of operations.</w:t>
      </w:r>
    </w:p>
    <w:p>
      <w:pPr>
        <w:spacing w:after="0" w:line="106"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Rather the economics resulting from Oaktree Capital I’s right to earn incentive income are reflected in the Company’s results through investment income earned from its equity method investment in Oaktree Capital I.</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records investment income (loss) from its equity method investments which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represents the Company’s pro-rata share of income or loss from these investments, or the change in fair value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investment, as applicable, and consists of both unrealized and realized gains and losses.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(loss) is realized when the Company sells all or a portion of its investments or when the Company receives or is due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cash income. Unrealized investment income (loss) results from the proportionate share of the investments’</w:t>
      </w:r>
    </w:p>
    <w:p>
      <w:pPr>
        <w:spacing w:after="0" w:line="1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unrealized earnings, including changes in the fair value of the underlying investments. The cash distributions from the Company’s equity investments are classified based the nature of the underlying transaction which resulted in the distribution. Cash distributions that are determined to be realized gains (losses) are included in Cash Flows from</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85"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Operating Activities and distributions that are returns of capital are included in the Cash Flows from Investing Activities section of the Consolidated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65"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Compensation and benefits has historically reflected incentive income compensation expense, which primarily reflected compensation directly related to incentive income, which generally consists of percentage interests (sometimes referred to as “points” or an allocation of 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 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 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133"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and therefore will no longer record incentive compensation expense. Compensation and benefits following the 2024 Restructuring primarily reflects compensation to the Company’s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Company is a publicly traded partnership. Because it satisfies the qualifying income test, it is not required to be treated as a corporation for U.S. federal and state income tax purposes; rather it is taxed as a partnership.</w:t>
      </w:r>
    </w:p>
    <w:p>
      <w:pPr>
        <w:spacing w:after="0" w:line="9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spacing w:after="0" w:line="116"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11" w:lineRule="exact"/>
        <w:rPr>
          <w:sz w:val="20"/>
          <w:szCs w:val="20"/>
          <w:color w:val="auto"/>
        </w:rPr>
      </w:pPr>
    </w:p>
    <w:p>
      <w:pPr>
        <w:jc w:val="both"/>
        <w:ind w:right="180" w:firstLine="619"/>
        <w:spacing w:after="0" w:line="271" w:lineRule="auto"/>
        <w:rPr>
          <w:sz w:val="20"/>
          <w:szCs w:val="20"/>
          <w:color w:val="auto"/>
        </w:rPr>
      </w:pPr>
      <w:r>
        <w:rPr>
          <w:rFonts w:ascii="Arial" w:cs="Arial" w:eastAsia="Arial" w:hAnsi="Arial"/>
          <w:sz w:val="17"/>
          <w:szCs w:val="17"/>
          <w:color w:val="auto"/>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6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Comprehensive income (loss) consists of net income (loss) and other gains and losses affecting unitholders’ capital that are excluded from net income (loss). Other gains and losses result from foreign-currency translation adjustments, net of tax.</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Following the 2024 Restructuring and the deconsolidation of Oaktree Capital I, the Company is generally not subject to direct foreign-currency translation adjustments.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 of Consolidated Funds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Transactions and Income Recognition</w:t>
      </w:r>
    </w:p>
    <w:p>
      <w:pPr>
        <w:spacing w:after="0" w:line="165" w:lineRule="exact"/>
        <w:rPr>
          <w:sz w:val="20"/>
          <w:szCs w:val="20"/>
          <w:color w:val="auto"/>
        </w:rPr>
      </w:pPr>
    </w:p>
    <w:p>
      <w:pPr>
        <w:ind w:right="20" w:firstLine="619"/>
        <w:spacing w:after="0" w:line="261" w:lineRule="auto"/>
        <w:rPr>
          <w:sz w:val="20"/>
          <w:szCs w:val="20"/>
          <w:color w:val="auto"/>
        </w:rPr>
      </w:pPr>
      <w:r>
        <w:rPr>
          <w:rFonts w:ascii="Arial" w:cs="Arial" w:eastAsia="Arial" w:hAnsi="Arial"/>
          <w:sz w:val="17"/>
          <w:szCs w:val="17"/>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right="60" w:firstLine="619"/>
        <w:spacing w:after="0" w:line="260" w:lineRule="auto"/>
        <w:rPr>
          <w:sz w:val="20"/>
          <w:szCs w:val="20"/>
          <w:color w:val="auto"/>
        </w:rPr>
      </w:pPr>
      <w:r>
        <w:rPr>
          <w:rFonts w:ascii="Arial" w:cs="Arial" w:eastAsia="Arial" w:hAnsi="Arial"/>
          <w:sz w:val="17"/>
          <w:szCs w:val="17"/>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65"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Investments denominated in non-U.S. currencies are recorded in the condensed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condensed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Cash-equivalents</w:t>
      </w:r>
    </w:p>
    <w:p>
      <w:pPr>
        <w:spacing w:after="0" w:line="165" w:lineRule="exact"/>
        <w:rPr>
          <w:sz w:val="20"/>
          <w:szCs w:val="20"/>
          <w:color w:val="auto"/>
        </w:rPr>
      </w:pPr>
    </w:p>
    <w:p>
      <w:pPr>
        <w:jc w:val="both"/>
        <w:ind w:right="40" w:firstLine="619"/>
        <w:spacing w:after="0" w:line="265" w:lineRule="auto"/>
        <w:rPr>
          <w:sz w:val="20"/>
          <w:szCs w:val="20"/>
          <w:color w:val="auto"/>
        </w:rPr>
      </w:pPr>
      <w:r>
        <w:rPr>
          <w:rFonts w:ascii="Arial" w:cs="Arial" w:eastAsia="Arial" w:hAnsi="Arial"/>
          <w:sz w:val="17"/>
          <w:szCs w:val="17"/>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 for Investments Sold</w:t>
      </w:r>
    </w:p>
    <w:p>
      <w:pPr>
        <w:spacing w:after="0" w:line="165" w:lineRule="exact"/>
        <w:rPr>
          <w:sz w:val="20"/>
          <w:szCs w:val="20"/>
          <w:color w:val="auto"/>
        </w:rPr>
      </w:pPr>
    </w:p>
    <w:p>
      <w:pPr>
        <w:ind w:right="340" w:firstLine="619"/>
        <w:spacing w:after="0" w:line="271" w:lineRule="auto"/>
        <w:rPr>
          <w:sz w:val="20"/>
          <w:szCs w:val="20"/>
          <w:color w:val="auto"/>
        </w:rPr>
      </w:pPr>
      <w:r>
        <w:rPr>
          <w:rFonts w:ascii="Arial" w:cs="Arial" w:eastAsia="Arial" w:hAnsi="Arial"/>
          <w:sz w:val="17"/>
          <w:szCs w:val="17"/>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condensed consolidated statements of financial condition at fair value, with unrealized gains and losses resulting from changes in fair value reflected as a component of net change in unrealized appreciation (depreciation) on consolidated funds’ investments in the condensed consolidated statements of operations. Fair value is the amount that would be received to sell an asset or paid to transfer a liability in an orderly transaction between market participants at the measurement date (i.e., the exit price).</w:t>
      </w:r>
    </w:p>
    <w:p>
      <w:pPr>
        <w:spacing w:after="0" w:line="122"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Exchange-traded Investments</w:t>
      </w:r>
    </w:p>
    <w:p>
      <w:pPr>
        <w:spacing w:after="0" w:line="16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condensed consolidated statements of financial condition and results of operations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Credit-oriented Investments (including Real Estate Loan Portfolios)</w:t>
      </w:r>
    </w:p>
    <w:p>
      <w:pPr>
        <w:spacing w:after="0" w:line="163"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111"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Non-publicly Traded Equity and Real Estate Investments</w:t>
      </w:r>
    </w:p>
    <w:p>
      <w:pPr>
        <w:spacing w:after="0" w:line="163"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22" w:lineRule="exact"/>
        <w:rPr>
          <w:sz w:val="20"/>
          <w:szCs w:val="20"/>
          <w:color w:val="auto"/>
        </w:rPr>
      </w:pPr>
    </w:p>
    <w:p>
      <w:pPr>
        <w:ind w:right="60" w:firstLine="619"/>
        <w:spacing w:after="0" w:line="265" w:lineRule="auto"/>
        <w:rPr>
          <w:sz w:val="20"/>
          <w:szCs w:val="20"/>
          <w:color w:val="auto"/>
        </w:rPr>
      </w:pPr>
      <w:r>
        <w:rPr>
          <w:rFonts w:ascii="Arial" w:cs="Arial" w:eastAsia="Arial" w:hAnsi="Arial"/>
          <w:sz w:val="17"/>
          <w:szCs w:val="17"/>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116"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Sold Short</w:t>
      </w:r>
    </w:p>
    <w:p>
      <w:pPr>
        <w:spacing w:after="0" w:line="165" w:lineRule="exact"/>
        <w:rPr>
          <w:sz w:val="20"/>
          <w:szCs w:val="20"/>
          <w:color w:val="auto"/>
        </w:rPr>
      </w:pPr>
    </w:p>
    <w:p>
      <w:pPr>
        <w:ind w:right="240" w:firstLine="619"/>
        <w:spacing w:after="0" w:line="265" w:lineRule="auto"/>
        <w:rPr>
          <w:sz w:val="20"/>
          <w:szCs w:val="20"/>
          <w:color w:val="auto"/>
        </w:rPr>
      </w:pPr>
      <w:r>
        <w:rPr>
          <w:rFonts w:ascii="Arial" w:cs="Arial" w:eastAsia="Arial" w:hAnsi="Arial"/>
          <w:sz w:val="17"/>
          <w:szCs w:val="17"/>
          <w:color w:val="auto"/>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condensed consolidated statements of financial condition.</w:t>
      </w:r>
    </w:p>
    <w:p>
      <w:pPr>
        <w:spacing w:after="0" w:line="116"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Securities sold short are recorded at fair value, with the resulting change in value reflected as a component of net change in unrealized appreciation (depreciation) on consolidated funds’ investments in the condensed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condensed consolidated statements of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w:t>
      </w:r>
    </w:p>
    <w:p>
      <w:pPr>
        <w:spacing w:after="0" w:line="165"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116"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condensed consolidated statements of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Total-return Swaps</w:t>
      </w:r>
    </w:p>
    <w:p>
      <w:pPr>
        <w:spacing w:after="0" w:line="165" w:lineRule="exact"/>
        <w:rPr>
          <w:sz w:val="20"/>
          <w:szCs w:val="20"/>
          <w:color w:val="auto"/>
        </w:rPr>
      </w:pPr>
    </w:p>
    <w:p>
      <w:pPr>
        <w:ind w:right="400" w:firstLine="619"/>
        <w:spacing w:after="0" w:line="271" w:lineRule="auto"/>
        <w:rPr>
          <w:sz w:val="20"/>
          <w:szCs w:val="20"/>
          <w:color w:val="auto"/>
        </w:rPr>
      </w:pPr>
      <w:r>
        <w:rPr>
          <w:rFonts w:ascii="Arial" w:cs="Arial" w:eastAsia="Arial" w:hAnsi="Arial"/>
          <w:sz w:val="17"/>
          <w:szCs w:val="17"/>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Due From Brokers</w:t>
      </w:r>
    </w:p>
    <w:p>
      <w:pPr>
        <w:spacing w:after="0" w:line="165"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Due from brokers represents cash owned by the consolidated funds and cash collateral on deposit with brokers and counterparties that are used as collateral for the consolidated funds’ securities and swaps.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6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spacing w:after="0" w:line="127"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spacing w:after="0" w:line="119"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spacing w:after="0" w:line="116" w:lineRule="exact"/>
        <w:rPr>
          <w:sz w:val="20"/>
          <w:szCs w:val="20"/>
          <w:color w:val="auto"/>
        </w:rPr>
      </w:pPr>
    </w:p>
    <w:p>
      <w:pPr>
        <w:ind w:right="80" w:firstLine="619"/>
        <w:spacing w:after="0" w:line="256" w:lineRule="auto"/>
        <w:rPr>
          <w:sz w:val="20"/>
          <w:szCs w:val="20"/>
          <w:color w:val="auto"/>
        </w:rPr>
      </w:pPr>
      <w:r>
        <w:rPr>
          <w:rFonts w:ascii="Arial" w:cs="Arial" w:eastAsia="Arial" w:hAnsi="Arial"/>
          <w:sz w:val="17"/>
          <w:szCs w:val="17"/>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660"/>
        <w:spacing w:after="0" w:line="271" w:lineRule="auto"/>
        <w:rPr>
          <w:sz w:val="20"/>
          <w:szCs w:val="20"/>
          <w:color w:val="auto"/>
        </w:rPr>
      </w:pPr>
      <w:r>
        <w:rPr>
          <w:rFonts w:ascii="Arial" w:cs="Arial" w:eastAsia="Arial" w:hAnsi="Arial"/>
          <w:sz w:val="17"/>
          <w:szCs w:val="17"/>
          <w:color w:val="auto"/>
        </w:rPr>
        <w:t>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spacing w:after="0" w:line="111"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2024 Restructuring</w:t>
      </w:r>
    </w:p>
    <w:p>
      <w:pPr>
        <w:spacing w:after="0" w:line="232" w:lineRule="exact"/>
        <w:rPr>
          <w:sz w:val="20"/>
          <w:szCs w:val="20"/>
          <w:color w:val="auto"/>
        </w:rPr>
      </w:pPr>
    </w:p>
    <w:p>
      <w:pPr>
        <w:ind w:right="440" w:firstLine="619"/>
        <w:spacing w:after="0" w:line="274" w:lineRule="auto"/>
        <w:rPr>
          <w:sz w:val="20"/>
          <w:szCs w:val="20"/>
          <w:color w:val="auto"/>
        </w:rPr>
      </w:pPr>
      <w:r>
        <w:rPr>
          <w:rFonts w:ascii="Arial" w:cs="Arial" w:eastAsia="Arial" w:hAnsi="Arial"/>
          <w:sz w:val="17"/>
          <w:szCs w:val="17"/>
          <w:color w:val="auto"/>
        </w:rPr>
        <w:t>As a result of the 2024 Restructuring and the deconsolidation of Oaktree Capital I, certain accounts related to Oaktree Capital I are no longer included in the Company’s consolidated financial statements. The effects of the 2024 Restructuring are summarized as follows:</w:t>
      </w:r>
    </w:p>
    <w:p>
      <w:pPr>
        <w:spacing w:after="0" w:line="172" w:lineRule="exact"/>
        <w:rPr>
          <w:sz w:val="20"/>
          <w:szCs w:val="20"/>
          <w:color w:val="auto"/>
        </w:rPr>
      </w:pPr>
    </w:p>
    <w:p>
      <w:pPr>
        <w:ind w:left="620" w:right="100" w:hanging="307"/>
        <w:spacing w:after="0" w:line="274"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economic interest in Oaktree Capital I is accounted for as an equity method investment, and the Company records its pro-rata share of Oaktree Capital I’s net income as investment income.</w:t>
      </w:r>
    </w:p>
    <w:p>
      <w:pPr>
        <w:spacing w:after="0" w:line="172" w:lineRule="exact"/>
        <w:rPr>
          <w:rFonts w:ascii="Arial" w:cs="Arial" w:eastAsia="Arial" w:hAnsi="Arial"/>
          <w:sz w:val="17"/>
          <w:szCs w:val="17"/>
          <w:color w:val="auto"/>
        </w:rPr>
      </w:pPr>
    </w:p>
    <w:p>
      <w:pPr>
        <w:ind w:left="620" w:right="60" w:hanging="307"/>
        <w:spacing w:after="0" w:line="25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incentive income consisted primarily of fees earned from funds managed by Oaktree Capital I. Subsequent to the 2024 Restructuring, the Company no longer earns incentive income. The Company’s proportionate share of incentive income earned by Oaktree Capital I is included as a component of investment income.</w:t>
      </w:r>
    </w:p>
    <w:p>
      <w:pPr>
        <w:spacing w:after="0" w:line="176" w:lineRule="exact"/>
        <w:rPr>
          <w:rFonts w:ascii="Arial" w:cs="Arial" w:eastAsia="Arial" w:hAnsi="Arial"/>
          <w:sz w:val="17"/>
          <w:szCs w:val="17"/>
          <w:color w:val="auto"/>
        </w:rPr>
      </w:pPr>
    </w:p>
    <w:p>
      <w:pPr>
        <w:ind w:left="620" w:right="480" w:hanging="307"/>
        <w:spacing w:after="0" w:line="25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Incentive compensation expense primarily reflected compensation directly related to incentive income. Subsequent to the 2024 Restructuring, the Company no longer recognizes incentive compensation expense, as it no longer earns the corresponding incentive income.</w:t>
      </w:r>
    </w:p>
    <w:p>
      <w:pPr>
        <w:spacing w:after="0" w:line="189"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funds and CLOs that were previously consolidated by Oaktree Capital I are no longer consolidated by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67" w:lineRule="exact"/>
        <w:rPr>
          <w:sz w:val="20"/>
          <w:szCs w:val="20"/>
          <w:color w:val="auto"/>
        </w:rPr>
      </w:pPr>
    </w:p>
    <w:p>
      <w:pPr>
        <w:jc w:val="both"/>
        <w:ind w:right="60" w:firstLine="619"/>
        <w:spacing w:after="0" w:line="271" w:lineRule="auto"/>
        <w:rPr>
          <w:sz w:val="20"/>
          <w:szCs w:val="20"/>
          <w:color w:val="auto"/>
        </w:rPr>
      </w:pPr>
      <w:r>
        <w:rPr>
          <w:rFonts w:ascii="Arial" w:cs="Arial" w:eastAsia="Arial" w:hAnsi="Arial"/>
          <w:sz w:val="17"/>
          <w:szCs w:val="17"/>
          <w:color w:val="auto"/>
        </w:rPr>
        <w:t>Beginning in the third quarter of 2024, investment income (loss) and interest and dividend income have been recorded within revenues and interest expense has been recorded within expenses on the condensed consolidated statements of operations. The Company has reclassified prior period amounts to conform to the current year presentation.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Developments</w:t>
      </w:r>
    </w:p>
    <w:p>
      <w:pPr>
        <w:spacing w:after="0" w:line="155" w:lineRule="exact"/>
        <w:rPr>
          <w:sz w:val="20"/>
          <w:szCs w:val="20"/>
          <w:color w:val="auto"/>
        </w:rPr>
      </w:pPr>
    </w:p>
    <w:p>
      <w:pPr>
        <w:jc w:val="both"/>
        <w:ind w:right="40" w:firstLine="619"/>
        <w:spacing w:after="0" w:line="239" w:lineRule="auto"/>
        <w:rPr>
          <w:sz w:val="20"/>
          <w:szCs w:val="20"/>
          <w:color w:val="auto"/>
        </w:rPr>
      </w:pPr>
      <w:r>
        <w:rPr>
          <w:rFonts w:ascii="Arial" w:cs="Arial" w:eastAsia="Arial" w:hAnsi="Arial"/>
          <w:sz w:val="17"/>
          <w:szCs w:val="17"/>
          <w:color w:val="auto"/>
        </w:rPr>
        <w:t>In December 2023, the FASB issued ASU 2023-09, Improvements to Income Tax Disclosures, which enhances existing annual income tax disclosures, primarily disaggregation of: (i) effective tax rate reconciliation using both percentages and amounts into specific categories, with further</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 refunds received). The ASU also eliminates existing disclosures related to: (a) reasonably possible significant changes in total amount of unrecognized tax benefits within 12 months of reporting date; and (b) cumulative amount of each type of temporary difference for which deferred tax</w:t>
      </w:r>
    </w:p>
    <w:p>
      <w:pPr>
        <w:spacing w:after="0" w:line="2"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liability has not been recognized (due to exception to recognizing deferred taxes related to subsidiaries and corporate joint ventures). This ASU is effective January 1, 2025, with early adoption permitted in the interim or annual periods. Transition is prospective with the option to apply retrospective application. The Company will adopt the ASU on a prospective basis for its annual income tax disclosures for the year ending December 31, 2025 and does not expect this new guidance to have a material impact.</w:t>
      </w:r>
    </w:p>
    <w:p>
      <w:pPr>
        <w:spacing w:after="0" w:line="124" w:lineRule="exact"/>
        <w:rPr>
          <w:sz w:val="20"/>
          <w:szCs w:val="20"/>
          <w:color w:val="auto"/>
        </w:rPr>
      </w:pPr>
    </w:p>
    <w:p>
      <w:pPr>
        <w:ind w:right="20" w:firstLine="619"/>
        <w:spacing w:after="0" w:line="230" w:lineRule="auto"/>
        <w:rPr>
          <w:sz w:val="20"/>
          <w:szCs w:val="20"/>
          <w:color w:val="auto"/>
        </w:rPr>
      </w:pPr>
      <w:r>
        <w:rPr>
          <w:rFonts w:ascii="Arial" w:cs="Arial" w:eastAsia="Arial" w:hAnsi="Arial"/>
          <w:sz w:val="17"/>
          <w:szCs w:val="17"/>
          <w:color w:val="auto"/>
        </w:rPr>
        <w:t>In November 2024, the FASB issued ASU 2024-03, Income Statement - Reporting Comprehensive Income - Expense Disaggregation Disclosures (subtopic 220-40), which requires disclosure of disaggregation of certain relevant expenses included in the statements of operations on an annual and interim basis. ASU 2024-03 will be effective for our annual periods beginning January 1, 2027 and interim periods beginning January 1, 2028. The amendments must be applied retrospectively, and early adoption is permitted. We are currently evaluating the effects of adoption 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REVENUES</w:t>
      </w:r>
    </w:p>
    <w:p>
      <w:pPr>
        <w:spacing w:after="0" w:line="158" w:lineRule="exact"/>
        <w:rPr>
          <w:sz w:val="20"/>
          <w:szCs w:val="20"/>
          <w:color w:val="auto"/>
        </w:rPr>
      </w:pPr>
    </w:p>
    <w:p>
      <w:pPr>
        <w:ind w:right="20" w:firstLine="619"/>
        <w:spacing w:after="0" w:line="246" w:lineRule="auto"/>
        <w:rPr>
          <w:sz w:val="20"/>
          <w:szCs w:val="20"/>
          <w:color w:val="auto"/>
        </w:rPr>
      </w:pPr>
      <w:r>
        <w:rPr>
          <w:rFonts w:ascii="Arial" w:cs="Arial" w:eastAsia="Arial" w:hAnsi="Arial"/>
          <w:sz w:val="17"/>
          <w:szCs w:val="17"/>
          <w:color w:val="auto"/>
        </w:rPr>
        <w:t>Prior to the 2024 Restructuring, the Company earned incentive income generated by funds</w:t>
      </w:r>
      <w:r>
        <w:rPr>
          <w:rFonts w:ascii="Arial" w:cs="Arial" w:eastAsia="Arial" w:hAnsi="Arial"/>
          <w:sz w:val="20"/>
          <w:szCs w:val="20"/>
          <w:color w:val="008080"/>
        </w:rPr>
        <w:t>,</w:t>
      </w:r>
      <w:r>
        <w:rPr>
          <w:rFonts w:ascii="Arial" w:cs="Arial" w:eastAsia="Arial" w:hAnsi="Arial"/>
          <w:sz w:val="17"/>
          <w:szCs w:val="17"/>
          <w:color w:val="auto"/>
        </w:rPr>
        <w:t xml:space="preserve"> for which Oaktree Capital I served as general partner. These revenues were affected by economic factors related to the asset class composition of the holdings and the contractual terms such as the basis for calculating the incentive income and investors’ ability to redeem. As a result of the 2024 Restructuring, incentive income is no longer recognized by the Company due to the deconsolidation of Oaktree Capital I. The Company’s proportionate share of incentive income earned by Oaktree Capital I is included as a component of investment income.</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Incentive income revenues by fund structure are set forth below.</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2"/>
                <w:szCs w:val="12"/>
                <w:b w:val="1"/>
                <w:bCs w:val="1"/>
                <w:color w:val="auto"/>
              </w:rPr>
              <w:t>Three months ended September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2"/>
                <w:szCs w:val="12"/>
                <w:b w:val="1"/>
                <w:bCs w:val="1"/>
                <w:color w:val="auto"/>
              </w:rPr>
              <w:t>Nine months ended September 30,</w:t>
            </w:r>
          </w:p>
        </w:tc>
      </w:tr>
      <w:tr>
        <w:trPr>
          <w:trHeight w:val="162"/>
        </w:trPr>
        <w:tc>
          <w:tcPr>
            <w:tcW w:w="1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2025</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2024</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2024</w:t>
            </w:r>
          </w:p>
        </w:tc>
      </w:tr>
      <w:tr>
        <w:trPr>
          <w:trHeight w:val="137"/>
        </w:trPr>
        <w:tc>
          <w:tcPr>
            <w:tcW w:w="1120" w:type="dxa"/>
            <w:vAlign w:val="bottom"/>
            <w:tcBorders>
              <w:bottom w:val="single" w:sz="8" w:color="auto"/>
            </w:tcBorders>
          </w:tcPr>
          <w:p>
            <w:pPr>
              <w:spacing w:after="0" w:line="137" w:lineRule="exact"/>
              <w:rPr>
                <w:sz w:val="20"/>
                <w:szCs w:val="20"/>
                <w:color w:val="auto"/>
              </w:rPr>
            </w:pPr>
            <w:r>
              <w:rPr>
                <w:rFonts w:ascii="Arial" w:cs="Arial" w:eastAsia="Arial" w:hAnsi="Arial"/>
                <w:sz w:val="14"/>
                <w:szCs w:val="14"/>
                <w:b w:val="1"/>
                <w:bCs w:val="1"/>
                <w:color w:val="auto"/>
                <w:w w:val="96"/>
              </w:rPr>
              <w:t>Incentive Income</w:t>
            </w:r>
          </w:p>
        </w:tc>
        <w:tc>
          <w:tcPr>
            <w:tcW w:w="4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5"/>
                <w:szCs w:val="15"/>
                <w:color w:val="auto"/>
              </w:rPr>
              <w:t>Closed-end</w:t>
            </w:r>
          </w:p>
        </w:tc>
        <w:tc>
          <w:tcPr>
            <w:tcW w:w="920" w:type="dxa"/>
            <w:vAlign w:val="bottom"/>
          </w:tcPr>
          <w:p>
            <w:pPr>
              <w:jc w:val="right"/>
              <w:ind w:right="731"/>
              <w:spacing w:after="0"/>
              <w:rPr>
                <w:sz w:val="20"/>
                <w:szCs w:val="20"/>
                <w:color w:val="auto"/>
              </w:rPr>
            </w:pPr>
            <w:r>
              <w:rPr>
                <w:rFonts w:ascii="Arial" w:cs="Arial" w:eastAsia="Arial" w:hAnsi="Arial"/>
                <w:sz w:val="15"/>
                <w:szCs w:val="15"/>
                <w:color w:val="auto"/>
              </w:rPr>
              <w:t>$</w:t>
            </w:r>
          </w:p>
        </w:tc>
        <w:tc>
          <w:tcPr>
            <w:tcW w:w="5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08"/>
              <w:spacing w:after="0"/>
              <w:rPr>
                <w:sz w:val="20"/>
                <w:szCs w:val="20"/>
                <w:color w:val="auto"/>
              </w:rPr>
            </w:pPr>
            <w:r>
              <w:rPr>
                <w:rFonts w:ascii="Arial" w:cs="Arial" w:eastAsia="Arial" w:hAnsi="Arial"/>
                <w:sz w:val="15"/>
                <w:szCs w:val="15"/>
                <w:color w:val="auto"/>
                <w:w w:val="95"/>
              </w:rPr>
              <w:t>$</w:t>
            </w:r>
          </w:p>
        </w:tc>
        <w:tc>
          <w:tcPr>
            <w:tcW w:w="5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112,497</w:t>
            </w:r>
          </w:p>
        </w:tc>
      </w:tr>
      <w:tr>
        <w:trPr>
          <w:trHeight w:val="207"/>
        </w:trPr>
        <w:tc>
          <w:tcPr>
            <w:tcW w:w="5440" w:type="dxa"/>
            <w:vAlign w:val="bottom"/>
            <w:gridSpan w:val="2"/>
          </w:tcPr>
          <w:p>
            <w:pPr>
              <w:spacing w:after="0"/>
              <w:rPr>
                <w:sz w:val="20"/>
                <w:szCs w:val="20"/>
                <w:color w:val="auto"/>
              </w:rPr>
            </w:pPr>
            <w:r>
              <w:rPr>
                <w:rFonts w:ascii="Arial" w:cs="Arial" w:eastAsia="Arial" w:hAnsi="Arial"/>
                <w:sz w:val="15"/>
                <w:szCs w:val="15"/>
                <w:color w:val="auto"/>
              </w:rPr>
              <w:t>Evergreen</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5,032</w:t>
            </w:r>
          </w:p>
        </w:tc>
      </w:tr>
      <w:tr>
        <w:trPr>
          <w:trHeight w:val="200"/>
        </w:trPr>
        <w:tc>
          <w:tcPr>
            <w:tcW w:w="544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920" w:type="dxa"/>
            <w:vAlign w:val="bottom"/>
          </w:tcPr>
          <w:p>
            <w:pPr>
              <w:jc w:val="right"/>
              <w:ind w:right="731"/>
              <w:spacing w:after="0"/>
              <w:rPr>
                <w:sz w:val="20"/>
                <w:szCs w:val="20"/>
                <w:color w:val="auto"/>
              </w:rPr>
            </w:pPr>
            <w:r>
              <w:rPr>
                <w:rFonts w:ascii="Arial" w:cs="Arial" w:eastAsia="Arial" w:hAnsi="Arial"/>
                <w:sz w:val="15"/>
                <w:szCs w:val="15"/>
                <w:color w:val="auto"/>
              </w:rPr>
              <w:t>$</w:t>
            </w:r>
          </w:p>
        </w:tc>
        <w:tc>
          <w:tcPr>
            <w:tcW w:w="5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08"/>
              <w:spacing w:after="0"/>
              <w:rPr>
                <w:sz w:val="20"/>
                <w:szCs w:val="20"/>
                <w:color w:val="auto"/>
              </w:rPr>
            </w:pPr>
            <w:r>
              <w:rPr>
                <w:rFonts w:ascii="Arial" w:cs="Arial" w:eastAsia="Arial" w:hAnsi="Arial"/>
                <w:sz w:val="15"/>
                <w:szCs w:val="15"/>
                <w:color w:val="auto"/>
                <w:w w:val="95"/>
              </w:rPr>
              <w:t>$</w:t>
            </w:r>
          </w:p>
        </w:tc>
        <w:tc>
          <w:tcPr>
            <w:tcW w:w="52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4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117,529</w:t>
            </w:r>
          </w:p>
        </w:tc>
      </w:tr>
      <w:tr>
        <w:trPr>
          <w:trHeight w:val="20"/>
        </w:trPr>
        <w:tc>
          <w:tcPr>
            <w:tcW w:w="11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560" w:firstLine="619"/>
        <w:spacing w:after="0" w:line="268" w:lineRule="auto"/>
        <w:rPr>
          <w:sz w:val="20"/>
          <w:szCs w:val="20"/>
          <w:color w:val="auto"/>
        </w:rPr>
      </w:pPr>
      <w:r>
        <w:rPr>
          <w:rFonts w:ascii="Arial" w:cs="Arial" w:eastAsia="Arial" w:hAnsi="Arial"/>
          <w:sz w:val="17"/>
          <w:szCs w:val="17"/>
          <w:color w:val="auto"/>
        </w:rPr>
        <w:t>Additionally, the Company earns investment income from the investments the Company makes in its investment in Oaktree Capital I, Oaktree funds, third-party funds and other companies. Revenues by investment types are set forth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 September 30,</w:t>
            </w:r>
          </w:p>
        </w:tc>
        <w:tc>
          <w:tcPr>
            <w:tcW w:w="280" w:type="dxa"/>
            <w:vAlign w:val="bottom"/>
          </w:tcPr>
          <w:p>
            <w:pPr>
              <w:spacing w:after="0"/>
              <w:rPr>
                <w:sz w:val="14"/>
                <w:szCs w:val="14"/>
                <w:color w:val="auto"/>
              </w:rPr>
            </w:pPr>
          </w:p>
        </w:tc>
        <w:tc>
          <w:tcPr>
            <w:tcW w:w="2580" w:type="dxa"/>
            <w:vAlign w:val="bottom"/>
            <w:gridSpan w:val="4"/>
          </w:tcPr>
          <w:p>
            <w:pPr>
              <w:jc w:val="right"/>
              <w:ind w:right="366"/>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Investment Income (Loss)</w:t>
            </w:r>
          </w:p>
        </w:tc>
        <w:tc>
          <w:tcPr>
            <w:tcW w:w="3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2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8"/>
              <w:spacing w:after="0"/>
              <w:rPr>
                <w:sz w:val="20"/>
                <w:szCs w:val="20"/>
                <w:color w:val="auto"/>
              </w:rPr>
            </w:pPr>
            <w:r>
              <w:rPr>
                <w:rFonts w:ascii="Arial" w:cs="Arial" w:eastAsia="Arial" w:hAnsi="Arial"/>
                <w:sz w:val="15"/>
                <w:szCs w:val="15"/>
                <w:color w:val="auto"/>
              </w:rPr>
              <w:t>2,723</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3,847</w:t>
            </w:r>
          </w:p>
        </w:tc>
        <w:tc>
          <w:tcPr>
            <w:tcW w:w="2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(797)</w:t>
            </w:r>
          </w:p>
        </w:tc>
        <w:tc>
          <w:tcPr>
            <w:tcW w:w="2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27,398</w:t>
            </w:r>
          </w:p>
        </w:tc>
        <w:tc>
          <w:tcPr>
            <w:tcW w:w="0" w:type="dxa"/>
            <w:vAlign w:val="bottom"/>
          </w:tcPr>
          <w:p>
            <w:pPr>
              <w:spacing w:after="0"/>
              <w:rPr>
                <w:sz w:val="1"/>
                <w:szCs w:val="1"/>
                <w:color w:val="auto"/>
              </w:rPr>
            </w:pPr>
          </w:p>
        </w:tc>
      </w:tr>
      <w:tr>
        <w:trPr>
          <w:trHeight w:val="206"/>
        </w:trPr>
        <w:tc>
          <w:tcPr>
            <w:tcW w:w="532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26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5"/>
                <w:szCs w:val="15"/>
                <w:color w:val="auto"/>
              </w:rPr>
              <w:t>36,598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21,432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5"/>
                <w:szCs w:val="15"/>
                <w:color w:val="auto"/>
              </w:rPr>
              <w:t>43,903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20,972</w:t>
            </w:r>
          </w:p>
        </w:tc>
        <w:tc>
          <w:tcPr>
            <w:tcW w:w="0" w:type="dxa"/>
            <w:vAlign w:val="bottom"/>
          </w:tcPr>
          <w:p>
            <w:pPr>
              <w:spacing w:after="0"/>
              <w:rPr>
                <w:sz w:val="1"/>
                <w:szCs w:val="1"/>
                <w:color w:val="auto"/>
              </w:rPr>
            </w:pPr>
          </w:p>
        </w:tc>
      </w:tr>
      <w:tr>
        <w:trPr>
          <w:trHeight w:val="207"/>
        </w:trPr>
        <w:tc>
          <w:tcPr>
            <w:tcW w:w="5320" w:type="dxa"/>
            <w:vAlign w:val="bottom"/>
            <w:gridSpan w:val="2"/>
          </w:tcPr>
          <w:p>
            <w:pPr>
              <w:spacing w:after="0"/>
              <w:rPr>
                <w:sz w:val="20"/>
                <w:szCs w:val="20"/>
                <w:color w:val="auto"/>
              </w:rPr>
            </w:pPr>
            <w:r>
              <w:rPr>
                <w:rFonts w:ascii="Arial" w:cs="Arial" w:eastAsia="Arial" w:hAnsi="Arial"/>
                <w:sz w:val="15"/>
                <w:szCs w:val="15"/>
                <w:color w:val="auto"/>
              </w:rPr>
              <w:t>Other investments, at fair value</w:t>
            </w: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11,663</w:t>
            </w:r>
          </w:p>
        </w:tc>
        <w:tc>
          <w:tcPr>
            <w:tcW w:w="0" w:type="dxa"/>
            <w:vAlign w:val="bottom"/>
          </w:tcPr>
          <w:p>
            <w:pPr>
              <w:spacing w:after="0"/>
              <w:rPr>
                <w:sz w:val="1"/>
                <w:szCs w:val="1"/>
                <w:color w:val="auto"/>
              </w:rPr>
            </w:pPr>
          </w:p>
        </w:tc>
      </w:tr>
      <w:tr>
        <w:trPr>
          <w:trHeight w:val="200"/>
        </w:trPr>
        <w:tc>
          <w:tcPr>
            <w:tcW w:w="5320" w:type="dxa"/>
            <w:vAlign w:val="bottom"/>
            <w:gridSpan w:val="2"/>
          </w:tcPr>
          <w:p>
            <w:pPr>
              <w:spacing w:after="0"/>
              <w:rPr>
                <w:sz w:val="20"/>
                <w:szCs w:val="20"/>
                <w:color w:val="auto"/>
              </w:rPr>
            </w:pPr>
            <w:r>
              <w:rPr>
                <w:rFonts w:ascii="Arial" w:cs="Arial" w:eastAsia="Arial" w:hAnsi="Arial"/>
                <w:sz w:val="15"/>
                <w:szCs w:val="15"/>
                <w:color w:val="auto"/>
              </w:rPr>
              <w:t>Total investment income</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rPr>
              <w:t>39,321</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25,279</w:t>
            </w: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rPr>
              <w:t>43,106</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60,033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VARIABLE INTEREST ENTITIES</w:t>
      </w:r>
    </w:p>
    <w:p>
      <w:pPr>
        <w:spacing w:after="0" w:line="167"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Company consolidates VIEs for which the Company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VIEs</w:t>
      </w:r>
    </w:p>
    <w:p>
      <w:pPr>
        <w:spacing w:after="0" w:line="167" w:lineRule="exact"/>
        <w:rPr>
          <w:sz w:val="20"/>
          <w:szCs w:val="20"/>
          <w:color w:val="auto"/>
        </w:rPr>
      </w:pPr>
    </w:p>
    <w:p>
      <w:pPr>
        <w:ind w:right="720" w:firstLine="619"/>
        <w:spacing w:after="0" w:line="290" w:lineRule="auto"/>
        <w:rPr>
          <w:sz w:val="20"/>
          <w:szCs w:val="20"/>
          <w:color w:val="auto"/>
        </w:rPr>
      </w:pPr>
      <w:r>
        <w:rPr>
          <w:rFonts w:ascii="Arial" w:cs="Arial" w:eastAsia="Arial" w:hAnsi="Arial"/>
          <w:sz w:val="17"/>
          <w:szCs w:val="17"/>
          <w:color w:val="auto"/>
        </w:rPr>
        <w:t>As of September 30, 2025 and December 31, 2024, the Company consolidated 2 VIEs through which interests are held in Oaktree Opportunities Fund XI, L.P. and Oaktree Opportunities Fund XII, L.P. as the Company was the primary beneficiary.</w:t>
      </w:r>
    </w:p>
    <w:p>
      <w:pPr>
        <w:spacing w:after="0" w:line="95" w:lineRule="exact"/>
        <w:rPr>
          <w:sz w:val="20"/>
          <w:szCs w:val="20"/>
          <w:color w:val="auto"/>
        </w:rPr>
      </w:pPr>
    </w:p>
    <w:p>
      <w:pPr>
        <w:jc w:val="both"/>
        <w:ind w:right="200" w:firstLine="619"/>
        <w:spacing w:after="0" w:line="271" w:lineRule="auto"/>
        <w:rPr>
          <w:sz w:val="20"/>
          <w:szCs w:val="20"/>
          <w:color w:val="auto"/>
        </w:rPr>
      </w:pPr>
      <w:r>
        <w:rPr>
          <w:rFonts w:ascii="Arial" w:cs="Arial" w:eastAsia="Arial" w:hAnsi="Arial"/>
          <w:sz w:val="17"/>
          <w:szCs w:val="17"/>
          <w:color w:val="auto"/>
        </w:rPr>
        <w:t>As of September 30, 2025, the assets and liabilities of the 2 consolidated VIEs amounted to $5.3 billion and $1.3 billion, respectively. The assets of these consolidated VIEs primarily consisted of investments in debt and equity securities. The assets of these VIEs may be used only to settle obligations of the same VIE. In addition, there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is no recourse to the Company for the VIEs’ liabilities. As of September 30, 2025, the Company’s investments in consolidated VIEs had a carrying value of $0.8 billion, which represented its maximum risk of loss as of that date.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Unconsolidated VIEs</w:t>
      </w:r>
    </w:p>
    <w:p>
      <w:pPr>
        <w:spacing w:after="0" w:line="168" w:lineRule="exact"/>
        <w:rPr>
          <w:sz w:val="20"/>
          <w:szCs w:val="20"/>
          <w:color w:val="auto"/>
        </w:rPr>
      </w:pPr>
    </w:p>
    <w:p>
      <w:pPr>
        <w:ind w:right="160" w:firstLine="619"/>
        <w:spacing w:after="0" w:line="271" w:lineRule="auto"/>
        <w:rPr>
          <w:sz w:val="20"/>
          <w:szCs w:val="20"/>
          <w:color w:val="auto"/>
        </w:rPr>
      </w:pPr>
      <w:r>
        <w:rPr>
          <w:rFonts w:ascii="Arial" w:cs="Arial" w:eastAsia="Arial" w:hAnsi="Arial"/>
          <w:sz w:val="17"/>
          <w:szCs w:val="17"/>
          <w:color w:val="auto"/>
        </w:rPr>
        <w:t>The Company held variable interests in certain VIEs in the form of direct equity interests that are not consolidated because it is not the primary beneficiary, inasmuch as its fee arrangements are considered at-market and it does not hold interests in those entities that are considered more than insignificant.</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value of the Company’s investments in VIEs that were not consolidated are shown below.</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1027"/>
              <w:spacing w:after="0"/>
              <w:rPr>
                <w:sz w:val="20"/>
                <w:szCs w:val="20"/>
                <w:color w:val="auto"/>
              </w:rPr>
            </w:pPr>
            <w:r>
              <w:rPr>
                <w:rFonts w:ascii="Arial" w:cs="Arial" w:eastAsia="Arial" w:hAnsi="Arial"/>
                <w:sz w:val="12"/>
                <w:szCs w:val="12"/>
                <w:b w:val="1"/>
                <w:bCs w:val="1"/>
                <w:color w:val="auto"/>
              </w:rPr>
              <w:t>Carrying Value as of</w:t>
            </w:r>
          </w:p>
        </w:tc>
      </w:tr>
      <w:tr>
        <w:trPr>
          <w:trHeight w:val="163"/>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2025</w:t>
            </w:r>
          </w:p>
        </w:tc>
        <w:tc>
          <w:tcPr>
            <w:tcW w:w="16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Arial" w:cs="Arial" w:eastAsia="Arial" w:hAnsi="Arial"/>
                <w:sz w:val="12"/>
                <w:szCs w:val="12"/>
                <w:b w:val="1"/>
                <w:bCs w:val="1"/>
                <w:color w:val="auto"/>
              </w:rPr>
              <w:t>December 31, 2024</w:t>
            </w:r>
          </w:p>
        </w:tc>
      </w:tr>
      <w:tr>
        <w:trPr>
          <w:trHeight w:val="289"/>
        </w:trPr>
        <w:tc>
          <w:tcPr>
            <w:tcW w:w="7880" w:type="dxa"/>
            <w:vAlign w:val="bottom"/>
          </w:tcPr>
          <w:p>
            <w:pPr>
              <w:spacing w:after="0"/>
              <w:rPr>
                <w:sz w:val="20"/>
                <w:szCs w:val="20"/>
                <w:color w:val="auto"/>
              </w:rPr>
            </w:pPr>
            <w:r>
              <w:rPr>
                <w:rFonts w:ascii="Arial" w:cs="Arial" w:eastAsia="Arial" w:hAnsi="Arial"/>
                <w:sz w:val="15"/>
                <w:szCs w:val="15"/>
                <w:color w:val="auto"/>
              </w:rPr>
              <w:t>Corporate investments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1,023,838</w:t>
            </w:r>
          </w:p>
        </w:tc>
        <w:tc>
          <w:tcPr>
            <w:tcW w:w="2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1,212,435</w:t>
            </w:r>
          </w:p>
        </w:tc>
      </w:tr>
      <w:tr>
        <w:trPr>
          <w:trHeight w:val="207"/>
        </w:trPr>
        <w:tc>
          <w:tcPr>
            <w:tcW w:w="7880" w:type="dxa"/>
            <w:vAlign w:val="bottom"/>
          </w:tcPr>
          <w:p>
            <w:pPr>
              <w:spacing w:after="0"/>
              <w:rPr>
                <w:sz w:val="20"/>
                <w:szCs w:val="20"/>
                <w:color w:val="auto"/>
              </w:rPr>
            </w:pPr>
            <w:r>
              <w:rPr>
                <w:rFonts w:ascii="Arial" w:cs="Arial" w:eastAsia="Arial" w:hAnsi="Arial"/>
                <w:sz w:val="15"/>
                <w:szCs w:val="15"/>
                <w:color w:val="auto"/>
              </w:rPr>
              <w:t>Due from affiliates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r>
      <w:tr>
        <w:trPr>
          <w:trHeight w:val="200"/>
        </w:trPr>
        <w:tc>
          <w:tcPr>
            <w:tcW w:w="7880" w:type="dxa"/>
            <w:vAlign w:val="bottom"/>
          </w:tcPr>
          <w:p>
            <w:pPr>
              <w:spacing w:after="0"/>
              <w:rPr>
                <w:sz w:val="20"/>
                <w:szCs w:val="20"/>
                <w:color w:val="auto"/>
              </w:rPr>
            </w:pPr>
            <w:r>
              <w:rPr>
                <w:rFonts w:ascii="Arial" w:cs="Arial" w:eastAsia="Arial" w:hAnsi="Arial"/>
                <w:sz w:val="15"/>
                <w:szCs w:val="15"/>
                <w:color w:val="auto"/>
              </w:rPr>
              <w:t>Maximum exposure to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1,024,390</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1,212,662</w:t>
            </w: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firstLine="619"/>
        <w:spacing w:after="0" w:line="274" w:lineRule="auto"/>
        <w:rPr>
          <w:sz w:val="20"/>
          <w:szCs w:val="20"/>
          <w:color w:val="auto"/>
        </w:rPr>
      </w:pPr>
      <w:r>
        <w:rPr>
          <w:rFonts w:ascii="Arial" w:cs="Arial" w:eastAsia="Arial" w:hAnsi="Arial"/>
          <w:sz w:val="17"/>
          <w:szCs w:val="17"/>
          <w:color w:val="auto"/>
        </w:rPr>
        <w:t>The Company continues to consolidate the respective vehicles through which interests are held in Oaktree Opportunities Fund XI, L.P. and Oaktree Opportunities Fund XII, L.P. as the Company remains the primary beneficiary.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27" w:name="page28"/>
    <w:bookmarkEnd w:id="27"/>
    <w:p>
      <w:pPr>
        <w:jc w:val="center"/>
        <w:ind w:right="10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5" w:lineRule="exact"/>
        <w:rPr>
          <w:sz w:val="20"/>
          <w:szCs w:val="20"/>
          <w:color w:val="auto"/>
        </w:rPr>
      </w:pPr>
    </w:p>
    <w:p>
      <w:pPr>
        <w:ind w:right="9460" w:firstLine="3"/>
        <w:spacing w:after="0" w:line="444" w:lineRule="auto"/>
        <w:tabs>
          <w:tab w:leader="none" w:pos="19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Corporate Investments</w:t>
      </w: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Corporate investments consisted of the following:</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5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w w:val="99"/>
              </w:rPr>
              <w:t>As of</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Corporate Investments</w:t>
            </w:r>
          </w:p>
        </w:tc>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87"/>
              <w:spacing w:after="0"/>
              <w:rPr>
                <w:sz w:val="20"/>
                <w:szCs w:val="20"/>
                <w:color w:val="auto"/>
              </w:rPr>
            </w:pPr>
            <w:r>
              <w:rPr>
                <w:rFonts w:ascii="Arial" w:cs="Arial" w:eastAsia="Arial" w:hAnsi="Arial"/>
                <w:sz w:val="12"/>
                <w:szCs w:val="12"/>
                <w:b w:val="1"/>
                <w:bCs w:val="1"/>
                <w:color w:val="auto"/>
              </w:rPr>
              <w:t>September 30, 2025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right"/>
              <w:ind w:right="167"/>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5"/>
                <w:szCs w:val="15"/>
                <w:color w:val="auto"/>
              </w:rPr>
              <w:t>Equity-method investments: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880" w:type="dxa"/>
            <w:vAlign w:val="bottom"/>
            <w:gridSpan w:val="2"/>
          </w:tcPr>
          <w:p>
            <w:pPr>
              <w:ind w:left="160"/>
              <w:spacing w:after="0"/>
              <w:rPr>
                <w:sz w:val="20"/>
                <w:szCs w:val="20"/>
                <w:color w:val="auto"/>
              </w:rPr>
            </w:pPr>
            <w:r>
              <w:rPr>
                <w:rFonts w:ascii="Arial" w:cs="Arial" w:eastAsia="Arial" w:hAnsi="Arial"/>
                <w:sz w:val="15"/>
                <w:szCs w:val="15"/>
                <w:color w:val="auto"/>
              </w:rPr>
              <w:t>Funds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312,458</w:t>
            </w:r>
          </w:p>
        </w:tc>
        <w:tc>
          <w:tcPr>
            <w:tcW w:w="4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317,256</w:t>
            </w:r>
          </w:p>
        </w:tc>
        <w:tc>
          <w:tcPr>
            <w:tcW w:w="0" w:type="dxa"/>
            <w:vAlign w:val="bottom"/>
          </w:tcPr>
          <w:p>
            <w:pPr>
              <w:spacing w:after="0"/>
              <w:rPr>
                <w:sz w:val="1"/>
                <w:szCs w:val="1"/>
                <w:color w:val="auto"/>
              </w:rPr>
            </w:pPr>
          </w:p>
        </w:tc>
      </w:tr>
      <w:tr>
        <w:trPr>
          <w:trHeight w:val="207"/>
        </w:trPr>
        <w:tc>
          <w:tcPr>
            <w:tcW w:w="7880" w:type="dxa"/>
            <w:vAlign w:val="bottom"/>
            <w:gridSpan w:val="2"/>
          </w:tcPr>
          <w:p>
            <w:pPr>
              <w:ind w:left="160"/>
              <w:spacing w:after="0"/>
              <w:rPr>
                <w:sz w:val="20"/>
                <w:szCs w:val="20"/>
                <w:color w:val="auto"/>
              </w:rPr>
            </w:pPr>
            <w:r>
              <w:rPr>
                <w:rFonts w:ascii="Arial" w:cs="Arial" w:eastAsia="Arial" w:hAnsi="Arial"/>
                <w:sz w:val="15"/>
                <w:szCs w:val="15"/>
                <w:color w:val="auto"/>
              </w:rPr>
              <w:t>Companies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1,018,066</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1,203,004</w:t>
            </w:r>
          </w:p>
        </w:tc>
        <w:tc>
          <w:tcPr>
            <w:tcW w:w="0" w:type="dxa"/>
            <w:vAlign w:val="bottom"/>
          </w:tcPr>
          <w:p>
            <w:pPr>
              <w:spacing w:after="0"/>
              <w:rPr>
                <w:sz w:val="1"/>
                <w:szCs w:val="1"/>
                <w:color w:val="auto"/>
              </w:rPr>
            </w:pPr>
          </w:p>
        </w:tc>
      </w:tr>
      <w:tr>
        <w:trPr>
          <w:trHeight w:val="200"/>
        </w:trPr>
        <w:tc>
          <w:tcPr>
            <w:tcW w:w="7880" w:type="dxa"/>
            <w:vAlign w:val="bottom"/>
            <w:gridSpan w:val="2"/>
          </w:tcPr>
          <w:p>
            <w:pPr>
              <w:spacing w:after="0"/>
              <w:rPr>
                <w:sz w:val="20"/>
                <w:szCs w:val="20"/>
                <w:color w:val="auto"/>
              </w:rPr>
            </w:pPr>
            <w:r>
              <w:rPr>
                <w:rFonts w:ascii="Arial" w:cs="Arial" w:eastAsia="Arial" w:hAnsi="Arial"/>
                <w:sz w:val="15"/>
                <w:szCs w:val="15"/>
                <w:color w:val="auto"/>
              </w:rPr>
              <w:t>Total corporate investments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1,330,524</w:t>
            </w:r>
          </w:p>
        </w:tc>
        <w:tc>
          <w:tcPr>
            <w:tcW w:w="4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1,520,260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Equity-method Investments</w:t>
      </w:r>
    </w:p>
    <w:p>
      <w:pPr>
        <w:spacing w:after="0" w:line="165"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The Company’s equity-method investments include its investments in funds and companies that are not consolidated, but for which the Company is deemed to have significant influence. The Company’s share of income or loss generated by these investments is recorded within investment income in the condensed consolidated statements of operations. The Company’s equity-method investments in Oaktree funds principally reflect the Company’s general partner interests in those funds, which typically do not exceed 2.5% in each fund. The Oaktree funds are investment companies that follow a specialized basis of accounting established by GAAP. In connection with the 2024 Restructuring, the Company determined that it is no longer the primary beneficiary of Oaktree Capital I and deconsolidated the entity, which is accounted for as an equity method investment beginning with the third quarter of 2024.</w:t>
      </w:r>
    </w:p>
    <w:p>
      <w:pPr>
        <w:spacing w:after="0" w:line="122" w:lineRule="exact"/>
        <w:rPr>
          <w:sz w:val="20"/>
          <w:szCs w:val="20"/>
          <w:color w:val="auto"/>
        </w:rPr>
      </w:pPr>
    </w:p>
    <w:p>
      <w:pPr>
        <w:ind w:right="220" w:firstLine="619"/>
        <w:spacing w:after="0" w:line="260" w:lineRule="auto"/>
        <w:rPr>
          <w:sz w:val="20"/>
          <w:szCs w:val="20"/>
          <w:color w:val="auto"/>
        </w:rPr>
      </w:pPr>
      <w:r>
        <w:rPr>
          <w:rFonts w:ascii="Arial" w:cs="Arial" w:eastAsia="Arial" w:hAnsi="Arial"/>
          <w:sz w:val="17"/>
          <w:szCs w:val="17"/>
          <w:color w:val="auto"/>
        </w:rPr>
        <w:t>On June 27, 2023, the Company entered into a contribution agreement with Brookfield Corporate Treasury Ltd. and acquired the equity ownership in certain entities which beneficially own shares in Brookfield Real Estate Income Trust. The Company accounted for the acquired interests as equity method investments with fair value election. The fair value option has been elected to simplify the accounting for the investment in OCG NTR Holdings, LLC, a wholly owned subsidiary of the Company (“NTR”). Changes in the fair value and cash dividends received from the investment in NTR are included in investment income. During the nine months ended September 30, 2025 and 2024, the Company recognized an equity investment loss of $1.1 million and $13.1 million. Please refer to note 14 for the detailed description of the transaction.</w:t>
      </w:r>
    </w:p>
    <w:p>
      <w:pPr>
        <w:spacing w:after="0" w:line="122"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Each reporting period, the Company evaluates each of its equity-method investments to determine if any are considered significant, as defined by the SEC. As of September 30, 2025, or for the nine months ended September 30, 2025, the Company determined Oaktree Capital I met the significance criteria. No other no individual equity method investment met the significance criteria.</w:t>
      </w:r>
    </w:p>
    <w:p>
      <w:pPr>
        <w:spacing w:after="0" w:line="11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Summarized financial information of Oaktree Capital I is set forth below.</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Nine months ended September 3</w:t>
            </w:r>
          </w:p>
        </w:tc>
        <w:tc>
          <w:tcPr>
            <w:tcW w:w="0" w:type="dxa"/>
            <w:vAlign w:val="bottom"/>
          </w:tcPr>
          <w:p>
            <w:pPr>
              <w:spacing w:after="0"/>
              <w:rPr>
                <w:sz w:val="1"/>
                <w:szCs w:val="1"/>
                <w:color w:val="auto"/>
              </w:rPr>
            </w:pPr>
          </w:p>
        </w:tc>
      </w:tr>
      <w:tr>
        <w:trPr>
          <w:trHeight w:val="142"/>
        </w:trPr>
        <w:tc>
          <w:tcPr>
            <w:tcW w:w="51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Statements of Operations</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2025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488"/>
              <w:spacing w:after="0"/>
              <w:rPr>
                <w:sz w:val="20"/>
                <w:szCs w:val="20"/>
                <w:color w:val="auto"/>
              </w:rPr>
            </w:pPr>
            <w:r>
              <w:rPr>
                <w:rFonts w:ascii="Arial" w:cs="Arial" w:eastAsia="Arial" w:hAnsi="Arial"/>
                <w:sz w:val="12"/>
                <w:szCs w:val="12"/>
                <w:b w:val="1"/>
                <w:bCs w:val="1"/>
                <w:color w:val="auto"/>
              </w:rPr>
              <w:t>2025</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gridSpan w:val="3"/>
            <w:vMerge w:val="restart"/>
          </w:tcPr>
          <w:p>
            <w:pPr>
              <w:ind w:left="20"/>
              <w:spacing w:after="0"/>
              <w:rPr>
                <w:sz w:val="20"/>
                <w:szCs w:val="20"/>
                <w:color w:val="auto"/>
              </w:rPr>
            </w:pPr>
            <w:r>
              <w:rPr>
                <w:rFonts w:ascii="Arial" w:cs="Arial" w:eastAsia="Arial" w:hAnsi="Arial"/>
                <w:sz w:val="15"/>
                <w:szCs w:val="15"/>
                <w:color w:val="auto"/>
              </w:rPr>
              <w:t>Revenues / investment income</w:t>
            </w: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3"/>
            <w:vMerge w:val="continue"/>
          </w:tcPr>
          <w:p>
            <w:pPr>
              <w:spacing w:after="0"/>
              <w:rPr>
                <w:sz w:val="17"/>
                <w:szCs w:val="17"/>
                <w:color w:val="auto"/>
              </w:rPr>
            </w:pPr>
          </w:p>
        </w:tc>
        <w:tc>
          <w:tcPr>
            <w:tcW w:w="920" w:type="dxa"/>
            <w:vAlign w:val="bottom"/>
          </w:tcPr>
          <w:p>
            <w:pPr>
              <w:jc w:val="right"/>
              <w:ind w:right="751"/>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78,389</w:t>
            </w:r>
          </w:p>
        </w:tc>
        <w:tc>
          <w:tcPr>
            <w:tcW w:w="200" w:type="dxa"/>
            <w:vAlign w:val="bottom"/>
          </w:tcPr>
          <w:p>
            <w:pPr>
              <w:spacing w:after="0"/>
              <w:rPr>
                <w:sz w:val="17"/>
                <w:szCs w:val="17"/>
                <w:color w:val="auto"/>
              </w:rPr>
            </w:pPr>
          </w:p>
        </w:tc>
        <w:tc>
          <w:tcPr>
            <w:tcW w:w="820" w:type="dxa"/>
            <w:vAlign w:val="bottom"/>
          </w:tcPr>
          <w:p>
            <w:pPr>
              <w:jc w:val="right"/>
              <w:ind w:right="64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43,996</w:t>
            </w:r>
          </w:p>
        </w:tc>
        <w:tc>
          <w:tcPr>
            <w:tcW w:w="22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169,618</w:t>
            </w:r>
          </w:p>
        </w:tc>
        <w:tc>
          <w:tcPr>
            <w:tcW w:w="18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Arial" w:cs="Arial" w:eastAsia="Arial" w:hAnsi="Arial"/>
                <w:sz w:val="15"/>
                <w:szCs w:val="15"/>
                <w:color w:val="auto"/>
              </w:rPr>
              <w:t>Interest expense</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(16,274)</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(9,527)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(40,628)</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gridSpan w:val="3"/>
          </w:tcPr>
          <w:p>
            <w:pPr>
              <w:ind w:left="20"/>
              <w:spacing w:after="0"/>
              <w:rPr>
                <w:sz w:val="20"/>
                <w:szCs w:val="20"/>
                <w:color w:val="auto"/>
              </w:rPr>
            </w:pPr>
            <w:r>
              <w:rPr>
                <w:rFonts w:ascii="Arial" w:cs="Arial" w:eastAsia="Arial" w:hAnsi="Arial"/>
                <w:sz w:val="15"/>
                <w:szCs w:val="15"/>
                <w:color w:val="auto"/>
              </w:rPr>
              <w:t>Other expenses</w:t>
            </w: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(5,638)</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(4,504)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(36,762)</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40" w:type="dxa"/>
            <w:vAlign w:val="bottom"/>
            <w:gridSpan w:val="3"/>
          </w:tcPr>
          <w:p>
            <w:pPr>
              <w:ind w:left="20"/>
              <w:spacing w:after="0"/>
              <w:rPr>
                <w:sz w:val="20"/>
                <w:szCs w:val="20"/>
                <w:color w:val="auto"/>
              </w:rPr>
            </w:pPr>
            <w:r>
              <w:rPr>
                <w:rFonts w:ascii="Arial" w:cs="Arial" w:eastAsia="Arial" w:hAnsi="Arial"/>
                <w:sz w:val="15"/>
                <w:szCs w:val="15"/>
                <w:color w:val="auto"/>
              </w:rPr>
              <w:t>Net realized and unrealized gain (loss) on investments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3,599</w:t>
            </w: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10,357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1,076</w:t>
            </w:r>
          </w:p>
        </w:tc>
        <w:tc>
          <w:tcPr>
            <w:tcW w:w="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tcPr>
          <w:p>
            <w:pPr>
              <w:jc w:val="right"/>
              <w:ind w:right="751"/>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60,076</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40,322</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93,304</w:t>
            </w:r>
          </w:p>
        </w:tc>
        <w:tc>
          <w:tcPr>
            <w:tcW w:w="180" w:type="dxa"/>
            <w:vAlign w:val="bottom"/>
          </w:tcPr>
          <w:p>
            <w:pPr>
              <w:spacing w:after="0"/>
              <w:rPr>
                <w:sz w:val="17"/>
                <w:szCs w:val="17"/>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60" w:firstLine="3"/>
        <w:spacing w:after="0" w:line="290" w:lineRule="auto"/>
        <w:tabs>
          <w:tab w:leader="none" w:pos="258"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Amounts for the nine months ended September 30, 2024 are the same as those for the three months ended September 30, 2024, as Oaktree Capital I was accounted for as an equity method investment beginning in the third quarter of 2024.</w:t>
      </w: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53" w:right="239" w:bottom="1440" w:gutter="0" w:footer="0" w:header="0"/>
        </w:sectPr>
      </w:pPr>
    </w:p>
    <w:bookmarkStart w:id="28" w:name="page29"/>
    <w:bookmarkEnd w:id="28"/>
    <w:p>
      <w:pPr>
        <w:jc w:val="center"/>
        <w:ind w:right="10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Summarized financial information of the Company’s remaining equity-method investments is set forth below.</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1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September 30,</w:t>
            </w:r>
          </w:p>
        </w:tc>
        <w:tc>
          <w:tcPr>
            <w:tcW w:w="30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6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Statements of Operations</w:t>
            </w:r>
          </w:p>
        </w:tc>
        <w:tc>
          <w:tcPr>
            <w:tcW w:w="3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5"/>
                <w:szCs w:val="15"/>
                <w:color w:val="auto"/>
              </w:rPr>
              <w:t>Revenues / investment income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44,533</w:t>
            </w:r>
          </w:p>
        </w:tc>
        <w:tc>
          <w:tcPr>
            <w:tcW w:w="22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45,346</w:t>
            </w:r>
          </w:p>
        </w:tc>
        <w:tc>
          <w:tcPr>
            <w:tcW w:w="2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8"/>
              <w:spacing w:after="0"/>
              <w:rPr>
                <w:sz w:val="20"/>
                <w:szCs w:val="20"/>
                <w:color w:val="auto"/>
              </w:rPr>
            </w:pPr>
            <w:r>
              <w:rPr>
                <w:rFonts w:ascii="Arial" w:cs="Arial" w:eastAsia="Arial" w:hAnsi="Arial"/>
                <w:sz w:val="15"/>
                <w:szCs w:val="15"/>
                <w:color w:val="auto"/>
              </w:rPr>
              <w:t>131,424</w:t>
            </w:r>
          </w:p>
        </w:tc>
        <w:tc>
          <w:tcPr>
            <w:tcW w:w="2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(15,040)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(18,957)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(44,391)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6"/>
        </w:trPr>
        <w:tc>
          <w:tcPr>
            <w:tcW w:w="5040" w:type="dxa"/>
            <w:vAlign w:val="bottom"/>
            <w:gridSpan w:val="2"/>
          </w:tcPr>
          <w:p>
            <w:pPr>
              <w:spacing w:after="0"/>
              <w:rPr>
                <w:sz w:val="20"/>
                <w:szCs w:val="20"/>
                <w:color w:val="auto"/>
              </w:rPr>
            </w:pPr>
            <w:r>
              <w:rPr>
                <w:rFonts w:ascii="Arial" w:cs="Arial" w:eastAsia="Arial" w:hAnsi="Arial"/>
                <w:sz w:val="15"/>
                <w:szCs w:val="15"/>
                <w:color w:val="auto"/>
              </w:rPr>
              <w:t>Other expenses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(32,518)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(66,862)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(96,340)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Arial" w:cs="Arial" w:eastAsia="Arial" w:hAnsi="Arial"/>
                <w:sz w:val="15"/>
                <w:szCs w:val="15"/>
                <w:color w:val="auto"/>
              </w:rPr>
              <w:t>Net realized and unrealized gain (loss) on investments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34,475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19,888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0"/>
        </w:trPr>
        <w:tc>
          <w:tcPr>
            <w:tcW w:w="5040" w:type="dxa"/>
            <w:vAlign w:val="bottom"/>
            <w:gridSpan w:val="2"/>
          </w:tcPr>
          <w:p>
            <w:pPr>
              <w:ind w:left="300"/>
              <w:spacing w:after="0"/>
              <w:rPr>
                <w:sz w:val="20"/>
                <w:szCs w:val="20"/>
                <w:color w:val="auto"/>
              </w:rPr>
            </w:pPr>
            <w:r>
              <w:rPr>
                <w:rFonts w:ascii="Arial" w:cs="Arial" w:eastAsia="Arial" w:hAnsi="Arial"/>
                <w:sz w:val="15"/>
                <w:szCs w:val="15"/>
                <w:color w:val="auto"/>
              </w:rPr>
              <w:t>Net income</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1,658</w:t>
            </w:r>
          </w:p>
        </w:tc>
        <w:tc>
          <w:tcPr>
            <w:tcW w:w="22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10,581</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00" w:firstLine="619"/>
        <w:spacing w:after="0" w:line="290" w:lineRule="auto"/>
        <w:rPr>
          <w:sz w:val="20"/>
          <w:szCs w:val="20"/>
          <w:color w:val="auto"/>
        </w:rPr>
      </w:pPr>
      <w:r>
        <w:rPr>
          <w:rFonts w:ascii="Arial" w:cs="Arial" w:eastAsia="Arial" w:hAnsi="Arial"/>
          <w:sz w:val="17"/>
          <w:szCs w:val="17"/>
          <w:color w:val="auto"/>
        </w:rPr>
        <w:t>For the three and nine months ended September 30, 2024, the equity investments presented in the table above include equity investments held by Oaktree Capital I, which was deconsolidated as of July 1, 2024.</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Investments, at Fair Value</w:t>
      </w:r>
    </w:p>
    <w:p>
      <w:pPr>
        <w:spacing w:after="0" w:line="165" w:lineRule="exact"/>
        <w:rPr>
          <w:sz w:val="20"/>
          <w:szCs w:val="20"/>
          <w:color w:val="auto"/>
        </w:rPr>
      </w:pPr>
    </w:p>
    <w:p>
      <w:pPr>
        <w:ind w:right="380" w:firstLine="619"/>
        <w:spacing w:after="0" w:line="271" w:lineRule="auto"/>
        <w:rPr>
          <w:sz w:val="20"/>
          <w:szCs w:val="20"/>
          <w:color w:val="auto"/>
        </w:rPr>
      </w:pPr>
      <w:r>
        <w:rPr>
          <w:rFonts w:ascii="Arial" w:cs="Arial" w:eastAsia="Arial" w:hAnsi="Arial"/>
          <w:sz w:val="17"/>
          <w:szCs w:val="17"/>
          <w:color w:val="auto"/>
        </w:rPr>
        <w:t>Other investments, at fair value consisted of (a) investments in certain Oaktree and non-Oaktree funds, (b) noninvestment grade debt securities, (c) equities received as part of our sponsorship of SPACs and (d) derivatives utilized to hedge the Company’s exposure to investment income earned from its funds.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net gains (losses) attributable to the Company’s other investments at fair value:</w:t>
      </w:r>
    </w:p>
    <w:p>
      <w:pPr>
        <w:spacing w:after="0" w:line="49"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2"/>
                <w:szCs w:val="12"/>
                <w:b w:val="1"/>
                <w:bCs w:val="1"/>
                <w:color w:val="auto"/>
              </w:rPr>
              <w:t>Three months ended September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w w:val="99"/>
              </w:rPr>
              <w:t>Nine months ended September 30,</w:t>
            </w:r>
          </w:p>
        </w:tc>
      </w:tr>
      <w:tr>
        <w:trPr>
          <w:trHeight w:val="163"/>
        </w:trPr>
        <w:tc>
          <w:tcPr>
            <w:tcW w:w="5060" w:type="dxa"/>
            <w:vAlign w:val="bottom"/>
          </w:tcPr>
          <w:p>
            <w:pPr>
              <w:spacing w:after="0"/>
              <w:rPr>
                <w:sz w:val="14"/>
                <w:szCs w:val="14"/>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2025</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2024</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r>
      <w:tr>
        <w:trPr>
          <w:trHeight w:val="431"/>
        </w:trPr>
        <w:tc>
          <w:tcPr>
            <w:tcW w:w="5060" w:type="dxa"/>
            <w:vAlign w:val="bottom"/>
          </w:tcPr>
          <w:p>
            <w:pPr>
              <w:spacing w:after="0"/>
              <w:rPr>
                <w:sz w:val="20"/>
                <w:szCs w:val="20"/>
                <w:color w:val="auto"/>
              </w:rPr>
            </w:pPr>
            <w:r>
              <w:rPr>
                <w:rFonts w:ascii="Arial" w:cs="Arial" w:eastAsia="Arial" w:hAnsi="Arial"/>
                <w:sz w:val="15"/>
                <w:szCs w:val="15"/>
                <w:color w:val="auto"/>
              </w:rPr>
              <w:t>Realized gain (loss)</w:t>
            </w:r>
          </w:p>
        </w:tc>
        <w:tc>
          <w:tcPr>
            <w:tcW w:w="1000" w:type="dxa"/>
            <w:vAlign w:val="bottom"/>
          </w:tcPr>
          <w:p>
            <w:pPr>
              <w:jc w:val="right"/>
              <w:ind w:right="83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48"/>
              <w:spacing w:after="0"/>
              <w:rPr>
                <w:sz w:val="20"/>
                <w:szCs w:val="20"/>
                <w:color w:val="auto"/>
              </w:rPr>
            </w:pPr>
            <w:r>
              <w:rPr>
                <w:rFonts w:ascii="Arial" w:cs="Arial" w:eastAsia="Arial" w:hAnsi="Arial"/>
                <w:sz w:val="15"/>
                <w:szCs w:val="15"/>
                <w:color w:val="auto"/>
              </w:rPr>
              <w:t>$</w:t>
            </w:r>
          </w:p>
        </w:tc>
        <w:tc>
          <w:tcPr>
            <w:tcW w:w="5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708"/>
              <w:spacing w:after="0"/>
              <w:rPr>
                <w:sz w:val="20"/>
                <w:szCs w:val="20"/>
                <w:color w:val="auto"/>
              </w:rPr>
            </w:pPr>
            <w:r>
              <w:rPr>
                <w:rFonts w:ascii="Arial" w:cs="Arial" w:eastAsia="Arial" w:hAnsi="Arial"/>
                <w:sz w:val="15"/>
                <w:szCs w:val="15"/>
                <w:color w:val="auto"/>
                <w:w w:val="95"/>
              </w:rPr>
              <w:t>$</w:t>
            </w:r>
          </w:p>
        </w:tc>
      </w:tr>
      <w:tr>
        <w:trPr>
          <w:trHeight w:val="207"/>
        </w:trPr>
        <w:tc>
          <w:tcPr>
            <w:tcW w:w="5060" w:type="dxa"/>
            <w:vAlign w:val="bottom"/>
          </w:tcPr>
          <w:p>
            <w:pPr>
              <w:spacing w:after="0"/>
              <w:rPr>
                <w:sz w:val="20"/>
                <w:szCs w:val="20"/>
                <w:color w:val="auto"/>
              </w:rPr>
            </w:pPr>
            <w:r>
              <w:rPr>
                <w:rFonts w:ascii="Arial" w:cs="Arial" w:eastAsia="Arial" w:hAnsi="Arial"/>
                <w:sz w:val="15"/>
                <w:szCs w:val="15"/>
                <w:color w:val="auto"/>
              </w:rPr>
              <w:t>Net change in unrealized gain (loss)</w:t>
            </w: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0"/>
        </w:trPr>
        <w:tc>
          <w:tcPr>
            <w:tcW w:w="5060" w:type="dxa"/>
            <w:vAlign w:val="bottom"/>
          </w:tcPr>
          <w:p>
            <w:pPr>
              <w:spacing w:after="0"/>
              <w:rPr>
                <w:sz w:val="20"/>
                <w:szCs w:val="20"/>
                <w:color w:val="auto"/>
              </w:rPr>
            </w:pPr>
            <w:r>
              <w:rPr>
                <w:rFonts w:ascii="Arial" w:cs="Arial" w:eastAsia="Arial" w:hAnsi="Arial"/>
                <w:sz w:val="15"/>
                <w:szCs w:val="15"/>
                <w:color w:val="auto"/>
              </w:rPr>
              <w:t>Total gain (loss)</w:t>
            </w:r>
          </w:p>
        </w:tc>
        <w:tc>
          <w:tcPr>
            <w:tcW w:w="1000" w:type="dxa"/>
            <w:vAlign w:val="bottom"/>
          </w:tcPr>
          <w:p>
            <w:pPr>
              <w:jc w:val="right"/>
              <w:ind w:right="83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48"/>
              <w:spacing w:after="0"/>
              <w:rPr>
                <w:sz w:val="20"/>
                <w:szCs w:val="20"/>
                <w:color w:val="auto"/>
              </w:rPr>
            </w:pPr>
            <w:r>
              <w:rPr>
                <w:rFonts w:ascii="Arial" w:cs="Arial" w:eastAsia="Arial" w:hAnsi="Arial"/>
                <w:sz w:val="15"/>
                <w:szCs w:val="15"/>
                <w:color w:val="auto"/>
              </w:rPr>
              <w:t>$</w:t>
            </w:r>
          </w:p>
        </w:tc>
        <w:tc>
          <w:tcPr>
            <w:tcW w:w="5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708"/>
              <w:spacing w:after="0"/>
              <w:rPr>
                <w:sz w:val="20"/>
                <w:szCs w:val="20"/>
                <w:color w:val="auto"/>
              </w:rPr>
            </w:pPr>
            <w:r>
              <w:rPr>
                <w:rFonts w:ascii="Arial" w:cs="Arial" w:eastAsia="Arial" w:hAnsi="Arial"/>
                <w:sz w:val="15"/>
                <w:szCs w:val="15"/>
                <w:color w:val="auto"/>
                <w:w w:val="95"/>
              </w:rPr>
              <w:t>$</w:t>
            </w:r>
          </w:p>
        </w:tc>
      </w:tr>
      <w:tr>
        <w:trPr>
          <w:trHeight w:val="20"/>
        </w:trPr>
        <w:tc>
          <w:tcPr>
            <w:tcW w:w="50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right="100" w:firstLine="619"/>
        <w:spacing w:after="0" w:line="274" w:lineRule="auto"/>
        <w:rPr>
          <w:sz w:val="20"/>
          <w:szCs w:val="20"/>
          <w:color w:val="auto"/>
        </w:rPr>
      </w:pPr>
      <w:r>
        <w:rPr>
          <w:rFonts w:ascii="Arial" w:cs="Arial" w:eastAsia="Arial" w:hAnsi="Arial"/>
          <w:sz w:val="17"/>
          <w:szCs w:val="17"/>
          <w:color w:val="auto"/>
        </w:rPr>
        <w:t>Subsequent to the 2024 Restructuring, with the deconsolidation of Oaktree Capital I, the Company no longer holds any other investments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5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of Consolidated Funds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at Fair Value</w:t>
      </w:r>
    </w:p>
    <w:p>
      <w:pPr>
        <w:spacing w:after="0" w:line="165"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Investments held and securities sold short by the consolidated funds are summarized below:</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5"/>
            <w:vMerge w:val="restart"/>
          </w:tcPr>
          <w:p>
            <w:pPr>
              <w:jc w:val="center"/>
              <w:ind w:left="572"/>
              <w:spacing w:after="0"/>
              <w:rPr>
                <w:sz w:val="20"/>
                <w:szCs w:val="20"/>
                <w:color w:val="auto"/>
              </w:rPr>
            </w:pPr>
            <w:r>
              <w:rPr>
                <w:rFonts w:ascii="Arial" w:cs="Arial" w:eastAsia="Arial" w:hAnsi="Arial"/>
                <w:sz w:val="12"/>
                <w:szCs w:val="12"/>
                <w:b w:val="1"/>
                <w:bCs w:val="1"/>
                <w:color w:val="auto"/>
                <w:w w:val="99"/>
              </w:rPr>
              <w:t>Fair Value as of</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5"/>
          </w:tcPr>
          <w:p>
            <w:pPr>
              <w:ind w:left="20"/>
              <w:spacing w:after="0"/>
              <w:rPr>
                <w:sz w:val="20"/>
                <w:szCs w:val="20"/>
                <w:color w:val="auto"/>
              </w:rPr>
            </w:pPr>
            <w:r>
              <w:rPr>
                <w:rFonts w:ascii="Arial" w:cs="Arial" w:eastAsia="Arial" w:hAnsi="Arial"/>
                <w:sz w:val="12"/>
                <w:szCs w:val="12"/>
                <w:b w:val="1"/>
                <w:bCs w:val="1"/>
                <w:color w:val="auto"/>
              </w:rPr>
              <w:t>Fair Value as a Percentage of Investments of</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2"/>
                <w:szCs w:val="12"/>
                <w:b w:val="1"/>
                <w:bCs w:val="1"/>
                <w:color w:val="auto"/>
              </w:rPr>
              <w:t>Consolidated Funds as of</w:t>
            </w:r>
          </w:p>
        </w:tc>
        <w:tc>
          <w:tcPr>
            <w:tcW w:w="0" w:type="dxa"/>
            <w:vAlign w:val="bottom"/>
          </w:tcPr>
          <w:p>
            <w:pPr>
              <w:spacing w:after="0"/>
              <w:rPr>
                <w:sz w:val="1"/>
                <w:szCs w:val="1"/>
                <w:color w:val="auto"/>
              </w:rPr>
            </w:pPr>
          </w:p>
        </w:tc>
      </w:tr>
      <w:tr>
        <w:trPr>
          <w:trHeight w:val="142"/>
        </w:trPr>
        <w:tc>
          <w:tcPr>
            <w:tcW w:w="5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2"/>
                <w:szCs w:val="12"/>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September 30, 2025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5"/>
          </w:tcPr>
          <w:p>
            <w:pPr>
              <w:ind w:left="60"/>
              <w:spacing w:after="0"/>
              <w:rPr>
                <w:sz w:val="20"/>
                <w:szCs w:val="20"/>
                <w:color w:val="auto"/>
              </w:rPr>
            </w:pPr>
            <w:r>
              <w:rPr>
                <w:rFonts w:ascii="Arial" w:cs="Arial" w:eastAsia="Arial" w:hAnsi="Arial"/>
                <w:sz w:val="12"/>
                <w:szCs w:val="12"/>
                <w:b w:val="1"/>
                <w:bCs w:val="1"/>
                <w:color w:val="auto"/>
              </w:rPr>
              <w:t>December 31, 2024</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September 30, 2025</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gridSpan w:val="2"/>
          </w:tcPr>
          <w:p>
            <w:pPr>
              <w:ind w:left="740"/>
              <w:spacing w:after="0" w:line="155" w:lineRule="exact"/>
              <w:rPr>
                <w:sz w:val="20"/>
                <w:szCs w:val="20"/>
                <w:color w:val="auto"/>
              </w:rPr>
            </w:pPr>
            <w:r>
              <w:rPr>
                <w:rFonts w:ascii="Arial" w:cs="Arial" w:eastAsia="Arial" w:hAnsi="Arial"/>
                <w:sz w:val="14"/>
                <w:szCs w:val="14"/>
                <w:color w:val="auto"/>
                <w:w w:val="98"/>
              </w:rPr>
              <w:t>Debt securities (cost: $1,464,996 and $1,792,830 as of September 30, 2025 and</w:t>
            </w:r>
          </w:p>
        </w:tc>
        <w:tc>
          <w:tcPr>
            <w:tcW w:w="160" w:type="dxa"/>
            <w:vAlign w:val="bottom"/>
          </w:tcPr>
          <w:p>
            <w:pPr>
              <w:spacing w:after="0"/>
              <w:rPr>
                <w:sz w:val="13"/>
                <w:szCs w:val="13"/>
                <w:color w:val="auto"/>
              </w:rPr>
            </w:pPr>
          </w:p>
        </w:tc>
        <w:tc>
          <w:tcPr>
            <w:tcW w:w="220" w:type="dxa"/>
            <w:vAlign w:val="bottom"/>
            <w:vMerge w:val="restart"/>
          </w:tcPr>
          <w:p>
            <w:pPr>
              <w:jc w:val="right"/>
              <w:ind w:right="76"/>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1,249,190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restart"/>
          </w:tcPr>
          <w:p>
            <w:pPr>
              <w:jc w:val="right"/>
              <w:ind w:right="196"/>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1,857,874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December 31, 2024, respectively)</w:t>
            </w:r>
          </w:p>
        </w:tc>
        <w:tc>
          <w:tcPr>
            <w:tcW w:w="1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3"/>
          </w:tcPr>
          <w:p>
            <w:pPr>
              <w:ind w:left="740"/>
              <w:spacing w:after="0" w:line="142" w:lineRule="exact"/>
              <w:rPr>
                <w:sz w:val="20"/>
                <w:szCs w:val="20"/>
                <w:color w:val="auto"/>
              </w:rPr>
            </w:pPr>
            <w:r>
              <w:rPr>
                <w:rFonts w:ascii="Arial" w:cs="Arial" w:eastAsia="Arial" w:hAnsi="Arial"/>
                <w:sz w:val="14"/>
                <w:szCs w:val="14"/>
                <w:color w:val="auto"/>
                <w:w w:val="99"/>
              </w:rPr>
              <w:t>Equity securities (cost: $1,645,924 and $1,362,953 as of September 30, 2025 and</w:t>
            </w:r>
          </w:p>
        </w:tc>
        <w:tc>
          <w:tcPr>
            <w:tcW w:w="22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1,998,430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1,610,427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December 31, 2024, respectively)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gridSpan w:val="2"/>
          </w:tcPr>
          <w:p>
            <w:pPr>
              <w:ind w:left="740"/>
              <w:spacing w:after="0" w:line="142" w:lineRule="exact"/>
              <w:rPr>
                <w:sz w:val="20"/>
                <w:szCs w:val="20"/>
                <w:color w:val="auto"/>
              </w:rPr>
            </w:pPr>
            <w:r>
              <w:rPr>
                <w:rFonts w:ascii="Arial" w:cs="Arial" w:eastAsia="Arial" w:hAnsi="Arial"/>
                <w:sz w:val="14"/>
                <w:szCs w:val="14"/>
                <w:color w:val="auto"/>
                <w:w w:val="97"/>
              </w:rPr>
              <w:t>Real estate securities (cost: $75,112 and $26,966 as of September 30, 2025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79,085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15,036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December 31, 2024, respectively)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5660" w:type="dxa"/>
            <w:vAlign w:val="bottom"/>
            <w:gridSpan w:val="2"/>
          </w:tcPr>
          <w:p>
            <w:pPr>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Debt securities (cost: $183,149 and $161,153 as of September 30, 2025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197,558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160,989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December 31, 2024, respectively)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gridSpan w:val="2"/>
          </w:tcPr>
          <w:p>
            <w:pPr>
              <w:ind w:left="740"/>
              <w:spacing w:after="0" w:line="142" w:lineRule="exact"/>
              <w:rPr>
                <w:sz w:val="20"/>
                <w:szCs w:val="20"/>
                <w:color w:val="auto"/>
              </w:rPr>
            </w:pPr>
            <w:r>
              <w:rPr>
                <w:rFonts w:ascii="Arial" w:cs="Arial" w:eastAsia="Arial" w:hAnsi="Arial"/>
                <w:sz w:val="14"/>
                <w:szCs w:val="14"/>
                <w:color w:val="auto"/>
              </w:rPr>
              <w:t>Equity securities (cost: $273,456 and $295,630 as of September 30, 2025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421,779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375,486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December 31, 2024, respectively)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gridSpan w:val="2"/>
          </w:tcPr>
          <w:p>
            <w:pPr>
              <w:ind w:left="740"/>
              <w:spacing w:after="0" w:line="142" w:lineRule="exact"/>
              <w:rPr>
                <w:sz w:val="20"/>
                <w:szCs w:val="20"/>
                <w:color w:val="auto"/>
              </w:rPr>
            </w:pPr>
            <w:r>
              <w:rPr>
                <w:rFonts w:ascii="Arial" w:cs="Arial" w:eastAsia="Arial" w:hAnsi="Arial"/>
                <w:sz w:val="14"/>
                <w:szCs w:val="14"/>
                <w:color w:val="auto"/>
              </w:rPr>
              <w:t>Real estate securities (cost: $237,229 and $191,470 as of September 30, 2025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250,650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191,145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and December 31, 2024, respectively)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60" w:type="dxa"/>
            <w:vAlign w:val="bottom"/>
            <w:gridSpan w:val="2"/>
          </w:tcPr>
          <w:p>
            <w:pPr>
              <w:spacing w:after="0"/>
              <w:rPr>
                <w:sz w:val="20"/>
                <w:szCs w:val="20"/>
                <w:color w:val="auto"/>
              </w:rPr>
            </w:pPr>
            <w:r>
              <w:rPr>
                <w:rFonts w:ascii="Arial" w:cs="Arial" w:eastAsia="Arial" w:hAnsi="Arial"/>
                <w:sz w:val="14"/>
                <w:szCs w:val="14"/>
                <w:color w:val="auto"/>
              </w:rPr>
              <w:t>Asia and other:</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Debt securities (cost: $548,021 and $680,671 as of September 30, 2025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528,908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664,845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December 31, 2024, respectively)</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660" w:type="dxa"/>
            <w:vAlign w:val="bottom"/>
            <w:gridSpan w:val="2"/>
          </w:tcPr>
          <w:p>
            <w:pPr>
              <w:ind w:left="740"/>
              <w:spacing w:after="0"/>
              <w:rPr>
                <w:sz w:val="20"/>
                <w:szCs w:val="20"/>
                <w:color w:val="auto"/>
              </w:rPr>
            </w:pPr>
            <w:r>
              <w:rPr>
                <w:rFonts w:ascii="Arial" w:cs="Arial" w:eastAsia="Arial" w:hAnsi="Arial"/>
                <w:sz w:val="14"/>
                <w:szCs w:val="14"/>
                <w:color w:val="auto"/>
              </w:rPr>
              <w:t>Equity securities (cost: $106,589 and $55,638 as of September 30, 2025 and</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121,799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71,060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4"/>
                <w:szCs w:val="14"/>
                <w:color w:val="auto"/>
              </w:rPr>
              <w:t>December 31, 2024, respectively)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5660" w:type="dxa"/>
            <w:vAlign w:val="bottom"/>
            <w:gridSpan w:val="2"/>
          </w:tcPr>
          <w:p>
            <w:pPr>
              <w:ind w:left="300"/>
              <w:spacing w:after="0"/>
              <w:rPr>
                <w:sz w:val="20"/>
                <w:szCs w:val="20"/>
                <w:color w:val="auto"/>
              </w:rPr>
            </w:pPr>
            <w:r>
              <w:rPr>
                <w:rFonts w:ascii="Arial" w:cs="Arial" w:eastAsia="Arial" w:hAnsi="Arial"/>
                <w:sz w:val="14"/>
                <w:szCs w:val="14"/>
                <w:color w:val="auto"/>
              </w:rPr>
              <w:t>Total debt securities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1,975,656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2,683,708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3"/>
        </w:trPr>
        <w:tc>
          <w:tcPr>
            <w:tcW w:w="5660" w:type="dxa"/>
            <w:vAlign w:val="bottom"/>
            <w:gridSpan w:val="2"/>
          </w:tcPr>
          <w:p>
            <w:pPr>
              <w:ind w:left="300"/>
              <w:spacing w:after="0"/>
              <w:rPr>
                <w:sz w:val="20"/>
                <w:szCs w:val="20"/>
                <w:color w:val="auto"/>
              </w:rPr>
            </w:pPr>
            <w:r>
              <w:rPr>
                <w:rFonts w:ascii="Arial" w:cs="Arial" w:eastAsia="Arial" w:hAnsi="Arial"/>
                <w:sz w:val="14"/>
                <w:szCs w:val="14"/>
                <w:color w:val="auto"/>
              </w:rPr>
              <w:t>Total equity securities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2,542,008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2,056,973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97"/>
        </w:trPr>
        <w:tc>
          <w:tcPr>
            <w:tcW w:w="5660" w:type="dxa"/>
            <w:vAlign w:val="bottom"/>
            <w:gridSpan w:val="2"/>
          </w:tcPr>
          <w:p>
            <w:pPr>
              <w:ind w:left="300"/>
              <w:spacing w:after="0"/>
              <w:rPr>
                <w:sz w:val="20"/>
                <w:szCs w:val="20"/>
                <w:color w:val="auto"/>
              </w:rPr>
            </w:pPr>
            <w:r>
              <w:rPr>
                <w:rFonts w:ascii="Arial" w:cs="Arial" w:eastAsia="Arial" w:hAnsi="Arial"/>
                <w:sz w:val="14"/>
                <w:szCs w:val="14"/>
                <w:color w:val="auto"/>
              </w:rPr>
              <w:t>Total real estate</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329,735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0"/>
        </w:trPr>
        <w:tc>
          <w:tcPr>
            <w:tcW w:w="5660" w:type="dxa"/>
            <w:vAlign w:val="bottom"/>
            <w:gridSpan w:val="2"/>
          </w:tcPr>
          <w:p>
            <w:pPr>
              <w:ind w:left="500"/>
              <w:spacing w:after="0"/>
              <w:rPr>
                <w:sz w:val="20"/>
                <w:szCs w:val="20"/>
                <w:color w:val="auto"/>
              </w:rPr>
            </w:pPr>
            <w:r>
              <w:rPr>
                <w:rFonts w:ascii="Arial" w:cs="Arial" w:eastAsia="Arial" w:hAnsi="Arial"/>
                <w:sz w:val="14"/>
                <w:szCs w:val="14"/>
                <w:color w:val="auto"/>
              </w:rPr>
              <w:t>Total investments, at fair value</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4,847,399</w:t>
            </w:r>
          </w:p>
        </w:tc>
        <w:tc>
          <w:tcPr>
            <w:tcW w:w="160" w:type="dxa"/>
            <w:vAlign w:val="bottom"/>
          </w:tcPr>
          <w:p>
            <w:pPr>
              <w:spacing w:after="0"/>
              <w:rPr>
                <w:sz w:val="16"/>
                <w:szCs w:val="16"/>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4,946,862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2025, the following issuers or investments had a fair value that exceeded 5% of the Company’s total consolidated net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assets.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Principal Amount/ Number of Shares</w:t>
            </w:r>
          </w:p>
        </w:tc>
        <w:tc>
          <w:tcPr>
            <w:tcW w:w="140" w:type="dxa"/>
            <w:vAlign w:val="bottom"/>
          </w:tcPr>
          <w:p>
            <w:pPr>
              <w:spacing w:after="0"/>
              <w:rPr>
                <w:sz w:val="14"/>
                <w:szCs w:val="14"/>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Investments</w:t>
            </w:r>
          </w:p>
        </w:tc>
        <w:tc>
          <w:tcPr>
            <w:tcW w:w="140" w:type="dxa"/>
            <w:vAlign w:val="bottom"/>
          </w:tcPr>
          <w:p>
            <w:pPr>
              <w:spacing w:after="0"/>
              <w:rPr>
                <w:sz w:val="14"/>
                <w:szCs w:val="1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Combined Fair Value</w:t>
            </w:r>
          </w:p>
        </w:tc>
      </w:tr>
      <w:tr>
        <w:trPr>
          <w:trHeight w:val="182"/>
        </w:trPr>
        <w:tc>
          <w:tcPr>
            <w:tcW w:w="3180" w:type="dxa"/>
            <w:vAlign w:val="bottom"/>
          </w:tcPr>
          <w:p>
            <w:pPr>
              <w:jc w:val="right"/>
              <w:ind w:right="1276"/>
              <w:spacing w:after="0"/>
              <w:rPr>
                <w:sz w:val="20"/>
                <w:szCs w:val="20"/>
                <w:color w:val="auto"/>
              </w:rPr>
            </w:pPr>
            <w:r>
              <w:rPr>
                <w:rFonts w:ascii="Arial" w:cs="Arial" w:eastAsia="Arial" w:hAnsi="Arial"/>
                <w:sz w:val="14"/>
                <w:szCs w:val="14"/>
                <w:color w:val="auto"/>
              </w:rPr>
              <w:t>180,327</w:t>
            </w: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Azorra Aviation Holdings LLC</w:t>
            </w:r>
          </w:p>
        </w:tc>
        <w:tc>
          <w:tcPr>
            <w:tcW w:w="3200" w:type="dxa"/>
            <w:vAlign w:val="bottom"/>
          </w:tcPr>
          <w:p>
            <w:pPr>
              <w:jc w:val="right"/>
              <w:ind w:right="1236"/>
              <w:spacing w:after="0"/>
              <w:rPr>
                <w:sz w:val="20"/>
                <w:szCs w:val="20"/>
                <w:color w:val="auto"/>
              </w:rPr>
            </w:pPr>
            <w:r>
              <w:rPr>
                <w:rFonts w:ascii="Arial" w:cs="Arial" w:eastAsia="Arial" w:hAnsi="Arial"/>
                <w:sz w:val="14"/>
                <w:szCs w:val="14"/>
                <w:color w:val="auto"/>
              </w:rPr>
              <w:t>$266,664</w:t>
            </w:r>
          </w:p>
        </w:tc>
      </w:tr>
    </w:tbl>
    <w:p>
      <w:pPr>
        <w:spacing w:after="0" w:line="3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no single issuer or investment had a fair value that exceeded 5% of the Company’s total consolidated net assets.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Gains (Losses) From Investment Activities of Consolidated Funds</w:t>
      </w:r>
    </w:p>
    <w:p>
      <w:pPr>
        <w:spacing w:after="0" w:line="165"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Net gains (losses) from investment activities in the condensed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net gains (losses) from investment activities: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2"/>
                <w:szCs w:val="12"/>
                <w:b w:val="1"/>
                <w:bCs w:val="1"/>
                <w:color w:val="auto"/>
              </w:rPr>
              <w:t>Three months ended September 30,</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w w:val="89"/>
              </w:rPr>
              <w:t>2025</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2024</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51"/>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0" w:type="dxa"/>
            <w:vAlign w:val="bottom"/>
          </w:tcPr>
          <w:p>
            <w:pPr>
              <w:spacing w:after="0"/>
              <w:rPr>
                <w:sz w:val="1"/>
                <w:szCs w:val="1"/>
                <w:color w:val="auto"/>
              </w:rPr>
            </w:pPr>
          </w:p>
        </w:tc>
      </w:tr>
      <w:tr>
        <w:trPr>
          <w:trHeight w:val="124"/>
        </w:trPr>
        <w:tc>
          <w:tcPr>
            <w:tcW w:w="5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28"/>
              <w:spacing w:after="0"/>
              <w:rPr>
                <w:sz w:val="20"/>
                <w:szCs w:val="20"/>
                <w:color w:val="auto"/>
              </w:rPr>
            </w:pPr>
            <w:r>
              <w:rPr>
                <w:rFonts w:ascii="Arial" w:cs="Arial" w:eastAsia="Arial" w:hAnsi="Arial"/>
                <w:sz w:val="12"/>
                <w:szCs w:val="12"/>
                <w:b w:val="1"/>
                <w:bCs w:val="1"/>
                <w:color w:val="auto"/>
                <w:w w:val="98"/>
              </w:rPr>
              <w:t>Net Realized Gain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2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Net Realized Gain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0"/>
              <w:spacing w:after="0" w:line="124" w:lineRule="exact"/>
              <w:rPr>
                <w:sz w:val="20"/>
                <w:szCs w:val="20"/>
                <w:color w:val="auto"/>
              </w:rPr>
            </w:pPr>
            <w:r>
              <w:rPr>
                <w:rFonts w:ascii="Arial" w:cs="Arial" w:eastAsia="Arial" w:hAnsi="Arial"/>
                <w:sz w:val="12"/>
                <w:szCs w:val="12"/>
                <w:b w:val="1"/>
                <w:bCs w:val="1"/>
                <w:color w:val="auto"/>
                <w:w w:val="98"/>
              </w:rPr>
              <w:t>Unrealized</w:t>
            </w:r>
          </w:p>
        </w:tc>
        <w:tc>
          <w:tcPr>
            <w:tcW w:w="0" w:type="dxa"/>
            <w:vAlign w:val="bottom"/>
          </w:tcPr>
          <w:p>
            <w:pPr>
              <w:spacing w:after="0"/>
              <w:rPr>
                <w:sz w:val="1"/>
                <w:szCs w:val="1"/>
                <w:color w:val="auto"/>
              </w:rPr>
            </w:pPr>
          </w:p>
        </w:tc>
      </w:tr>
      <w:tr>
        <w:trPr>
          <w:trHeight w:val="121"/>
        </w:trPr>
        <w:tc>
          <w:tcPr>
            <w:tcW w:w="5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21" w:lineRule="exact"/>
              <w:rPr>
                <w:sz w:val="20"/>
                <w:szCs w:val="20"/>
                <w:color w:val="auto"/>
              </w:rPr>
            </w:pPr>
            <w:r>
              <w:rPr>
                <w:rFonts w:ascii="Arial" w:cs="Arial" w:eastAsia="Arial" w:hAnsi="Arial"/>
                <w:sz w:val="12"/>
                <w:szCs w:val="12"/>
                <w:b w:val="1"/>
                <w:bCs w:val="1"/>
                <w:color w:val="auto"/>
              </w:rPr>
              <w:t>Appreciation</w:t>
            </w: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0"/>
              <w:spacing w:after="0" w:line="121" w:lineRule="exact"/>
              <w:rPr>
                <w:sz w:val="20"/>
                <w:szCs w:val="20"/>
                <w:color w:val="auto"/>
              </w:rPr>
            </w:pPr>
            <w:r>
              <w:rPr>
                <w:rFonts w:ascii="Arial" w:cs="Arial" w:eastAsia="Arial" w:hAnsi="Arial"/>
                <w:sz w:val="12"/>
                <w:szCs w:val="12"/>
                <w:b w:val="1"/>
                <w:bCs w:val="1"/>
                <w:color w:val="auto"/>
                <w:w w:val="98"/>
              </w:rPr>
              <w:t>Appreciation</w:t>
            </w:r>
          </w:p>
        </w:tc>
        <w:tc>
          <w:tcPr>
            <w:tcW w:w="0" w:type="dxa"/>
            <w:vAlign w:val="bottom"/>
          </w:tcPr>
          <w:p>
            <w:pPr>
              <w:spacing w:after="0"/>
              <w:rPr>
                <w:sz w:val="1"/>
                <w:szCs w:val="1"/>
                <w:color w:val="auto"/>
              </w:rPr>
            </w:pPr>
          </w:p>
        </w:tc>
      </w:tr>
      <w:tr>
        <w:trPr>
          <w:trHeight w:val="116"/>
        </w:trPr>
        <w:tc>
          <w:tcPr>
            <w:tcW w:w="5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28"/>
              <w:spacing w:after="0" w:line="116" w:lineRule="exact"/>
              <w:rPr>
                <w:sz w:val="20"/>
                <w:szCs w:val="20"/>
                <w:color w:val="auto"/>
              </w:rPr>
            </w:pPr>
            <w:r>
              <w:rPr>
                <w:rFonts w:ascii="Arial" w:cs="Arial" w:eastAsia="Arial" w:hAnsi="Arial"/>
                <w:sz w:val="12"/>
                <w:szCs w:val="12"/>
                <w:b w:val="1"/>
                <w:bCs w:val="1"/>
                <w:color w:val="auto"/>
              </w:rPr>
              <w:t>(Loss) on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rPr>
              <w:t>(Depreciation) on</w:t>
            </w:r>
          </w:p>
        </w:tc>
        <w:tc>
          <w:tcPr>
            <w:tcW w:w="120" w:type="dxa"/>
            <w:vAlign w:val="bottom"/>
          </w:tcPr>
          <w:p>
            <w:pPr>
              <w:spacing w:after="0"/>
              <w:rPr>
                <w:sz w:val="10"/>
                <w:szCs w:val="10"/>
                <w:color w:val="auto"/>
              </w:rPr>
            </w:pPr>
          </w:p>
        </w:tc>
        <w:tc>
          <w:tcPr>
            <w:tcW w:w="1100" w:type="dxa"/>
            <w:vAlign w:val="bottom"/>
          </w:tcPr>
          <w:p>
            <w:pPr>
              <w:jc w:val="center"/>
              <w:ind w:right="8"/>
              <w:spacing w:after="0" w:line="116" w:lineRule="exact"/>
              <w:rPr>
                <w:sz w:val="20"/>
                <w:szCs w:val="20"/>
                <w:color w:val="auto"/>
              </w:rPr>
            </w:pPr>
            <w:r>
              <w:rPr>
                <w:rFonts w:ascii="Arial" w:cs="Arial" w:eastAsia="Arial" w:hAnsi="Arial"/>
                <w:sz w:val="12"/>
                <w:szCs w:val="12"/>
                <w:b w:val="1"/>
                <w:bCs w:val="1"/>
                <w:color w:val="auto"/>
                <w:w w:val="99"/>
              </w:rPr>
              <w:t>(Loss) 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0"/>
              <w:spacing w:after="0" w:line="116" w:lineRule="exact"/>
              <w:rPr>
                <w:sz w:val="20"/>
                <w:szCs w:val="20"/>
                <w:color w:val="auto"/>
              </w:rPr>
            </w:pPr>
            <w:r>
              <w:rPr>
                <w:rFonts w:ascii="Arial" w:cs="Arial" w:eastAsia="Arial" w:hAnsi="Arial"/>
                <w:sz w:val="12"/>
                <w:szCs w:val="12"/>
                <w:b w:val="1"/>
                <w:bCs w:val="1"/>
                <w:color w:val="auto"/>
              </w:rPr>
              <w:t>(Depreciation) on</w:t>
            </w:r>
          </w:p>
        </w:tc>
        <w:tc>
          <w:tcPr>
            <w:tcW w:w="0" w:type="dxa"/>
            <w:vAlign w:val="bottom"/>
          </w:tcPr>
          <w:p>
            <w:pPr>
              <w:spacing w:after="0"/>
              <w:rPr>
                <w:sz w:val="1"/>
                <w:szCs w:val="1"/>
                <w:color w:val="auto"/>
              </w:rPr>
            </w:pPr>
          </w:p>
        </w:tc>
      </w:tr>
      <w:tr>
        <w:trPr>
          <w:trHeight w:val="177"/>
        </w:trPr>
        <w:tc>
          <w:tcPr>
            <w:tcW w:w="5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rPr>
              <w:t>Investments</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
              <w:spacing w:after="0"/>
              <w:rPr>
                <w:sz w:val="20"/>
                <w:szCs w:val="20"/>
                <w:color w:val="auto"/>
              </w:rPr>
            </w:pPr>
            <w:r>
              <w:rPr>
                <w:rFonts w:ascii="Arial" w:cs="Arial" w:eastAsia="Arial" w:hAnsi="Arial"/>
                <w:sz w:val="12"/>
                <w:szCs w:val="12"/>
                <w:b w:val="1"/>
                <w:bCs w:val="1"/>
                <w:color w:val="auto"/>
                <w:w w:val="99"/>
              </w:rPr>
              <w:t>Investments</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446"/>
        </w:trPr>
        <w:tc>
          <w:tcPr>
            <w:tcW w:w="5460" w:type="dxa"/>
            <w:vAlign w:val="bottom"/>
          </w:tcPr>
          <w:p>
            <w:pPr>
              <w:spacing w:after="0"/>
              <w:rPr>
                <w:sz w:val="20"/>
                <w:szCs w:val="20"/>
                <w:color w:val="auto"/>
              </w:rPr>
            </w:pPr>
            <w:r>
              <w:rPr>
                <w:rFonts w:ascii="Arial" w:cs="Arial" w:eastAsia="Arial" w:hAnsi="Arial"/>
                <w:sz w:val="15"/>
                <w:szCs w:val="15"/>
                <w:color w:val="auto"/>
              </w:rPr>
              <w:t>Investments and other financial instruments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28,972</w:t>
            </w: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1"/>
              <w:spacing w:after="0"/>
              <w:rPr>
                <w:sz w:val="20"/>
                <w:szCs w:val="20"/>
                <w:color w:val="auto"/>
              </w:rPr>
            </w:pPr>
            <w:r>
              <w:rPr>
                <w:rFonts w:ascii="Arial" w:cs="Arial" w:eastAsia="Arial" w:hAnsi="Arial"/>
                <w:sz w:val="15"/>
                <w:szCs w:val="15"/>
                <w:color w:val="auto"/>
              </w:rPr>
              <w:t>10,825</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30,142</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64,925</w:t>
            </w:r>
          </w:p>
        </w:tc>
        <w:tc>
          <w:tcPr>
            <w:tcW w:w="0" w:type="dxa"/>
            <w:vAlign w:val="bottom"/>
          </w:tcPr>
          <w:p>
            <w:pPr>
              <w:spacing w:after="0"/>
              <w:rPr>
                <w:sz w:val="1"/>
                <w:szCs w:val="1"/>
                <w:color w:val="auto"/>
              </w:rPr>
            </w:pPr>
          </w:p>
        </w:tc>
      </w:tr>
      <w:tr>
        <w:trPr>
          <w:trHeight w:val="209"/>
        </w:trPr>
        <w:tc>
          <w:tcPr>
            <w:tcW w:w="5460" w:type="dxa"/>
            <w:vAlign w:val="bottom"/>
          </w:tcPr>
          <w:p>
            <w:pPr>
              <w:spacing w:after="0" w:line="208" w:lineRule="exact"/>
              <w:rPr>
                <w:sz w:val="20"/>
                <w:szCs w:val="20"/>
                <w:color w:val="auto"/>
              </w:rPr>
            </w:pPr>
            <w:r>
              <w:rPr>
                <w:rFonts w:ascii="Arial" w:cs="Arial" w:eastAsia="Arial" w:hAnsi="Arial"/>
                <w:sz w:val="15"/>
                <w:szCs w:val="15"/>
                <w:color w:val="auto"/>
              </w:rPr>
              <w:t xml:space="preserve">Foreign-currency forward contracts </w:t>
            </w:r>
            <w:r>
              <w:rPr>
                <w:rFonts w:ascii="Arial" w:cs="Arial" w:eastAsia="Arial" w:hAnsi="Arial"/>
                <w:sz w:val="20"/>
                <w:szCs w:val="20"/>
                <w:color w:val="auto"/>
                <w:vertAlign w:val="superscript"/>
              </w:rPr>
              <w:t>(2)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5"/>
                <w:szCs w:val="15"/>
                <w:color w:val="auto"/>
              </w:rPr>
              <w:t>11,447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(20,101)</w:t>
            </w:r>
          </w:p>
        </w:tc>
        <w:tc>
          <w:tcPr>
            <w:tcW w:w="0" w:type="dxa"/>
            <w:vAlign w:val="bottom"/>
          </w:tcPr>
          <w:p>
            <w:pPr>
              <w:spacing w:after="0"/>
              <w:rPr>
                <w:sz w:val="1"/>
                <w:szCs w:val="1"/>
                <w:color w:val="auto"/>
              </w:rPr>
            </w:pPr>
          </w:p>
        </w:tc>
      </w:tr>
      <w:tr>
        <w:trPr>
          <w:trHeight w:val="206"/>
        </w:trPr>
        <w:tc>
          <w:tcPr>
            <w:tcW w:w="5460" w:type="dxa"/>
            <w:vAlign w:val="bottom"/>
          </w:tcPr>
          <w:p>
            <w:pPr>
              <w:spacing w:after="0" w:line="207" w:lineRule="exact"/>
              <w:rPr>
                <w:sz w:val="20"/>
                <w:szCs w:val="20"/>
                <w:color w:val="auto"/>
              </w:rPr>
            </w:pPr>
            <w:r>
              <w:rPr>
                <w:rFonts w:ascii="Arial" w:cs="Arial" w:eastAsia="Arial" w:hAnsi="Arial"/>
                <w:sz w:val="15"/>
                <w:szCs w:val="15"/>
                <w:color w:val="auto"/>
              </w:rPr>
              <w:t xml:space="preserve">Total return and interest rate swaps </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488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1"/>
              <w:spacing w:after="0"/>
              <w:rPr>
                <w:sz w:val="20"/>
                <w:szCs w:val="20"/>
                <w:color w:val="auto"/>
              </w:rPr>
            </w:pPr>
            <w:r>
              <w:rPr>
                <w:rFonts w:ascii="Arial" w:cs="Arial" w:eastAsia="Arial" w:hAnsi="Arial"/>
                <w:sz w:val="15"/>
                <w:szCs w:val="15"/>
                <w:color w:val="auto"/>
              </w:rPr>
              <w:t>230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7,860</w:t>
            </w:r>
          </w:p>
        </w:tc>
        <w:tc>
          <w:tcPr>
            <w:tcW w:w="0" w:type="dxa"/>
            <w:vAlign w:val="bottom"/>
          </w:tcPr>
          <w:p>
            <w:pPr>
              <w:spacing w:after="0"/>
              <w:rPr>
                <w:sz w:val="1"/>
                <w:szCs w:val="1"/>
                <w:color w:val="auto"/>
              </w:rPr>
            </w:pPr>
          </w:p>
        </w:tc>
      </w:tr>
      <w:tr>
        <w:trPr>
          <w:trHeight w:val="206"/>
        </w:trPr>
        <w:tc>
          <w:tcPr>
            <w:tcW w:w="5460" w:type="dxa"/>
            <w:vAlign w:val="bottom"/>
          </w:tcPr>
          <w:p>
            <w:pPr>
              <w:spacing w:after="0" w:line="207" w:lineRule="exact"/>
              <w:rPr>
                <w:sz w:val="20"/>
                <w:szCs w:val="20"/>
                <w:color w:val="auto"/>
              </w:rPr>
            </w:pPr>
            <w:r>
              <w:rPr>
                <w:rFonts w:ascii="Arial" w:cs="Arial" w:eastAsia="Arial" w:hAnsi="Arial"/>
                <w:sz w:val="15"/>
                <w:szCs w:val="15"/>
                <w:color w:val="auto"/>
              </w:rPr>
              <w:t xml:space="preserve">Options and futures </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1,738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1"/>
              <w:spacing w:after="0"/>
              <w:rPr>
                <w:sz w:val="20"/>
                <w:szCs w:val="20"/>
                <w:color w:val="auto"/>
              </w:rPr>
            </w:pPr>
            <w:r>
              <w:rPr>
                <w:rFonts w:ascii="Arial" w:cs="Arial" w:eastAsia="Arial" w:hAnsi="Arial"/>
                <w:sz w:val="15"/>
                <w:szCs w:val="15"/>
                <w:color w:val="auto"/>
              </w:rPr>
              <w:t>638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460" w:type="dxa"/>
            <w:vAlign w:val="bottom"/>
          </w:tcPr>
          <w:p>
            <w:pPr>
              <w:spacing w:after="0" w:line="206" w:lineRule="exact"/>
              <w:rPr>
                <w:sz w:val="20"/>
                <w:szCs w:val="20"/>
                <w:color w:val="auto"/>
              </w:rPr>
            </w:pPr>
            <w:r>
              <w:rPr>
                <w:rFonts w:ascii="Arial" w:cs="Arial" w:eastAsia="Arial" w:hAnsi="Arial"/>
                <w:sz w:val="15"/>
                <w:szCs w:val="15"/>
                <w:color w:val="auto"/>
              </w:rPr>
              <w:t xml:space="preserve">Commodity swaps </w:t>
            </w:r>
            <w:r>
              <w:rPr>
                <w:rFonts w:ascii="Arial" w:cs="Arial" w:eastAsia="Arial" w:hAnsi="Arial"/>
                <w:sz w:val="20"/>
                <w:szCs w:val="20"/>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1,389</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243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w:t>
            </w: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99"/>
        </w:trPr>
        <w:tc>
          <w:tcPr>
            <w:tcW w:w="5460" w:type="dxa"/>
            <w:vAlign w:val="bottom"/>
          </w:tcPr>
          <w:p>
            <w:pPr>
              <w:ind w:left="30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31,278</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23,383</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32,533</w:t>
            </w: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52,467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2"/>
                <w:szCs w:val="12"/>
                <w:b w:val="1"/>
                <w:bCs w:val="1"/>
                <w:color w:val="auto"/>
              </w:rPr>
              <w:t>Nine months ended September 30,</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w w:val="89"/>
              </w:rPr>
              <w:t>2025</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2024</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51"/>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0" w:type="dxa"/>
            <w:vAlign w:val="bottom"/>
          </w:tcPr>
          <w:p>
            <w:pPr>
              <w:spacing w:after="0"/>
              <w:rPr>
                <w:sz w:val="1"/>
                <w:szCs w:val="1"/>
                <w:color w:val="auto"/>
              </w:rPr>
            </w:pPr>
          </w:p>
        </w:tc>
      </w:tr>
      <w:tr>
        <w:trPr>
          <w:trHeight w:val="124"/>
        </w:trPr>
        <w:tc>
          <w:tcPr>
            <w:tcW w:w="5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28"/>
              <w:spacing w:after="0"/>
              <w:rPr>
                <w:sz w:val="20"/>
                <w:szCs w:val="20"/>
                <w:color w:val="auto"/>
              </w:rPr>
            </w:pPr>
            <w:r>
              <w:rPr>
                <w:rFonts w:ascii="Arial" w:cs="Arial" w:eastAsia="Arial" w:hAnsi="Arial"/>
                <w:sz w:val="12"/>
                <w:szCs w:val="12"/>
                <w:b w:val="1"/>
                <w:bCs w:val="1"/>
                <w:color w:val="auto"/>
                <w:w w:val="98"/>
              </w:rPr>
              <w:t>Net Realized Gain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2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Net Realized Gain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0"/>
              <w:spacing w:after="0" w:line="124" w:lineRule="exact"/>
              <w:rPr>
                <w:sz w:val="20"/>
                <w:szCs w:val="20"/>
                <w:color w:val="auto"/>
              </w:rPr>
            </w:pPr>
            <w:r>
              <w:rPr>
                <w:rFonts w:ascii="Arial" w:cs="Arial" w:eastAsia="Arial" w:hAnsi="Arial"/>
                <w:sz w:val="12"/>
                <w:szCs w:val="12"/>
                <w:b w:val="1"/>
                <w:bCs w:val="1"/>
                <w:color w:val="auto"/>
                <w:w w:val="98"/>
              </w:rPr>
              <w:t>Unrealized</w:t>
            </w:r>
          </w:p>
        </w:tc>
        <w:tc>
          <w:tcPr>
            <w:tcW w:w="0" w:type="dxa"/>
            <w:vAlign w:val="bottom"/>
          </w:tcPr>
          <w:p>
            <w:pPr>
              <w:spacing w:after="0"/>
              <w:rPr>
                <w:sz w:val="1"/>
                <w:szCs w:val="1"/>
                <w:color w:val="auto"/>
              </w:rPr>
            </w:pPr>
          </w:p>
        </w:tc>
      </w:tr>
      <w:tr>
        <w:trPr>
          <w:trHeight w:val="121"/>
        </w:trPr>
        <w:tc>
          <w:tcPr>
            <w:tcW w:w="5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21" w:lineRule="exact"/>
              <w:rPr>
                <w:sz w:val="20"/>
                <w:szCs w:val="20"/>
                <w:color w:val="auto"/>
              </w:rPr>
            </w:pPr>
            <w:r>
              <w:rPr>
                <w:rFonts w:ascii="Arial" w:cs="Arial" w:eastAsia="Arial" w:hAnsi="Arial"/>
                <w:sz w:val="12"/>
                <w:szCs w:val="12"/>
                <w:b w:val="1"/>
                <w:bCs w:val="1"/>
                <w:color w:val="auto"/>
              </w:rPr>
              <w:t>Appreciation</w:t>
            </w: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0"/>
              <w:spacing w:after="0" w:line="121" w:lineRule="exact"/>
              <w:rPr>
                <w:sz w:val="20"/>
                <w:szCs w:val="20"/>
                <w:color w:val="auto"/>
              </w:rPr>
            </w:pPr>
            <w:r>
              <w:rPr>
                <w:rFonts w:ascii="Arial" w:cs="Arial" w:eastAsia="Arial" w:hAnsi="Arial"/>
                <w:sz w:val="12"/>
                <w:szCs w:val="12"/>
                <w:b w:val="1"/>
                <w:bCs w:val="1"/>
                <w:color w:val="auto"/>
                <w:w w:val="98"/>
              </w:rPr>
              <w:t>Appreciation</w:t>
            </w:r>
          </w:p>
        </w:tc>
        <w:tc>
          <w:tcPr>
            <w:tcW w:w="0" w:type="dxa"/>
            <w:vAlign w:val="bottom"/>
          </w:tcPr>
          <w:p>
            <w:pPr>
              <w:spacing w:after="0"/>
              <w:rPr>
                <w:sz w:val="1"/>
                <w:szCs w:val="1"/>
                <w:color w:val="auto"/>
              </w:rPr>
            </w:pPr>
          </w:p>
        </w:tc>
      </w:tr>
      <w:tr>
        <w:trPr>
          <w:trHeight w:val="116"/>
        </w:trPr>
        <w:tc>
          <w:tcPr>
            <w:tcW w:w="5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28"/>
              <w:spacing w:after="0" w:line="116" w:lineRule="exact"/>
              <w:rPr>
                <w:sz w:val="20"/>
                <w:szCs w:val="20"/>
                <w:color w:val="auto"/>
              </w:rPr>
            </w:pPr>
            <w:r>
              <w:rPr>
                <w:rFonts w:ascii="Arial" w:cs="Arial" w:eastAsia="Arial" w:hAnsi="Arial"/>
                <w:sz w:val="12"/>
                <w:szCs w:val="12"/>
                <w:b w:val="1"/>
                <w:bCs w:val="1"/>
                <w:color w:val="auto"/>
              </w:rPr>
              <w:t>(Loss) on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rPr>
              <w:t>(Depreciation) on</w:t>
            </w:r>
          </w:p>
        </w:tc>
        <w:tc>
          <w:tcPr>
            <w:tcW w:w="120" w:type="dxa"/>
            <w:vAlign w:val="bottom"/>
          </w:tcPr>
          <w:p>
            <w:pPr>
              <w:spacing w:after="0"/>
              <w:rPr>
                <w:sz w:val="10"/>
                <w:szCs w:val="10"/>
                <w:color w:val="auto"/>
              </w:rPr>
            </w:pPr>
          </w:p>
        </w:tc>
        <w:tc>
          <w:tcPr>
            <w:tcW w:w="1100" w:type="dxa"/>
            <w:vAlign w:val="bottom"/>
          </w:tcPr>
          <w:p>
            <w:pPr>
              <w:jc w:val="center"/>
              <w:ind w:right="8"/>
              <w:spacing w:after="0" w:line="116" w:lineRule="exact"/>
              <w:rPr>
                <w:sz w:val="20"/>
                <w:szCs w:val="20"/>
                <w:color w:val="auto"/>
              </w:rPr>
            </w:pPr>
            <w:r>
              <w:rPr>
                <w:rFonts w:ascii="Arial" w:cs="Arial" w:eastAsia="Arial" w:hAnsi="Arial"/>
                <w:sz w:val="12"/>
                <w:szCs w:val="12"/>
                <w:b w:val="1"/>
                <w:bCs w:val="1"/>
                <w:color w:val="auto"/>
                <w:w w:val="99"/>
              </w:rPr>
              <w:t>(Loss) 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50"/>
              <w:spacing w:after="0" w:line="116" w:lineRule="exact"/>
              <w:rPr>
                <w:sz w:val="20"/>
                <w:szCs w:val="20"/>
                <w:color w:val="auto"/>
              </w:rPr>
            </w:pPr>
            <w:r>
              <w:rPr>
                <w:rFonts w:ascii="Arial" w:cs="Arial" w:eastAsia="Arial" w:hAnsi="Arial"/>
                <w:sz w:val="12"/>
                <w:szCs w:val="12"/>
                <w:b w:val="1"/>
                <w:bCs w:val="1"/>
                <w:color w:val="auto"/>
              </w:rPr>
              <w:t>(Depreciation) on</w:t>
            </w:r>
          </w:p>
        </w:tc>
        <w:tc>
          <w:tcPr>
            <w:tcW w:w="0" w:type="dxa"/>
            <w:vAlign w:val="bottom"/>
          </w:tcPr>
          <w:p>
            <w:pPr>
              <w:spacing w:after="0"/>
              <w:rPr>
                <w:sz w:val="1"/>
                <w:szCs w:val="1"/>
                <w:color w:val="auto"/>
              </w:rPr>
            </w:pPr>
          </w:p>
        </w:tc>
      </w:tr>
      <w:tr>
        <w:trPr>
          <w:trHeight w:val="177"/>
        </w:trPr>
        <w:tc>
          <w:tcPr>
            <w:tcW w:w="5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rPr>
              <w:t>Investments</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
              <w:spacing w:after="0"/>
              <w:rPr>
                <w:sz w:val="20"/>
                <w:szCs w:val="20"/>
                <w:color w:val="auto"/>
              </w:rPr>
            </w:pPr>
            <w:r>
              <w:rPr>
                <w:rFonts w:ascii="Arial" w:cs="Arial" w:eastAsia="Arial" w:hAnsi="Arial"/>
                <w:sz w:val="12"/>
                <w:szCs w:val="12"/>
                <w:b w:val="1"/>
                <w:bCs w:val="1"/>
                <w:color w:val="auto"/>
                <w:w w:val="99"/>
              </w:rPr>
              <w:t>Investments</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446"/>
        </w:trPr>
        <w:tc>
          <w:tcPr>
            <w:tcW w:w="5460" w:type="dxa"/>
            <w:vAlign w:val="bottom"/>
          </w:tcPr>
          <w:p>
            <w:pPr>
              <w:spacing w:after="0"/>
              <w:rPr>
                <w:sz w:val="20"/>
                <w:szCs w:val="20"/>
                <w:color w:val="auto"/>
              </w:rPr>
            </w:pPr>
            <w:r>
              <w:rPr>
                <w:rFonts w:ascii="Arial" w:cs="Arial" w:eastAsia="Arial" w:hAnsi="Arial"/>
                <w:sz w:val="15"/>
                <w:szCs w:val="15"/>
                <w:color w:val="auto"/>
              </w:rPr>
              <w:t>Investments and other financial instruments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100,286</w:t>
            </w: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(67,143)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26,283</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155,848</w:t>
            </w:r>
          </w:p>
        </w:tc>
        <w:tc>
          <w:tcPr>
            <w:tcW w:w="0" w:type="dxa"/>
            <w:vAlign w:val="bottom"/>
          </w:tcPr>
          <w:p>
            <w:pPr>
              <w:spacing w:after="0"/>
              <w:rPr>
                <w:sz w:val="1"/>
                <w:szCs w:val="1"/>
                <w:color w:val="auto"/>
              </w:rPr>
            </w:pPr>
          </w:p>
        </w:tc>
      </w:tr>
      <w:tr>
        <w:trPr>
          <w:trHeight w:val="209"/>
        </w:trPr>
        <w:tc>
          <w:tcPr>
            <w:tcW w:w="5460" w:type="dxa"/>
            <w:vAlign w:val="bottom"/>
          </w:tcPr>
          <w:p>
            <w:pPr>
              <w:spacing w:after="0" w:line="208" w:lineRule="exact"/>
              <w:rPr>
                <w:sz w:val="20"/>
                <w:szCs w:val="20"/>
                <w:color w:val="auto"/>
              </w:rPr>
            </w:pPr>
            <w:r>
              <w:rPr>
                <w:rFonts w:ascii="Arial" w:cs="Arial" w:eastAsia="Arial" w:hAnsi="Arial"/>
                <w:sz w:val="15"/>
                <w:szCs w:val="15"/>
                <w:color w:val="auto"/>
              </w:rPr>
              <w:t xml:space="preserve">CLO liabilities </w:t>
            </w:r>
            <w:r>
              <w:rPr>
                <w:rFonts w:ascii="Arial" w:cs="Arial" w:eastAsia="Arial" w:hAnsi="Arial"/>
                <w:sz w:val="20"/>
                <w:szCs w:val="20"/>
                <w:color w:val="auto"/>
                <w:vertAlign w:val="superscript"/>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1,597</w:t>
            </w:r>
          </w:p>
        </w:tc>
        <w:tc>
          <w:tcPr>
            <w:tcW w:w="0" w:type="dxa"/>
            <w:vAlign w:val="bottom"/>
          </w:tcPr>
          <w:p>
            <w:pPr>
              <w:spacing w:after="0"/>
              <w:rPr>
                <w:sz w:val="1"/>
                <w:szCs w:val="1"/>
                <w:color w:val="auto"/>
              </w:rPr>
            </w:pPr>
          </w:p>
        </w:tc>
      </w:tr>
      <w:tr>
        <w:trPr>
          <w:trHeight w:val="206"/>
        </w:trPr>
        <w:tc>
          <w:tcPr>
            <w:tcW w:w="5460" w:type="dxa"/>
            <w:vAlign w:val="bottom"/>
          </w:tcPr>
          <w:p>
            <w:pPr>
              <w:spacing w:after="0" w:line="207" w:lineRule="exact"/>
              <w:rPr>
                <w:sz w:val="20"/>
                <w:szCs w:val="20"/>
                <w:color w:val="auto"/>
              </w:rPr>
            </w:pPr>
            <w:r>
              <w:rPr>
                <w:rFonts w:ascii="Arial" w:cs="Arial" w:eastAsia="Arial" w:hAnsi="Arial"/>
                <w:sz w:val="15"/>
                <w:szCs w:val="15"/>
                <w:color w:val="auto"/>
              </w:rPr>
              <w:t xml:space="preserve">Foreign-currency forward contracts </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3,043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(53,045)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(14,189)</w:t>
            </w:r>
          </w:p>
        </w:tc>
        <w:tc>
          <w:tcPr>
            <w:tcW w:w="0" w:type="dxa"/>
            <w:vAlign w:val="bottom"/>
          </w:tcPr>
          <w:p>
            <w:pPr>
              <w:spacing w:after="0"/>
              <w:rPr>
                <w:sz w:val="1"/>
                <w:szCs w:val="1"/>
                <w:color w:val="auto"/>
              </w:rPr>
            </w:pPr>
          </w:p>
        </w:tc>
      </w:tr>
      <w:tr>
        <w:trPr>
          <w:trHeight w:val="206"/>
        </w:trPr>
        <w:tc>
          <w:tcPr>
            <w:tcW w:w="5460" w:type="dxa"/>
            <w:vAlign w:val="bottom"/>
          </w:tcPr>
          <w:p>
            <w:pPr>
              <w:spacing w:after="0" w:line="207" w:lineRule="exact"/>
              <w:rPr>
                <w:sz w:val="20"/>
                <w:szCs w:val="20"/>
                <w:color w:val="auto"/>
              </w:rPr>
            </w:pPr>
            <w:r>
              <w:rPr>
                <w:rFonts w:ascii="Arial" w:cs="Arial" w:eastAsia="Arial" w:hAnsi="Arial"/>
                <w:sz w:val="15"/>
                <w:szCs w:val="15"/>
                <w:color w:val="auto"/>
              </w:rPr>
              <w:t xml:space="preserve">Total return and interest rate swaps </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1"/>
              <w:spacing w:after="0"/>
              <w:rPr>
                <w:sz w:val="20"/>
                <w:szCs w:val="20"/>
                <w:color w:val="auto"/>
              </w:rPr>
            </w:pPr>
            <w:r>
              <w:rPr>
                <w:rFonts w:ascii="Arial" w:cs="Arial" w:eastAsia="Arial" w:hAnsi="Arial"/>
                <w:sz w:val="15"/>
                <w:szCs w:val="15"/>
                <w:color w:val="auto"/>
              </w:rPr>
              <w:t>877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11,448</w:t>
            </w:r>
          </w:p>
        </w:tc>
        <w:tc>
          <w:tcPr>
            <w:tcW w:w="0" w:type="dxa"/>
            <w:vAlign w:val="bottom"/>
          </w:tcPr>
          <w:p>
            <w:pPr>
              <w:spacing w:after="0"/>
              <w:rPr>
                <w:sz w:val="1"/>
                <w:szCs w:val="1"/>
                <w:color w:val="auto"/>
              </w:rPr>
            </w:pPr>
          </w:p>
        </w:tc>
      </w:tr>
      <w:tr>
        <w:trPr>
          <w:trHeight w:val="206"/>
        </w:trPr>
        <w:tc>
          <w:tcPr>
            <w:tcW w:w="5460" w:type="dxa"/>
            <w:vAlign w:val="bottom"/>
          </w:tcPr>
          <w:p>
            <w:pPr>
              <w:spacing w:after="0" w:line="207" w:lineRule="exact"/>
              <w:rPr>
                <w:sz w:val="20"/>
                <w:szCs w:val="20"/>
                <w:color w:val="auto"/>
              </w:rPr>
            </w:pPr>
            <w:r>
              <w:rPr>
                <w:rFonts w:ascii="Arial" w:cs="Arial" w:eastAsia="Arial" w:hAnsi="Arial"/>
                <w:sz w:val="15"/>
                <w:szCs w:val="15"/>
                <w:color w:val="auto"/>
              </w:rPr>
              <w:t xml:space="preserve">Options and futures </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1,836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1"/>
              <w:spacing w:after="0"/>
              <w:rPr>
                <w:sz w:val="20"/>
                <w:szCs w:val="20"/>
                <w:color w:val="auto"/>
              </w:rPr>
            </w:pPr>
            <w:r>
              <w:rPr>
                <w:rFonts w:ascii="Arial" w:cs="Arial" w:eastAsia="Arial" w:hAnsi="Arial"/>
                <w:sz w:val="15"/>
                <w:szCs w:val="15"/>
                <w:color w:val="auto"/>
              </w:rPr>
              <w:t>2,107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584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206"/>
        </w:trPr>
        <w:tc>
          <w:tcPr>
            <w:tcW w:w="5460" w:type="dxa"/>
            <w:vAlign w:val="bottom"/>
          </w:tcPr>
          <w:p>
            <w:pPr>
              <w:spacing w:after="0" w:line="206" w:lineRule="exact"/>
              <w:rPr>
                <w:sz w:val="20"/>
                <w:szCs w:val="20"/>
                <w:color w:val="auto"/>
              </w:rPr>
            </w:pPr>
            <w:r>
              <w:rPr>
                <w:rFonts w:ascii="Arial" w:cs="Arial" w:eastAsia="Arial" w:hAnsi="Arial"/>
                <w:sz w:val="15"/>
                <w:szCs w:val="15"/>
                <w:color w:val="auto"/>
              </w:rPr>
              <w:t xml:space="preserve">Commodity swaps </w:t>
            </w:r>
            <w:r>
              <w:rPr>
                <w:rFonts w:ascii="Arial" w:cs="Arial" w:eastAsia="Arial" w:hAnsi="Arial"/>
                <w:sz w:val="20"/>
                <w:szCs w:val="20"/>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1,389</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5"/>
                <w:szCs w:val="15"/>
                <w:color w:val="auto"/>
              </w:rPr>
              <w:t>243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8,151</w:t>
            </w: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(8,658)</w:t>
            </w:r>
          </w:p>
        </w:tc>
        <w:tc>
          <w:tcPr>
            <w:tcW w:w="0" w:type="dxa"/>
            <w:vAlign w:val="bottom"/>
          </w:tcPr>
          <w:p>
            <w:pPr>
              <w:spacing w:after="0"/>
              <w:rPr>
                <w:sz w:val="1"/>
                <w:szCs w:val="1"/>
                <w:color w:val="auto"/>
              </w:rPr>
            </w:pPr>
          </w:p>
        </w:tc>
      </w:tr>
      <w:tr>
        <w:trPr>
          <w:trHeight w:val="199"/>
        </w:trPr>
        <w:tc>
          <w:tcPr>
            <w:tcW w:w="5460" w:type="dxa"/>
            <w:vAlign w:val="bottom"/>
          </w:tcPr>
          <w:p>
            <w:pPr>
              <w:ind w:left="300"/>
              <w:spacing w:after="0"/>
              <w:rPr>
                <w:sz w:val="20"/>
                <w:szCs w:val="20"/>
                <w:color w:val="auto"/>
              </w:rPr>
            </w:pPr>
            <w:r>
              <w:rPr>
                <w:rFonts w:ascii="Arial" w:cs="Arial" w:eastAsia="Arial" w:hAnsi="Arial"/>
                <w:sz w:val="15"/>
                <w:szCs w:val="15"/>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106,415</w:t>
            </w: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(116,961)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35,614</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147,646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302895</wp:posOffset>
            </wp:positionV>
            <wp:extent cx="3848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00" w:right="60" w:hanging="378"/>
        <w:spacing w:after="0" w:line="256" w:lineRule="auto"/>
        <w:tabs>
          <w:tab w:leader="none" w:pos="374"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the net change in the fair value of CLO liabilities based on the more observable fair value of CLO assets, as measured under the CLO measurement guidance. Subsequent to the 2024 Restructuring and deconsolidation of Oaktree Capital I, the Company no longer holds investments in CLOs. Please see note 2 for more information.</w:t>
      </w:r>
    </w:p>
    <w:p>
      <w:pPr>
        <w:ind w:left="360" w:hanging="338"/>
        <w:spacing w:after="0"/>
        <w:tabs>
          <w:tab w:leader="none" w:pos="3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Please see note 7 for additional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353" w:right="359"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Assets and Liabilities</w:t>
      </w:r>
    </w:p>
    <w:p>
      <w:pPr>
        <w:spacing w:after="0" w:line="90" w:lineRule="exact"/>
        <w:rPr>
          <w:sz w:val="20"/>
          <w:szCs w:val="20"/>
          <w:color w:val="auto"/>
        </w:rPr>
      </w:pPr>
    </w:p>
    <w:p>
      <w:pPr>
        <w:ind w:right="820" w:firstLine="619"/>
        <w:spacing w:after="0" w:line="290" w:lineRule="auto"/>
        <w:rPr>
          <w:sz w:val="20"/>
          <w:szCs w:val="20"/>
          <w:color w:val="auto"/>
        </w:rPr>
      </w:pPr>
      <w:r>
        <w:rPr>
          <w:rFonts w:ascii="Arial" w:cs="Arial" w:eastAsia="Arial" w:hAnsi="Arial"/>
          <w:sz w:val="17"/>
          <w:szCs w:val="17"/>
          <w:color w:val="auto"/>
        </w:rPr>
        <w:t>The Company’s other financial assets by fair-value hierarchy level are set forth below. There were no other financial liabilities as of September 30, 2025 and December 31, 2024.</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69"/>
        </w:trPr>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September 30, 2025</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2"/>
                <w:szCs w:val="12"/>
                <w:b w:val="1"/>
                <w:bCs w:val="1"/>
                <w:color w:val="auto"/>
              </w:rPr>
              <w:t>As of December 31, 2024</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Level I</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II</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Level III</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Level III</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T</w:t>
            </w:r>
          </w:p>
        </w:tc>
      </w:tr>
      <w:tr>
        <w:trPr>
          <w:trHeight w:val="137"/>
        </w:trPr>
        <w:tc>
          <w:tcPr>
            <w:tcW w:w="250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8"/>
        </w:trPr>
        <w:tc>
          <w:tcPr>
            <w:tcW w:w="2500" w:type="dxa"/>
            <w:vAlign w:val="bottom"/>
            <w:gridSpan w:val="2"/>
          </w:tcPr>
          <w:p>
            <w:pPr>
              <w:spacing w:after="0"/>
              <w:rPr>
                <w:sz w:val="20"/>
                <w:szCs w:val="20"/>
                <w:color w:val="auto"/>
              </w:rPr>
            </w:pPr>
            <w:r>
              <w:rPr>
                <w:rFonts w:ascii="Arial" w:cs="Arial" w:eastAsia="Arial" w:hAnsi="Arial"/>
                <w:sz w:val="14"/>
                <w:szCs w:val="14"/>
                <w:color w:val="auto"/>
              </w:rPr>
              <w:t>Corporate investments</w:t>
            </w:r>
          </w:p>
        </w:tc>
        <w:tc>
          <w:tcPr>
            <w:tcW w:w="7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306,687</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306,687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307,825</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w:t>
            </w:r>
          </w:p>
        </w:tc>
      </w:tr>
      <w:tr>
        <w:trPr>
          <w:trHeight w:val="190"/>
        </w:trPr>
        <w:tc>
          <w:tcPr>
            <w:tcW w:w="25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700" w:type="dxa"/>
            <w:vAlign w:val="bottom"/>
          </w:tcPr>
          <w:p>
            <w:pPr>
              <w:jc w:val="right"/>
              <w:ind w:right="534"/>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306,687</w:t>
            </w:r>
          </w:p>
        </w:tc>
        <w:tc>
          <w:tcPr>
            <w:tcW w:w="140" w:type="dxa"/>
            <w:vAlign w:val="bottom"/>
          </w:tcPr>
          <w:p>
            <w:pPr>
              <w:spacing w:after="0"/>
              <w:rPr>
                <w:sz w:val="16"/>
                <w:szCs w:val="16"/>
                <w:color w:val="auto"/>
              </w:rPr>
            </w:pPr>
          </w:p>
        </w:tc>
        <w:tc>
          <w:tcPr>
            <w:tcW w:w="720" w:type="dxa"/>
            <w:vAlign w:val="bottom"/>
          </w:tcPr>
          <w:p>
            <w:pPr>
              <w:jc w:val="right"/>
              <w:ind w:right="554"/>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306,687</w:t>
            </w:r>
          </w:p>
        </w:tc>
        <w:tc>
          <w:tcPr>
            <w:tcW w:w="24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307,825</w:t>
            </w:r>
          </w:p>
        </w:tc>
        <w:tc>
          <w:tcPr>
            <w:tcW w:w="140" w:type="dxa"/>
            <w:vAlign w:val="bottom"/>
          </w:tcPr>
          <w:p>
            <w:pPr>
              <w:spacing w:after="0"/>
              <w:rPr>
                <w:sz w:val="16"/>
                <w:szCs w:val="16"/>
                <w:color w:val="auto"/>
              </w:rPr>
            </w:pPr>
          </w:p>
        </w:tc>
        <w:tc>
          <w:tcPr>
            <w:tcW w:w="720" w:type="dxa"/>
            <w:vAlign w:val="bottom"/>
          </w:tcPr>
          <w:p>
            <w:pPr>
              <w:jc w:val="right"/>
              <w:ind w:right="554"/>
              <w:spacing w:after="0"/>
              <w:rPr>
                <w:sz w:val="20"/>
                <w:szCs w:val="20"/>
                <w:color w:val="auto"/>
              </w:rPr>
            </w:pPr>
            <w:r>
              <w:rPr>
                <w:rFonts w:ascii="Arial" w:cs="Arial" w:eastAsia="Arial" w:hAnsi="Arial"/>
                <w:sz w:val="14"/>
                <w:szCs w:val="14"/>
                <w:color w:val="auto"/>
              </w:rPr>
              <w:t>$</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74"/>
              <w:spacing w:after="0"/>
              <w:rPr>
                <w:sz w:val="20"/>
                <w:szCs w:val="20"/>
                <w:color w:val="auto"/>
              </w:rPr>
            </w:pPr>
            <w:r>
              <w:rPr>
                <w:rFonts w:ascii="Arial" w:cs="Arial" w:eastAsia="Arial" w:hAnsi="Arial"/>
                <w:sz w:val="14"/>
                <w:szCs w:val="14"/>
                <w:color w:val="auto"/>
              </w:rPr>
              <w:t>$</w:t>
            </w:r>
          </w:p>
        </w:tc>
      </w:tr>
      <w:tr>
        <w:trPr>
          <w:trHeight w:val="20"/>
        </w:trPr>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Held By Consolidated Funds</w:t>
      </w:r>
    </w:p>
    <w:p>
      <w:pPr>
        <w:spacing w:after="0" w:line="168"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w w:val="99"/>
              </w:rPr>
              <w:t>As of September 30, 2025</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b w:val="1"/>
                <w:bCs w:val="1"/>
                <w:color w:val="auto"/>
              </w:rPr>
              <w:t>As of December 31, 2024</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 I</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II</w:t>
            </w:r>
          </w:p>
        </w:tc>
        <w:tc>
          <w:tcPr>
            <w:tcW w:w="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Level III</w:t>
            </w:r>
          </w:p>
        </w:tc>
        <w:tc>
          <w:tcPr>
            <w:tcW w:w="10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I</w:t>
            </w: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 II</w:t>
            </w:r>
          </w:p>
        </w:tc>
        <w:tc>
          <w:tcPr>
            <w:tcW w:w="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Level III</w:t>
            </w:r>
          </w:p>
        </w:tc>
        <w:tc>
          <w:tcPr>
            <w:tcW w:w="1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11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gridSpan w:val="3"/>
          </w:tcPr>
          <w:p>
            <w:pPr>
              <w:spacing w:after="0"/>
              <w:rPr>
                <w:sz w:val="20"/>
                <w:szCs w:val="20"/>
                <w:color w:val="auto"/>
              </w:rPr>
            </w:pPr>
            <w:r>
              <w:rPr>
                <w:rFonts w:ascii="Arial" w:cs="Arial" w:eastAsia="Arial" w:hAnsi="Arial"/>
                <w:sz w:val="13"/>
                <w:szCs w:val="13"/>
                <w:color w:val="auto"/>
              </w:rPr>
              <w:t>Investments: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18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Corporate debt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$ 111,310</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1,599,660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1,710,970</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7"/>
              </w:rPr>
              <w:t>281,918</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1,936,315</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2,218,233</w:t>
            </w:r>
          </w:p>
        </w:tc>
        <w:tc>
          <w:tcPr>
            <w:tcW w:w="0" w:type="dxa"/>
            <w:vAlign w:val="bottom"/>
          </w:tcPr>
          <w:p>
            <w:pPr>
              <w:spacing w:after="0"/>
              <w:rPr>
                <w:sz w:val="1"/>
                <w:szCs w:val="1"/>
                <w:color w:val="auto"/>
              </w:rPr>
            </w:pPr>
          </w:p>
        </w:tc>
      </w:tr>
      <w:tr>
        <w:trPr>
          <w:trHeight w:val="169"/>
        </w:trPr>
        <w:tc>
          <w:tcPr>
            <w:tcW w:w="1180" w:type="dxa"/>
            <w:vAlign w:val="bottom"/>
            <w:gridSpan w:val="3"/>
          </w:tcPr>
          <w:p>
            <w:pPr>
              <w:ind w:left="300"/>
              <w:spacing w:after="0"/>
              <w:rPr>
                <w:sz w:val="20"/>
                <w:szCs w:val="20"/>
                <w:color w:val="auto"/>
              </w:rPr>
            </w:pPr>
            <w:r>
              <w:rPr>
                <w:rFonts w:ascii="Arial" w:cs="Arial" w:eastAsia="Arial" w:hAnsi="Arial"/>
                <w:sz w:val="13"/>
                <w:szCs w:val="13"/>
                <w:color w:val="auto"/>
              </w:rPr>
              <w:t>bank debt</w:t>
            </w:r>
          </w:p>
        </w:tc>
        <w:tc>
          <w:tcPr>
            <w:tcW w:w="1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8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Corporate debt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183,264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81,422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264,686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7"/>
              </w:rPr>
              <w:t>353,922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111,552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465,474</w:t>
            </w:r>
          </w:p>
        </w:tc>
        <w:tc>
          <w:tcPr>
            <w:tcW w:w="0" w:type="dxa"/>
            <w:vAlign w:val="bottom"/>
          </w:tcPr>
          <w:p>
            <w:pPr>
              <w:spacing w:after="0"/>
              <w:rPr>
                <w:sz w:val="1"/>
                <w:szCs w:val="1"/>
                <w:color w:val="auto"/>
              </w:rPr>
            </w:pPr>
          </w:p>
        </w:tc>
      </w:tr>
      <w:tr>
        <w:trPr>
          <w:trHeight w:val="169"/>
        </w:trPr>
        <w:tc>
          <w:tcPr>
            <w:tcW w:w="1180" w:type="dxa"/>
            <w:vAlign w:val="bottom"/>
            <w:gridSpan w:val="3"/>
          </w:tcPr>
          <w:p>
            <w:pPr>
              <w:ind w:left="300"/>
              <w:spacing w:after="0"/>
              <w:rPr>
                <w:sz w:val="20"/>
                <w:szCs w:val="20"/>
                <w:color w:val="auto"/>
              </w:rPr>
            </w:pPr>
            <w:r>
              <w:rPr>
                <w:rFonts w:ascii="Arial" w:cs="Arial" w:eastAsia="Arial" w:hAnsi="Arial"/>
                <w:sz w:val="13"/>
                <w:szCs w:val="13"/>
                <w:color w:val="auto"/>
              </w:rPr>
              <w:t>all other</w:t>
            </w: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8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Equities –</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w w:val="93"/>
              </w:rPr>
              <w:t>209,439</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99,553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1,465,364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1,774,356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7"/>
              </w:rPr>
              <w:t>222,670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39,290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1,187,023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1,448,983</w:t>
            </w:r>
          </w:p>
        </w:tc>
        <w:tc>
          <w:tcPr>
            <w:tcW w:w="0" w:type="dxa"/>
            <w:vAlign w:val="bottom"/>
          </w:tcPr>
          <w:p>
            <w:pPr>
              <w:spacing w:after="0"/>
              <w:rPr>
                <w:sz w:val="1"/>
                <w:szCs w:val="1"/>
                <w:color w:val="auto"/>
              </w:rPr>
            </w:pPr>
          </w:p>
        </w:tc>
      </w:tr>
      <w:tr>
        <w:trPr>
          <w:trHeight w:val="169"/>
        </w:trPr>
        <w:tc>
          <w:tcPr>
            <w:tcW w:w="1180" w:type="dxa"/>
            <w:vAlign w:val="bottom"/>
            <w:gridSpan w:val="3"/>
          </w:tcPr>
          <w:p>
            <w:pPr>
              <w:ind w:left="300"/>
              <w:spacing w:after="0"/>
              <w:rPr>
                <w:sz w:val="20"/>
                <w:szCs w:val="20"/>
                <w:color w:val="auto"/>
              </w:rPr>
            </w:pPr>
            <w:r>
              <w:rPr>
                <w:rFonts w:ascii="Arial" w:cs="Arial" w:eastAsia="Arial" w:hAnsi="Arial"/>
                <w:sz w:val="13"/>
                <w:szCs w:val="13"/>
                <w:color w:val="auto"/>
              </w:rPr>
              <w:t>common stock</w:t>
            </w: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8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Equities –</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80" w:type="dxa"/>
            <w:vAlign w:val="bottom"/>
            <w:gridSpan w:val="3"/>
          </w:tcPr>
          <w:p>
            <w:pPr>
              <w:ind w:left="300"/>
              <w:spacing w:after="0" w:line="129" w:lineRule="exact"/>
              <w:rPr>
                <w:sz w:val="20"/>
                <w:szCs w:val="20"/>
                <w:color w:val="auto"/>
              </w:rPr>
            </w:pPr>
            <w:r>
              <w:rPr>
                <w:rFonts w:ascii="Arial" w:cs="Arial" w:eastAsia="Arial" w:hAnsi="Arial"/>
                <w:sz w:val="13"/>
                <w:szCs w:val="13"/>
                <w:color w:val="auto"/>
              </w:rPr>
              <w:t>preferred</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2,201</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765,451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767,652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1,850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606,141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607,991</w:t>
            </w:r>
          </w:p>
        </w:tc>
        <w:tc>
          <w:tcPr>
            <w:tcW w:w="0" w:type="dxa"/>
            <w:vAlign w:val="bottom"/>
          </w:tcPr>
          <w:p>
            <w:pPr>
              <w:spacing w:after="0"/>
              <w:rPr>
                <w:sz w:val="1"/>
                <w:szCs w:val="1"/>
                <w:color w:val="auto"/>
              </w:rPr>
            </w:pPr>
          </w:p>
        </w:tc>
      </w:tr>
      <w:tr>
        <w:trPr>
          <w:trHeight w:val="169"/>
        </w:trPr>
        <w:tc>
          <w:tcPr>
            <w:tcW w:w="1180" w:type="dxa"/>
            <w:vAlign w:val="bottom"/>
            <w:gridSpan w:val="3"/>
          </w:tcPr>
          <w:p>
            <w:pPr>
              <w:ind w:left="300"/>
              <w:spacing w:after="0"/>
              <w:rPr>
                <w:sz w:val="20"/>
                <w:szCs w:val="20"/>
                <w:color w:val="auto"/>
              </w:rPr>
            </w:pPr>
            <w:r>
              <w:rPr>
                <w:rFonts w:ascii="Arial" w:cs="Arial" w:eastAsia="Arial" w:hAnsi="Arial"/>
                <w:sz w:val="13"/>
                <w:szCs w:val="13"/>
                <w:color w:val="auto"/>
              </w:rPr>
              <w:t>stock</w:t>
            </w: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gridSpan w:val="3"/>
          </w:tcPr>
          <w:p>
            <w:pPr>
              <w:ind w:left="160"/>
              <w:spacing w:after="0"/>
              <w:rPr>
                <w:sz w:val="20"/>
                <w:szCs w:val="20"/>
                <w:color w:val="auto"/>
              </w:rPr>
            </w:pPr>
            <w:r>
              <w:rPr>
                <w:rFonts w:ascii="Arial" w:cs="Arial" w:eastAsia="Arial" w:hAnsi="Arial"/>
                <w:sz w:val="13"/>
                <w:szCs w:val="13"/>
                <w:color w:val="auto"/>
              </w:rPr>
              <w:t>Real estate</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329,735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329,735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206,181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206,181</w:t>
            </w:r>
          </w:p>
        </w:tc>
        <w:tc>
          <w:tcPr>
            <w:tcW w:w="0" w:type="dxa"/>
            <w:vAlign w:val="bottom"/>
          </w:tcPr>
          <w:p>
            <w:pPr>
              <w:spacing w:after="0"/>
              <w:rPr>
                <w:sz w:val="1"/>
                <w:szCs w:val="1"/>
                <w:color w:val="auto"/>
              </w:rPr>
            </w:pPr>
          </w:p>
        </w:tc>
      </w:tr>
      <w:tr>
        <w:trPr>
          <w:trHeight w:val="116"/>
        </w:trPr>
        <w:tc>
          <w:tcPr>
            <w:tcW w:w="1180" w:type="dxa"/>
            <w:vAlign w:val="bottom"/>
            <w:gridSpan w:val="3"/>
          </w:tcPr>
          <w:p>
            <w:pPr>
              <w:ind w:left="300"/>
              <w:spacing w:after="0" w:line="116"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3"/>
              </w:rPr>
              <w:t>211,640</w:t>
            </w:r>
          </w:p>
        </w:tc>
        <w:tc>
          <w:tcPr>
            <w:tcW w:w="80" w:type="dxa"/>
            <w:vAlign w:val="bottom"/>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394,127</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6"/>
              </w:rPr>
              <w:t>4,241,632</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6"/>
              </w:rPr>
              <w:t>4,847,399</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7"/>
              </w:rPr>
              <w:t>224,520</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7"/>
              </w:rPr>
              <w:t>675,130</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6"/>
              </w:rPr>
              <w:t>4,047,212</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6"/>
              </w:rPr>
              <w:t>4,946,862</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investments</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8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18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Foreign-currency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80" w:type="dxa"/>
            <w:vAlign w:val="bottom"/>
            <w:gridSpan w:val="3"/>
          </w:tcPr>
          <w:p>
            <w:pPr>
              <w:ind w:left="300"/>
              <w:spacing w:after="0" w:line="129" w:lineRule="exact"/>
              <w:rPr>
                <w:sz w:val="20"/>
                <w:szCs w:val="20"/>
                <w:color w:val="auto"/>
              </w:rPr>
            </w:pPr>
            <w:r>
              <w:rPr>
                <w:rFonts w:ascii="Arial" w:cs="Arial" w:eastAsia="Arial" w:hAnsi="Arial"/>
                <w:sz w:val="13"/>
                <w:szCs w:val="13"/>
                <w:color w:val="auto"/>
              </w:rPr>
              <w:t>forward</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3,559</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23,165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26,724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17,578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17,578</w:t>
            </w:r>
          </w:p>
        </w:tc>
        <w:tc>
          <w:tcPr>
            <w:tcW w:w="0" w:type="dxa"/>
            <w:vAlign w:val="bottom"/>
          </w:tcPr>
          <w:p>
            <w:pPr>
              <w:spacing w:after="0"/>
              <w:rPr>
                <w:sz w:val="1"/>
                <w:szCs w:val="1"/>
                <w:color w:val="auto"/>
              </w:rPr>
            </w:pPr>
          </w:p>
        </w:tc>
      </w:tr>
      <w:tr>
        <w:trPr>
          <w:trHeight w:val="169"/>
        </w:trPr>
        <w:tc>
          <w:tcPr>
            <w:tcW w:w="1180" w:type="dxa"/>
            <w:vAlign w:val="bottom"/>
            <w:gridSpan w:val="3"/>
          </w:tcPr>
          <w:p>
            <w:pPr>
              <w:ind w:left="300"/>
              <w:spacing w:after="0"/>
              <w:rPr>
                <w:sz w:val="20"/>
                <w:szCs w:val="20"/>
                <w:color w:val="auto"/>
              </w:rPr>
            </w:pPr>
            <w:r>
              <w:rPr>
                <w:rFonts w:ascii="Arial" w:cs="Arial" w:eastAsia="Arial" w:hAnsi="Arial"/>
                <w:sz w:val="13"/>
                <w:szCs w:val="13"/>
                <w:color w:val="auto"/>
              </w:rPr>
              <w:t>contracts</w:t>
            </w: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gridSpan w:val="3"/>
          </w:tcPr>
          <w:p>
            <w:pPr>
              <w:ind w:left="160"/>
              <w:spacing w:after="0"/>
              <w:rPr>
                <w:sz w:val="20"/>
                <w:szCs w:val="20"/>
                <w:color w:val="auto"/>
              </w:rPr>
            </w:pPr>
            <w:r>
              <w:rPr>
                <w:rFonts w:ascii="Arial" w:cs="Arial" w:eastAsia="Arial" w:hAnsi="Arial"/>
                <w:sz w:val="13"/>
                <w:szCs w:val="13"/>
                <w:color w:val="auto"/>
              </w:rPr>
              <w:t>Swaps</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16,469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17,327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15,771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15,771</w:t>
            </w:r>
          </w:p>
        </w:tc>
        <w:tc>
          <w:tcPr>
            <w:tcW w:w="0" w:type="dxa"/>
            <w:vAlign w:val="bottom"/>
          </w:tcPr>
          <w:p>
            <w:pPr>
              <w:spacing w:after="0"/>
              <w:rPr>
                <w:sz w:val="1"/>
                <w:szCs w:val="1"/>
                <w:color w:val="auto"/>
              </w:rPr>
            </w:pPr>
          </w:p>
        </w:tc>
      </w:tr>
      <w:tr>
        <w:trPr>
          <w:trHeight w:val="116"/>
        </w:trPr>
        <w:tc>
          <w:tcPr>
            <w:tcW w:w="1180" w:type="dxa"/>
            <w:vAlign w:val="bottom"/>
            <w:gridSpan w:val="3"/>
          </w:tcPr>
          <w:p>
            <w:pPr>
              <w:ind w:left="300"/>
              <w:spacing w:after="0" w:line="116"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derivatives</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3,559</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24,023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16,469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44,051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17,578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15,771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33,349</w:t>
            </w:r>
          </w:p>
        </w:tc>
        <w:tc>
          <w:tcPr>
            <w:tcW w:w="0" w:type="dxa"/>
            <w:vAlign w:val="bottom"/>
          </w:tcPr>
          <w:p>
            <w:pPr>
              <w:spacing w:after="0"/>
              <w:rPr>
                <w:sz w:val="1"/>
                <w:szCs w:val="1"/>
                <w:color w:val="auto"/>
              </w:rPr>
            </w:pPr>
          </w:p>
        </w:tc>
      </w:tr>
      <w:tr>
        <w:trPr>
          <w:trHeight w:val="123"/>
        </w:trPr>
        <w:tc>
          <w:tcPr>
            <w:tcW w:w="600" w:type="dxa"/>
            <w:vAlign w:val="bottom"/>
            <w:gridSpan w:val="2"/>
          </w:tcPr>
          <w:p>
            <w:pPr>
              <w:ind w:left="460"/>
              <w:spacing w:after="0"/>
              <w:rPr>
                <w:sz w:val="20"/>
                <w:szCs w:val="20"/>
                <w:color w:val="auto"/>
              </w:rPr>
            </w:pPr>
            <w:r>
              <w:rPr>
                <w:rFonts w:ascii="Arial" w:cs="Arial" w:eastAsia="Arial" w:hAnsi="Arial"/>
                <w:sz w:val="8"/>
                <w:szCs w:val="8"/>
                <w:color w:val="auto"/>
              </w:rPr>
              <w:t>(1)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215,199</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$418,150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4,258,101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4,891,450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224,520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692,708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4,062,983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4,980,211</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6"/>
              </w:rPr>
              <w:t>Liabilities</w:t>
            </w:r>
          </w:p>
        </w:tc>
        <w:tc>
          <w:tcPr>
            <w:tcW w:w="5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00" w:type="dxa"/>
            <w:vAlign w:val="bottom"/>
            <w:tcBorders>
              <w:bottom w:val="single" w:sz="8" w:color="auto"/>
            </w:tcBorders>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180" w:type="dxa"/>
            <w:vAlign w:val="bottom"/>
            <w:gridSpan w:val="3"/>
          </w:tcPr>
          <w:p>
            <w:pPr>
              <w:spacing w:after="0"/>
              <w:rPr>
                <w:sz w:val="20"/>
                <w:szCs w:val="20"/>
                <w:color w:val="auto"/>
              </w:rPr>
            </w:pPr>
            <w:r>
              <w:rPr>
                <w:rFonts w:ascii="Arial" w:cs="Arial" w:eastAsia="Arial" w:hAnsi="Arial"/>
                <w:sz w:val="13"/>
                <w:szCs w:val="13"/>
                <w:color w:val="auto"/>
              </w:rPr>
              <w:t>Derivatives: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180" w:type="dxa"/>
            <w:vAlign w:val="bottom"/>
            <w:gridSpan w:val="3"/>
          </w:tcPr>
          <w:p>
            <w:pPr>
              <w:ind w:left="160"/>
              <w:spacing w:after="0" w:line="141" w:lineRule="exact"/>
              <w:rPr>
                <w:sz w:val="20"/>
                <w:szCs w:val="20"/>
                <w:color w:val="auto"/>
              </w:rPr>
            </w:pPr>
            <w:r>
              <w:rPr>
                <w:rFonts w:ascii="Arial" w:cs="Arial" w:eastAsia="Arial" w:hAnsi="Arial"/>
                <w:sz w:val="13"/>
                <w:szCs w:val="13"/>
                <w:color w:val="auto"/>
              </w:rPr>
              <w:t>Foreign-currency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80" w:type="dxa"/>
            <w:vAlign w:val="bottom"/>
            <w:gridSpan w:val="3"/>
          </w:tcPr>
          <w:p>
            <w:pPr>
              <w:ind w:left="300"/>
              <w:spacing w:after="0" w:line="129" w:lineRule="exact"/>
              <w:rPr>
                <w:sz w:val="20"/>
                <w:szCs w:val="20"/>
                <w:color w:val="auto"/>
              </w:rPr>
            </w:pPr>
            <w:r>
              <w:rPr>
                <w:rFonts w:ascii="Arial" w:cs="Arial" w:eastAsia="Arial" w:hAnsi="Arial"/>
                <w:sz w:val="13"/>
                <w:szCs w:val="13"/>
                <w:color w:val="auto"/>
              </w:rPr>
              <w:t>forward</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(6,982)</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7"/>
              </w:rPr>
              <w:t>$ (63,723)</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(70,705)</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(8,513)</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(8,513)</w:t>
            </w:r>
          </w:p>
        </w:tc>
        <w:tc>
          <w:tcPr>
            <w:tcW w:w="0" w:type="dxa"/>
            <w:vAlign w:val="bottom"/>
          </w:tcPr>
          <w:p>
            <w:pPr>
              <w:spacing w:after="0"/>
              <w:rPr>
                <w:sz w:val="1"/>
                <w:szCs w:val="1"/>
                <w:color w:val="auto"/>
              </w:rPr>
            </w:pPr>
          </w:p>
        </w:tc>
      </w:tr>
      <w:tr>
        <w:trPr>
          <w:trHeight w:val="169"/>
        </w:trPr>
        <w:tc>
          <w:tcPr>
            <w:tcW w:w="1180" w:type="dxa"/>
            <w:vAlign w:val="bottom"/>
            <w:gridSpan w:val="3"/>
          </w:tcPr>
          <w:p>
            <w:pPr>
              <w:ind w:left="300"/>
              <w:spacing w:after="0"/>
              <w:rPr>
                <w:sz w:val="20"/>
                <w:szCs w:val="20"/>
                <w:color w:val="auto"/>
              </w:rPr>
            </w:pPr>
            <w:r>
              <w:rPr>
                <w:rFonts w:ascii="Arial" w:cs="Arial" w:eastAsia="Arial" w:hAnsi="Arial"/>
                <w:sz w:val="13"/>
                <w:szCs w:val="13"/>
                <w:color w:val="auto"/>
              </w:rPr>
              <w:t>contracts</w:t>
            </w: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80" w:type="dxa"/>
            <w:vAlign w:val="bottom"/>
            <w:gridSpan w:val="3"/>
          </w:tcPr>
          <w:p>
            <w:pPr>
              <w:ind w:left="160"/>
              <w:spacing w:after="0"/>
              <w:rPr>
                <w:sz w:val="20"/>
                <w:szCs w:val="20"/>
                <w:color w:val="auto"/>
              </w:rPr>
            </w:pPr>
            <w:r>
              <w:rPr>
                <w:rFonts w:ascii="Arial" w:cs="Arial" w:eastAsia="Arial" w:hAnsi="Arial"/>
                <w:sz w:val="13"/>
                <w:szCs w:val="13"/>
                <w:color w:val="auto"/>
              </w:rPr>
              <w:t>Swaps</w:t>
            </w:r>
          </w:p>
        </w:tc>
        <w:tc>
          <w:tcPr>
            <w:tcW w:w="10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7"/>
        </w:trPr>
        <w:tc>
          <w:tcPr>
            <w:tcW w:w="1180" w:type="dxa"/>
            <w:vAlign w:val="bottom"/>
            <w:gridSpan w:val="3"/>
          </w:tcPr>
          <w:p>
            <w:pPr>
              <w:ind w:left="160"/>
              <w:spacing w:after="0" w:line="137" w:lineRule="exact"/>
              <w:rPr>
                <w:sz w:val="20"/>
                <w:szCs w:val="20"/>
                <w:color w:val="auto"/>
              </w:rPr>
            </w:pPr>
            <w:r>
              <w:rPr>
                <w:rFonts w:ascii="Arial" w:cs="Arial" w:eastAsia="Arial" w:hAnsi="Arial"/>
                <w:sz w:val="13"/>
                <w:szCs w:val="13"/>
                <w:color w:val="auto"/>
              </w:rPr>
              <w:t>Options and</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(4,853)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(4,853)</w:t>
            </w:r>
          </w:p>
        </w:tc>
        <w:tc>
          <w:tcPr>
            <w:tcW w:w="0" w:type="dxa"/>
            <w:vAlign w:val="bottom"/>
          </w:tcPr>
          <w:p>
            <w:pPr>
              <w:spacing w:after="0"/>
              <w:rPr>
                <w:sz w:val="1"/>
                <w:szCs w:val="1"/>
                <w:color w:val="auto"/>
              </w:rPr>
            </w:pPr>
          </w:p>
        </w:tc>
      </w:tr>
      <w:tr>
        <w:trPr>
          <w:trHeight w:val="173"/>
        </w:trPr>
        <w:tc>
          <w:tcPr>
            <w:tcW w:w="1180" w:type="dxa"/>
            <w:vAlign w:val="bottom"/>
            <w:gridSpan w:val="3"/>
          </w:tcPr>
          <w:p>
            <w:pPr>
              <w:ind w:left="300"/>
              <w:spacing w:after="0"/>
              <w:rPr>
                <w:sz w:val="20"/>
                <w:szCs w:val="20"/>
                <w:color w:val="auto"/>
              </w:rPr>
            </w:pPr>
            <w:r>
              <w:rPr>
                <w:rFonts w:ascii="Arial" w:cs="Arial" w:eastAsia="Arial" w:hAnsi="Arial"/>
                <w:sz w:val="13"/>
                <w:szCs w:val="13"/>
                <w:color w:val="auto"/>
              </w:rPr>
              <w:t>futures</w:t>
            </w: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180" w:type="dxa"/>
            <w:vAlign w:val="bottom"/>
            <w:gridSpan w:val="3"/>
          </w:tcPr>
          <w:p>
            <w:pPr>
              <w:ind w:left="300"/>
              <w:spacing w:after="0" w:line="116"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derivatives</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(6,982)</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(63,883)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(70,865)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9"/>
              </w:rPr>
              <w:t>(13,385)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(13,385)</w:t>
            </w:r>
          </w:p>
        </w:tc>
        <w:tc>
          <w:tcPr>
            <w:tcW w:w="0" w:type="dxa"/>
            <w:vAlign w:val="bottom"/>
          </w:tcPr>
          <w:p>
            <w:pPr>
              <w:spacing w:after="0"/>
              <w:rPr>
                <w:sz w:val="1"/>
                <w:szCs w:val="1"/>
                <w:color w:val="auto"/>
              </w:rPr>
            </w:pPr>
          </w:p>
        </w:tc>
      </w:tr>
      <w:tr>
        <w:trPr>
          <w:trHeight w:val="123"/>
        </w:trPr>
        <w:tc>
          <w:tcPr>
            <w:tcW w:w="600" w:type="dxa"/>
            <w:vAlign w:val="bottom"/>
            <w:gridSpan w:val="2"/>
          </w:tcPr>
          <w:p>
            <w:pPr>
              <w:ind w:left="460"/>
              <w:spacing w:after="0"/>
              <w:rPr>
                <w:sz w:val="20"/>
                <w:szCs w:val="20"/>
                <w:color w:val="auto"/>
              </w:rPr>
            </w:pPr>
            <w:r>
              <w:rPr>
                <w:rFonts w:ascii="Arial" w:cs="Arial" w:eastAsia="Arial" w:hAnsi="Arial"/>
                <w:sz w:val="8"/>
                <w:szCs w:val="8"/>
                <w:color w:val="auto"/>
              </w:rPr>
              <w:t>(2)</w:t>
            </w:r>
          </w:p>
        </w:tc>
        <w:tc>
          <w:tcPr>
            <w:tcW w:w="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(6,982)</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7"/>
              </w:rPr>
              <w:t>$ (63,883)</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(70,865)</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9"/>
              </w:rPr>
              <w:t>(13,385)</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(13,385)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ind w:left="240" w:hanging="237"/>
        <w:spacing w:after="0"/>
        <w:tabs>
          <w:tab w:leader="none" w:pos="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Amounts are included in derivative assets under “assets of consolidated funds” in the condensed consolidated statements of financial condition.</w:t>
      </w:r>
    </w:p>
    <w:p>
      <w:pPr>
        <w:spacing w:after="0" w:line="22" w:lineRule="exact"/>
        <w:rPr>
          <w:rFonts w:ascii="Arial" w:cs="Arial" w:eastAsia="Arial" w:hAnsi="Arial"/>
          <w:sz w:val="15"/>
          <w:szCs w:val="15"/>
          <w:color w:val="auto"/>
        </w:rPr>
      </w:pPr>
    </w:p>
    <w:p>
      <w:pPr>
        <w:ind w:left="240" w:hanging="237"/>
        <w:spacing w:after="0"/>
        <w:tabs>
          <w:tab w:leader="none" w:pos="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Amounts are included in derivative liabilities under “liabilities of consolidated funds” in the condensed consolidated statements of financial condition.</w:t>
      </w:r>
    </w:p>
    <w:p>
      <w:pPr>
        <w:sectPr>
          <w:pgSz w:w="11900" w:h="16838" w:orient="portrait"/>
          <w:cols w:equalWidth="0" w:num="1">
            <w:col w:w="11340"/>
          </w:cols>
          <w:pgMar w:left="320" w:top="353" w:right="2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53" w:right="239" w:bottom="1440" w:gutter="0" w:footer="0" w:header="0"/>
          <w:type w:val="continuous"/>
        </w:sectPr>
      </w:pPr>
    </w:p>
    <w:bookmarkStart w:id="32" w:name="page33"/>
    <w:bookmarkEnd w:id="32"/>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tables set forth a summary of changes in the fair value of Level III investments: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Corporate</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Equities –</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Equities –</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7"/>
              </w:rPr>
              <w:t>Debt – Bank</w:t>
            </w: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24" w:lineRule="exact"/>
              <w:rPr>
                <w:sz w:val="20"/>
                <w:szCs w:val="20"/>
                <w:color w:val="auto"/>
              </w:rPr>
            </w:pPr>
            <w:r>
              <w:rPr>
                <w:rFonts w:ascii="Arial" w:cs="Arial" w:eastAsia="Arial" w:hAnsi="Arial"/>
                <w:sz w:val="12"/>
                <w:szCs w:val="12"/>
                <w:b w:val="1"/>
                <w:bCs w:val="1"/>
                <w:color w:val="auto"/>
              </w:rPr>
              <w:t>Debt – All</w:t>
            </w:r>
          </w:p>
        </w:tc>
        <w:tc>
          <w:tcPr>
            <w:tcW w:w="140" w:type="dxa"/>
            <w:vAlign w:val="bottom"/>
          </w:tcPr>
          <w:p>
            <w:pPr>
              <w:spacing w:after="0"/>
              <w:rPr>
                <w:sz w:val="10"/>
                <w:szCs w:val="10"/>
                <w:color w:val="auto"/>
              </w:rPr>
            </w:pPr>
          </w:p>
        </w:tc>
        <w:tc>
          <w:tcPr>
            <w:tcW w:w="940" w:type="dxa"/>
            <w:vAlign w:val="bottom"/>
            <w:gridSpan w:val="2"/>
          </w:tcPr>
          <w:p>
            <w:pPr>
              <w:jc w:val="center"/>
              <w:ind w:right="300"/>
              <w:spacing w:after="0" w:line="124" w:lineRule="exact"/>
              <w:rPr>
                <w:sz w:val="20"/>
                <w:szCs w:val="20"/>
                <w:color w:val="auto"/>
              </w:rPr>
            </w:pPr>
            <w:r>
              <w:rPr>
                <w:rFonts w:ascii="Arial" w:cs="Arial" w:eastAsia="Arial" w:hAnsi="Arial"/>
                <w:sz w:val="12"/>
                <w:szCs w:val="12"/>
                <w:b w:val="1"/>
                <w:bCs w:val="1"/>
                <w:color w:val="auto"/>
                <w:w w:val="99"/>
              </w:rPr>
              <w:t>Common</w:t>
            </w:r>
          </w:p>
        </w:tc>
        <w:tc>
          <w:tcPr>
            <w:tcW w:w="120" w:type="dxa"/>
            <w:vAlign w:val="bottom"/>
          </w:tcPr>
          <w:p>
            <w:pPr>
              <w:spacing w:after="0"/>
              <w:rPr>
                <w:sz w:val="10"/>
                <w:szCs w:val="10"/>
                <w:color w:val="auto"/>
              </w:rPr>
            </w:pPr>
          </w:p>
        </w:tc>
        <w:tc>
          <w:tcPr>
            <w:tcW w:w="900" w:type="dxa"/>
            <w:vAlign w:val="bottom"/>
            <w:gridSpan w:val="2"/>
          </w:tcPr>
          <w:p>
            <w:pPr>
              <w:jc w:val="center"/>
              <w:ind w:right="280"/>
              <w:spacing w:after="0" w:line="124" w:lineRule="exact"/>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Real Estate</w:t>
            </w:r>
          </w:p>
        </w:tc>
        <w:tc>
          <w:tcPr>
            <w:tcW w:w="14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Swaps</w:t>
            </w:r>
          </w:p>
        </w:tc>
        <w:tc>
          <w:tcPr>
            <w:tcW w:w="200" w:type="dxa"/>
            <w:vAlign w:val="bottom"/>
          </w:tcPr>
          <w:p>
            <w:pPr>
              <w:spacing w:after="0"/>
              <w:rPr>
                <w:sz w:val="10"/>
                <w:szCs w:val="10"/>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Debt</w:t>
            </w: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Three months ended September 30, 2025</w:t>
            </w:r>
          </w:p>
        </w:tc>
        <w:tc>
          <w:tcPr>
            <w:tcW w:w="1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1,546,171</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132,169</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1,276,658</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700,259</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330,423</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17,346</w:t>
            </w:r>
          </w:p>
        </w:tc>
        <w:tc>
          <w:tcPr>
            <w:tcW w:w="14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4,003,026</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157,521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41,641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22,033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225,114</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(136,382)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(36,351)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(24,402)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(22,032)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(219,167)</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369,228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29,676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182,226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60,239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14,182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655,552</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(253,715)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(69,632)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(28,771)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(11,691)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(371,607)</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3,793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1,601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14,248</w:t>
            </w:r>
          </w:p>
        </w:tc>
        <w:tc>
          <w:tcPr>
            <w:tcW w:w="0" w:type="dxa"/>
            <w:vAlign w:val="bottom"/>
          </w:tcPr>
          <w:p>
            <w:pPr>
              <w:spacing w:after="0"/>
              <w:rPr>
                <w:sz w:val="1"/>
                <w:szCs w:val="1"/>
                <w:color w:val="auto"/>
              </w:rPr>
            </w:pPr>
          </w:p>
        </w:tc>
      </w:tr>
      <w:tr>
        <w:trPr>
          <w:trHeight w:val="186"/>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(86,956)</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27,756</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(6,508)</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(49,065)</w:t>
            </w:r>
          </w:p>
        </w:tc>
        <w:tc>
          <w:tcPr>
            <w:tcW w:w="0" w:type="dxa"/>
            <w:vAlign w:val="bottom"/>
          </w:tcPr>
          <w:p>
            <w:pPr>
              <w:spacing w:after="0"/>
              <w:rPr>
                <w:sz w:val="1"/>
                <w:szCs w:val="1"/>
                <w:color w:val="auto"/>
              </w:rPr>
            </w:pPr>
          </w:p>
        </w:tc>
      </w:tr>
      <w:tr>
        <w:trPr>
          <w:trHeight w:val="179"/>
        </w:trPr>
        <w:tc>
          <w:tcPr>
            <w:tcW w:w="414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1,599,660</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81,422</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1,465,364</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765,451</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329,735</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16,469</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4,258,101</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14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(26,611)</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(8,241)</w:t>
            </w:r>
          </w:p>
        </w:tc>
        <w:tc>
          <w:tcPr>
            <w:tcW w:w="14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14,036</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7,411</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1,567</w:t>
            </w:r>
          </w:p>
        </w:tc>
        <w:tc>
          <w:tcPr>
            <w:tcW w:w="14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(11,838)</w:t>
            </w:r>
          </w:p>
        </w:tc>
        <w:tc>
          <w:tcPr>
            <w:tcW w:w="0" w:type="dxa"/>
            <w:vAlign w:val="bottom"/>
          </w:tcPr>
          <w:p>
            <w:pPr>
              <w:spacing w:after="0"/>
              <w:rPr>
                <w:sz w:val="1"/>
                <w:szCs w:val="1"/>
                <w:color w:val="auto"/>
              </w:rPr>
            </w:pPr>
          </w:p>
        </w:tc>
      </w:tr>
      <w:tr>
        <w:trPr>
          <w:trHeight w:val="154"/>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vMerge w:val="restart"/>
          </w:tcPr>
          <w:p>
            <w:pPr>
              <w:spacing w:after="0"/>
              <w:rPr>
                <w:sz w:val="20"/>
                <w:szCs w:val="20"/>
                <w:color w:val="auto"/>
              </w:rPr>
            </w:pPr>
            <w:r>
              <w:rPr>
                <w:rFonts w:ascii="Arial" w:cs="Arial" w:eastAsia="Arial" w:hAnsi="Arial"/>
                <w:sz w:val="12"/>
                <w:szCs w:val="12"/>
                <w:b w:val="1"/>
                <w:bCs w:val="1"/>
                <w:color w:val="auto"/>
                <w:w w:val="99"/>
              </w:rPr>
              <w:t>Three months ended September 30, 2024</w:t>
            </w:r>
          </w:p>
        </w:tc>
        <w:tc>
          <w:tcPr>
            <w:tcW w:w="18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40" w:type="dxa"/>
            <w:vAlign w:val="bottom"/>
            <w:tcBorders>
              <w:bottom w:val="single" w:sz="8" w:color="auto"/>
            </w:tcBorders>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4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1,654,942</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198,028</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1,049,656</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667,154</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246,862</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18,254</w:t>
            </w:r>
          </w:p>
        </w:tc>
        <w:tc>
          <w:tcPr>
            <w:tcW w:w="14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3,834,896</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Deconsolidation of funds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(70,255)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(2,356)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(73,196)</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136,725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84,494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17,603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250,206</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(93,971)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(57,113)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(28,618)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(291,836)</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173,975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29,316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24,043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21,572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5"/>
                <w:szCs w:val="15"/>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249,046</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(87,091)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(8,496)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(32,785)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(121,764)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(17,732)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(267,868)</w:t>
            </w:r>
          </w:p>
        </w:tc>
        <w:tc>
          <w:tcPr>
            <w:tcW w:w="0" w:type="dxa"/>
            <w:vAlign w:val="bottom"/>
          </w:tcPr>
          <w:p>
            <w:pPr>
              <w:spacing w:after="0"/>
              <w:rPr>
                <w:sz w:val="1"/>
                <w:szCs w:val="1"/>
                <w:color w:val="auto"/>
              </w:rPr>
            </w:pPr>
          </w:p>
        </w:tc>
      </w:tr>
      <w:tr>
        <w:trPr>
          <w:trHeight w:val="180"/>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30,760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5"/>
                <w:szCs w:val="15"/>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35,285</w:t>
            </w:r>
          </w:p>
        </w:tc>
        <w:tc>
          <w:tcPr>
            <w:tcW w:w="0" w:type="dxa"/>
            <w:vAlign w:val="bottom"/>
          </w:tcPr>
          <w:p>
            <w:pPr>
              <w:spacing w:after="0"/>
              <w:rPr>
                <w:sz w:val="1"/>
                <w:szCs w:val="1"/>
                <w:color w:val="auto"/>
              </w:rPr>
            </w:pPr>
          </w:p>
        </w:tc>
      </w:tr>
      <w:tr>
        <w:trPr>
          <w:trHeight w:val="186"/>
        </w:trPr>
        <w:tc>
          <w:tcPr>
            <w:tcW w:w="4140" w:type="dxa"/>
            <w:vAlign w:val="bottom"/>
            <w:gridSpan w:val="2"/>
          </w:tcPr>
          <w:p>
            <w:pPr>
              <w:ind w:left="30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7,513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27,397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(20,689)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20,419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28,509</w:t>
            </w:r>
          </w:p>
        </w:tc>
        <w:tc>
          <w:tcPr>
            <w:tcW w:w="0" w:type="dxa"/>
            <w:vAlign w:val="bottom"/>
          </w:tcPr>
          <w:p>
            <w:pPr>
              <w:spacing w:after="0"/>
              <w:rPr>
                <w:sz w:val="1"/>
                <w:szCs w:val="1"/>
                <w:color w:val="auto"/>
              </w:rPr>
            </w:pPr>
          </w:p>
        </w:tc>
      </w:tr>
      <w:tr>
        <w:trPr>
          <w:trHeight w:val="179"/>
        </w:trPr>
        <w:tc>
          <w:tcPr>
            <w:tcW w:w="414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1,712,311</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100,630</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1,103,607</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570,167</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260,106</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18,221</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3,765,042</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14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(125)</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(3,539)</w:t>
            </w:r>
          </w:p>
        </w:tc>
        <w:tc>
          <w:tcPr>
            <w:tcW w:w="14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33,705</w:t>
            </w:r>
          </w:p>
        </w:tc>
        <w:tc>
          <w:tcPr>
            <w:tcW w:w="1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(20,028)</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20,419</w:t>
            </w:r>
          </w:p>
        </w:tc>
        <w:tc>
          <w:tcPr>
            <w:tcW w:w="14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30,432</w:t>
            </w:r>
          </w:p>
        </w:tc>
        <w:tc>
          <w:tcPr>
            <w:tcW w:w="0" w:type="dxa"/>
            <w:vAlign w:val="bottom"/>
          </w:tcPr>
          <w:p>
            <w:pPr>
              <w:spacing w:after="0"/>
              <w:rPr>
                <w:sz w:val="1"/>
                <w:szCs w:val="1"/>
                <w:color w:val="auto"/>
              </w:rPr>
            </w:pPr>
          </w:p>
        </w:tc>
      </w:tr>
      <w:tr>
        <w:trPr>
          <w:trHeight w:val="154"/>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70485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Corporate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Corporate</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Equities –</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Equities –</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rPr>
              <w:t>Debt – Bank</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97"/>
              </w:rPr>
              <w:t>Debt – All</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9"/>
              </w:rPr>
              <w:t>Common</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Real Estate</w:t>
            </w:r>
          </w:p>
        </w:tc>
        <w:tc>
          <w:tcPr>
            <w:tcW w:w="160" w:type="dxa"/>
            <w:vAlign w:val="bottom"/>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Swaps</w:t>
            </w:r>
          </w:p>
        </w:tc>
        <w:tc>
          <w:tcPr>
            <w:tcW w:w="180" w:type="dxa"/>
            <w:vAlign w:val="bottom"/>
          </w:tcPr>
          <w:p>
            <w:pPr>
              <w:spacing w:after="0"/>
              <w:rPr>
                <w:sz w:val="10"/>
                <w:szCs w:val="10"/>
                <w:color w:val="auto"/>
              </w:rPr>
            </w:pPr>
          </w:p>
        </w:tc>
        <w:tc>
          <w:tcPr>
            <w:tcW w:w="760" w:type="dxa"/>
            <w:vAlign w:val="bottom"/>
            <w:vMerge w:val="restart"/>
          </w:tcPr>
          <w:p>
            <w:pPr>
              <w:jc w:val="right"/>
              <w:ind w:right="25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2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Debt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280" w:type="dxa"/>
            <w:vAlign w:val="bottom"/>
            <w:tcBorders>
              <w:bottom w:val="single" w:sz="8" w:color="auto"/>
            </w:tcBorders>
          </w:tcPr>
          <w:p>
            <w:pPr>
              <w:spacing w:after="0" w:line="116" w:lineRule="exact"/>
              <w:rPr>
                <w:sz w:val="20"/>
                <w:szCs w:val="20"/>
                <w:color w:val="auto"/>
              </w:rPr>
            </w:pPr>
            <w:r>
              <w:rPr>
                <w:rFonts w:ascii="Arial" w:cs="Arial" w:eastAsia="Arial" w:hAnsi="Arial"/>
                <w:sz w:val="12"/>
                <w:szCs w:val="12"/>
                <w:b w:val="1"/>
                <w:bCs w:val="1"/>
                <w:color w:val="auto"/>
                <w:w w:val="99"/>
              </w:rPr>
              <w:t>Nine months ended September 30, 2025</w:t>
            </w: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2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1,936,315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111,552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1,187,023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606,141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206,181</w:t>
            </w:r>
          </w:p>
        </w:tc>
        <w:tc>
          <w:tcPr>
            <w:tcW w:w="14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15,771</w:t>
            </w:r>
          </w:p>
        </w:tc>
        <w:tc>
          <w:tcPr>
            <w:tcW w:w="140" w:type="dxa"/>
            <w:vAlign w:val="bottom"/>
          </w:tcPr>
          <w:p>
            <w:pPr>
              <w:spacing w:after="0"/>
              <w:rPr>
                <w:sz w:val="16"/>
                <w:szCs w:val="16"/>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4,062,983</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1,085,276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46,298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28,839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1,173,475</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(972,332)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(39,425)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(22,032)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(1,074,979)</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1,302,029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37,497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282,682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216,325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109,090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1,949,199</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(1,602,987)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(78,426)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(82,642)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(116,320)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(31,220)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(1,912,716)</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21,815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40,621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(36,423)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5,195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38,354</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(170,456)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64,080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95,691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33,682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21,785</w:t>
            </w:r>
          </w:p>
        </w:tc>
        <w:tc>
          <w:tcPr>
            <w:tcW w:w="0" w:type="dxa"/>
            <w:vAlign w:val="bottom"/>
          </w:tcPr>
          <w:p>
            <w:pPr>
              <w:spacing w:after="0"/>
              <w:rPr>
                <w:sz w:val="1"/>
                <w:szCs w:val="1"/>
                <w:color w:val="auto"/>
              </w:rPr>
            </w:pPr>
          </w:p>
        </w:tc>
      </w:tr>
      <w:tr>
        <w:trPr>
          <w:trHeight w:val="179"/>
        </w:trPr>
        <w:tc>
          <w:tcPr>
            <w:tcW w:w="42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1,599,660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81,422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1,465,364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765,451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329,735</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16,469</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4,258,101</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2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(149,532)</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3,051</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70,410</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75,930</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41,757</w:t>
            </w:r>
          </w:p>
        </w:tc>
        <w:tc>
          <w:tcPr>
            <w:tcW w:w="140" w:type="dxa"/>
            <w:vAlign w:val="bottom"/>
          </w:tcPr>
          <w:p>
            <w:pPr>
              <w:spacing w:after="0"/>
              <w:rPr>
                <w:sz w:val="8"/>
                <w:szCs w:val="8"/>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41,616</w:t>
            </w:r>
          </w:p>
        </w:tc>
        <w:tc>
          <w:tcPr>
            <w:tcW w:w="0" w:type="dxa"/>
            <w:vAlign w:val="bottom"/>
          </w:tcPr>
          <w:p>
            <w:pPr>
              <w:spacing w:after="0"/>
              <w:rPr>
                <w:sz w:val="1"/>
                <w:szCs w:val="1"/>
                <w:color w:val="auto"/>
              </w:rPr>
            </w:pPr>
          </w:p>
        </w:tc>
      </w:tr>
      <w:tr>
        <w:trPr>
          <w:trHeight w:val="154"/>
        </w:trPr>
        <w:tc>
          <w:tcPr>
            <w:tcW w:w="422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w w:val="99"/>
              </w:rPr>
              <w:t>Nine months ended September 30, 2024</w:t>
            </w:r>
          </w:p>
        </w:tc>
        <w:tc>
          <w:tcPr>
            <w:tcW w:w="19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80" w:type="dxa"/>
            <w:vAlign w:val="bottom"/>
            <w:tcBorders>
              <w:bottom w:val="single" w:sz="8" w:color="auto"/>
            </w:tcBorders>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2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1,721,888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260,292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846,773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599,636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175,353</w:t>
            </w:r>
          </w:p>
        </w:tc>
        <w:tc>
          <w:tcPr>
            <w:tcW w:w="14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3,603,942</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Deconsolidation of funds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(73,196)</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Initial consolidation of funds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Transfers into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358,757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26,590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139,172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23,738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548,410</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Transfers out of Level III</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(388,815)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(159,901)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(72,773)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(28,618)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(657,241)</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Purchases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516,419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25,727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235,083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102,272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89,190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18,221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986,912</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Sales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(444,229)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(46,636)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(124,069)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(154,744)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(17,732)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(787,410)</w:t>
            </w:r>
          </w:p>
        </w:tc>
        <w:tc>
          <w:tcPr>
            <w:tcW w:w="0" w:type="dxa"/>
            <w:vAlign w:val="bottom"/>
          </w:tcPr>
          <w:p>
            <w:pPr>
              <w:spacing w:after="0"/>
              <w:rPr>
                <w:sz w:val="1"/>
                <w:szCs w:val="1"/>
                <w:color w:val="auto"/>
              </w:rPr>
            </w:pPr>
          </w:p>
        </w:tc>
      </w:tr>
      <w:tr>
        <w:trPr>
          <w:trHeight w:val="180"/>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Realized gain (losses), net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51,081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(57,207)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(1,028)</w:t>
            </w:r>
          </w:p>
        </w:tc>
        <w:tc>
          <w:tcPr>
            <w:tcW w:w="0" w:type="dxa"/>
            <w:vAlign w:val="bottom"/>
          </w:tcPr>
          <w:p>
            <w:pPr>
              <w:spacing w:after="0"/>
              <w:rPr>
                <w:sz w:val="1"/>
                <w:szCs w:val="1"/>
                <w:color w:val="auto"/>
              </w:rPr>
            </w:pPr>
          </w:p>
        </w:tc>
      </w:tr>
      <w:tr>
        <w:trPr>
          <w:trHeight w:val="186"/>
        </w:trPr>
        <w:tc>
          <w:tcPr>
            <w:tcW w:w="4220" w:type="dxa"/>
            <w:vAlign w:val="bottom"/>
            <w:gridSpan w:val="2"/>
          </w:tcPr>
          <w:p>
            <w:pPr>
              <w:ind w:left="300"/>
              <w:spacing w:after="0"/>
              <w:rPr>
                <w:sz w:val="20"/>
                <w:szCs w:val="20"/>
                <w:color w:val="auto"/>
              </w:rPr>
            </w:pPr>
            <w:r>
              <w:rPr>
                <w:rFonts w:ascii="Arial" w:cs="Arial" w:eastAsia="Arial" w:hAnsi="Arial"/>
                <w:sz w:val="13"/>
                <w:szCs w:val="13"/>
                <w:color w:val="auto"/>
              </w:rPr>
              <w:t>Unrealized appreciation (depreciation), net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28,915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89,547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18,175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141,691</w:t>
            </w:r>
          </w:p>
        </w:tc>
        <w:tc>
          <w:tcPr>
            <w:tcW w:w="0" w:type="dxa"/>
            <w:vAlign w:val="bottom"/>
          </w:tcPr>
          <w:p>
            <w:pPr>
              <w:spacing w:after="0"/>
              <w:rPr>
                <w:sz w:val="1"/>
                <w:szCs w:val="1"/>
                <w:color w:val="auto"/>
              </w:rPr>
            </w:pPr>
          </w:p>
        </w:tc>
      </w:tr>
      <w:tr>
        <w:trPr>
          <w:trHeight w:val="179"/>
        </w:trPr>
        <w:tc>
          <w:tcPr>
            <w:tcW w:w="42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1,712,311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100,630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1,103,607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570,167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260,106</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18,221</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3,765,042</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line="135" w:lineRule="exact"/>
              <w:rPr>
                <w:sz w:val="20"/>
                <w:szCs w:val="20"/>
                <w:color w:val="auto"/>
              </w:rPr>
            </w:pPr>
            <w:r>
              <w:rPr>
                <w:rFonts w:ascii="Arial" w:cs="Arial" w:eastAsia="Arial" w:hAnsi="Arial"/>
                <w:sz w:val="13"/>
                <w:szCs w:val="13"/>
                <w:color w:val="auto"/>
              </w:rPr>
              <w:t>Net change in unrealized appreciation (depreciation) attributable to</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20" w:type="dxa"/>
            <w:vAlign w:val="bottom"/>
            <w:gridSpan w:val="2"/>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12,230</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(5,174)</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28,804</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89,330</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6"/>
              <w:spacing w:after="0"/>
              <w:rPr>
                <w:sz w:val="20"/>
                <w:szCs w:val="20"/>
                <w:color w:val="auto"/>
              </w:rPr>
            </w:pPr>
            <w:r>
              <w:rPr>
                <w:rFonts w:ascii="Arial" w:cs="Arial" w:eastAsia="Arial" w:hAnsi="Arial"/>
                <w:sz w:val="13"/>
                <w:szCs w:val="13"/>
                <w:color w:val="auto"/>
              </w:rPr>
              <w:t>18,175</w:t>
            </w:r>
          </w:p>
        </w:tc>
        <w:tc>
          <w:tcPr>
            <w:tcW w:w="140" w:type="dxa"/>
            <w:vAlign w:val="bottom"/>
          </w:tcPr>
          <w:p>
            <w:pPr>
              <w:spacing w:after="0"/>
              <w:rPr>
                <w:sz w:val="8"/>
                <w:szCs w:val="8"/>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143,365</w:t>
            </w:r>
          </w:p>
        </w:tc>
        <w:tc>
          <w:tcPr>
            <w:tcW w:w="0" w:type="dxa"/>
            <w:vAlign w:val="bottom"/>
          </w:tcPr>
          <w:p>
            <w:pPr>
              <w:spacing w:after="0"/>
              <w:rPr>
                <w:sz w:val="1"/>
                <w:szCs w:val="1"/>
                <w:color w:val="auto"/>
              </w:rPr>
            </w:pPr>
          </w:p>
        </w:tc>
      </w:tr>
      <w:tr>
        <w:trPr>
          <w:trHeight w:val="154"/>
        </w:trPr>
        <w:tc>
          <w:tcPr>
            <w:tcW w:w="4220" w:type="dxa"/>
            <w:vAlign w:val="bottom"/>
            <w:gridSpan w:val="2"/>
          </w:tcPr>
          <w:p>
            <w:pPr>
              <w:ind w:left="160"/>
              <w:spacing w:after="0"/>
              <w:rPr>
                <w:sz w:val="20"/>
                <w:szCs w:val="20"/>
                <w:color w:val="auto"/>
              </w:rPr>
            </w:pPr>
            <w:r>
              <w:rPr>
                <w:rFonts w:ascii="Arial" w:cs="Arial" w:eastAsia="Arial" w:hAnsi="Arial"/>
                <w:sz w:val="13"/>
                <w:szCs w:val="13"/>
                <w:color w:val="auto"/>
              </w:rPr>
              <w:t>assets still held at end of period</w:t>
            </w: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Total realized and unrealized gains and losses recorded for Level III investments are included in net realized gain on consolidated funds’ investments or net change in unrealized appreciation (depreciation) on consolidated funds’ investments in the condensed consolidated statements of operations.</w:t>
      </w:r>
    </w:p>
    <w:p>
      <w:pPr>
        <w:spacing w:after="0" w:line="163" w:lineRule="exact"/>
        <w:rPr>
          <w:sz w:val="20"/>
          <w:szCs w:val="20"/>
          <w:color w:val="auto"/>
        </w:rPr>
      </w:pPr>
    </w:p>
    <w:p>
      <w:pPr>
        <w:ind w:right="100" w:firstLine="619"/>
        <w:spacing w:after="0" w:line="265" w:lineRule="auto"/>
        <w:rPr>
          <w:sz w:val="20"/>
          <w:szCs w:val="20"/>
          <w:color w:val="auto"/>
        </w:rPr>
      </w:pPr>
      <w:r>
        <w:rPr>
          <w:rFonts w:ascii="Arial" w:cs="Arial" w:eastAsia="Arial" w:hAnsi="Arial"/>
          <w:sz w:val="17"/>
          <w:szCs w:val="17"/>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53" w:lineRule="exact"/>
        <w:rPr>
          <w:sz w:val="20"/>
          <w:szCs w:val="20"/>
          <w:color w:val="auto"/>
        </w:rPr>
      </w:pPr>
    </w:p>
    <w:p>
      <w:pPr>
        <w:ind w:right="60" w:firstLine="619"/>
        <w:spacing w:after="0" w:line="282" w:lineRule="auto"/>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 consolidated funds’ Level III investments as of September 30, 2025:</w:t>
      </w:r>
    </w:p>
    <w:tbl>
      <w:tblPr>
        <w:tblLayout w:type="fixed"/>
        <w:tblInd w:w="0" w:type="dxa"/>
        <w:tblCellMar>
          <w:top w:w="0" w:type="dxa"/>
          <w:left w:w="0" w:type="dxa"/>
          <w:bottom w:w="0" w:type="dxa"/>
          <w:right w:w="0" w:type="dxa"/>
        </w:tblCellMar>
      </w:tblPr>
      <w:tr>
        <w:trPr>
          <w:trHeight w:val="117"/>
        </w:trPr>
        <w:tc>
          <w:tcPr>
            <w:tcW w:w="18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Investment Type</w:t>
            </w:r>
          </w:p>
        </w:tc>
        <w:tc>
          <w:tcPr>
            <w:tcW w:w="220" w:type="dxa"/>
            <w:vAlign w:val="bottom"/>
            <w:vMerge w:val="restart"/>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Fair Value</w:t>
            </w:r>
          </w:p>
        </w:tc>
        <w:tc>
          <w:tcPr>
            <w:tcW w:w="220" w:type="dxa"/>
            <w:vAlign w:val="bottom"/>
            <w:vMerge w:val="restart"/>
          </w:tcPr>
          <w:p>
            <w:pPr>
              <w:spacing w:after="0"/>
              <w:rPr>
                <w:sz w:val="10"/>
                <w:szCs w:val="10"/>
                <w:color w:val="auto"/>
              </w:rPr>
            </w:pPr>
          </w:p>
        </w:tc>
        <w:tc>
          <w:tcPr>
            <w:tcW w:w="2380" w:type="dxa"/>
            <w:vAlign w:val="bottom"/>
            <w:vMerge w:val="restart"/>
          </w:tcPr>
          <w:p>
            <w:pPr>
              <w:ind w:left="660"/>
              <w:spacing w:after="0"/>
              <w:rPr>
                <w:sz w:val="20"/>
                <w:szCs w:val="20"/>
                <w:color w:val="auto"/>
              </w:rPr>
            </w:pPr>
            <w:r>
              <w:rPr>
                <w:rFonts w:ascii="Arial" w:cs="Arial" w:eastAsia="Arial" w:hAnsi="Arial"/>
                <w:sz w:val="11"/>
                <w:szCs w:val="11"/>
                <w:b w:val="1"/>
                <w:bCs w:val="1"/>
                <w:color w:val="auto"/>
              </w:rPr>
              <w:t>Valuation Technique</w:t>
            </w:r>
          </w:p>
        </w:tc>
        <w:tc>
          <w:tcPr>
            <w:tcW w:w="220" w:type="dxa"/>
            <w:vAlign w:val="bottom"/>
            <w:vMerge w:val="restart"/>
          </w:tcPr>
          <w:p>
            <w:pPr>
              <w:spacing w:after="0"/>
              <w:rPr>
                <w:sz w:val="10"/>
                <w:szCs w:val="10"/>
                <w:color w:val="auto"/>
              </w:rPr>
            </w:pPr>
          </w:p>
        </w:tc>
        <w:tc>
          <w:tcPr>
            <w:tcW w:w="266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rPr>
              <w:t>Significant Unobservable</w:t>
            </w:r>
          </w:p>
        </w:tc>
        <w:tc>
          <w:tcPr>
            <w:tcW w:w="122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Range</w:t>
            </w:r>
          </w:p>
        </w:tc>
        <w:tc>
          <w:tcPr>
            <w:tcW w:w="220" w:type="dxa"/>
            <w:vAlign w:val="bottom"/>
            <w:vMerge w:val="restart"/>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 xml:space="preserve">Weighted Average </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150"/>
        </w:trPr>
        <w:tc>
          <w:tcPr>
            <w:tcW w:w="1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3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440" w:type="dxa"/>
            <w:vAlign w:val="bottom"/>
            <w:tcBorders>
              <w:bottom w:val="single" w:sz="8" w:color="auto"/>
            </w:tcBorders>
          </w:tcPr>
          <w:p>
            <w:pPr>
              <w:jc w:val="center"/>
              <w:spacing w:after="0" w:line="150" w:lineRule="exact"/>
              <w:rPr>
                <w:sz w:val="20"/>
                <w:szCs w:val="20"/>
                <w:color w:val="auto"/>
              </w:rPr>
            </w:pPr>
            <w:r>
              <w:rPr>
                <w:rFonts w:ascii="Arial" w:cs="Arial" w:eastAsia="Arial" w:hAnsi="Arial"/>
                <w:sz w:val="11"/>
                <w:szCs w:val="11"/>
                <w:b w:val="1"/>
                <w:bCs w:val="1"/>
                <w:color w:val="auto"/>
                <w:w w:val="88"/>
              </w:rPr>
              <w:t xml:space="preserve">Inputs </w:t>
            </w:r>
            <w:r>
              <w:rPr>
                <w:rFonts w:ascii="Arial" w:cs="Arial" w:eastAsia="Arial" w:hAnsi="Arial"/>
                <w:sz w:val="14"/>
                <w:szCs w:val="14"/>
                <w:b w:val="1"/>
                <w:bCs w:val="1"/>
                <w:color w:val="auto"/>
                <w:w w:val="88"/>
                <w:vertAlign w:val="superscript"/>
              </w:rPr>
              <w:t>(1)(2)</w:t>
            </w:r>
          </w:p>
        </w:tc>
        <w:tc>
          <w:tcPr>
            <w:tcW w:w="2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Credit-oriented investments:</w:t>
      </w:r>
    </w:p>
    <w:p>
      <w:pPr>
        <w:spacing w:after="0" w:line="25" w:lineRule="exact"/>
        <w:rPr>
          <w:sz w:val="20"/>
          <w:szCs w:val="20"/>
          <w:color w:val="auto"/>
        </w:rPr>
      </w:pPr>
    </w:p>
    <w:tbl>
      <w:tblPr>
        <w:tblLayout w:type="fixed"/>
        <w:tblInd w:w="2080" w:type="dxa"/>
        <w:tblCellMar>
          <w:top w:w="0" w:type="dxa"/>
          <w:left w:w="0" w:type="dxa"/>
          <w:bottom w:w="0" w:type="dxa"/>
          <w:right w:w="0" w:type="dxa"/>
        </w:tblCellMar>
      </w:tblPr>
      <w:tr>
        <w:trPr>
          <w:trHeight w:val="172"/>
        </w:trPr>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960,146</w:t>
            </w:r>
          </w:p>
        </w:tc>
        <w:tc>
          <w:tcPr>
            <w:tcW w:w="2580" w:type="dxa"/>
            <w:vAlign w:val="bottom"/>
          </w:tcPr>
          <w:p>
            <w:pPr>
              <w:ind w:left="14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420" w:type="dxa"/>
            <w:vAlign w:val="bottom"/>
          </w:tcPr>
          <w:p>
            <w:pPr>
              <w:ind w:left="180"/>
              <w:spacing w:after="0"/>
              <w:rPr>
                <w:sz w:val="20"/>
                <w:szCs w:val="20"/>
                <w:color w:val="auto"/>
              </w:rPr>
            </w:pPr>
            <w:r>
              <w:rPr>
                <w:rFonts w:ascii="Arial" w:cs="Arial" w:eastAsia="Arial" w:hAnsi="Arial"/>
                <w:sz w:val="12"/>
                <w:szCs w:val="12"/>
                <w:color w:val="auto"/>
              </w:rPr>
              <w:t>Discount rate</w:t>
            </w:r>
          </w:p>
        </w:tc>
        <w:tc>
          <w:tcPr>
            <w:tcW w:w="1740" w:type="dxa"/>
            <w:vAlign w:val="bottom"/>
          </w:tcPr>
          <w:p>
            <w:pPr>
              <w:jc w:val="center"/>
              <w:ind w:left="220"/>
              <w:spacing w:after="0"/>
              <w:rPr>
                <w:sz w:val="20"/>
                <w:szCs w:val="20"/>
                <w:color w:val="auto"/>
              </w:rPr>
            </w:pPr>
            <w:r>
              <w:rPr>
                <w:rFonts w:ascii="Arial" w:cs="Arial" w:eastAsia="Arial" w:hAnsi="Arial"/>
                <w:sz w:val="12"/>
                <w:szCs w:val="12"/>
                <w:color w:val="auto"/>
              </w:rPr>
              <w:t>2% - 20%</w:t>
            </w:r>
          </w:p>
        </w:tc>
        <w:tc>
          <w:tcPr>
            <w:tcW w:w="1100" w:type="dxa"/>
            <w:vAlign w:val="bottom"/>
          </w:tcPr>
          <w:p>
            <w:pPr>
              <w:jc w:val="center"/>
              <w:ind w:left="280"/>
              <w:spacing w:after="0"/>
              <w:rPr>
                <w:sz w:val="20"/>
                <w:szCs w:val="20"/>
                <w:color w:val="auto"/>
              </w:rPr>
            </w:pPr>
            <w:r>
              <w:rPr>
                <w:rFonts w:ascii="Arial" w:cs="Arial" w:eastAsia="Arial" w:hAnsi="Arial"/>
                <w:sz w:val="12"/>
                <w:szCs w:val="12"/>
                <w:color w:val="auto"/>
                <w:w w:val="99"/>
              </w:rPr>
              <w:t>13%</w:t>
            </w:r>
          </w:p>
        </w:tc>
      </w:tr>
      <w:tr>
        <w:trPr>
          <w:trHeight w:val="168"/>
        </w:trPr>
        <w:tc>
          <w:tcPr>
            <w:tcW w:w="280" w:type="dxa"/>
            <w:vAlign w:val="bottom"/>
          </w:tcPr>
          <w:p>
            <w:pPr>
              <w:spacing w:after="0"/>
              <w:rPr>
                <w:sz w:val="14"/>
                <w:szCs w:val="14"/>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330,899</w:t>
            </w:r>
          </w:p>
        </w:tc>
        <w:tc>
          <w:tcPr>
            <w:tcW w:w="2580" w:type="dxa"/>
            <w:vAlign w:val="bottom"/>
          </w:tcPr>
          <w:p>
            <w:pPr>
              <w:ind w:left="14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420" w:type="dxa"/>
            <w:vAlign w:val="bottom"/>
          </w:tcPr>
          <w:p>
            <w:pPr>
              <w:ind w:left="180"/>
              <w:spacing w:after="0"/>
              <w:rPr>
                <w:sz w:val="20"/>
                <w:szCs w:val="20"/>
                <w:color w:val="auto"/>
              </w:rPr>
            </w:pPr>
            <w:r>
              <w:rPr>
                <w:rFonts w:ascii="Arial" w:cs="Arial" w:eastAsia="Arial" w:hAnsi="Arial"/>
                <w:sz w:val="12"/>
                <w:szCs w:val="12"/>
                <w:color w:val="auto"/>
              </w:rPr>
              <w:t>Quoted prices</w:t>
            </w:r>
          </w:p>
        </w:tc>
        <w:tc>
          <w:tcPr>
            <w:tcW w:w="1740" w:type="dxa"/>
            <w:vAlign w:val="bottom"/>
          </w:tcPr>
          <w:p>
            <w:pPr>
              <w:ind w:left="62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r>
      <w:tr>
        <w:trPr>
          <w:trHeight w:val="121"/>
        </w:trPr>
        <w:tc>
          <w:tcPr>
            <w:tcW w:w="280" w:type="dxa"/>
            <w:vAlign w:val="bottom"/>
          </w:tcPr>
          <w:p>
            <w:pPr>
              <w:spacing w:after="0"/>
              <w:rPr>
                <w:sz w:val="10"/>
                <w:szCs w:val="10"/>
                <w:color w:val="auto"/>
              </w:rPr>
            </w:pPr>
          </w:p>
        </w:tc>
        <w:tc>
          <w:tcPr>
            <w:tcW w:w="800" w:type="dxa"/>
            <w:vAlign w:val="bottom"/>
          </w:tcPr>
          <w:p>
            <w:pPr>
              <w:jc w:val="right"/>
              <w:ind w:right="80"/>
              <w:spacing w:after="0" w:line="121" w:lineRule="exact"/>
              <w:rPr>
                <w:sz w:val="20"/>
                <w:szCs w:val="20"/>
                <w:color w:val="auto"/>
              </w:rPr>
            </w:pPr>
            <w:r>
              <w:rPr>
                <w:rFonts w:ascii="Arial" w:cs="Arial" w:eastAsia="Arial" w:hAnsi="Arial"/>
                <w:sz w:val="12"/>
                <w:szCs w:val="12"/>
                <w:color w:val="auto"/>
              </w:rPr>
              <w:t>189,841</w:t>
            </w:r>
          </w:p>
        </w:tc>
        <w:tc>
          <w:tcPr>
            <w:tcW w:w="2580" w:type="dxa"/>
            <w:vAlign w:val="bottom"/>
          </w:tcPr>
          <w:p>
            <w:pPr>
              <w:ind w:left="140"/>
              <w:spacing w:after="0" w:line="121" w:lineRule="exact"/>
              <w:rPr>
                <w:sz w:val="20"/>
                <w:szCs w:val="20"/>
                <w:color w:val="auto"/>
              </w:rPr>
            </w:pPr>
            <w:r>
              <w:rPr>
                <w:rFonts w:ascii="Arial" w:cs="Arial" w:eastAsia="Arial" w:hAnsi="Arial"/>
                <w:sz w:val="12"/>
                <w:szCs w:val="12"/>
                <w:color w:val="auto"/>
              </w:rPr>
              <w:t>Market approach</w:t>
            </w:r>
          </w:p>
        </w:tc>
        <w:tc>
          <w:tcPr>
            <w:tcW w:w="2420" w:type="dxa"/>
            <w:vAlign w:val="bottom"/>
          </w:tcPr>
          <w:p>
            <w:pPr>
              <w:ind w:left="180"/>
              <w:spacing w:after="0" w:line="121" w:lineRule="exact"/>
              <w:rPr>
                <w:sz w:val="20"/>
                <w:szCs w:val="20"/>
                <w:color w:val="auto"/>
              </w:rPr>
            </w:pPr>
            <w:r>
              <w:rPr>
                <w:rFonts w:ascii="Arial" w:cs="Arial" w:eastAsia="Arial" w:hAnsi="Arial"/>
                <w:sz w:val="11"/>
                <w:szCs w:val="11"/>
                <w:color w:val="auto"/>
              </w:rPr>
              <w:t xml:space="preserve">Multiple of underlying assets </w:t>
            </w:r>
            <w:r>
              <w:rPr>
                <w:rFonts w:ascii="Arial" w:cs="Arial" w:eastAsia="Arial" w:hAnsi="Arial"/>
                <w:sz w:val="14"/>
                <w:szCs w:val="14"/>
                <w:color w:val="auto"/>
                <w:vertAlign w:val="superscript"/>
              </w:rPr>
              <w:t>(9)</w:t>
            </w:r>
          </w:p>
        </w:tc>
        <w:tc>
          <w:tcPr>
            <w:tcW w:w="1740" w:type="dxa"/>
            <w:vAlign w:val="bottom"/>
          </w:tcPr>
          <w:p>
            <w:pPr>
              <w:jc w:val="center"/>
              <w:ind w:left="220"/>
              <w:spacing w:after="0" w:line="121" w:lineRule="exact"/>
              <w:rPr>
                <w:sz w:val="20"/>
                <w:szCs w:val="20"/>
                <w:color w:val="auto"/>
              </w:rPr>
            </w:pPr>
            <w:r>
              <w:rPr>
                <w:rFonts w:ascii="Arial" w:cs="Arial" w:eastAsia="Arial" w:hAnsi="Arial"/>
                <w:sz w:val="12"/>
                <w:szCs w:val="12"/>
                <w:color w:val="auto"/>
                <w:w w:val="99"/>
              </w:rPr>
              <w:t>0.5x - 1x</w:t>
            </w:r>
          </w:p>
        </w:tc>
        <w:tc>
          <w:tcPr>
            <w:tcW w:w="1100" w:type="dxa"/>
            <w:vAlign w:val="bottom"/>
          </w:tcPr>
          <w:p>
            <w:pPr>
              <w:jc w:val="center"/>
              <w:ind w:left="280"/>
              <w:spacing w:after="0" w:line="121" w:lineRule="exact"/>
              <w:rPr>
                <w:sz w:val="20"/>
                <w:szCs w:val="20"/>
                <w:color w:val="auto"/>
              </w:rPr>
            </w:pPr>
            <w:r>
              <w:rPr>
                <w:rFonts w:ascii="Arial" w:cs="Arial" w:eastAsia="Arial" w:hAnsi="Arial"/>
                <w:sz w:val="12"/>
                <w:szCs w:val="12"/>
                <w:color w:val="auto"/>
                <w:w w:val="94"/>
              </w:rPr>
              <w:t>1x</w:t>
            </w:r>
          </w:p>
        </w:tc>
      </w:tr>
      <w:tr>
        <w:trPr>
          <w:trHeight w:val="176"/>
        </w:trPr>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80" w:type="dxa"/>
            <w:vAlign w:val="bottom"/>
          </w:tcPr>
          <w:p>
            <w:pPr>
              <w:ind w:left="14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21"/>
        </w:trPr>
        <w:tc>
          <w:tcPr>
            <w:tcW w:w="280" w:type="dxa"/>
            <w:vAlign w:val="bottom"/>
          </w:tcPr>
          <w:p>
            <w:pPr>
              <w:spacing w:after="0"/>
              <w:rPr>
                <w:sz w:val="10"/>
                <w:szCs w:val="10"/>
                <w:color w:val="auto"/>
              </w:rPr>
            </w:pPr>
          </w:p>
        </w:tc>
        <w:tc>
          <w:tcPr>
            <w:tcW w:w="800" w:type="dxa"/>
            <w:vAlign w:val="bottom"/>
          </w:tcPr>
          <w:p>
            <w:pPr>
              <w:jc w:val="right"/>
              <w:ind w:right="80"/>
              <w:spacing w:after="0" w:line="121" w:lineRule="exact"/>
              <w:rPr>
                <w:sz w:val="20"/>
                <w:szCs w:val="20"/>
                <w:color w:val="auto"/>
              </w:rPr>
            </w:pPr>
            <w:r>
              <w:rPr>
                <w:rFonts w:ascii="Arial" w:cs="Arial" w:eastAsia="Arial" w:hAnsi="Arial"/>
                <w:sz w:val="12"/>
                <w:szCs w:val="12"/>
                <w:color w:val="auto"/>
              </w:rPr>
              <w:t>49,495</w:t>
            </w:r>
          </w:p>
        </w:tc>
        <w:tc>
          <w:tcPr>
            <w:tcW w:w="2580" w:type="dxa"/>
            <w:vAlign w:val="bottom"/>
          </w:tcPr>
          <w:p>
            <w:pPr>
              <w:ind w:left="140"/>
              <w:spacing w:after="0" w:line="121" w:lineRule="exact"/>
              <w:rPr>
                <w:sz w:val="20"/>
                <w:szCs w:val="20"/>
                <w:color w:val="auto"/>
              </w:rPr>
            </w:pPr>
            <w:r>
              <w:rPr>
                <w:rFonts w:ascii="Arial" w:cs="Arial" w:eastAsia="Arial" w:hAnsi="Arial"/>
                <w:sz w:val="12"/>
                <w:szCs w:val="12"/>
                <w:color w:val="auto"/>
              </w:rPr>
              <w:t>Market approach (comparable companies)</w:t>
            </w:r>
          </w:p>
        </w:tc>
        <w:tc>
          <w:tcPr>
            <w:tcW w:w="2420" w:type="dxa"/>
            <w:vAlign w:val="bottom"/>
          </w:tcPr>
          <w:p>
            <w:pPr>
              <w:ind w:left="180"/>
              <w:spacing w:after="0" w:line="121" w:lineRule="exact"/>
              <w:rPr>
                <w:sz w:val="20"/>
                <w:szCs w:val="20"/>
                <w:color w:val="auto"/>
              </w:rPr>
            </w:pPr>
            <w:r>
              <w:rPr>
                <w:rFonts w:ascii="Arial" w:cs="Arial" w:eastAsia="Arial" w:hAnsi="Arial"/>
                <w:sz w:val="11"/>
                <w:szCs w:val="11"/>
                <w:color w:val="auto"/>
              </w:rPr>
              <w:t xml:space="preserve">Earnings multiple </w:t>
            </w:r>
            <w:r>
              <w:rPr>
                <w:rFonts w:ascii="Arial" w:cs="Arial" w:eastAsia="Arial" w:hAnsi="Arial"/>
                <w:sz w:val="14"/>
                <w:szCs w:val="14"/>
                <w:color w:val="auto"/>
                <w:vertAlign w:val="superscript"/>
              </w:rPr>
              <w:t>(10)</w:t>
            </w:r>
          </w:p>
        </w:tc>
        <w:tc>
          <w:tcPr>
            <w:tcW w:w="1740" w:type="dxa"/>
            <w:vAlign w:val="bottom"/>
          </w:tcPr>
          <w:p>
            <w:pPr>
              <w:jc w:val="center"/>
              <w:ind w:left="220"/>
              <w:spacing w:after="0" w:line="121" w:lineRule="exact"/>
              <w:rPr>
                <w:sz w:val="20"/>
                <w:szCs w:val="20"/>
                <w:color w:val="auto"/>
              </w:rPr>
            </w:pPr>
            <w:r>
              <w:rPr>
                <w:rFonts w:ascii="Arial" w:cs="Arial" w:eastAsia="Arial" w:hAnsi="Arial"/>
                <w:sz w:val="12"/>
                <w:szCs w:val="12"/>
                <w:color w:val="auto"/>
              </w:rPr>
              <w:t>3.0x - 7.3x</w:t>
            </w:r>
          </w:p>
        </w:tc>
        <w:tc>
          <w:tcPr>
            <w:tcW w:w="1100" w:type="dxa"/>
            <w:vAlign w:val="bottom"/>
          </w:tcPr>
          <w:p>
            <w:pPr>
              <w:jc w:val="center"/>
              <w:ind w:left="280"/>
              <w:spacing w:after="0" w:line="121" w:lineRule="exact"/>
              <w:rPr>
                <w:sz w:val="20"/>
                <w:szCs w:val="20"/>
                <w:color w:val="auto"/>
              </w:rPr>
            </w:pPr>
            <w:r>
              <w:rPr>
                <w:rFonts w:ascii="Arial" w:cs="Arial" w:eastAsia="Arial" w:hAnsi="Arial"/>
                <w:sz w:val="12"/>
                <w:szCs w:val="12"/>
                <w:color w:val="auto"/>
              </w:rPr>
              <w:t>5.2x</w:t>
            </w:r>
          </w:p>
        </w:tc>
      </w:tr>
      <w:tr>
        <w:trPr>
          <w:trHeight w:val="101"/>
        </w:trPr>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80" w:type="dxa"/>
            <w:vAlign w:val="bottom"/>
          </w:tcPr>
          <w:p>
            <w:pPr>
              <w:ind w:left="140"/>
              <w:spacing w:after="0"/>
              <w:rPr>
                <w:sz w:val="20"/>
                <w:szCs w:val="20"/>
                <w:color w:val="auto"/>
              </w:rPr>
            </w:pPr>
            <w:r>
              <w:rPr>
                <w:rFonts w:ascii="Arial" w:cs="Arial" w:eastAsia="Arial" w:hAnsi="Arial"/>
                <w:sz w:val="8"/>
                <w:szCs w:val="8"/>
                <w:color w:val="auto"/>
              </w:rPr>
              <w:t>(7)</w:t>
            </w: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91"/>
        </w:trPr>
        <w:tc>
          <w:tcPr>
            <w:tcW w:w="280" w:type="dxa"/>
            <w:vAlign w:val="bottom"/>
          </w:tcPr>
          <w:p>
            <w:pPr>
              <w:spacing w:after="0"/>
              <w:rPr>
                <w:sz w:val="16"/>
                <w:szCs w:val="16"/>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116,376</w:t>
            </w:r>
          </w:p>
        </w:tc>
        <w:tc>
          <w:tcPr>
            <w:tcW w:w="2580" w:type="dxa"/>
            <w:vAlign w:val="bottom"/>
          </w:tcPr>
          <w:p>
            <w:pPr>
              <w:ind w:left="14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420" w:type="dxa"/>
            <w:vAlign w:val="bottom"/>
          </w:tcPr>
          <w:p>
            <w:pPr>
              <w:ind w:left="180"/>
              <w:spacing w:after="0"/>
              <w:rPr>
                <w:sz w:val="20"/>
                <w:szCs w:val="20"/>
                <w:color w:val="auto"/>
              </w:rPr>
            </w:pPr>
            <w:r>
              <w:rPr>
                <w:rFonts w:ascii="Arial" w:cs="Arial" w:eastAsia="Arial" w:hAnsi="Arial"/>
                <w:sz w:val="12"/>
                <w:szCs w:val="12"/>
                <w:color w:val="auto"/>
              </w:rPr>
              <w:t>Quoted prices</w:t>
            </w:r>
          </w:p>
        </w:tc>
        <w:tc>
          <w:tcPr>
            <w:tcW w:w="1740" w:type="dxa"/>
            <w:vAlign w:val="bottom"/>
          </w:tcPr>
          <w:p>
            <w:pPr>
              <w:ind w:left="62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r>
      <w:tr>
        <w:trPr>
          <w:trHeight w:val="168"/>
        </w:trPr>
        <w:tc>
          <w:tcPr>
            <w:tcW w:w="280" w:type="dxa"/>
            <w:vAlign w:val="bottom"/>
          </w:tcPr>
          <w:p>
            <w:pPr>
              <w:spacing w:after="0"/>
              <w:rPr>
                <w:sz w:val="14"/>
                <w:szCs w:val="14"/>
                <w:color w:val="auto"/>
              </w:rPr>
            </w:pPr>
          </w:p>
        </w:tc>
        <w:tc>
          <w:tcPr>
            <w:tcW w:w="800" w:type="dxa"/>
            <w:vAlign w:val="bottom"/>
          </w:tcPr>
          <w:p>
            <w:pPr>
              <w:jc w:val="right"/>
              <w:ind w:right="80"/>
              <w:spacing w:after="0"/>
              <w:rPr>
                <w:sz w:val="20"/>
                <w:szCs w:val="20"/>
                <w:color w:val="auto"/>
              </w:rPr>
            </w:pPr>
            <w:r>
              <w:rPr>
                <w:rFonts w:ascii="Arial" w:cs="Arial" w:eastAsia="Arial" w:hAnsi="Arial"/>
                <w:sz w:val="12"/>
                <w:szCs w:val="12"/>
                <w:color w:val="auto"/>
              </w:rPr>
              <w:t>20,638</w:t>
            </w:r>
          </w:p>
        </w:tc>
        <w:tc>
          <w:tcPr>
            <w:tcW w:w="2580" w:type="dxa"/>
            <w:vAlign w:val="bottom"/>
          </w:tcPr>
          <w:p>
            <w:pPr>
              <w:ind w:left="14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420" w:type="dxa"/>
            <w:vAlign w:val="bottom"/>
          </w:tcPr>
          <w:p>
            <w:pPr>
              <w:ind w:left="180"/>
              <w:spacing w:after="0"/>
              <w:rPr>
                <w:sz w:val="20"/>
                <w:szCs w:val="20"/>
                <w:color w:val="auto"/>
              </w:rPr>
            </w:pPr>
            <w:r>
              <w:rPr>
                <w:rFonts w:ascii="Arial" w:cs="Arial" w:eastAsia="Arial" w:hAnsi="Arial"/>
                <w:sz w:val="12"/>
                <w:szCs w:val="12"/>
                <w:color w:val="auto"/>
              </w:rPr>
              <w:t>Not applicable</w:t>
            </w:r>
          </w:p>
        </w:tc>
        <w:tc>
          <w:tcPr>
            <w:tcW w:w="1740" w:type="dxa"/>
            <w:vAlign w:val="bottom"/>
          </w:tcPr>
          <w:p>
            <w:pPr>
              <w:ind w:left="62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r>
      <w:tr>
        <w:trPr>
          <w:trHeight w:val="121"/>
        </w:trPr>
        <w:tc>
          <w:tcPr>
            <w:tcW w:w="280" w:type="dxa"/>
            <w:vAlign w:val="bottom"/>
          </w:tcPr>
          <w:p>
            <w:pPr>
              <w:spacing w:after="0"/>
              <w:rPr>
                <w:sz w:val="10"/>
                <w:szCs w:val="10"/>
                <w:color w:val="auto"/>
              </w:rPr>
            </w:pPr>
          </w:p>
        </w:tc>
        <w:tc>
          <w:tcPr>
            <w:tcW w:w="800" w:type="dxa"/>
            <w:vAlign w:val="bottom"/>
          </w:tcPr>
          <w:p>
            <w:pPr>
              <w:jc w:val="right"/>
              <w:ind w:right="80"/>
              <w:spacing w:after="0" w:line="121" w:lineRule="exact"/>
              <w:rPr>
                <w:sz w:val="20"/>
                <w:szCs w:val="20"/>
                <w:color w:val="auto"/>
              </w:rPr>
            </w:pPr>
            <w:r>
              <w:rPr>
                <w:rFonts w:ascii="Arial" w:cs="Arial" w:eastAsia="Arial" w:hAnsi="Arial"/>
                <w:sz w:val="12"/>
                <w:szCs w:val="12"/>
                <w:color w:val="auto"/>
              </w:rPr>
              <w:t>30,156</w:t>
            </w:r>
          </w:p>
        </w:tc>
        <w:tc>
          <w:tcPr>
            <w:tcW w:w="2580" w:type="dxa"/>
            <w:vAlign w:val="bottom"/>
          </w:tcPr>
          <w:p>
            <w:pPr>
              <w:ind w:left="140"/>
              <w:spacing w:after="0" w:line="121" w:lineRule="exact"/>
              <w:rPr>
                <w:sz w:val="20"/>
                <w:szCs w:val="20"/>
                <w:color w:val="auto"/>
              </w:rPr>
            </w:pPr>
            <w:r>
              <w:rPr>
                <w:rFonts w:ascii="Arial" w:cs="Arial" w:eastAsia="Arial" w:hAnsi="Arial"/>
                <w:sz w:val="12"/>
                <w:szCs w:val="12"/>
                <w:color w:val="auto"/>
              </w:rPr>
              <w:t>Market approach</w:t>
            </w:r>
          </w:p>
        </w:tc>
        <w:tc>
          <w:tcPr>
            <w:tcW w:w="2420" w:type="dxa"/>
            <w:vAlign w:val="bottom"/>
          </w:tcPr>
          <w:p>
            <w:pPr>
              <w:ind w:left="180"/>
              <w:spacing w:after="0" w:line="121" w:lineRule="exact"/>
              <w:rPr>
                <w:sz w:val="20"/>
                <w:szCs w:val="20"/>
                <w:color w:val="auto"/>
              </w:rPr>
            </w:pPr>
            <w:r>
              <w:rPr>
                <w:rFonts w:ascii="Arial" w:cs="Arial" w:eastAsia="Arial" w:hAnsi="Arial"/>
                <w:sz w:val="11"/>
                <w:szCs w:val="11"/>
                <w:color w:val="auto"/>
              </w:rPr>
              <w:t xml:space="preserve">Revenue multiple </w:t>
            </w:r>
            <w:r>
              <w:rPr>
                <w:rFonts w:ascii="Arial" w:cs="Arial" w:eastAsia="Arial" w:hAnsi="Arial"/>
                <w:sz w:val="14"/>
                <w:szCs w:val="14"/>
                <w:color w:val="auto"/>
                <w:vertAlign w:val="superscript"/>
              </w:rPr>
              <w:t>(8)</w:t>
            </w:r>
          </w:p>
        </w:tc>
        <w:tc>
          <w:tcPr>
            <w:tcW w:w="1740" w:type="dxa"/>
            <w:vAlign w:val="bottom"/>
          </w:tcPr>
          <w:p>
            <w:pPr>
              <w:jc w:val="center"/>
              <w:ind w:left="220"/>
              <w:spacing w:after="0" w:line="121" w:lineRule="exact"/>
              <w:rPr>
                <w:sz w:val="20"/>
                <w:szCs w:val="20"/>
                <w:color w:val="auto"/>
              </w:rPr>
            </w:pPr>
            <w:r>
              <w:rPr>
                <w:rFonts w:ascii="Arial" w:cs="Arial" w:eastAsia="Arial" w:hAnsi="Arial"/>
                <w:sz w:val="12"/>
                <w:szCs w:val="12"/>
                <w:color w:val="auto"/>
                <w:w w:val="99"/>
              </w:rPr>
              <w:t>1x - 2.2x</w:t>
            </w:r>
          </w:p>
        </w:tc>
        <w:tc>
          <w:tcPr>
            <w:tcW w:w="1100" w:type="dxa"/>
            <w:vAlign w:val="bottom"/>
          </w:tcPr>
          <w:p>
            <w:pPr>
              <w:jc w:val="center"/>
              <w:ind w:left="280"/>
              <w:spacing w:after="0" w:line="121" w:lineRule="exact"/>
              <w:rPr>
                <w:sz w:val="20"/>
                <w:szCs w:val="20"/>
                <w:color w:val="auto"/>
              </w:rPr>
            </w:pPr>
            <w:r>
              <w:rPr>
                <w:rFonts w:ascii="Arial" w:cs="Arial" w:eastAsia="Arial" w:hAnsi="Arial"/>
                <w:sz w:val="12"/>
                <w:szCs w:val="12"/>
                <w:color w:val="auto"/>
              </w:rPr>
              <w:t>1.5x</w:t>
            </w:r>
          </w:p>
        </w:tc>
      </w:tr>
      <w:tr>
        <w:trPr>
          <w:trHeight w:val="188"/>
        </w:trPr>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ind w:left="20"/>
        <w:spacing w:after="0"/>
        <w:rPr>
          <w:sz w:val="20"/>
          <w:szCs w:val="20"/>
          <w:color w:val="auto"/>
        </w:rPr>
      </w:pPr>
      <w:r>
        <w:rPr>
          <w:rFonts w:ascii="Arial" w:cs="Arial" w:eastAsia="Arial" w:hAnsi="Arial"/>
          <w:sz w:val="12"/>
          <w:szCs w:val="12"/>
          <w:color w:val="auto"/>
        </w:rPr>
        <w:t>Equity investments:</w:t>
      </w:r>
    </w:p>
    <w:p>
      <w:pPr>
        <w:sectPr>
          <w:pgSz w:w="11900" w:h="16838" w:orient="portrait"/>
          <w:cols w:equalWidth="0" w:num="1">
            <w:col w:w="11240"/>
          </w:cols>
          <w:pgMar w:left="320" w:top="353" w:right="339" w:bottom="1440" w:gutter="0" w:footer="0" w:header="0"/>
        </w:sectPr>
      </w:pPr>
    </w:p>
    <w:p>
      <w:pPr>
        <w:spacing w:after="0" w:line="13" w:lineRule="exact"/>
        <w:rPr>
          <w:sz w:val="20"/>
          <w:szCs w:val="20"/>
          <w:color w:val="auto"/>
        </w:rPr>
      </w:pPr>
    </w:p>
    <w:tbl>
      <w:tblPr>
        <w:tblLayout w:type="fixed"/>
        <w:tblInd w:w="2600" w:type="dxa"/>
        <w:tblCellMar>
          <w:top w:w="0" w:type="dxa"/>
          <w:left w:w="0" w:type="dxa"/>
          <w:bottom w:w="0" w:type="dxa"/>
          <w:right w:w="0" w:type="dxa"/>
        </w:tblCellMar>
      </w:tblPr>
      <w:tr>
        <w:trPr>
          <w:trHeight w:val="172"/>
        </w:trPr>
        <w:tc>
          <w:tcPr>
            <w:tcW w:w="560" w:type="dxa"/>
            <w:vAlign w:val="bottom"/>
          </w:tcPr>
          <w:p>
            <w:pPr>
              <w:jc w:val="right"/>
              <w:ind w:right="80"/>
              <w:spacing w:after="0"/>
              <w:rPr>
                <w:sz w:val="20"/>
                <w:szCs w:val="20"/>
                <w:color w:val="auto"/>
              </w:rPr>
            </w:pPr>
            <w:r>
              <w:rPr>
                <w:rFonts w:ascii="Arial" w:cs="Arial" w:eastAsia="Arial" w:hAnsi="Arial"/>
                <w:sz w:val="12"/>
                <w:szCs w:val="12"/>
                <w:color w:val="auto"/>
                <w:w w:val="92"/>
              </w:rPr>
              <w:t>195,281</w:t>
            </w:r>
          </w:p>
        </w:tc>
        <w:tc>
          <w:tcPr>
            <w:tcW w:w="2400" w:type="dxa"/>
            <w:vAlign w:val="bottom"/>
          </w:tcPr>
          <w:p>
            <w:pPr>
              <w:ind w:left="14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68"/>
        </w:trPr>
        <w:tc>
          <w:tcPr>
            <w:tcW w:w="560" w:type="dxa"/>
            <w:vAlign w:val="bottom"/>
          </w:tcPr>
          <w:p>
            <w:pPr>
              <w:jc w:val="right"/>
              <w:ind w:right="80"/>
              <w:spacing w:after="0"/>
              <w:rPr>
                <w:sz w:val="20"/>
                <w:szCs w:val="20"/>
                <w:color w:val="auto"/>
              </w:rPr>
            </w:pPr>
            <w:r>
              <w:rPr>
                <w:rFonts w:ascii="Arial" w:cs="Arial" w:eastAsia="Arial" w:hAnsi="Arial"/>
                <w:sz w:val="12"/>
                <w:szCs w:val="12"/>
                <w:color w:val="auto"/>
              </w:rPr>
              <w:t>3,598</w:t>
            </w:r>
          </w:p>
        </w:tc>
        <w:tc>
          <w:tcPr>
            <w:tcW w:w="2400" w:type="dxa"/>
            <w:vAlign w:val="bottom"/>
          </w:tcPr>
          <w:p>
            <w:pPr>
              <w:ind w:left="14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0" w:type="dxa"/>
            <w:vAlign w:val="bottom"/>
          </w:tcPr>
          <w:p>
            <w:pPr>
              <w:spacing w:after="0"/>
              <w:rPr>
                <w:sz w:val="1"/>
                <w:szCs w:val="1"/>
                <w:color w:val="auto"/>
              </w:rPr>
            </w:pPr>
          </w:p>
        </w:tc>
      </w:tr>
      <w:tr>
        <w:trPr>
          <w:trHeight w:val="212"/>
        </w:trPr>
        <w:tc>
          <w:tcPr>
            <w:tcW w:w="560" w:type="dxa"/>
            <w:vAlign w:val="bottom"/>
          </w:tcPr>
          <w:p>
            <w:pPr>
              <w:jc w:val="right"/>
              <w:ind w:right="80"/>
              <w:spacing w:after="0"/>
              <w:rPr>
                <w:sz w:val="20"/>
                <w:szCs w:val="20"/>
                <w:color w:val="auto"/>
              </w:rPr>
            </w:pPr>
            <w:r>
              <w:rPr>
                <w:rFonts w:ascii="Arial" w:cs="Arial" w:eastAsia="Arial" w:hAnsi="Arial"/>
                <w:sz w:val="12"/>
                <w:szCs w:val="12"/>
                <w:color w:val="auto"/>
                <w:w w:val="92"/>
              </w:rPr>
              <w:t>397,640</w:t>
            </w:r>
          </w:p>
        </w:tc>
        <w:tc>
          <w:tcPr>
            <w:tcW w:w="2400" w:type="dxa"/>
            <w:vAlign w:val="bottom"/>
          </w:tcPr>
          <w:p>
            <w:pPr>
              <w:ind w:left="14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0" w:type="dxa"/>
            <w:vAlign w:val="bottom"/>
          </w:tcPr>
          <w:p>
            <w:pPr>
              <w:spacing w:after="0"/>
              <w:rPr>
                <w:sz w:val="1"/>
                <w:szCs w:val="1"/>
                <w:color w:val="auto"/>
              </w:rPr>
            </w:pPr>
          </w:p>
        </w:tc>
      </w:tr>
      <w:tr>
        <w:trPr>
          <w:trHeight w:val="128"/>
        </w:trPr>
        <w:tc>
          <w:tcPr>
            <w:tcW w:w="560" w:type="dxa"/>
            <w:vAlign w:val="bottom"/>
            <w:vMerge w:val="restart"/>
          </w:tcPr>
          <w:p>
            <w:pPr>
              <w:jc w:val="right"/>
              <w:ind w:right="80"/>
              <w:spacing w:after="0"/>
              <w:rPr>
                <w:sz w:val="20"/>
                <w:szCs w:val="20"/>
                <w:color w:val="auto"/>
              </w:rPr>
            </w:pPr>
            <w:r>
              <w:rPr>
                <w:rFonts w:ascii="Arial" w:cs="Arial" w:eastAsia="Arial" w:hAnsi="Arial"/>
                <w:sz w:val="12"/>
                <w:szCs w:val="12"/>
                <w:color w:val="auto"/>
              </w:rPr>
              <w:t>28,680</w:t>
            </w:r>
          </w:p>
        </w:tc>
        <w:tc>
          <w:tcPr>
            <w:tcW w:w="2400" w:type="dxa"/>
            <w:vAlign w:val="bottom"/>
          </w:tcPr>
          <w:p>
            <w:pPr>
              <w:ind w:left="140"/>
              <w:spacing w:after="0" w:line="128" w:lineRule="exact"/>
              <w:rPr>
                <w:sz w:val="20"/>
                <w:szCs w:val="20"/>
                <w:color w:val="auto"/>
              </w:rPr>
            </w:pPr>
            <w:r>
              <w:rPr>
                <w:rFonts w:ascii="Arial" w:cs="Arial" w:eastAsia="Arial" w:hAnsi="Arial"/>
                <w:sz w:val="11"/>
                <w:szCs w:val="11"/>
                <w:color w:val="auto"/>
              </w:rPr>
              <w:t xml:space="preserve">Discounted cash flow </w:t>
            </w:r>
            <w:r>
              <w:rPr>
                <w:rFonts w:ascii="Arial" w:cs="Arial" w:eastAsia="Arial" w:hAnsi="Arial"/>
                <w:sz w:val="14"/>
                <w:szCs w:val="14"/>
                <w:color w:val="auto"/>
                <w:vertAlign w:val="superscript"/>
              </w:rPr>
              <w:t>(6)</w:t>
            </w:r>
            <w:r>
              <w:rPr>
                <w:rFonts w:ascii="Arial" w:cs="Arial" w:eastAsia="Arial" w:hAnsi="Arial"/>
                <w:sz w:val="11"/>
                <w:szCs w:val="11"/>
                <w:color w:val="auto"/>
              </w:rPr>
              <w:t xml:space="preserve"> / market approach</w:t>
            </w:r>
          </w:p>
        </w:tc>
        <w:tc>
          <w:tcPr>
            <w:tcW w:w="0" w:type="dxa"/>
            <w:vAlign w:val="bottom"/>
          </w:tcPr>
          <w:p>
            <w:pPr>
              <w:spacing w:after="0"/>
              <w:rPr>
                <w:sz w:val="1"/>
                <w:szCs w:val="1"/>
                <w:color w:val="auto"/>
              </w:rPr>
            </w:pPr>
          </w:p>
        </w:tc>
      </w:tr>
      <w:tr>
        <w:trPr>
          <w:trHeight w:val="207"/>
        </w:trPr>
        <w:tc>
          <w:tcPr>
            <w:tcW w:w="560" w:type="dxa"/>
            <w:vAlign w:val="bottom"/>
            <w:vMerge w:val="continue"/>
          </w:tcPr>
          <w:p>
            <w:pPr>
              <w:spacing w:after="0"/>
              <w:rPr>
                <w:sz w:val="18"/>
                <w:szCs w:val="18"/>
                <w:color w:val="auto"/>
              </w:rPr>
            </w:pPr>
          </w:p>
        </w:tc>
        <w:tc>
          <w:tcPr>
            <w:tcW w:w="2400" w:type="dxa"/>
            <w:vAlign w:val="bottom"/>
          </w:tcPr>
          <w:p>
            <w:pPr>
              <w:ind w:left="14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0" w:type="dxa"/>
            <w:vAlign w:val="bottom"/>
          </w:tcPr>
          <w:p>
            <w:pPr>
              <w:spacing w:after="0"/>
              <w:rPr>
                <w:sz w:val="1"/>
                <w:szCs w:val="1"/>
                <w:color w:val="auto"/>
              </w:rPr>
            </w:pPr>
          </w:p>
        </w:tc>
      </w:tr>
      <w:tr>
        <w:trPr>
          <w:trHeight w:val="141"/>
        </w:trPr>
        <w:tc>
          <w:tcPr>
            <w:tcW w:w="560" w:type="dxa"/>
            <w:vAlign w:val="bottom"/>
          </w:tcPr>
          <w:p>
            <w:pPr>
              <w:jc w:val="right"/>
              <w:ind w:right="80"/>
              <w:spacing w:after="0"/>
              <w:rPr>
                <w:sz w:val="20"/>
                <w:szCs w:val="20"/>
                <w:color w:val="auto"/>
              </w:rPr>
            </w:pPr>
            <w:r>
              <w:rPr>
                <w:rFonts w:ascii="Arial" w:cs="Arial" w:eastAsia="Arial" w:hAnsi="Arial"/>
                <w:sz w:val="12"/>
                <w:szCs w:val="12"/>
                <w:color w:val="auto"/>
                <w:w w:val="92"/>
              </w:rPr>
              <w:t>654,194</w:t>
            </w:r>
          </w:p>
        </w:tc>
        <w:tc>
          <w:tcPr>
            <w:tcW w:w="2400" w:type="dxa"/>
            <w:vAlign w:val="bottom"/>
          </w:tcPr>
          <w:p>
            <w:pPr>
              <w:ind w:left="140"/>
              <w:spacing w:after="0"/>
              <w:rPr>
                <w:sz w:val="20"/>
                <w:szCs w:val="20"/>
                <w:color w:val="auto"/>
              </w:rPr>
            </w:pPr>
            <w:r>
              <w:rPr>
                <w:rFonts w:ascii="Arial" w:cs="Arial" w:eastAsia="Arial" w:hAnsi="Arial"/>
                <w:sz w:val="12"/>
                <w:szCs w:val="12"/>
                <w:color w:val="auto"/>
              </w:rPr>
              <w:t>Market approach</w:t>
            </w: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2400" w:type="dxa"/>
            <w:vAlign w:val="bottom"/>
          </w:tcPr>
          <w:p>
            <w:pPr>
              <w:ind w:left="14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980" w:type="dxa"/>
            <w:vAlign w:val="bottom"/>
          </w:tcPr>
          <w:p>
            <w:pPr>
              <w:spacing w:after="0"/>
              <w:rPr>
                <w:sz w:val="20"/>
                <w:szCs w:val="20"/>
                <w:color w:val="auto"/>
              </w:rPr>
            </w:pPr>
            <w:r>
              <w:rPr>
                <w:rFonts w:ascii="Arial" w:cs="Arial" w:eastAsia="Arial" w:hAnsi="Arial"/>
                <w:sz w:val="12"/>
                <w:szCs w:val="12"/>
                <w:color w:val="auto"/>
              </w:rPr>
              <w:t>Quoted prices</w:t>
            </w:r>
          </w:p>
        </w:tc>
        <w:tc>
          <w:tcPr>
            <w:tcW w:w="2000" w:type="dxa"/>
            <w:vAlign w:val="bottom"/>
            <w:gridSpan w:val="2"/>
          </w:tcPr>
          <w:p>
            <w:pPr>
              <w:jc w:val="center"/>
              <w:ind w:left="48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r>
      <w:tr>
        <w:trPr>
          <w:trHeight w:val="168"/>
        </w:trPr>
        <w:tc>
          <w:tcPr>
            <w:tcW w:w="1980" w:type="dxa"/>
            <w:vAlign w:val="bottom"/>
          </w:tcPr>
          <w:p>
            <w:pPr>
              <w:spacing w:after="0"/>
              <w:rPr>
                <w:sz w:val="20"/>
                <w:szCs w:val="20"/>
                <w:color w:val="auto"/>
              </w:rPr>
            </w:pPr>
            <w:r>
              <w:rPr>
                <w:rFonts w:ascii="Arial" w:cs="Arial" w:eastAsia="Arial" w:hAnsi="Arial"/>
                <w:sz w:val="12"/>
                <w:szCs w:val="12"/>
                <w:color w:val="auto"/>
              </w:rPr>
              <w:t>Quoted prices</w:t>
            </w:r>
          </w:p>
        </w:tc>
        <w:tc>
          <w:tcPr>
            <w:tcW w:w="2000" w:type="dxa"/>
            <w:vAlign w:val="bottom"/>
            <w:gridSpan w:val="2"/>
          </w:tcPr>
          <w:p>
            <w:pPr>
              <w:jc w:val="center"/>
              <w:ind w:left="48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r>
      <w:tr>
        <w:trPr>
          <w:trHeight w:val="168"/>
        </w:trPr>
        <w:tc>
          <w:tcPr>
            <w:tcW w:w="1980" w:type="dxa"/>
            <w:vAlign w:val="bottom"/>
          </w:tcPr>
          <w:p>
            <w:pPr>
              <w:spacing w:after="0"/>
              <w:rPr>
                <w:sz w:val="20"/>
                <w:szCs w:val="20"/>
                <w:color w:val="auto"/>
              </w:rPr>
            </w:pPr>
            <w:r>
              <w:rPr>
                <w:rFonts w:ascii="Arial" w:cs="Arial" w:eastAsia="Arial" w:hAnsi="Arial"/>
                <w:sz w:val="12"/>
                <w:szCs w:val="12"/>
                <w:color w:val="auto"/>
              </w:rPr>
              <w:t>Discount rate</w:t>
            </w:r>
          </w:p>
        </w:tc>
        <w:tc>
          <w:tcPr>
            <w:tcW w:w="2000" w:type="dxa"/>
            <w:vAlign w:val="bottom"/>
            <w:gridSpan w:val="2"/>
          </w:tcPr>
          <w:p>
            <w:pPr>
              <w:jc w:val="right"/>
              <w:ind w:right="380"/>
              <w:spacing w:after="0"/>
              <w:rPr>
                <w:sz w:val="20"/>
                <w:szCs w:val="20"/>
                <w:color w:val="auto"/>
              </w:rPr>
            </w:pPr>
            <w:r>
              <w:rPr>
                <w:rFonts w:ascii="Arial" w:cs="Arial" w:eastAsia="Arial" w:hAnsi="Arial"/>
                <w:sz w:val="12"/>
                <w:szCs w:val="12"/>
                <w:color w:val="auto"/>
              </w:rPr>
              <w:t>11% - 19%</w:t>
            </w:r>
          </w:p>
        </w:tc>
        <w:tc>
          <w:tcPr>
            <w:tcW w:w="1100" w:type="dxa"/>
            <w:vAlign w:val="bottom"/>
          </w:tcPr>
          <w:p>
            <w:pPr>
              <w:jc w:val="center"/>
              <w:ind w:left="280"/>
              <w:spacing w:after="0"/>
              <w:rPr>
                <w:sz w:val="20"/>
                <w:szCs w:val="20"/>
                <w:color w:val="auto"/>
              </w:rPr>
            </w:pPr>
            <w:r>
              <w:rPr>
                <w:rFonts w:ascii="Arial" w:cs="Arial" w:eastAsia="Arial" w:hAnsi="Arial"/>
                <w:sz w:val="12"/>
                <w:szCs w:val="12"/>
                <w:color w:val="auto"/>
                <w:w w:val="99"/>
              </w:rPr>
              <w:t>14%</w:t>
            </w:r>
          </w:p>
        </w:tc>
      </w:tr>
      <w:tr>
        <w:trPr>
          <w:trHeight w:val="168"/>
        </w:trPr>
        <w:tc>
          <w:tcPr>
            <w:tcW w:w="1980" w:type="dxa"/>
            <w:vAlign w:val="bottom"/>
          </w:tcPr>
          <w:p>
            <w:pPr>
              <w:spacing w:after="0"/>
              <w:rPr>
                <w:sz w:val="20"/>
                <w:szCs w:val="20"/>
                <w:color w:val="auto"/>
              </w:rPr>
            </w:pPr>
            <w:r>
              <w:rPr>
                <w:rFonts w:ascii="Arial" w:cs="Arial" w:eastAsia="Arial" w:hAnsi="Arial"/>
                <w:sz w:val="12"/>
                <w:szCs w:val="12"/>
                <w:color w:val="auto"/>
              </w:rPr>
              <w:t>Discount rate</w:t>
            </w:r>
          </w:p>
        </w:tc>
        <w:tc>
          <w:tcPr>
            <w:tcW w:w="1240" w:type="dxa"/>
            <w:vAlign w:val="bottom"/>
          </w:tcPr>
          <w:p>
            <w:pPr>
              <w:jc w:val="right"/>
              <w:spacing w:after="0"/>
              <w:rPr>
                <w:sz w:val="20"/>
                <w:szCs w:val="20"/>
                <w:color w:val="auto"/>
              </w:rPr>
            </w:pPr>
            <w:r>
              <w:rPr>
                <w:rFonts w:ascii="Arial" w:cs="Arial" w:eastAsia="Arial" w:hAnsi="Arial"/>
                <w:sz w:val="12"/>
                <w:szCs w:val="12"/>
                <w:color w:val="auto"/>
              </w:rPr>
              <w:t>13%</w:t>
            </w:r>
          </w:p>
        </w:tc>
        <w:tc>
          <w:tcPr>
            <w:tcW w:w="760" w:type="dxa"/>
            <w:vAlign w:val="bottom"/>
          </w:tcPr>
          <w:p>
            <w:pPr>
              <w:spacing w:after="0"/>
              <w:rPr>
                <w:sz w:val="20"/>
                <w:szCs w:val="20"/>
                <w:color w:val="auto"/>
              </w:rPr>
            </w:pPr>
            <w:r>
              <w:rPr>
                <w:rFonts w:ascii="Arial" w:cs="Arial" w:eastAsia="Arial" w:hAnsi="Arial"/>
                <w:sz w:val="12"/>
                <w:szCs w:val="12"/>
                <w:color w:val="auto"/>
              </w:rPr>
              <w:t>- 13%</w:t>
            </w:r>
          </w:p>
        </w:tc>
        <w:tc>
          <w:tcPr>
            <w:tcW w:w="1100" w:type="dxa"/>
            <w:vAlign w:val="bottom"/>
          </w:tcPr>
          <w:p>
            <w:pPr>
              <w:jc w:val="center"/>
              <w:ind w:left="280"/>
              <w:spacing w:after="0"/>
              <w:rPr>
                <w:sz w:val="20"/>
                <w:szCs w:val="20"/>
                <w:color w:val="auto"/>
              </w:rPr>
            </w:pPr>
            <w:r>
              <w:rPr>
                <w:rFonts w:ascii="Arial" w:cs="Arial" w:eastAsia="Arial" w:hAnsi="Arial"/>
                <w:sz w:val="12"/>
                <w:szCs w:val="12"/>
                <w:color w:val="auto"/>
                <w:w w:val="99"/>
              </w:rPr>
              <w:t>13%</w:t>
            </w:r>
          </w:p>
        </w:tc>
      </w:tr>
      <w:tr>
        <w:trPr>
          <w:trHeight w:val="241"/>
        </w:trPr>
        <w:tc>
          <w:tcPr>
            <w:tcW w:w="1980" w:type="dxa"/>
            <w:vAlign w:val="bottom"/>
          </w:tcPr>
          <w:p>
            <w:pPr>
              <w:spacing w:after="0"/>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240" w:type="dxa"/>
            <w:vAlign w:val="bottom"/>
          </w:tcPr>
          <w:p>
            <w:pPr>
              <w:jc w:val="right"/>
              <w:spacing w:after="0"/>
              <w:rPr>
                <w:sz w:val="20"/>
                <w:szCs w:val="20"/>
                <w:color w:val="auto"/>
              </w:rPr>
            </w:pPr>
            <w:r>
              <w:rPr>
                <w:rFonts w:ascii="Arial" w:cs="Arial" w:eastAsia="Arial" w:hAnsi="Arial"/>
                <w:sz w:val="12"/>
                <w:szCs w:val="12"/>
                <w:color w:val="auto"/>
              </w:rPr>
              <w:t>6.0x</w:t>
            </w:r>
          </w:p>
        </w:tc>
        <w:tc>
          <w:tcPr>
            <w:tcW w:w="760" w:type="dxa"/>
            <w:vAlign w:val="bottom"/>
          </w:tcPr>
          <w:p>
            <w:pPr>
              <w:spacing w:after="0"/>
              <w:rPr>
                <w:sz w:val="20"/>
                <w:szCs w:val="20"/>
                <w:color w:val="auto"/>
              </w:rPr>
            </w:pPr>
            <w:r>
              <w:rPr>
                <w:rFonts w:ascii="Arial" w:cs="Arial" w:eastAsia="Arial" w:hAnsi="Arial"/>
                <w:sz w:val="12"/>
                <w:szCs w:val="12"/>
                <w:color w:val="auto"/>
              </w:rPr>
              <w:t>- 7.0x</w:t>
            </w:r>
          </w:p>
        </w:tc>
        <w:tc>
          <w:tcPr>
            <w:tcW w:w="1100" w:type="dxa"/>
            <w:vAlign w:val="bottom"/>
          </w:tcPr>
          <w:p>
            <w:pPr>
              <w:jc w:val="center"/>
              <w:ind w:left="280"/>
              <w:spacing w:after="0"/>
              <w:rPr>
                <w:sz w:val="20"/>
                <w:szCs w:val="20"/>
                <w:color w:val="auto"/>
              </w:rPr>
            </w:pPr>
            <w:r>
              <w:rPr>
                <w:rFonts w:ascii="Arial" w:cs="Arial" w:eastAsia="Arial" w:hAnsi="Arial"/>
                <w:sz w:val="12"/>
                <w:szCs w:val="12"/>
                <w:color w:val="auto"/>
              </w:rPr>
              <w:t>6.5x</w:t>
            </w:r>
          </w:p>
        </w:tc>
      </w:tr>
      <w:tr>
        <w:trPr>
          <w:trHeight w:val="212"/>
        </w:trPr>
        <w:tc>
          <w:tcPr>
            <w:tcW w:w="1980" w:type="dxa"/>
            <w:vAlign w:val="bottom"/>
          </w:tcPr>
          <w:p>
            <w:pPr>
              <w:spacing w:after="0"/>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2000" w:type="dxa"/>
            <w:vAlign w:val="bottom"/>
            <w:gridSpan w:val="2"/>
          </w:tcPr>
          <w:p>
            <w:pPr>
              <w:jc w:val="center"/>
              <w:ind w:left="480"/>
              <w:spacing w:after="0"/>
              <w:rPr>
                <w:sz w:val="20"/>
                <w:szCs w:val="20"/>
                <w:color w:val="auto"/>
              </w:rPr>
            </w:pPr>
            <w:r>
              <w:rPr>
                <w:rFonts w:ascii="Arial" w:cs="Arial" w:eastAsia="Arial" w:hAnsi="Arial"/>
                <w:sz w:val="12"/>
                <w:szCs w:val="12"/>
                <w:color w:val="auto"/>
                <w:w w:val="98"/>
              </w:rPr>
              <w:t>1.0x - 15.0x</w:t>
            </w:r>
          </w:p>
        </w:tc>
        <w:tc>
          <w:tcPr>
            <w:tcW w:w="1100" w:type="dxa"/>
            <w:vAlign w:val="bottom"/>
          </w:tcPr>
          <w:p>
            <w:pPr>
              <w:jc w:val="center"/>
              <w:ind w:left="280"/>
              <w:spacing w:after="0"/>
              <w:rPr>
                <w:sz w:val="20"/>
                <w:szCs w:val="20"/>
                <w:color w:val="auto"/>
              </w:rPr>
            </w:pPr>
            <w:r>
              <w:rPr>
                <w:rFonts w:ascii="Arial" w:cs="Arial" w:eastAsia="Arial" w:hAnsi="Arial"/>
                <w:sz w:val="12"/>
                <w:szCs w:val="12"/>
                <w:color w:val="auto"/>
              </w:rPr>
              <w:t>8.9x</w:t>
            </w:r>
          </w:p>
        </w:tc>
      </w:tr>
    </w:tbl>
    <w:p>
      <w:pPr>
        <w:spacing w:after="0" w:line="96" w:lineRule="exact"/>
        <w:rPr>
          <w:sz w:val="20"/>
          <w:szCs w:val="20"/>
          <w:color w:val="auto"/>
        </w:rPr>
      </w:pPr>
    </w:p>
    <w:p>
      <w:pPr>
        <w:sectPr>
          <w:pgSz w:w="11900" w:h="16838" w:orient="portrait"/>
          <w:cols w:equalWidth="0" w:num="2">
            <w:col w:w="5560" w:space="360"/>
            <w:col w:w="5320"/>
          </w:cols>
          <w:pgMar w:left="320" w:top="353" w:right="339" w:bottom="1440" w:gutter="0" w:footer="0" w:header="0"/>
          <w:type w:val="continuous"/>
        </w:sectPr>
      </w:pPr>
    </w:p>
    <w:tbl>
      <w:tblPr>
        <w:tblLayout w:type="fixed"/>
        <w:tblInd w:w="20" w:type="dxa"/>
        <w:tblCellMar>
          <w:top w:w="0" w:type="dxa"/>
          <w:left w:w="0" w:type="dxa"/>
          <w:bottom w:w="0" w:type="dxa"/>
          <w:right w:w="0" w:type="dxa"/>
        </w:tblCellMar>
      </w:tblPr>
      <w:tr>
        <w:trPr>
          <w:trHeight w:val="109"/>
        </w:trPr>
        <w:tc>
          <w:tcPr>
            <w:tcW w:w="2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0" w:lineRule="exact"/>
              <w:rPr>
                <w:sz w:val="20"/>
                <w:szCs w:val="20"/>
                <w:color w:val="auto"/>
              </w:rPr>
            </w:pPr>
            <w:r>
              <w:rPr>
                <w:rFonts w:ascii="Arial" w:cs="Arial" w:eastAsia="Arial" w:hAnsi="Arial"/>
                <w:sz w:val="12"/>
                <w:szCs w:val="12"/>
                <w:color w:val="auto"/>
              </w:rPr>
              <w:t>93,814</w:t>
            </w:r>
          </w:p>
        </w:tc>
        <w:tc>
          <w:tcPr>
            <w:tcW w:w="2260" w:type="dxa"/>
            <w:vAlign w:val="bottom"/>
          </w:tcPr>
          <w:p>
            <w:pPr>
              <w:ind w:left="220"/>
              <w:spacing w:after="0" w:line="110" w:lineRule="exact"/>
              <w:rPr>
                <w:sz w:val="20"/>
                <w:szCs w:val="20"/>
                <w:color w:val="auto"/>
              </w:rPr>
            </w:pPr>
            <w:r>
              <w:rPr>
                <w:rFonts w:ascii="Arial" w:cs="Arial" w:eastAsia="Arial" w:hAnsi="Arial"/>
                <w:sz w:val="12"/>
                <w:szCs w:val="12"/>
                <w:color w:val="auto"/>
              </w:rPr>
              <w:t>Market approach</w:t>
            </w:r>
          </w:p>
        </w:tc>
        <w:tc>
          <w:tcPr>
            <w:tcW w:w="2820" w:type="dxa"/>
            <w:vAlign w:val="bottom"/>
          </w:tcPr>
          <w:p>
            <w:pPr>
              <w:ind w:left="580"/>
              <w:spacing w:after="0" w:line="110" w:lineRule="exact"/>
              <w:rPr>
                <w:sz w:val="20"/>
                <w:szCs w:val="20"/>
                <w:color w:val="auto"/>
              </w:rPr>
            </w:pPr>
            <w:r>
              <w:rPr>
                <w:rFonts w:ascii="Arial" w:cs="Arial" w:eastAsia="Arial" w:hAnsi="Arial"/>
                <w:sz w:val="10"/>
                <w:szCs w:val="10"/>
                <w:color w:val="auto"/>
              </w:rPr>
              <w:t xml:space="preserve">Revenue multiple </w:t>
            </w:r>
            <w:r>
              <w:rPr>
                <w:rFonts w:ascii="Arial" w:cs="Arial" w:eastAsia="Arial" w:hAnsi="Arial"/>
                <w:sz w:val="12"/>
                <w:szCs w:val="12"/>
                <w:color w:val="auto"/>
                <w:vertAlign w:val="superscript"/>
              </w:rPr>
              <w:t>(8)</w:t>
            </w:r>
          </w:p>
        </w:tc>
        <w:tc>
          <w:tcPr>
            <w:tcW w:w="1740" w:type="dxa"/>
            <w:vAlign w:val="bottom"/>
          </w:tcPr>
          <w:p>
            <w:pPr>
              <w:jc w:val="center"/>
              <w:ind w:left="220"/>
              <w:spacing w:after="0" w:line="110" w:lineRule="exact"/>
              <w:rPr>
                <w:sz w:val="20"/>
                <w:szCs w:val="20"/>
                <w:color w:val="auto"/>
              </w:rPr>
            </w:pPr>
            <w:r>
              <w:rPr>
                <w:rFonts w:ascii="Arial" w:cs="Arial" w:eastAsia="Arial" w:hAnsi="Arial"/>
                <w:sz w:val="12"/>
                <w:szCs w:val="12"/>
                <w:color w:val="auto"/>
              </w:rPr>
              <w:t>1.0x - 2.2x</w:t>
            </w:r>
          </w:p>
        </w:tc>
        <w:tc>
          <w:tcPr>
            <w:tcW w:w="1100" w:type="dxa"/>
            <w:vAlign w:val="bottom"/>
          </w:tcPr>
          <w:p>
            <w:pPr>
              <w:jc w:val="center"/>
              <w:ind w:left="280"/>
              <w:spacing w:after="0" w:line="110" w:lineRule="exact"/>
              <w:rPr>
                <w:sz w:val="20"/>
                <w:szCs w:val="20"/>
                <w:color w:val="auto"/>
              </w:rPr>
            </w:pPr>
            <w:r>
              <w:rPr>
                <w:rFonts w:ascii="Arial" w:cs="Arial" w:eastAsia="Arial" w:hAnsi="Arial"/>
                <w:sz w:val="12"/>
                <w:szCs w:val="12"/>
                <w:color w:val="auto"/>
              </w:rPr>
              <w:t>2.0x</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60" w:type="dxa"/>
            <w:vAlign w:val="bottom"/>
          </w:tcPr>
          <w:p>
            <w:pPr>
              <w:ind w:left="22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2"/>
                <w:szCs w:val="12"/>
                <w:color w:val="auto"/>
              </w:rPr>
              <w:t>839,232</w:t>
            </w:r>
          </w:p>
        </w:tc>
        <w:tc>
          <w:tcPr>
            <w:tcW w:w="2260" w:type="dxa"/>
            <w:vAlign w:val="bottom"/>
          </w:tcPr>
          <w:p>
            <w:pPr>
              <w:ind w:left="220"/>
              <w:spacing w:after="0" w:line="121" w:lineRule="exact"/>
              <w:rPr>
                <w:sz w:val="20"/>
                <w:szCs w:val="20"/>
                <w:color w:val="auto"/>
              </w:rPr>
            </w:pPr>
            <w:r>
              <w:rPr>
                <w:rFonts w:ascii="Arial" w:cs="Arial" w:eastAsia="Arial" w:hAnsi="Arial"/>
                <w:sz w:val="12"/>
                <w:szCs w:val="12"/>
                <w:color w:val="auto"/>
              </w:rPr>
              <w:t>Market approach</w:t>
            </w:r>
          </w:p>
        </w:tc>
        <w:tc>
          <w:tcPr>
            <w:tcW w:w="2820" w:type="dxa"/>
            <w:vAlign w:val="bottom"/>
          </w:tcPr>
          <w:p>
            <w:pPr>
              <w:ind w:left="580"/>
              <w:spacing w:after="0" w:line="121" w:lineRule="exact"/>
              <w:rPr>
                <w:sz w:val="20"/>
                <w:szCs w:val="20"/>
                <w:color w:val="auto"/>
              </w:rPr>
            </w:pPr>
            <w:r>
              <w:rPr>
                <w:rFonts w:ascii="Arial" w:cs="Arial" w:eastAsia="Arial" w:hAnsi="Arial"/>
                <w:sz w:val="11"/>
                <w:szCs w:val="11"/>
                <w:color w:val="auto"/>
              </w:rPr>
              <w:t xml:space="preserve">Multiple of underlying assets </w:t>
            </w:r>
            <w:r>
              <w:rPr>
                <w:rFonts w:ascii="Arial" w:cs="Arial" w:eastAsia="Arial" w:hAnsi="Arial"/>
                <w:sz w:val="14"/>
                <w:szCs w:val="14"/>
                <w:color w:val="auto"/>
                <w:vertAlign w:val="superscript"/>
              </w:rPr>
              <w:t>(9)</w:t>
            </w:r>
          </w:p>
        </w:tc>
        <w:tc>
          <w:tcPr>
            <w:tcW w:w="1740" w:type="dxa"/>
            <w:vAlign w:val="bottom"/>
          </w:tcPr>
          <w:p>
            <w:pPr>
              <w:jc w:val="center"/>
              <w:ind w:left="220"/>
              <w:spacing w:after="0" w:line="121" w:lineRule="exact"/>
              <w:rPr>
                <w:sz w:val="20"/>
                <w:szCs w:val="20"/>
                <w:color w:val="auto"/>
              </w:rPr>
            </w:pPr>
            <w:r>
              <w:rPr>
                <w:rFonts w:ascii="Arial" w:cs="Arial" w:eastAsia="Arial" w:hAnsi="Arial"/>
                <w:sz w:val="12"/>
                <w:szCs w:val="12"/>
                <w:color w:val="auto"/>
                <w:w w:val="99"/>
              </w:rPr>
              <w:t>0.5x - 1x</w:t>
            </w:r>
          </w:p>
        </w:tc>
        <w:tc>
          <w:tcPr>
            <w:tcW w:w="1100" w:type="dxa"/>
            <w:vAlign w:val="bottom"/>
          </w:tcPr>
          <w:p>
            <w:pPr>
              <w:jc w:val="center"/>
              <w:ind w:left="280"/>
              <w:spacing w:after="0" w:line="121" w:lineRule="exact"/>
              <w:rPr>
                <w:sz w:val="20"/>
                <w:szCs w:val="20"/>
                <w:color w:val="auto"/>
              </w:rPr>
            </w:pPr>
            <w:r>
              <w:rPr>
                <w:rFonts w:ascii="Arial" w:cs="Arial" w:eastAsia="Arial" w:hAnsi="Arial"/>
                <w:sz w:val="12"/>
                <w:szCs w:val="12"/>
                <w:color w:val="auto"/>
              </w:rPr>
              <w:t>1.0x</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60" w:type="dxa"/>
            <w:vAlign w:val="bottom"/>
          </w:tcPr>
          <w:p>
            <w:pPr>
              <w:ind w:left="22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13,765</w:t>
            </w:r>
          </w:p>
        </w:tc>
        <w:tc>
          <w:tcPr>
            <w:tcW w:w="226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820" w:type="dxa"/>
            <w:vAlign w:val="bottom"/>
          </w:tcPr>
          <w:p>
            <w:pPr>
              <w:ind w:left="580"/>
              <w:spacing w:after="0"/>
              <w:rPr>
                <w:sz w:val="20"/>
                <w:szCs w:val="20"/>
                <w:color w:val="auto"/>
              </w:rPr>
            </w:pPr>
            <w:r>
              <w:rPr>
                <w:rFonts w:ascii="Arial" w:cs="Arial" w:eastAsia="Arial" w:hAnsi="Arial"/>
                <w:sz w:val="12"/>
                <w:szCs w:val="12"/>
                <w:color w:val="auto"/>
              </w:rPr>
              <w:t>Not applicable</w:t>
            </w:r>
          </w:p>
        </w:tc>
        <w:tc>
          <w:tcPr>
            <w:tcW w:w="1740" w:type="dxa"/>
            <w:vAlign w:val="bottom"/>
          </w:tcPr>
          <w:p>
            <w:pPr>
              <w:ind w:left="62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4,611</w:t>
            </w:r>
          </w:p>
        </w:tc>
        <w:tc>
          <w:tcPr>
            <w:tcW w:w="226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Black Scholes </w:t>
            </w:r>
            <w:r>
              <w:rPr>
                <w:rFonts w:ascii="Arial" w:cs="Arial" w:eastAsia="Arial" w:hAnsi="Arial"/>
                <w:sz w:val="15"/>
                <w:szCs w:val="15"/>
                <w:color w:val="auto"/>
                <w:vertAlign w:val="superscript"/>
              </w:rPr>
              <w:t>(12)</w:t>
            </w:r>
          </w:p>
        </w:tc>
        <w:tc>
          <w:tcPr>
            <w:tcW w:w="2820" w:type="dxa"/>
            <w:vAlign w:val="bottom"/>
          </w:tcPr>
          <w:p>
            <w:pPr>
              <w:ind w:left="580"/>
              <w:spacing w:after="0"/>
              <w:rPr>
                <w:sz w:val="20"/>
                <w:szCs w:val="20"/>
                <w:color w:val="auto"/>
              </w:rPr>
            </w:pPr>
            <w:r>
              <w:rPr>
                <w:rFonts w:ascii="Arial" w:cs="Arial" w:eastAsia="Arial" w:hAnsi="Arial"/>
                <w:sz w:val="12"/>
                <w:szCs w:val="12"/>
                <w:color w:val="auto"/>
              </w:rPr>
              <w:t>Not applicable</w:t>
            </w:r>
          </w:p>
        </w:tc>
        <w:tc>
          <w:tcPr>
            <w:tcW w:w="1740" w:type="dxa"/>
            <w:vAlign w:val="bottom"/>
          </w:tcPr>
          <w:p>
            <w:pPr>
              <w:ind w:left="62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20"/>
                <w:szCs w:val="20"/>
                <w:color w:val="auto"/>
              </w:rPr>
            </w:pPr>
            <w:r>
              <w:rPr>
                <w:rFonts w:ascii="Arial" w:cs="Arial" w:eastAsia="Arial" w:hAnsi="Arial"/>
                <w:sz w:val="12"/>
                <w:szCs w:val="12"/>
                <w:color w:val="auto"/>
              </w:rPr>
              <w:t>Real estate-oriented investments: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2"/>
                <w:szCs w:val="12"/>
                <w:color w:val="auto"/>
              </w:rPr>
              <w:t>51,297</w:t>
            </w:r>
          </w:p>
        </w:tc>
        <w:tc>
          <w:tcPr>
            <w:tcW w:w="2260" w:type="dxa"/>
            <w:vAlign w:val="bottom"/>
          </w:tcPr>
          <w:p>
            <w:pPr>
              <w:ind w:left="220"/>
              <w:spacing w:after="0" w:line="130" w:lineRule="exact"/>
              <w:rPr>
                <w:sz w:val="20"/>
                <w:szCs w:val="20"/>
                <w:color w:val="auto"/>
              </w:rPr>
            </w:pPr>
            <w:r>
              <w:rPr>
                <w:rFonts w:ascii="Arial" w:cs="Arial" w:eastAsia="Arial" w:hAnsi="Arial"/>
                <w:sz w:val="12"/>
                <w:szCs w:val="12"/>
                <w:color w:val="auto"/>
              </w:rPr>
              <w:t>Market approach</w:t>
            </w:r>
          </w:p>
        </w:tc>
        <w:tc>
          <w:tcPr>
            <w:tcW w:w="2820" w:type="dxa"/>
            <w:vAlign w:val="bottom"/>
          </w:tcPr>
          <w:p>
            <w:pPr>
              <w:ind w:left="580"/>
              <w:spacing w:after="0" w:line="130"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1740" w:type="dxa"/>
            <w:vAlign w:val="bottom"/>
          </w:tcPr>
          <w:p>
            <w:pPr>
              <w:jc w:val="center"/>
              <w:ind w:left="200"/>
              <w:spacing w:after="0" w:line="130" w:lineRule="exact"/>
              <w:rPr>
                <w:sz w:val="20"/>
                <w:szCs w:val="20"/>
                <w:color w:val="auto"/>
              </w:rPr>
            </w:pPr>
            <w:r>
              <w:rPr>
                <w:rFonts w:ascii="Arial" w:cs="Arial" w:eastAsia="Arial" w:hAnsi="Arial"/>
                <w:sz w:val="12"/>
                <w:szCs w:val="12"/>
                <w:color w:val="auto"/>
                <w:w w:val="99"/>
              </w:rPr>
              <w:t>1x - 1x</w:t>
            </w:r>
          </w:p>
        </w:tc>
        <w:tc>
          <w:tcPr>
            <w:tcW w:w="1100" w:type="dxa"/>
            <w:vAlign w:val="bottom"/>
          </w:tcPr>
          <w:p>
            <w:pPr>
              <w:jc w:val="center"/>
              <w:ind w:left="280"/>
              <w:spacing w:after="0" w:line="130" w:lineRule="exact"/>
              <w:rPr>
                <w:sz w:val="20"/>
                <w:szCs w:val="20"/>
                <w:color w:val="auto"/>
              </w:rPr>
            </w:pPr>
            <w:r>
              <w:rPr>
                <w:rFonts w:ascii="Arial" w:cs="Arial" w:eastAsia="Arial" w:hAnsi="Arial"/>
                <w:sz w:val="12"/>
                <w:szCs w:val="12"/>
                <w:color w:val="auto"/>
                <w:w w:val="94"/>
              </w:rPr>
              <w:t>1x</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60" w:type="dxa"/>
            <w:vAlign w:val="bottom"/>
          </w:tcPr>
          <w:p>
            <w:pPr>
              <w:ind w:left="22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21,954</w:t>
            </w:r>
          </w:p>
        </w:tc>
        <w:tc>
          <w:tcPr>
            <w:tcW w:w="2260" w:type="dxa"/>
            <w:vAlign w:val="bottom"/>
          </w:tcPr>
          <w:p>
            <w:pPr>
              <w:ind w:left="2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820" w:type="dxa"/>
            <w:vAlign w:val="bottom"/>
          </w:tcPr>
          <w:p>
            <w:pPr>
              <w:ind w:left="580"/>
              <w:spacing w:after="0"/>
              <w:rPr>
                <w:sz w:val="20"/>
                <w:szCs w:val="20"/>
                <w:color w:val="auto"/>
              </w:rPr>
            </w:pPr>
            <w:r>
              <w:rPr>
                <w:rFonts w:ascii="Arial" w:cs="Arial" w:eastAsia="Arial" w:hAnsi="Arial"/>
                <w:sz w:val="12"/>
                <w:szCs w:val="12"/>
                <w:color w:val="auto"/>
              </w:rPr>
              <w:t>Quoted prices</w:t>
            </w:r>
          </w:p>
        </w:tc>
        <w:tc>
          <w:tcPr>
            <w:tcW w:w="1740" w:type="dxa"/>
            <w:vAlign w:val="bottom"/>
          </w:tcPr>
          <w:p>
            <w:pPr>
              <w:ind w:left="620"/>
              <w:spacing w:after="0"/>
              <w:rPr>
                <w:sz w:val="20"/>
                <w:szCs w:val="20"/>
                <w:color w:val="auto"/>
              </w:rPr>
            </w:pPr>
            <w:r>
              <w:rPr>
                <w:rFonts w:ascii="Arial" w:cs="Arial" w:eastAsia="Arial" w:hAnsi="Arial"/>
                <w:sz w:val="12"/>
                <w:szCs w:val="12"/>
                <w:color w:val="auto"/>
              </w:rPr>
              <w:t>Not applicable</w:t>
            </w:r>
          </w:p>
        </w:tc>
        <w:tc>
          <w:tcPr>
            <w:tcW w:w="1100" w:type="dxa"/>
            <w:vAlign w:val="bottom"/>
          </w:tcPr>
          <w:p>
            <w:pPr>
              <w:ind w:left="340"/>
              <w:spacing w:after="0"/>
              <w:rPr>
                <w:sz w:val="20"/>
                <w:szCs w:val="20"/>
                <w:color w:val="auto"/>
              </w:rPr>
            </w:pPr>
            <w:r>
              <w:rPr>
                <w:rFonts w:ascii="Arial" w:cs="Arial" w:eastAsia="Arial" w:hAnsi="Arial"/>
                <w:sz w:val="12"/>
                <w:szCs w:val="12"/>
                <w:color w:val="auto"/>
                <w:w w:val="97"/>
              </w:rPr>
              <w:t>Not applicable</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256,484</w:t>
            </w:r>
          </w:p>
        </w:tc>
        <w:tc>
          <w:tcPr>
            <w:tcW w:w="2260" w:type="dxa"/>
            <w:vAlign w:val="bottom"/>
          </w:tcPr>
          <w:p>
            <w:pPr>
              <w:ind w:left="2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820" w:type="dxa"/>
            <w:vAlign w:val="bottom"/>
          </w:tcPr>
          <w:p>
            <w:pPr>
              <w:ind w:left="580"/>
              <w:spacing w:after="0"/>
              <w:rPr>
                <w:sz w:val="20"/>
                <w:szCs w:val="20"/>
                <w:color w:val="auto"/>
              </w:rPr>
            </w:pPr>
            <w:r>
              <w:rPr>
                <w:rFonts w:ascii="Arial" w:cs="Arial" w:eastAsia="Arial" w:hAnsi="Arial"/>
                <w:sz w:val="12"/>
                <w:szCs w:val="12"/>
                <w:color w:val="auto"/>
              </w:rPr>
              <w:t>Discount rate</w:t>
            </w:r>
          </w:p>
        </w:tc>
        <w:tc>
          <w:tcPr>
            <w:tcW w:w="1740" w:type="dxa"/>
            <w:vAlign w:val="bottom"/>
          </w:tcPr>
          <w:p>
            <w:pPr>
              <w:jc w:val="center"/>
              <w:ind w:left="220"/>
              <w:spacing w:after="0"/>
              <w:rPr>
                <w:sz w:val="20"/>
                <w:szCs w:val="20"/>
                <w:color w:val="auto"/>
              </w:rPr>
            </w:pPr>
            <w:r>
              <w:rPr>
                <w:rFonts w:ascii="Arial" w:cs="Arial" w:eastAsia="Arial" w:hAnsi="Arial"/>
                <w:sz w:val="12"/>
                <w:szCs w:val="12"/>
                <w:color w:val="auto"/>
                <w:w w:val="98"/>
              </w:rPr>
              <w:t>11% - 27%</w:t>
            </w:r>
          </w:p>
        </w:tc>
        <w:tc>
          <w:tcPr>
            <w:tcW w:w="1100" w:type="dxa"/>
            <w:vAlign w:val="bottom"/>
          </w:tcPr>
          <w:p>
            <w:pPr>
              <w:jc w:val="center"/>
              <w:ind w:left="280"/>
              <w:spacing w:after="0"/>
              <w:rPr>
                <w:sz w:val="20"/>
                <w:szCs w:val="20"/>
                <w:color w:val="auto"/>
              </w:rPr>
            </w:pPr>
            <w:r>
              <w:rPr>
                <w:rFonts w:ascii="Arial" w:cs="Arial" w:eastAsia="Arial" w:hAnsi="Arial"/>
                <w:sz w:val="12"/>
                <w:szCs w:val="12"/>
                <w:color w:val="auto"/>
                <w:w w:val="99"/>
              </w:rPr>
              <w:t>17%</w:t>
            </w:r>
          </w:p>
        </w:tc>
        <w:tc>
          <w:tcPr>
            <w:tcW w:w="0" w:type="dxa"/>
            <w:vAlign w:val="bottom"/>
          </w:tcPr>
          <w:p>
            <w:pPr>
              <w:spacing w:after="0"/>
              <w:rPr>
                <w:sz w:val="1"/>
                <w:szCs w:val="1"/>
                <w:color w:val="auto"/>
              </w:rPr>
            </w:pPr>
          </w:p>
        </w:tc>
      </w:tr>
      <w:tr>
        <w:trPr>
          <w:trHeight w:val="96"/>
        </w:trPr>
        <w:tc>
          <w:tcPr>
            <w:tcW w:w="2040" w:type="dxa"/>
            <w:vAlign w:val="bottom"/>
          </w:tcPr>
          <w:p>
            <w:pPr>
              <w:spacing w:after="0" w:line="96" w:lineRule="exact"/>
              <w:rPr>
                <w:sz w:val="20"/>
                <w:szCs w:val="20"/>
                <w:color w:val="auto"/>
              </w:rPr>
            </w:pPr>
            <w:r>
              <w:rPr>
                <w:rFonts w:ascii="Arial" w:cs="Arial" w:eastAsia="Arial" w:hAnsi="Arial"/>
                <w:sz w:val="11"/>
                <w:szCs w:val="11"/>
                <w:color w:val="auto"/>
              </w:rPr>
              <w:t>Total Level III</w:t>
            </w:r>
          </w:p>
        </w:tc>
        <w:tc>
          <w:tcPr>
            <w:tcW w:w="260" w:type="dxa"/>
            <w:vAlign w:val="bottom"/>
            <w:vMerge w:val="restart"/>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4,258,101</w:t>
            </w:r>
          </w:p>
        </w:tc>
        <w:tc>
          <w:tcPr>
            <w:tcW w:w="22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100"/>
              <w:spacing w:after="0"/>
              <w:rPr>
                <w:sz w:val="20"/>
                <w:szCs w:val="20"/>
                <w:color w:val="auto"/>
              </w:rPr>
            </w:pPr>
            <w:r>
              <w:rPr>
                <w:rFonts w:ascii="Arial" w:cs="Arial" w:eastAsia="Arial" w:hAnsi="Arial"/>
                <w:sz w:val="12"/>
                <w:szCs w:val="12"/>
                <w:color w:val="auto"/>
              </w:rPr>
              <w:t>investments</w:t>
            </w:r>
          </w:p>
        </w:tc>
        <w:tc>
          <w:tcPr>
            <w:tcW w:w="26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2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53" w:lineRule="exact"/>
        <w:rPr>
          <w:sz w:val="20"/>
          <w:szCs w:val="20"/>
          <w:color w:val="auto"/>
        </w:rPr>
      </w:pPr>
    </w:p>
    <w:p>
      <w:pPr>
        <w:ind w:right="60" w:firstLine="619"/>
        <w:spacing w:after="0" w:line="282" w:lineRule="auto"/>
        <w:rPr>
          <w:sz w:val="20"/>
          <w:szCs w:val="20"/>
          <w:color w:val="auto"/>
        </w:rPr>
      </w:pPr>
      <w:r>
        <w:rPr>
          <w:rFonts w:ascii="Arial" w:cs="Arial" w:eastAsia="Arial" w:hAnsi="Arial"/>
          <w:sz w:val="17"/>
          <w:szCs w:val="17"/>
          <w:color w:val="auto"/>
        </w:rPr>
        <w:t>The following table sets forth a summary of the valuation techniques and quantitative information utilized in determining the fair value of the consolidated funds’ Level III investments as of December 31, 2024:</w:t>
      </w:r>
    </w:p>
    <w:tbl>
      <w:tblPr>
        <w:tblLayout w:type="fixed"/>
        <w:tblInd w:w="0" w:type="dxa"/>
        <w:tblCellMar>
          <w:top w:w="0" w:type="dxa"/>
          <w:left w:w="0" w:type="dxa"/>
          <w:bottom w:w="0" w:type="dxa"/>
          <w:right w:w="0" w:type="dxa"/>
        </w:tblCellMar>
      </w:tblPr>
      <w:tr>
        <w:trPr>
          <w:trHeight w:val="117"/>
        </w:trPr>
        <w:tc>
          <w:tcPr>
            <w:tcW w:w="184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Investment Type</w:t>
            </w:r>
          </w:p>
        </w:tc>
        <w:tc>
          <w:tcPr>
            <w:tcW w:w="2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Fair Value</w:t>
            </w:r>
          </w:p>
        </w:tc>
        <w:tc>
          <w:tcPr>
            <w:tcW w:w="200" w:type="dxa"/>
            <w:vAlign w:val="bottom"/>
          </w:tcPr>
          <w:p>
            <w:pPr>
              <w:spacing w:after="0"/>
              <w:rPr>
                <w:sz w:val="10"/>
                <w:szCs w:val="10"/>
                <w:color w:val="auto"/>
              </w:rPr>
            </w:pPr>
          </w:p>
        </w:tc>
        <w:tc>
          <w:tcPr>
            <w:tcW w:w="2440" w:type="dxa"/>
            <w:vAlign w:val="bottom"/>
            <w:vMerge w:val="restart"/>
          </w:tcPr>
          <w:p>
            <w:pPr>
              <w:ind w:left="680"/>
              <w:spacing w:after="0"/>
              <w:rPr>
                <w:sz w:val="20"/>
                <w:szCs w:val="20"/>
                <w:color w:val="auto"/>
              </w:rPr>
            </w:pPr>
            <w:r>
              <w:rPr>
                <w:rFonts w:ascii="Arial" w:cs="Arial" w:eastAsia="Arial" w:hAnsi="Arial"/>
                <w:sz w:val="11"/>
                <w:szCs w:val="11"/>
                <w:b w:val="1"/>
                <w:bCs w:val="1"/>
                <w:color w:val="auto"/>
              </w:rPr>
              <w:t>Valuation Technique</w:t>
            </w:r>
          </w:p>
        </w:tc>
        <w:tc>
          <w:tcPr>
            <w:tcW w:w="200" w:type="dxa"/>
            <w:vAlign w:val="bottom"/>
            <w:vMerge w:val="restart"/>
          </w:tcPr>
          <w:p>
            <w:pPr>
              <w:spacing w:after="0"/>
              <w:rPr>
                <w:sz w:val="10"/>
                <w:szCs w:val="10"/>
                <w:color w:val="auto"/>
              </w:rPr>
            </w:pPr>
          </w:p>
        </w:tc>
        <w:tc>
          <w:tcPr>
            <w:tcW w:w="2640" w:type="dxa"/>
            <w:vAlign w:val="bottom"/>
            <w:gridSpan w:val="2"/>
          </w:tcPr>
          <w:p>
            <w:pPr>
              <w:ind w:left="540"/>
              <w:spacing w:after="0" w:line="117" w:lineRule="exact"/>
              <w:rPr>
                <w:sz w:val="20"/>
                <w:szCs w:val="20"/>
                <w:color w:val="auto"/>
              </w:rPr>
            </w:pPr>
            <w:r>
              <w:rPr>
                <w:rFonts w:ascii="Arial" w:cs="Arial" w:eastAsia="Arial" w:hAnsi="Arial"/>
                <w:sz w:val="11"/>
                <w:szCs w:val="11"/>
                <w:b w:val="1"/>
                <w:bCs w:val="1"/>
                <w:color w:val="auto"/>
              </w:rPr>
              <w:t>Significant Unobservable</w:t>
            </w: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Range</w:t>
            </w:r>
          </w:p>
        </w:tc>
        <w:tc>
          <w:tcPr>
            <w:tcW w:w="200" w:type="dxa"/>
            <w:vAlign w:val="bottom"/>
            <w:vMerge w:val="restart"/>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Weighted Average </w:t>
            </w:r>
            <w:r>
              <w:rPr>
                <w:rFonts w:ascii="Arial" w:cs="Arial" w:eastAsia="Arial" w:hAnsi="Arial"/>
                <w:sz w:val="14"/>
                <w:szCs w:val="14"/>
                <w:b w:val="1"/>
                <w:bCs w:val="1"/>
                <w:color w:val="auto"/>
                <w:w w:val="97"/>
                <w:vertAlign w:val="superscript"/>
              </w:rPr>
              <w:t>(3)</w:t>
            </w:r>
          </w:p>
        </w:tc>
        <w:tc>
          <w:tcPr>
            <w:tcW w:w="0" w:type="dxa"/>
            <w:vAlign w:val="bottom"/>
          </w:tcPr>
          <w:p>
            <w:pPr>
              <w:spacing w:after="0"/>
              <w:rPr>
                <w:sz w:val="1"/>
                <w:szCs w:val="1"/>
                <w:color w:val="auto"/>
              </w:rPr>
            </w:pPr>
          </w:p>
        </w:tc>
      </w:tr>
      <w:tr>
        <w:trPr>
          <w:trHeight w:val="150"/>
        </w:trPr>
        <w:tc>
          <w:tcPr>
            <w:tcW w:w="18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440" w:type="dxa"/>
            <w:vAlign w:val="bottom"/>
            <w:tcBorders>
              <w:bottom w:val="single" w:sz="8" w:color="auto"/>
            </w:tcBorders>
          </w:tcPr>
          <w:p>
            <w:pPr>
              <w:ind w:left="960"/>
              <w:spacing w:after="0" w:line="150" w:lineRule="exact"/>
              <w:rPr>
                <w:sz w:val="20"/>
                <w:szCs w:val="20"/>
                <w:color w:val="auto"/>
              </w:rPr>
            </w:pPr>
            <w:r>
              <w:rPr>
                <w:rFonts w:ascii="Arial" w:cs="Arial" w:eastAsia="Arial" w:hAnsi="Arial"/>
                <w:sz w:val="17"/>
                <w:szCs w:val="17"/>
                <w:b w:val="1"/>
                <w:bCs w:val="1"/>
                <w:color w:val="auto"/>
                <w:vertAlign w:val="subscript"/>
              </w:rPr>
              <w:t>Inputs</w:t>
            </w:r>
            <w:r>
              <w:rPr>
                <w:rFonts w:ascii="Arial" w:cs="Arial" w:eastAsia="Arial" w:hAnsi="Arial"/>
                <w:sz w:val="6"/>
                <w:szCs w:val="6"/>
                <w:b w:val="1"/>
                <w:bCs w:val="1"/>
                <w:color w:val="auto"/>
              </w:rPr>
              <w:t xml:space="preserve"> (1)(2)</w:t>
            </w:r>
          </w:p>
        </w:tc>
        <w:tc>
          <w:tcPr>
            <w:tcW w:w="200" w:type="dxa"/>
            <w:vAlign w:val="bottom"/>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Credit-oriented investments: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1,216,750</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rPr>
              <w:t>5% – 27%</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378,875</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206,107</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10,854</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2.1x - 2.1x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2.1x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229,042</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0.5x - 1.0x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0.9x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21,999</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8"/>
              </w:rPr>
              <w:t>6.5x -7.0x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7.0x</w:t>
            </w: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Equity investments: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202,057</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Recent transaction price </w:t>
            </w:r>
            <w:r>
              <w:rPr>
                <w:rFonts w:ascii="Arial" w:cs="Arial" w:eastAsia="Arial" w:hAnsi="Arial"/>
                <w:sz w:val="15"/>
                <w:szCs w:val="15"/>
                <w:color w:val="auto"/>
                <w:vertAlign w:val="superscript"/>
              </w:rPr>
              <w:t>(4)</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850,420</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Multiple of underlying assets </w:t>
            </w:r>
            <w:r>
              <w:rPr>
                <w:rFonts w:ascii="Arial" w:cs="Arial" w:eastAsia="Arial" w:hAnsi="Arial"/>
                <w:sz w:val="15"/>
                <w:szCs w:val="15"/>
                <w:color w:val="auto"/>
                <w:vertAlign w:val="superscript"/>
              </w:rPr>
              <w:t>(9)</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1.0x - 1.0x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1.0x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458,953</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rPr>
              <w:t>5.0x - 14.0x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9.6x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213,813</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rPr>
              <w:t>4% – 18%</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14%</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26,445</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Market approach (comparable companies) </w:t>
            </w:r>
            <w:r>
              <w:rPr>
                <w:rFonts w:ascii="Arial" w:cs="Arial" w:eastAsia="Arial" w:hAnsi="Arial"/>
                <w:sz w:val="15"/>
                <w:szCs w:val="15"/>
                <w:color w:val="auto"/>
                <w:vertAlign w:val="superscript"/>
              </w:rPr>
              <w:t>(7)</w:t>
            </w: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Revenue multiple </w:t>
            </w:r>
            <w:r>
              <w:rPr>
                <w:rFonts w:ascii="Arial" w:cs="Arial" w:eastAsia="Arial" w:hAnsi="Arial"/>
                <w:sz w:val="15"/>
                <w:szCs w:val="15"/>
                <w:color w:val="auto"/>
                <w:vertAlign w:val="superscript"/>
              </w:rPr>
              <w:t>(8)</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1.0x - 2.1x</w:t>
            </w:r>
          </w:p>
        </w:tc>
        <w:tc>
          <w:tcPr>
            <w:tcW w:w="1240" w:type="dxa"/>
            <w:vAlign w:val="bottom"/>
          </w:tcPr>
          <w:p>
            <w:pPr>
              <w:jc w:val="center"/>
              <w:spacing w:after="0"/>
              <w:rPr>
                <w:sz w:val="20"/>
                <w:szCs w:val="20"/>
                <w:color w:val="auto"/>
              </w:rPr>
            </w:pPr>
            <w:r>
              <w:rPr>
                <w:rFonts w:ascii="Arial" w:cs="Arial" w:eastAsia="Arial" w:hAnsi="Arial"/>
                <w:sz w:val="12"/>
                <w:szCs w:val="12"/>
                <w:color w:val="auto"/>
                <w:w w:val="96"/>
              </w:rPr>
              <w:t>1.2x</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25,295</w:t>
            </w:r>
          </w:p>
        </w:tc>
        <w:tc>
          <w:tcPr>
            <w:tcW w:w="200" w:type="dxa"/>
            <w:vAlign w:val="bottom"/>
          </w:tcPr>
          <w:p>
            <w:pPr>
              <w:spacing w:after="0"/>
              <w:rPr>
                <w:sz w:val="13"/>
                <w:szCs w:val="13"/>
                <w:color w:val="auto"/>
              </w:rPr>
            </w:pPr>
          </w:p>
        </w:tc>
        <w:tc>
          <w:tcPr>
            <w:tcW w:w="2640" w:type="dxa"/>
            <w:vAlign w:val="bottom"/>
            <w:gridSpan w:val="2"/>
            <w:vMerge w:val="restart"/>
          </w:tcPr>
          <w:p>
            <w:pPr>
              <w:ind w:left="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 /</w:t>
            </w:r>
            <w:r>
              <w:rPr>
                <w:rFonts w:ascii="Arial" w:cs="Arial" w:eastAsia="Arial" w:hAnsi="Arial"/>
                <w:sz w:val="12"/>
                <w:szCs w:val="12"/>
                <w:color w:val="auto"/>
              </w:rPr>
              <w:t xml:space="preserve"> Market approach</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7"/>
              </w:rPr>
              <w:t>11% – 11%</w:t>
            </w:r>
          </w:p>
        </w:tc>
        <w:tc>
          <w:tcPr>
            <w:tcW w:w="1240" w:type="dxa"/>
            <w:vAlign w:val="bottom"/>
          </w:tcPr>
          <w:p>
            <w:pPr>
              <w:jc w:val="center"/>
              <w:spacing w:after="0"/>
              <w:rPr>
                <w:sz w:val="20"/>
                <w:szCs w:val="20"/>
                <w:color w:val="auto"/>
              </w:rPr>
            </w:pPr>
            <w:r>
              <w:rPr>
                <w:rFonts w:ascii="Arial" w:cs="Arial" w:eastAsia="Arial" w:hAnsi="Arial"/>
                <w:sz w:val="12"/>
                <w:szCs w:val="12"/>
                <w:color w:val="auto"/>
                <w:w w:val="91"/>
              </w:rPr>
              <w:t>11%</w:t>
            </w:r>
          </w:p>
        </w:tc>
        <w:tc>
          <w:tcPr>
            <w:tcW w:w="0" w:type="dxa"/>
            <w:vAlign w:val="bottom"/>
          </w:tcPr>
          <w:p>
            <w:pPr>
              <w:spacing w:after="0"/>
              <w:rPr>
                <w:sz w:val="1"/>
                <w:szCs w:val="1"/>
                <w:color w:val="auto"/>
              </w:rPr>
            </w:pPr>
          </w:p>
        </w:tc>
      </w:tr>
      <w:tr>
        <w:trPr>
          <w:trHeight w:val="78"/>
        </w:trPr>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2640" w:type="dxa"/>
            <w:vAlign w:val="bottom"/>
            <w:gridSpan w:val="2"/>
            <w:vMerge w:val="restart"/>
          </w:tcPr>
          <w:p>
            <w:pPr>
              <w:ind w:left="20"/>
              <w:spacing w:after="0"/>
              <w:rPr>
                <w:sz w:val="20"/>
                <w:szCs w:val="20"/>
                <w:color w:val="auto"/>
              </w:rPr>
            </w:pPr>
            <w:r>
              <w:rPr>
                <w:rFonts w:ascii="Arial" w:cs="Arial" w:eastAsia="Arial" w:hAnsi="Arial"/>
                <w:sz w:val="12"/>
                <w:szCs w:val="12"/>
                <w:color w:val="auto"/>
              </w:rPr>
              <w:t xml:space="preserve">Earnings multiple </w:t>
            </w:r>
            <w:r>
              <w:rPr>
                <w:rFonts w:ascii="Arial" w:cs="Arial" w:eastAsia="Arial" w:hAnsi="Arial"/>
                <w:sz w:val="15"/>
                <w:szCs w:val="15"/>
                <w:color w:val="auto"/>
                <w:vertAlign w:val="superscript"/>
              </w:rPr>
              <w:t>(10)</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2"/>
                <w:szCs w:val="12"/>
                <w:color w:val="auto"/>
                <w:w w:val="97"/>
              </w:rPr>
              <w:t>10.0x - 12.0x</w:t>
            </w: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(comparable companies) </w:t>
            </w:r>
            <w:r>
              <w:rPr>
                <w:rFonts w:ascii="Arial" w:cs="Arial" w:eastAsia="Arial" w:hAnsi="Arial"/>
                <w:sz w:val="15"/>
                <w:szCs w:val="15"/>
                <w:color w:val="auto"/>
                <w:vertAlign w:val="superscript"/>
              </w:rPr>
              <w:t>(7)</w:t>
            </w:r>
          </w:p>
        </w:tc>
        <w:tc>
          <w:tcPr>
            <w:tcW w:w="264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5"/>
              </w:rPr>
              <w:t>11.0x</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5,979</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Recent market information </w:t>
            </w:r>
            <w:r>
              <w:rPr>
                <w:rFonts w:ascii="Arial" w:cs="Arial" w:eastAsia="Arial" w:hAnsi="Arial"/>
                <w:sz w:val="15"/>
                <w:szCs w:val="15"/>
                <w:color w:val="auto"/>
                <w:vertAlign w:val="superscript"/>
              </w:rPr>
              <w:t>(5)</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8,903</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Expected Recovery </w:t>
            </w:r>
            <w:r>
              <w:rPr>
                <w:rFonts w:ascii="Arial" w:cs="Arial" w:eastAsia="Arial" w:hAnsi="Arial"/>
                <w:sz w:val="15"/>
                <w:szCs w:val="15"/>
                <w:color w:val="auto"/>
                <w:vertAlign w:val="superscript"/>
              </w:rPr>
              <w:t>(11)</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1,299</w:t>
            </w:r>
          </w:p>
        </w:tc>
        <w:tc>
          <w:tcPr>
            <w:tcW w:w="200" w:type="dxa"/>
            <w:vAlign w:val="bottom"/>
          </w:tcPr>
          <w:p>
            <w:pPr>
              <w:spacing w:after="0"/>
              <w:rPr>
                <w:sz w:val="14"/>
                <w:szCs w:val="14"/>
                <w:color w:val="auto"/>
              </w:rPr>
            </w:pPr>
          </w:p>
        </w:tc>
        <w:tc>
          <w:tcPr>
            <w:tcW w:w="2640" w:type="dxa"/>
            <w:vAlign w:val="bottom"/>
            <w:gridSpan w:val="2"/>
          </w:tcPr>
          <w:p>
            <w:pPr>
              <w:ind w:left="20"/>
              <w:spacing w:after="0" w:line="168" w:lineRule="exact"/>
              <w:rPr>
                <w:sz w:val="20"/>
                <w:szCs w:val="20"/>
                <w:color w:val="auto"/>
              </w:rPr>
            </w:pPr>
            <w:r>
              <w:rPr>
                <w:rFonts w:ascii="Arial" w:cs="Arial" w:eastAsia="Arial" w:hAnsi="Arial"/>
                <w:sz w:val="12"/>
                <w:szCs w:val="12"/>
                <w:color w:val="auto"/>
              </w:rPr>
              <w:t xml:space="preserve">Black Scholes </w:t>
            </w:r>
            <w:r>
              <w:rPr>
                <w:rFonts w:ascii="Arial" w:cs="Arial" w:eastAsia="Arial" w:hAnsi="Arial"/>
                <w:sz w:val="15"/>
                <w:szCs w:val="15"/>
                <w:color w:val="auto"/>
                <w:vertAlign w:val="superscript"/>
              </w:rPr>
              <w:t>(12)</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Quoted prices</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Not applicable</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Not applicable</w:t>
            </w: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Real estate-oriented: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206,181</w:t>
            </w:r>
          </w:p>
        </w:tc>
        <w:tc>
          <w:tcPr>
            <w:tcW w:w="200" w:type="dxa"/>
            <w:vAlign w:val="bottom"/>
          </w:tcPr>
          <w:p>
            <w:pPr>
              <w:spacing w:after="0"/>
              <w:rPr>
                <w:sz w:val="15"/>
                <w:szCs w:val="15"/>
                <w:color w:val="auto"/>
              </w:rPr>
            </w:pP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 xml:space="preserve">Discounted cash flow </w:t>
            </w:r>
            <w:r>
              <w:rPr>
                <w:rFonts w:ascii="Arial" w:cs="Arial" w:eastAsia="Arial" w:hAnsi="Arial"/>
                <w:sz w:val="15"/>
                <w:szCs w:val="15"/>
                <w:color w:val="auto"/>
                <w:vertAlign w:val="superscript"/>
              </w:rPr>
              <w:t>(6)</w:t>
            </w:r>
          </w:p>
        </w:tc>
        <w:tc>
          <w:tcPr>
            <w:tcW w:w="2640" w:type="dxa"/>
            <w:vAlign w:val="bottom"/>
            <w:gridSpan w:val="2"/>
          </w:tcPr>
          <w:p>
            <w:pPr>
              <w:ind w:left="20"/>
              <w:spacing w:after="0"/>
              <w:rPr>
                <w:sz w:val="20"/>
                <w:szCs w:val="20"/>
                <w:color w:val="auto"/>
              </w:rPr>
            </w:pPr>
            <w:r>
              <w:rPr>
                <w:rFonts w:ascii="Arial" w:cs="Arial" w:eastAsia="Arial" w:hAnsi="Arial"/>
                <w:sz w:val="12"/>
                <w:szCs w:val="12"/>
                <w:color w:val="auto"/>
              </w:rPr>
              <w:t>Discount rate</w:t>
            </w: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color w:val="auto"/>
              </w:rPr>
              <w:t>4% – 26%</w:t>
            </w:r>
          </w:p>
        </w:tc>
        <w:tc>
          <w:tcPr>
            <w:tcW w:w="1240" w:type="dxa"/>
            <w:vAlign w:val="bottom"/>
          </w:tcPr>
          <w:p>
            <w:pPr>
              <w:jc w:val="center"/>
              <w:spacing w:after="0"/>
              <w:rPr>
                <w:sz w:val="20"/>
                <w:szCs w:val="20"/>
                <w:color w:val="auto"/>
              </w:rPr>
            </w:pPr>
            <w:r>
              <w:rPr>
                <w:rFonts w:ascii="Arial" w:cs="Arial" w:eastAsia="Arial" w:hAnsi="Arial"/>
                <w:sz w:val="12"/>
                <w:szCs w:val="12"/>
                <w:color w:val="auto"/>
                <w:w w:val="99"/>
              </w:rPr>
              <w:t>15%</w:t>
            </w:r>
          </w:p>
        </w:tc>
        <w:tc>
          <w:tcPr>
            <w:tcW w:w="0" w:type="dxa"/>
            <w:vAlign w:val="bottom"/>
          </w:tcPr>
          <w:p>
            <w:pPr>
              <w:spacing w:after="0"/>
              <w:rPr>
                <w:sz w:val="1"/>
                <w:szCs w:val="1"/>
                <w:color w:val="auto"/>
              </w:rPr>
            </w:pPr>
          </w:p>
        </w:tc>
      </w:tr>
      <w:tr>
        <w:trPr>
          <w:trHeight w:val="96"/>
        </w:trPr>
        <w:tc>
          <w:tcPr>
            <w:tcW w:w="2040" w:type="dxa"/>
            <w:vAlign w:val="bottom"/>
            <w:gridSpan w:val="2"/>
          </w:tcPr>
          <w:p>
            <w:pPr>
              <w:ind w:left="20"/>
              <w:spacing w:after="0" w:line="96" w:lineRule="exact"/>
              <w:rPr>
                <w:sz w:val="20"/>
                <w:szCs w:val="20"/>
                <w:color w:val="auto"/>
              </w:rPr>
            </w:pPr>
            <w:r>
              <w:rPr>
                <w:rFonts w:ascii="Arial" w:cs="Arial" w:eastAsia="Arial" w:hAnsi="Arial"/>
                <w:sz w:val="11"/>
                <w:szCs w:val="11"/>
                <w:color w:val="auto"/>
              </w:rPr>
              <w:t>Total Level III</w:t>
            </w: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4,062,983</w:t>
            </w: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40" w:type="dxa"/>
            <w:vAlign w:val="bottom"/>
            <w:gridSpan w:val="2"/>
          </w:tcPr>
          <w:p>
            <w:pPr>
              <w:ind w:left="120"/>
              <w:spacing w:after="0"/>
              <w:rPr>
                <w:sz w:val="20"/>
                <w:szCs w:val="20"/>
                <w:color w:val="auto"/>
              </w:rPr>
            </w:pPr>
            <w:r>
              <w:rPr>
                <w:rFonts w:ascii="Arial" w:cs="Arial" w:eastAsia="Arial" w:hAnsi="Arial"/>
                <w:sz w:val="12"/>
                <w:szCs w:val="12"/>
                <w:color w:val="auto"/>
              </w:rPr>
              <w:t>investments</w:t>
            </w:r>
          </w:p>
        </w:tc>
        <w:tc>
          <w:tcPr>
            <w:tcW w:w="1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433705</wp:posOffset>
            </wp:positionV>
            <wp:extent cx="3848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0" w:right="140" w:hanging="378"/>
        <w:spacing w:after="0" w:line="254" w:lineRule="auto"/>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spacing w:after="0" w:line="1" w:lineRule="exact"/>
        <w:rPr>
          <w:rFonts w:ascii="Arial" w:cs="Arial" w:eastAsia="Arial" w:hAnsi="Arial"/>
          <w:sz w:val="13"/>
          <w:szCs w:val="13"/>
          <w:color w:val="auto"/>
        </w:rPr>
      </w:pPr>
    </w:p>
    <w:p>
      <w:pPr>
        <w:ind w:left="420" w:right="140" w:hanging="378"/>
        <w:spacing w:after="0" w:line="248" w:lineRule="auto"/>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ind w:left="320" w:hanging="278"/>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weighted average is based on the fair value of the investments included in the range.</w:t>
      </w:r>
    </w:p>
    <w:p>
      <w:pPr>
        <w:spacing w:after="0" w:line="5" w:lineRule="exact"/>
        <w:rPr>
          <w:rFonts w:ascii="Arial" w:cs="Arial" w:eastAsia="Arial" w:hAnsi="Arial"/>
          <w:sz w:val="13"/>
          <w:szCs w:val="13"/>
          <w:color w:val="auto"/>
        </w:rPr>
      </w:pPr>
    </w:p>
    <w:p>
      <w:pPr>
        <w:ind w:left="420" w:right="80" w:hanging="378"/>
        <w:spacing w:after="0" w:line="238" w:lineRule="auto"/>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jc w:val="right"/>
        <w:ind w:left="420" w:right="180" w:hanging="378"/>
        <w:spacing w:after="0" w:line="246" w:lineRule="auto"/>
        <w:tabs>
          <w:tab w:leader="none" w:pos="3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420" w:right="100" w:hanging="378"/>
        <w:spacing w:after="0" w:line="227" w:lineRule="auto"/>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340" w:hanging="298"/>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market approach is generally used to value distressed investments and investments in which the consolidated funds have a controlling interest in the underlying.</w:t>
      </w:r>
    </w:p>
    <w:p>
      <w:pPr>
        <w:spacing w:after="0" w:line="5" w:lineRule="exact"/>
        <w:rPr>
          <w:rFonts w:ascii="Arial" w:cs="Arial" w:eastAsia="Arial" w:hAnsi="Arial"/>
          <w:sz w:val="13"/>
          <w:szCs w:val="13"/>
          <w:color w:val="auto"/>
        </w:rPr>
      </w:pPr>
    </w:p>
    <w:p>
      <w:pPr>
        <w:ind w:left="420" w:right="180" w:hanging="378"/>
        <w:spacing w:after="0" w:line="248" w:lineRule="auto"/>
        <w:tabs>
          <w:tab w:leader="none" w:pos="334"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420" w:hanging="378"/>
        <w:spacing w:after="0" w:line="248" w:lineRule="auto"/>
        <w:tabs>
          <w:tab w:leader="none" w:pos="327"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ind w:left="420" w:right="120" w:hanging="378"/>
        <w:spacing w:after="0" w:line="254" w:lineRule="auto"/>
        <w:tabs>
          <w:tab w:leader="none" w:pos="406" w:val="left"/>
        </w:tabs>
        <w:numPr>
          <w:ilvl w:val="0"/>
          <w:numId w:val="11"/>
        </w:numPr>
        <w:rPr>
          <w:rFonts w:ascii="Arial" w:cs="Arial" w:eastAsia="Arial" w:hAnsi="Arial"/>
          <w:sz w:val="13"/>
          <w:szCs w:val="13"/>
          <w:color w:val="auto"/>
        </w:rPr>
      </w:pPr>
      <w:r>
        <w:rPr>
          <w:rFonts w:ascii="Arial" w:cs="Arial" w:eastAsia="Arial" w:hAnsi="Arial"/>
          <w:sz w:val="13"/>
          <w:szCs w:val="13"/>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57" w:lineRule="exact"/>
        <w:rPr>
          <w:sz w:val="20"/>
          <w:szCs w:val="20"/>
          <w:color w:val="auto"/>
        </w:rPr>
      </w:pPr>
    </w:p>
    <w:p>
      <w:pPr>
        <w:ind w:left="300" w:hanging="258"/>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Certain investments are valued based on expected recovery, generally representing the estimated value that can be recovered in the event of liquidation or winding down.</w:t>
      </w:r>
    </w:p>
    <w:p>
      <w:pPr>
        <w:spacing w:after="0" w:line="17" w:lineRule="exact"/>
        <w:rPr>
          <w:rFonts w:ascii="Arial" w:cs="Arial" w:eastAsia="Arial" w:hAnsi="Arial"/>
          <w:sz w:val="13"/>
          <w:szCs w:val="13"/>
          <w:color w:val="auto"/>
        </w:rPr>
      </w:pPr>
    </w:p>
    <w:p>
      <w:pPr>
        <w:ind w:left="420" w:right="20" w:hanging="378"/>
        <w:spacing w:after="0" w:line="252" w:lineRule="auto"/>
        <w:tabs>
          <w:tab w:leader="none" w:pos="298"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fair value of options/warrants is estimated using the Black-Scholes-Merton valuation model. The company uses the following methods to determine the underlying assumptions: expected volatilities are based on the historical and implied volatilities of comparable companies or the subject company if the subject company is publicly traded; expected term is based on the shorter of the expected hold period for the option or the contractual term; and the risk-free rate is based on the yields on U.S. Treasury bills or bonds issued with similar terms to the expected term of the option.</w:t>
      </w:r>
    </w:p>
    <w:p>
      <w:pPr>
        <w:spacing w:after="0" w:line="129" w:lineRule="exact"/>
        <w:rPr>
          <w:sz w:val="20"/>
          <w:szCs w:val="20"/>
          <w:color w:val="auto"/>
        </w:rPr>
      </w:pPr>
    </w:p>
    <w:p>
      <w:pPr>
        <w:ind w:right="260" w:firstLine="619"/>
        <w:spacing w:after="0" w:line="265" w:lineRule="auto"/>
        <w:rPr>
          <w:sz w:val="20"/>
          <w:szCs w:val="20"/>
          <w:color w:val="auto"/>
        </w:rPr>
      </w:pPr>
      <w:r>
        <w:rPr>
          <w:rFonts w:ascii="Arial" w:cs="Arial" w:eastAsia="Arial" w:hAnsi="Arial"/>
          <w:sz w:val="17"/>
          <w:szCs w:val="17"/>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nine months ended September 30, 2025, the valuation techniques for five credit-oriented investments were changed from market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approach (comparable companies) to discounted cash flow, four credit-oriented investments were changed from discounted cash flow to market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approach (comparable companies), three credit-oriented investments were changed from recent market information to discounted cash flow, 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credit-oriented investment was changed from discounted cash flow to expected recovery, one credit-oriented investment was changed from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expected recovery to discounted cash flow, one credit-oriented investment was changed from market approach (value of underlying assets) to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discounted cash flow and one equity investment was changed from market approach (value of underlying assets) to expected recovery. During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2024, the valuation techniques for four credit-oriented investments were changed from market approach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(comparable companies) to discounted cash flow, three credit-oriented investments were changed from discounted cash flow to market approach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(comparable companies) and one equity investment was changed from market approach (comparable companies) to recent market information.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DERIVATIVES AND HEDGING</w:t>
      </w:r>
    </w:p>
    <w:p>
      <w:pPr>
        <w:spacing w:after="0" w:line="168" w:lineRule="exact"/>
        <w:rPr>
          <w:sz w:val="20"/>
          <w:szCs w:val="20"/>
          <w:color w:val="auto"/>
        </w:rPr>
      </w:pPr>
    </w:p>
    <w:p>
      <w:pPr>
        <w:ind w:firstLine="619"/>
        <w:spacing w:after="0" w:line="276" w:lineRule="auto"/>
        <w:rPr>
          <w:sz w:val="20"/>
          <w:szCs w:val="20"/>
          <w:color w:val="auto"/>
        </w:rPr>
      </w:pPr>
      <w:r>
        <w:rPr>
          <w:rFonts w:ascii="Arial" w:cs="Arial" w:eastAsia="Arial" w:hAnsi="Arial"/>
          <w:sz w:val="17"/>
          <w:szCs w:val="17"/>
          <w:color w:val="auto"/>
        </w:rPr>
        <w:t>Realized and unrealized gains and losses arising from freestanding derivatives were recorded in the condensed consolidated statements of operations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 September 30,</w:t>
            </w:r>
          </w:p>
        </w:tc>
        <w:tc>
          <w:tcPr>
            <w:tcW w:w="260" w:type="dxa"/>
            <w:vAlign w:val="bottom"/>
          </w:tcPr>
          <w:p>
            <w:pPr>
              <w:spacing w:after="0"/>
              <w:rPr>
                <w:sz w:val="14"/>
                <w:szCs w:val="14"/>
                <w:color w:val="auto"/>
              </w:rPr>
            </w:pPr>
          </w:p>
        </w:tc>
        <w:tc>
          <w:tcPr>
            <w:tcW w:w="2500" w:type="dxa"/>
            <w:vAlign w:val="bottom"/>
            <w:gridSpan w:val="4"/>
          </w:tcPr>
          <w:p>
            <w:pPr>
              <w:jc w:val="right"/>
              <w:ind w:right="327"/>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381"/>
        </w:trPr>
        <w:tc>
          <w:tcPr>
            <w:tcW w:w="5340" w:type="dxa"/>
            <w:vAlign w:val="bottom"/>
          </w:tcPr>
          <w:p>
            <w:pPr>
              <w:spacing w:after="0"/>
              <w:rPr>
                <w:sz w:val="20"/>
                <w:szCs w:val="20"/>
                <w:color w:val="auto"/>
              </w:rPr>
            </w:pPr>
            <w:r>
              <w:rPr>
                <w:rFonts w:ascii="Arial" w:cs="Arial" w:eastAsia="Arial" w:hAnsi="Arial"/>
                <w:sz w:val="15"/>
                <w:szCs w:val="15"/>
                <w:color w:val="auto"/>
              </w:rPr>
              <w:t>Investment income</w:t>
            </w: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gridSpan w:val="2"/>
            <w:vMerge w:val="restart"/>
          </w:tcPr>
          <w:p>
            <w:pPr>
              <w:ind w:left="86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ind w:right="63"/>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tcPr>
          <w:p>
            <w:pPr>
              <w:ind w:left="840"/>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7"/>
              <w:spacing w:after="0"/>
              <w:rPr>
                <w:sz w:val="20"/>
                <w:szCs w:val="20"/>
                <w:color w:val="auto"/>
              </w:rPr>
            </w:pPr>
            <w:r>
              <w:rPr>
                <w:rFonts w:ascii="Arial" w:cs="Arial" w:eastAsia="Arial" w:hAnsi="Arial"/>
                <w:sz w:val="15"/>
                <w:szCs w:val="15"/>
                <w:color w:val="auto"/>
              </w:rPr>
              <w:t>8,634</w:t>
            </w:r>
          </w:p>
        </w:tc>
        <w:tc>
          <w:tcPr>
            <w:tcW w:w="0" w:type="dxa"/>
            <w:vAlign w:val="bottom"/>
          </w:tcPr>
          <w:p>
            <w:pPr>
              <w:spacing w:after="0"/>
              <w:rPr>
                <w:sz w:val="1"/>
                <w:szCs w:val="1"/>
                <w:color w:val="auto"/>
              </w:rPr>
            </w:pPr>
          </w:p>
        </w:tc>
      </w:tr>
      <w:tr>
        <w:trPr>
          <w:trHeight w:val="77"/>
        </w:trPr>
        <w:tc>
          <w:tcPr>
            <w:tcW w:w="53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0"/>
                <w:szCs w:val="20"/>
                <w:color w:val="auto"/>
              </w:rPr>
            </w:pPr>
            <w:r>
              <w:rPr>
                <w:rFonts w:ascii="Arial" w:cs="Arial" w:eastAsia="Arial" w:hAnsi="Arial"/>
                <w:sz w:val="15"/>
                <w:szCs w:val="15"/>
                <w:color w:val="auto"/>
              </w:rPr>
              <w:t xml:space="preserve">General and administrative expense </w:t>
            </w:r>
            <w:r>
              <w:rPr>
                <w:rFonts w:ascii="Arial" w:cs="Arial" w:eastAsia="Arial" w:hAnsi="Arial"/>
                <w:sz w:val="20"/>
                <w:szCs w:val="20"/>
                <w:color w:val="auto"/>
                <w:vertAlign w:val="superscript"/>
              </w:rPr>
              <w:t>(1)</w:t>
            </w:r>
          </w:p>
        </w:tc>
        <w:tc>
          <w:tcPr>
            <w:tcW w:w="220" w:type="dxa"/>
            <w:vAlign w:val="bottom"/>
          </w:tcPr>
          <w:p>
            <w:pPr>
              <w:spacing w:after="0"/>
              <w:rPr>
                <w:sz w:val="24"/>
                <w:szCs w:val="24"/>
                <w:color w:val="auto"/>
              </w:rPr>
            </w:pPr>
          </w:p>
        </w:tc>
        <w:tc>
          <w:tcPr>
            <w:tcW w:w="1080" w:type="dxa"/>
            <w:vAlign w:val="bottom"/>
            <w:vMerge w:val="restart"/>
          </w:tcPr>
          <w:p>
            <w:pPr>
              <w:ind w:left="860"/>
              <w:spacing w:after="0"/>
              <w:rPr>
                <w:sz w:val="20"/>
                <w:szCs w:val="20"/>
                <w:color w:val="auto"/>
              </w:rPr>
            </w:pPr>
            <w:r>
              <w:rPr>
                <w:rFonts w:ascii="Arial" w:cs="Arial" w:eastAsia="Arial" w:hAnsi="Arial"/>
                <w:sz w:val="15"/>
                <w:szCs w:val="15"/>
                <w:color w:val="auto"/>
              </w:rPr>
              <w:t>—</w:t>
            </w:r>
          </w:p>
        </w:tc>
        <w:tc>
          <w:tcPr>
            <w:tcW w:w="16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ind w:left="78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vMerge w:val="restart"/>
          </w:tcPr>
          <w:p>
            <w:pPr>
              <w:ind w:left="84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(8,188)</w:t>
            </w: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340" w:type="dxa"/>
            <w:vAlign w:val="bottom"/>
          </w:tcPr>
          <w:p>
            <w:pPr>
              <w:ind w:left="300"/>
              <w:spacing w:after="0"/>
              <w:rPr>
                <w:sz w:val="20"/>
                <w:szCs w:val="20"/>
                <w:color w:val="auto"/>
              </w:rPr>
            </w:pPr>
            <w:r>
              <w:rPr>
                <w:rFonts w:ascii="Arial" w:cs="Arial" w:eastAsia="Arial" w:hAnsi="Arial"/>
                <w:sz w:val="15"/>
                <w:szCs w:val="15"/>
                <w:color w:val="auto"/>
              </w:rPr>
              <w:t>Total gain</w:t>
            </w: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gridSpan w:val="2"/>
            <w:vMerge w:val="restart"/>
          </w:tcPr>
          <w:p>
            <w:pPr>
              <w:ind w:left="86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ind w:right="63"/>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tcPr>
          <w:p>
            <w:pPr>
              <w:ind w:left="840"/>
              <w:spacing w:after="0"/>
              <w:rPr>
                <w:sz w:val="20"/>
                <w:szCs w:val="20"/>
                <w:color w:val="auto"/>
              </w:rPr>
            </w:pPr>
            <w:r>
              <w:rPr>
                <w:rFonts w:ascii="Arial" w:cs="Arial" w:eastAsia="Arial" w:hAnsi="Arial"/>
                <w:sz w:val="15"/>
                <w:szCs w:val="15"/>
                <w:color w:val="auto"/>
              </w:rPr>
              <w:t>—</w:t>
            </w: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7"/>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52"/>
        </w:trPr>
        <w:tc>
          <w:tcPr>
            <w:tcW w:w="5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204470</wp:posOffset>
            </wp:positionV>
            <wp:extent cx="13836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80" w:lineRule="exact"/>
        <w:rPr>
          <w:sz w:val="20"/>
          <w:szCs w:val="20"/>
          <w:color w:val="auto"/>
        </w:rPr>
      </w:pPr>
    </w:p>
    <w:p>
      <w:pPr>
        <w:ind w:left="420" w:right="100" w:hanging="378"/>
        <w:spacing w:after="0" w:line="282" w:lineRule="auto"/>
        <w:tabs>
          <w:tab w:leader="none" w:pos="391"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 the extent that the Company’s freestanding derivatives are utilized to hedge its foreign-currency exposure to investment income earned from consolidated funds, the related hedged items are eliminated in consolidation, with the derivative impact (a positive number reflects a reduction in expenses) reflected in consolidated general and administrative expense.</w:t>
      </w:r>
    </w:p>
    <w:p>
      <w:pPr>
        <w:spacing w:after="0" w:line="148" w:lineRule="exact"/>
        <w:rPr>
          <w:sz w:val="20"/>
          <w:szCs w:val="20"/>
          <w:color w:val="auto"/>
        </w:rPr>
      </w:pPr>
    </w:p>
    <w:p>
      <w:pPr>
        <w:ind w:right="560" w:firstLine="619"/>
        <w:spacing w:after="0" w:line="290" w:lineRule="auto"/>
        <w:rPr>
          <w:sz w:val="20"/>
          <w:szCs w:val="20"/>
          <w:color w:val="auto"/>
        </w:rPr>
      </w:pPr>
      <w:r>
        <w:rPr>
          <w:rFonts w:ascii="Arial" w:cs="Arial" w:eastAsia="Arial" w:hAnsi="Arial"/>
          <w:sz w:val="17"/>
          <w:szCs w:val="17"/>
          <w:color w:val="auto"/>
        </w:rPr>
        <w:t>Subsequent to the 2024 Restructuring, with the deconsolidation of Oaktree Capital I, the Company no longer holds any freestanding derivatives.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 Held By Consolidated Funds</w:t>
      </w:r>
    </w:p>
    <w:p>
      <w:pPr>
        <w:spacing w:after="0" w:line="168"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fair value of derivatives held by the consolidated funds consisted of the following:</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1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2"/>
                <w:szCs w:val="12"/>
                <w:b w:val="1"/>
                <w:bCs w:val="1"/>
                <w:color w:val="auto"/>
              </w:rPr>
              <w:t>Assets</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840"/>
              <w:spacing w:after="0"/>
              <w:rPr>
                <w:sz w:val="20"/>
                <w:szCs w:val="20"/>
                <w:color w:val="auto"/>
              </w:rPr>
            </w:pPr>
            <w:r>
              <w:rPr>
                <w:rFonts w:ascii="Arial" w:cs="Arial" w:eastAsia="Arial" w:hAnsi="Arial"/>
                <w:sz w:val="12"/>
                <w:szCs w:val="12"/>
                <w:b w:val="1"/>
                <w:bCs w:val="1"/>
                <w:color w:val="auto"/>
              </w:rPr>
              <w:t>Liabilities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260" w:type="dxa"/>
            <w:vAlign w:val="bottom"/>
          </w:tcPr>
          <w:p>
            <w:pPr>
              <w:spacing w:after="0"/>
              <w:rPr>
                <w:sz w:val="14"/>
                <w:szCs w:val="14"/>
                <w:color w:val="auto"/>
              </w:rPr>
            </w:pPr>
          </w:p>
        </w:tc>
        <w:tc>
          <w:tcPr>
            <w:tcW w:w="1060" w:type="dxa"/>
            <w:vAlign w:val="bottom"/>
          </w:tcPr>
          <w:p>
            <w:pPr>
              <w:jc w:val="right"/>
              <w:ind w:right="305"/>
              <w:spacing w:after="0"/>
              <w:rPr>
                <w:sz w:val="20"/>
                <w:szCs w:val="20"/>
                <w:color w:val="auto"/>
              </w:rPr>
            </w:pPr>
            <w:r>
              <w:rPr>
                <w:rFonts w:ascii="Arial" w:cs="Arial" w:eastAsia="Arial" w:hAnsi="Arial"/>
                <w:sz w:val="12"/>
                <w:szCs w:val="12"/>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Notional</w:t>
            </w:r>
          </w:p>
        </w:tc>
        <w:tc>
          <w:tcPr>
            <w:tcW w:w="300" w:type="dxa"/>
            <w:vAlign w:val="bottom"/>
          </w:tcPr>
          <w:p>
            <w:pPr>
              <w:spacing w:after="0"/>
              <w:rPr>
                <w:sz w:val="14"/>
                <w:szCs w:val="14"/>
                <w:color w:val="auto"/>
              </w:rPr>
            </w:pPr>
          </w:p>
        </w:tc>
        <w:tc>
          <w:tcPr>
            <w:tcW w:w="1020" w:type="dxa"/>
            <w:vAlign w:val="bottom"/>
          </w:tcPr>
          <w:p>
            <w:pPr>
              <w:jc w:val="right"/>
              <w:ind w:right="305"/>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7"/>
        </w:trPr>
        <w:tc>
          <w:tcPr>
            <w:tcW w:w="534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As of September 30, 2025</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1,087,884</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26,724</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(227,938)</w:t>
            </w: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(70,705)</w:t>
            </w:r>
          </w:p>
        </w:tc>
        <w:tc>
          <w:tcPr>
            <w:tcW w:w="0" w:type="dxa"/>
            <w:vAlign w:val="bottom"/>
          </w:tcPr>
          <w:p>
            <w:pPr>
              <w:spacing w:after="0"/>
              <w:rPr>
                <w:sz w:val="1"/>
                <w:szCs w:val="1"/>
                <w:color w:val="auto"/>
              </w:rPr>
            </w:pPr>
          </w:p>
        </w:tc>
      </w:tr>
      <w:tr>
        <w:trPr>
          <w:trHeight w:val="206"/>
        </w:trPr>
        <w:tc>
          <w:tcPr>
            <w:tcW w:w="534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197,550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17,327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8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34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39,001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(17,239)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77"/>
        </w:trPr>
        <w:tc>
          <w:tcPr>
            <w:tcW w:w="534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1,324,435</w:t>
            </w:r>
          </w:p>
        </w:tc>
        <w:tc>
          <w:tcPr>
            <w:tcW w:w="100" w:type="dxa"/>
            <w:vAlign w:val="bottom"/>
          </w:tcPr>
          <w:p>
            <w:pPr>
              <w:spacing w:after="0"/>
              <w:rPr>
                <w:sz w:val="24"/>
                <w:szCs w:val="24"/>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44,051</w:t>
            </w:r>
          </w:p>
        </w:tc>
        <w:tc>
          <w:tcPr>
            <w:tcW w:w="100" w:type="dxa"/>
            <w:vAlign w:val="bottom"/>
          </w:tcPr>
          <w:p>
            <w:pPr>
              <w:spacing w:after="0"/>
              <w:rPr>
                <w:sz w:val="24"/>
                <w:szCs w:val="24"/>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(245,177)</w:t>
            </w:r>
          </w:p>
        </w:tc>
        <w:tc>
          <w:tcPr>
            <w:tcW w:w="100" w:type="dxa"/>
            <w:vAlign w:val="bottom"/>
          </w:tcPr>
          <w:p>
            <w:pPr>
              <w:spacing w:after="0"/>
              <w:rPr>
                <w:sz w:val="24"/>
                <w:szCs w:val="24"/>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(70,865)</w:t>
            </w:r>
          </w:p>
        </w:tc>
        <w:tc>
          <w:tcPr>
            <w:tcW w:w="0" w:type="dxa"/>
            <w:vAlign w:val="bottom"/>
          </w:tcPr>
          <w:p>
            <w:pPr>
              <w:spacing w:after="0"/>
              <w:rPr>
                <w:sz w:val="1"/>
                <w:szCs w:val="1"/>
                <w:color w:val="auto"/>
              </w:rPr>
            </w:pPr>
          </w:p>
        </w:tc>
      </w:tr>
      <w:tr>
        <w:trPr>
          <w:trHeight w:val="57"/>
        </w:trPr>
        <w:tc>
          <w:tcPr>
            <w:tcW w:w="16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8"/>
              </w:rPr>
              <w:t>As of December 31, 2024</w:t>
            </w:r>
          </w:p>
        </w:tc>
        <w:tc>
          <w:tcPr>
            <w:tcW w:w="36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1660" w:type="dxa"/>
            <w:vAlign w:val="bottom"/>
            <w:tcBorders>
              <w:bottom w:val="single" w:sz="8" w:color="auto"/>
            </w:tcBorders>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5"/>
                <w:szCs w:val="15"/>
                <w:color w:val="auto"/>
              </w:rPr>
              <w:t>Foreign-currency forward contracts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797,475</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17,578</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(81,625)</w:t>
            </w:r>
          </w:p>
        </w:tc>
        <w:tc>
          <w:tcPr>
            <w:tcW w:w="10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(8,513)</w:t>
            </w:r>
          </w:p>
        </w:tc>
        <w:tc>
          <w:tcPr>
            <w:tcW w:w="0" w:type="dxa"/>
            <w:vAlign w:val="bottom"/>
          </w:tcPr>
          <w:p>
            <w:pPr>
              <w:spacing w:after="0"/>
              <w:rPr>
                <w:sz w:val="1"/>
                <w:szCs w:val="1"/>
                <w:color w:val="auto"/>
              </w:rPr>
            </w:pPr>
          </w:p>
        </w:tc>
      </w:tr>
      <w:tr>
        <w:trPr>
          <w:trHeight w:val="206"/>
        </w:trPr>
        <w:tc>
          <w:tcPr>
            <w:tcW w:w="5340" w:type="dxa"/>
            <w:vAlign w:val="bottom"/>
            <w:gridSpan w:val="2"/>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15,207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(203,533)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6"/>
        </w:trPr>
        <w:tc>
          <w:tcPr>
            <w:tcW w:w="5340" w:type="dxa"/>
            <w:vAlign w:val="bottom"/>
            <w:gridSpan w:val="2"/>
          </w:tcPr>
          <w:p>
            <w:pPr>
              <w:spacing w:after="0"/>
              <w:rPr>
                <w:sz w:val="20"/>
                <w:szCs w:val="20"/>
                <w:color w:val="auto"/>
              </w:rPr>
            </w:pPr>
            <w:r>
              <w:rPr>
                <w:rFonts w:ascii="Arial" w:cs="Arial" w:eastAsia="Arial" w:hAnsi="Arial"/>
                <w:sz w:val="15"/>
                <w:szCs w:val="15"/>
                <w:color w:val="auto"/>
              </w:rPr>
              <w:t>Options and futures</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(13,435)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277"/>
        </w:trPr>
        <w:tc>
          <w:tcPr>
            <w:tcW w:w="5340" w:type="dxa"/>
            <w:vAlign w:val="bottom"/>
            <w:gridSpan w:val="2"/>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812,682</w:t>
            </w:r>
          </w:p>
        </w:tc>
        <w:tc>
          <w:tcPr>
            <w:tcW w:w="100" w:type="dxa"/>
            <w:vAlign w:val="bottom"/>
          </w:tcPr>
          <w:p>
            <w:pPr>
              <w:spacing w:after="0"/>
              <w:rPr>
                <w:sz w:val="24"/>
                <w:szCs w:val="24"/>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33,349</w:t>
            </w:r>
          </w:p>
        </w:tc>
        <w:tc>
          <w:tcPr>
            <w:tcW w:w="100" w:type="dxa"/>
            <w:vAlign w:val="bottom"/>
          </w:tcPr>
          <w:p>
            <w:pPr>
              <w:spacing w:after="0"/>
              <w:rPr>
                <w:sz w:val="24"/>
                <w:szCs w:val="24"/>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(298,593)</w:t>
            </w:r>
          </w:p>
        </w:tc>
        <w:tc>
          <w:tcPr>
            <w:tcW w:w="100" w:type="dxa"/>
            <w:vAlign w:val="bottom"/>
          </w:tcPr>
          <w:p>
            <w:pPr>
              <w:spacing w:after="0"/>
              <w:rPr>
                <w:sz w:val="24"/>
                <w:szCs w:val="24"/>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57"/>
        </w:trPr>
        <w:tc>
          <w:tcPr>
            <w:tcW w:w="16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impact of derivatives held by the consolidated funds in the condensed consolidated statements of operations was as follows: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2"/>
                <w:szCs w:val="12"/>
                <w:b w:val="1"/>
                <w:bCs w:val="1"/>
                <w:color w:val="auto"/>
              </w:rPr>
              <w:t>Three months ended September 30,</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2025</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w w:val="97"/>
              </w:rPr>
              <w:t>2024</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52"/>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jc w:val="center"/>
              <w:ind w:right="51"/>
              <w:spacing w:after="0" w:line="110" w:lineRule="exact"/>
              <w:rPr>
                <w:sz w:val="20"/>
                <w:szCs w:val="20"/>
                <w:color w:val="auto"/>
              </w:rPr>
            </w:pPr>
            <w:r>
              <w:rPr>
                <w:rFonts w:ascii="Arial" w:cs="Arial" w:eastAsia="Arial" w:hAnsi="Arial"/>
                <w:sz w:val="12"/>
                <w:szCs w:val="12"/>
                <w:b w:val="1"/>
                <w:bCs w:val="1"/>
                <w:color w:val="auto"/>
              </w:rPr>
              <w:t>Net Change in</w:t>
            </w:r>
          </w:p>
        </w:tc>
        <w:tc>
          <w:tcPr>
            <w:tcW w:w="0" w:type="dxa"/>
            <w:vAlign w:val="bottom"/>
          </w:tcPr>
          <w:p>
            <w:pPr>
              <w:spacing w:after="0"/>
              <w:rPr>
                <w:sz w:val="1"/>
                <w:szCs w:val="1"/>
                <w:color w:val="auto"/>
              </w:rPr>
            </w:pPr>
          </w:p>
        </w:tc>
      </w:tr>
      <w:tr>
        <w:trPr>
          <w:trHeight w:val="124"/>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8"/>
              </w:rPr>
              <w:t>Net Realized Gain</w:t>
            </w: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Net Realized Gain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1"/>
              <w:spacing w:after="0" w:line="124" w:lineRule="exact"/>
              <w:rPr>
                <w:sz w:val="20"/>
                <w:szCs w:val="20"/>
                <w:color w:val="auto"/>
              </w:rPr>
            </w:pPr>
            <w:r>
              <w:rPr>
                <w:rFonts w:ascii="Arial" w:cs="Arial" w:eastAsia="Arial" w:hAnsi="Arial"/>
                <w:sz w:val="12"/>
                <w:szCs w:val="12"/>
                <w:b w:val="1"/>
                <w:bCs w:val="1"/>
                <w:color w:val="auto"/>
              </w:rPr>
              <w:t>Unrealized</w:t>
            </w:r>
          </w:p>
        </w:tc>
        <w:tc>
          <w:tcPr>
            <w:tcW w:w="0" w:type="dxa"/>
            <w:vAlign w:val="bottom"/>
          </w:tcPr>
          <w:p>
            <w:pPr>
              <w:spacing w:after="0"/>
              <w:rPr>
                <w:sz w:val="1"/>
                <w:szCs w:val="1"/>
                <w:color w:val="auto"/>
              </w:rPr>
            </w:pPr>
          </w:p>
        </w:tc>
      </w:tr>
      <w:tr>
        <w:trPr>
          <w:trHeight w:val="121"/>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21" w:lineRule="exact"/>
              <w:rPr>
                <w:sz w:val="20"/>
                <w:szCs w:val="20"/>
                <w:color w:val="auto"/>
              </w:rPr>
            </w:pPr>
            <w:r>
              <w:rPr>
                <w:rFonts w:ascii="Arial" w:cs="Arial" w:eastAsia="Arial" w:hAnsi="Arial"/>
                <w:sz w:val="12"/>
                <w:szCs w:val="12"/>
                <w:b w:val="1"/>
                <w:bCs w:val="1"/>
                <w:color w:val="auto"/>
                <w:w w:val="98"/>
              </w:rPr>
              <w:t>Appreciation</w:t>
            </w: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1"/>
              <w:spacing w:after="0" w:line="121" w:lineRule="exact"/>
              <w:rPr>
                <w:sz w:val="20"/>
                <w:szCs w:val="20"/>
                <w:color w:val="auto"/>
              </w:rPr>
            </w:pPr>
            <w:r>
              <w:rPr>
                <w:rFonts w:ascii="Arial" w:cs="Arial" w:eastAsia="Arial" w:hAnsi="Arial"/>
                <w:sz w:val="12"/>
                <w:szCs w:val="12"/>
                <w:b w:val="1"/>
                <w:bCs w:val="1"/>
                <w:color w:val="auto"/>
              </w:rPr>
              <w:t>Appreciation</w:t>
            </w:r>
          </w:p>
        </w:tc>
        <w:tc>
          <w:tcPr>
            <w:tcW w:w="0" w:type="dxa"/>
            <w:vAlign w:val="bottom"/>
          </w:tcPr>
          <w:p>
            <w:pPr>
              <w:spacing w:after="0"/>
              <w:rPr>
                <w:sz w:val="1"/>
                <w:szCs w:val="1"/>
                <w:color w:val="auto"/>
              </w:rPr>
            </w:pPr>
          </w:p>
        </w:tc>
      </w:tr>
      <w:tr>
        <w:trPr>
          <w:trHeight w:val="116"/>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9"/>
              </w:rPr>
              <w:t>(Loss) on</w:t>
            </w: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rPr>
              <w:t>(Depreciation) on</w:t>
            </w:r>
          </w:p>
        </w:tc>
        <w:tc>
          <w:tcPr>
            <w:tcW w:w="120" w:type="dxa"/>
            <w:vAlign w:val="bottom"/>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(Loss) 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1"/>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343"/>
        </w:trPr>
        <w:tc>
          <w:tcPr>
            <w:tcW w:w="5500" w:type="dxa"/>
            <w:vAlign w:val="bottom"/>
          </w:tcPr>
          <w:p>
            <w:pPr>
              <w:spacing w:after="0"/>
              <w:rPr>
                <w:sz w:val="20"/>
                <w:szCs w:val="20"/>
                <w:color w:val="auto"/>
              </w:rPr>
            </w:pPr>
            <w:r>
              <w:rPr>
                <w:rFonts w:ascii="Arial" w:cs="Arial" w:eastAsia="Arial" w:hAnsi="Arial"/>
                <w:sz w:val="15"/>
                <w:szCs w:val="15"/>
                <w:color w:val="auto"/>
              </w:rPr>
              <w:t>Foreign-currency forward contracts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(1,309)</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11,447</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646</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(20,101)</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2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488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7,860</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5"/>
                <w:szCs w:val="15"/>
                <w:color w:val="auto"/>
              </w:rPr>
              <w:t>Options and futures</w:t>
            </w:r>
          </w:p>
        </w:tc>
        <w:tc>
          <w:tcPr>
            <w:tcW w:w="12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1,738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822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20"/>
                <w:szCs w:val="20"/>
                <w:color w:val="auto"/>
              </w:rPr>
            </w:pPr>
            <w:r>
              <w:rPr>
                <w:rFonts w:ascii="Arial" w:cs="Arial" w:eastAsia="Arial" w:hAnsi="Arial"/>
                <w:sz w:val="15"/>
                <w:szCs w:val="15"/>
                <w:color w:val="auto"/>
              </w:rPr>
              <w:t>Commodity swaps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1,389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923</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200"/>
        </w:trPr>
        <w:tc>
          <w:tcPr>
            <w:tcW w:w="5500" w:type="dxa"/>
            <w:vAlign w:val="bottom"/>
          </w:tcPr>
          <w:p>
            <w:pPr>
              <w:ind w:left="30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2,306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12,558</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2,391</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(12,458)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5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2"/>
                <w:szCs w:val="12"/>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2"/>
                <w:szCs w:val="12"/>
                <w:b w:val="1"/>
                <w:bCs w:val="1"/>
                <w:color w:val="auto"/>
              </w:rPr>
              <w:t>2025</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w w:val="97"/>
              </w:rPr>
              <w:t>2024</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52"/>
              <w:spacing w:after="0" w:line="110" w:lineRule="exact"/>
              <w:rPr>
                <w:sz w:val="20"/>
                <w:szCs w:val="20"/>
                <w:color w:val="auto"/>
              </w:rPr>
            </w:pPr>
            <w:r>
              <w:rPr>
                <w:rFonts w:ascii="Arial" w:cs="Arial" w:eastAsia="Arial" w:hAnsi="Arial"/>
                <w:sz w:val="12"/>
                <w:szCs w:val="12"/>
                <w:b w:val="1"/>
                <w:bCs w:val="1"/>
                <w:color w:val="auto"/>
                <w:w w:val="99"/>
              </w:rPr>
              <w:t>Net Change 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jc w:val="center"/>
              <w:ind w:right="51"/>
              <w:spacing w:after="0" w:line="110" w:lineRule="exact"/>
              <w:rPr>
                <w:sz w:val="20"/>
                <w:szCs w:val="20"/>
                <w:color w:val="auto"/>
              </w:rPr>
            </w:pPr>
            <w:r>
              <w:rPr>
                <w:rFonts w:ascii="Arial" w:cs="Arial" w:eastAsia="Arial" w:hAnsi="Arial"/>
                <w:sz w:val="12"/>
                <w:szCs w:val="12"/>
                <w:b w:val="1"/>
                <w:bCs w:val="1"/>
                <w:color w:val="auto"/>
              </w:rPr>
              <w:t>Net Change in</w:t>
            </w:r>
          </w:p>
        </w:tc>
        <w:tc>
          <w:tcPr>
            <w:tcW w:w="0" w:type="dxa"/>
            <w:vAlign w:val="bottom"/>
          </w:tcPr>
          <w:p>
            <w:pPr>
              <w:spacing w:after="0"/>
              <w:rPr>
                <w:sz w:val="1"/>
                <w:szCs w:val="1"/>
                <w:color w:val="auto"/>
              </w:rPr>
            </w:pPr>
          </w:p>
        </w:tc>
      </w:tr>
      <w:tr>
        <w:trPr>
          <w:trHeight w:val="124"/>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8"/>
              </w:rPr>
              <w:t>Net Realized Gain</w:t>
            </w: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w w:val="98"/>
              </w:rPr>
              <w:t>Unrealized</w:t>
            </w:r>
          </w:p>
        </w:tc>
        <w:tc>
          <w:tcPr>
            <w:tcW w:w="1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Net Realized Gain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1"/>
              <w:spacing w:after="0" w:line="124" w:lineRule="exact"/>
              <w:rPr>
                <w:sz w:val="20"/>
                <w:szCs w:val="20"/>
                <w:color w:val="auto"/>
              </w:rPr>
            </w:pPr>
            <w:r>
              <w:rPr>
                <w:rFonts w:ascii="Arial" w:cs="Arial" w:eastAsia="Arial" w:hAnsi="Arial"/>
                <w:sz w:val="12"/>
                <w:szCs w:val="12"/>
                <w:b w:val="1"/>
                <w:bCs w:val="1"/>
                <w:color w:val="auto"/>
              </w:rPr>
              <w:t>Unrealized</w:t>
            </w:r>
          </w:p>
        </w:tc>
        <w:tc>
          <w:tcPr>
            <w:tcW w:w="0" w:type="dxa"/>
            <w:vAlign w:val="bottom"/>
          </w:tcPr>
          <w:p>
            <w:pPr>
              <w:spacing w:after="0"/>
              <w:rPr>
                <w:sz w:val="1"/>
                <w:szCs w:val="1"/>
                <w:color w:val="auto"/>
              </w:rPr>
            </w:pPr>
          </w:p>
        </w:tc>
      </w:tr>
      <w:tr>
        <w:trPr>
          <w:trHeight w:val="121"/>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21" w:lineRule="exact"/>
              <w:rPr>
                <w:sz w:val="20"/>
                <w:szCs w:val="20"/>
                <w:color w:val="auto"/>
              </w:rPr>
            </w:pPr>
            <w:r>
              <w:rPr>
                <w:rFonts w:ascii="Arial" w:cs="Arial" w:eastAsia="Arial" w:hAnsi="Arial"/>
                <w:sz w:val="12"/>
                <w:szCs w:val="12"/>
                <w:b w:val="1"/>
                <w:bCs w:val="1"/>
                <w:color w:val="auto"/>
                <w:w w:val="98"/>
              </w:rPr>
              <w:t>Appreciation</w:t>
            </w: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1"/>
              <w:spacing w:after="0" w:line="121" w:lineRule="exact"/>
              <w:rPr>
                <w:sz w:val="20"/>
                <w:szCs w:val="20"/>
                <w:color w:val="auto"/>
              </w:rPr>
            </w:pPr>
            <w:r>
              <w:rPr>
                <w:rFonts w:ascii="Arial" w:cs="Arial" w:eastAsia="Arial" w:hAnsi="Arial"/>
                <w:sz w:val="12"/>
                <w:szCs w:val="12"/>
                <w:b w:val="1"/>
                <w:bCs w:val="1"/>
                <w:color w:val="auto"/>
              </w:rPr>
              <w:t>Appreciation</w:t>
            </w:r>
          </w:p>
        </w:tc>
        <w:tc>
          <w:tcPr>
            <w:tcW w:w="0" w:type="dxa"/>
            <w:vAlign w:val="bottom"/>
          </w:tcPr>
          <w:p>
            <w:pPr>
              <w:spacing w:after="0"/>
              <w:rPr>
                <w:sz w:val="1"/>
                <w:szCs w:val="1"/>
                <w:color w:val="auto"/>
              </w:rPr>
            </w:pPr>
          </w:p>
        </w:tc>
      </w:tr>
      <w:tr>
        <w:trPr>
          <w:trHeight w:val="116"/>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w w:val="99"/>
              </w:rPr>
              <w:t>(Loss) on</w:t>
            </w:r>
          </w:p>
        </w:tc>
        <w:tc>
          <w:tcPr>
            <w:tcW w:w="120" w:type="dxa"/>
            <w:vAlign w:val="bottom"/>
          </w:tcPr>
          <w:p>
            <w:pPr>
              <w:spacing w:after="0"/>
              <w:rPr>
                <w:sz w:val="10"/>
                <w:szCs w:val="10"/>
                <w:color w:val="auto"/>
              </w:rPr>
            </w:pPr>
          </w:p>
        </w:tc>
        <w:tc>
          <w:tcPr>
            <w:tcW w:w="1360" w:type="dxa"/>
            <w:vAlign w:val="bottom"/>
            <w:gridSpan w:val="2"/>
          </w:tcPr>
          <w:p>
            <w:pPr>
              <w:jc w:val="center"/>
              <w:ind w:right="320"/>
              <w:spacing w:after="0" w:line="116" w:lineRule="exact"/>
              <w:rPr>
                <w:sz w:val="20"/>
                <w:szCs w:val="20"/>
                <w:color w:val="auto"/>
              </w:rPr>
            </w:pPr>
            <w:r>
              <w:rPr>
                <w:rFonts w:ascii="Arial" w:cs="Arial" w:eastAsia="Arial" w:hAnsi="Arial"/>
                <w:sz w:val="12"/>
                <w:szCs w:val="12"/>
                <w:b w:val="1"/>
                <w:bCs w:val="1"/>
                <w:color w:val="auto"/>
              </w:rPr>
              <w:t>(Depreciation) on</w:t>
            </w:r>
          </w:p>
        </w:tc>
        <w:tc>
          <w:tcPr>
            <w:tcW w:w="120" w:type="dxa"/>
            <w:vAlign w:val="bottom"/>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(Loss) on</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1"/>
              <w:spacing w:after="0" w:line="116" w:lineRule="exact"/>
              <w:rPr>
                <w:sz w:val="20"/>
                <w:szCs w:val="20"/>
                <w:color w:val="auto"/>
              </w:rPr>
            </w:pPr>
            <w:r>
              <w:rPr>
                <w:rFonts w:ascii="Arial" w:cs="Arial" w:eastAsia="Arial" w:hAnsi="Arial"/>
                <w:sz w:val="12"/>
                <w:szCs w:val="12"/>
                <w:b w:val="1"/>
                <w:bCs w:val="1"/>
                <w:color w:val="auto"/>
                <w:w w:val="99"/>
              </w:rPr>
              <w:t>(Depreciation) on</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9"/>
              </w:rPr>
              <w:t>Investments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Investments</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9"/>
              </w:rPr>
              <w:t>Investments</w:t>
            </w:r>
          </w:p>
        </w:tc>
        <w:tc>
          <w:tcPr>
            <w:tcW w:w="0" w:type="dxa"/>
            <w:vAlign w:val="bottom"/>
          </w:tcPr>
          <w:p>
            <w:pPr>
              <w:spacing w:after="0"/>
              <w:rPr>
                <w:sz w:val="1"/>
                <w:szCs w:val="1"/>
                <w:color w:val="auto"/>
              </w:rPr>
            </w:pPr>
          </w:p>
        </w:tc>
      </w:tr>
      <w:tr>
        <w:trPr>
          <w:trHeight w:val="343"/>
        </w:trPr>
        <w:tc>
          <w:tcPr>
            <w:tcW w:w="5500" w:type="dxa"/>
            <w:vAlign w:val="bottom"/>
          </w:tcPr>
          <w:p>
            <w:pPr>
              <w:spacing w:after="0"/>
              <w:rPr>
                <w:sz w:val="20"/>
                <w:szCs w:val="20"/>
                <w:color w:val="auto"/>
              </w:rPr>
            </w:pPr>
            <w:r>
              <w:rPr>
                <w:rFonts w:ascii="Arial" w:cs="Arial" w:eastAsia="Arial" w:hAnsi="Arial"/>
                <w:sz w:val="15"/>
                <w:szCs w:val="15"/>
                <w:color w:val="auto"/>
              </w:rPr>
              <w:t>Foreign-currency forward contracts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3,043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(53,045)</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411</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(14,189)</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5"/>
                <w:szCs w:val="15"/>
                <w:color w:val="auto"/>
              </w:rPr>
              <w:t>Total-return and interest-rate and credit default swaps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11,448</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Arial" w:cs="Arial" w:eastAsia="Arial" w:hAnsi="Arial"/>
                <w:sz w:val="15"/>
                <w:szCs w:val="15"/>
                <w:color w:val="auto"/>
              </w:rPr>
              <w:t>Options and futures</w:t>
            </w:r>
          </w:p>
        </w:tc>
        <w:tc>
          <w:tcPr>
            <w:tcW w:w="12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1,836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584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207"/>
        </w:trPr>
        <w:tc>
          <w:tcPr>
            <w:tcW w:w="5500" w:type="dxa"/>
            <w:vAlign w:val="bottom"/>
          </w:tcPr>
          <w:p>
            <w:pPr>
              <w:spacing w:after="0"/>
              <w:rPr>
                <w:sz w:val="20"/>
                <w:szCs w:val="20"/>
                <w:color w:val="auto"/>
              </w:rPr>
            </w:pPr>
            <w:r>
              <w:rPr>
                <w:rFonts w:ascii="Arial" w:cs="Arial" w:eastAsia="Arial" w:hAnsi="Arial"/>
                <w:sz w:val="15"/>
                <w:szCs w:val="15"/>
                <w:color w:val="auto"/>
              </w:rPr>
              <w:t>Commodity swaps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1,389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8,151</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(8,658)</w:t>
            </w:r>
          </w:p>
        </w:tc>
        <w:tc>
          <w:tcPr>
            <w:tcW w:w="0" w:type="dxa"/>
            <w:vAlign w:val="bottom"/>
          </w:tcPr>
          <w:p>
            <w:pPr>
              <w:spacing w:after="0"/>
              <w:rPr>
                <w:sz w:val="1"/>
                <w:szCs w:val="1"/>
                <w:color w:val="auto"/>
              </w:rPr>
            </w:pPr>
          </w:p>
        </w:tc>
      </w:tr>
      <w:tr>
        <w:trPr>
          <w:trHeight w:val="200"/>
        </w:trPr>
        <w:tc>
          <w:tcPr>
            <w:tcW w:w="5500" w:type="dxa"/>
            <w:vAlign w:val="bottom"/>
          </w:tcPr>
          <w:p>
            <w:pPr>
              <w:ind w:left="300"/>
              <w:spacing w:after="0"/>
              <w:rPr>
                <w:sz w:val="20"/>
                <w:szCs w:val="20"/>
                <w:color w:val="auto"/>
              </w:rPr>
            </w:pPr>
            <w:r>
              <w:rPr>
                <w:rFonts w:ascii="Arial" w:cs="Arial" w:eastAsia="Arial" w:hAnsi="Arial"/>
                <w:sz w:val="15"/>
                <w:szCs w:val="15"/>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
              <w:spacing w:after="0"/>
              <w:rPr>
                <w:sz w:val="20"/>
                <w:szCs w:val="20"/>
                <w:color w:val="auto"/>
              </w:rPr>
            </w:pPr>
            <w:r>
              <w:rPr>
                <w:rFonts w:ascii="Arial" w:cs="Arial" w:eastAsia="Arial" w:hAnsi="Arial"/>
                <w:sz w:val="15"/>
                <w:szCs w:val="15"/>
                <w:color w:val="auto"/>
              </w:rPr>
              <w:t>6,129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(49,818)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9,146</w:t>
            </w:r>
          </w:p>
        </w:tc>
        <w:tc>
          <w:tcPr>
            <w:tcW w:w="3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(9,799)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Offsetting</w:t>
      </w:r>
    </w:p>
    <w:p>
      <w:pPr>
        <w:spacing w:after="0" w:line="167"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Company recognizes all derivatives as assets or liabilities at fair value in its condensed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condensed consolidated statements of financial condition even though they are eligible to be offset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 in thousands, except where noted)</w:t>
      </w:r>
    </w:p>
    <w:p>
      <w:pPr>
        <w:sectPr>
          <w:pgSz w:w="11900" w:h="16838" w:orient="portrait"/>
          <w:cols w:equalWidth="0" w:num="1">
            <w:col w:w="11220"/>
          </w:cols>
          <w:pgMar w:left="340" w:top="3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As of September 30, 2025</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Assets: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Derivative assets of consolidated funds: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Foreign-currency forward contracts</w:t>
      </w:r>
    </w:p>
    <w:p>
      <w:pPr>
        <w:spacing w:after="0" w:line="21" w:lineRule="exact"/>
        <w:rPr>
          <w:sz w:val="20"/>
          <w:szCs w:val="20"/>
          <w:color w:val="auto"/>
        </w:rPr>
      </w:pPr>
    </w:p>
    <w:p>
      <w:pPr>
        <w:ind w:right="1320"/>
        <w:spacing w:after="0" w:line="350" w:lineRule="auto"/>
        <w:rPr>
          <w:sz w:val="20"/>
          <w:szCs w:val="20"/>
          <w:color w:val="auto"/>
        </w:rPr>
      </w:pPr>
      <w:r>
        <w:rPr>
          <w:rFonts w:ascii="Arial" w:cs="Arial" w:eastAsia="Arial" w:hAnsi="Arial"/>
          <w:sz w:val="15"/>
          <w:szCs w:val="15"/>
          <w:color w:val="auto"/>
        </w:rPr>
        <w:t>Total-return and interest-rate and credit default swaps Total</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Liabilities: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Foreign-currency forward contracts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Options and futures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As of December 31, 2024</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Assets: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Derivative assets of consolidated funds: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Foreign-currency forward contracts</w:t>
      </w:r>
    </w:p>
    <w:p>
      <w:pPr>
        <w:spacing w:after="0" w:line="21" w:lineRule="exact"/>
        <w:rPr>
          <w:sz w:val="20"/>
          <w:szCs w:val="20"/>
          <w:color w:val="auto"/>
        </w:rPr>
      </w:pPr>
    </w:p>
    <w:p>
      <w:pPr>
        <w:ind w:right="1320"/>
        <w:spacing w:after="0" w:line="350" w:lineRule="auto"/>
        <w:rPr>
          <w:sz w:val="20"/>
          <w:szCs w:val="20"/>
          <w:color w:val="auto"/>
        </w:rPr>
      </w:pPr>
      <w:r>
        <w:rPr>
          <w:rFonts w:ascii="Arial" w:cs="Arial" w:eastAsia="Arial" w:hAnsi="Arial"/>
          <w:sz w:val="15"/>
          <w:szCs w:val="15"/>
          <w:color w:val="auto"/>
        </w:rPr>
        <w:t>Total-return and interest-rate and credit default swaps Total</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Liabilities: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Derivative liabilities of consolidated funds: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Foreign-currency forward contracts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Total-return and interest-rate and credit default swaps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Options and futures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Gross Amounts Not Offset in Statements of</w:t>
      </w:r>
    </w:p>
    <w:p>
      <w:pPr>
        <w:jc w:val="center"/>
        <w:ind w:right="-99"/>
        <w:spacing w:after="0"/>
        <w:rPr>
          <w:sz w:val="20"/>
          <w:szCs w:val="20"/>
          <w:color w:val="auto"/>
        </w:rPr>
      </w:pPr>
      <w:r>
        <w:rPr>
          <w:rFonts w:ascii="Arial" w:cs="Arial" w:eastAsia="Arial" w:hAnsi="Arial"/>
          <w:sz w:val="12"/>
          <w:szCs w:val="12"/>
          <w:b w:val="1"/>
          <w:bCs w:val="1"/>
          <w:color w:val="auto"/>
        </w:rPr>
        <w:t>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22225</wp:posOffset>
            </wp:positionV>
            <wp:extent cx="17189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8945" cy="8255"/>
                    </a:xfrm>
                    <a:prstGeom prst="rect">
                      <a:avLst/>
                    </a:prstGeom>
                    <a:noFill/>
                  </pic:spPr>
                </pic:pic>
              </a:graphicData>
            </a:graphic>
          </wp:anchor>
        </w:drawing>
      </w:r>
    </w:p>
    <w:p>
      <w:pPr>
        <w:spacing w:after="0" w:line="32"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14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Gross Amounts of</w:t>
            </w: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Derivative Assets</w:t>
            </w: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Cash Collateral</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6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46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7"/>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Presented</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(Liabilities)</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Received (Pledged)</w:t>
            </w:r>
          </w:p>
        </w:tc>
        <w:tc>
          <w:tcPr>
            <w:tcW w:w="2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26,724</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26,724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17,327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17,327</w:t>
            </w:r>
          </w:p>
        </w:tc>
        <w:tc>
          <w:tcPr>
            <w:tcW w:w="0" w:type="dxa"/>
            <w:vAlign w:val="bottom"/>
          </w:tcPr>
          <w:p>
            <w:pPr>
              <w:spacing w:after="0"/>
              <w:rPr>
                <w:sz w:val="1"/>
                <w:szCs w:val="1"/>
                <w:color w:val="auto"/>
              </w:rPr>
            </w:pPr>
          </w:p>
        </w:tc>
      </w:tr>
      <w:tr>
        <w:trPr>
          <w:trHeight w:val="188"/>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44,051</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44,051</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(70,705)</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(70,705)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188"/>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(70,865)</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(70,865)</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ind w:left="20"/>
              <w:spacing w:after="0"/>
              <w:rPr>
                <w:sz w:val="20"/>
                <w:szCs w:val="20"/>
                <w:color w:val="auto"/>
              </w:rPr>
            </w:pPr>
            <w:r>
              <w:rPr>
                <w:rFonts w:ascii="Arial" w:cs="Arial" w:eastAsia="Arial" w:hAnsi="Arial"/>
                <w:sz w:val="12"/>
                <w:szCs w:val="12"/>
                <w:b w:val="1"/>
                <w:bCs w:val="1"/>
                <w:color w:val="auto"/>
              </w:rPr>
              <w:t>Gross Amounts Not Offset in Statements of</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700"/>
              <w:spacing w:after="0"/>
              <w:rPr>
                <w:sz w:val="20"/>
                <w:szCs w:val="20"/>
                <w:color w:val="auto"/>
              </w:rPr>
            </w:pPr>
            <w:r>
              <w:rPr>
                <w:rFonts w:ascii="Arial" w:cs="Arial" w:eastAsia="Arial" w:hAnsi="Arial"/>
                <w:sz w:val="12"/>
                <w:szCs w:val="12"/>
                <w:b w:val="1"/>
                <w:bCs w:val="1"/>
                <w:color w:val="auto"/>
              </w:rPr>
              <w:t>Financial Condition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Gross Amounts of</w:t>
            </w:r>
          </w:p>
        </w:tc>
        <w:tc>
          <w:tcPr>
            <w:tcW w:w="10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Derivative Assets</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Cash Collateral</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60" w:type="dxa"/>
            <w:vAlign w:val="bottom"/>
            <w:gridSpan w:val="3"/>
          </w:tcPr>
          <w:p>
            <w:pPr>
              <w:jc w:val="center"/>
              <w:ind w:right="200"/>
              <w:spacing w:after="0" w:line="116" w:lineRule="exact"/>
              <w:rPr>
                <w:sz w:val="20"/>
                <w:szCs w:val="20"/>
                <w:color w:val="auto"/>
              </w:rPr>
            </w:pPr>
            <w:r>
              <w:rPr>
                <w:rFonts w:ascii="Arial" w:cs="Arial" w:eastAsia="Arial" w:hAnsi="Arial"/>
                <w:sz w:val="12"/>
                <w:szCs w:val="12"/>
                <w:b w:val="1"/>
                <w:bCs w:val="1"/>
                <w:color w:val="auto"/>
                <w:w w:val="99"/>
              </w:rPr>
              <w:t>Assets (Liabilities)</w:t>
            </w: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77"/>
        </w:trPr>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9"/>
              <w:spacing w:after="0"/>
              <w:rPr>
                <w:sz w:val="20"/>
                <w:szCs w:val="20"/>
                <w:color w:val="auto"/>
              </w:rPr>
            </w:pPr>
            <w:r>
              <w:rPr>
                <w:rFonts w:ascii="Arial" w:cs="Arial" w:eastAsia="Arial" w:hAnsi="Arial"/>
                <w:sz w:val="12"/>
                <w:szCs w:val="12"/>
                <w:b w:val="1"/>
                <w:bCs w:val="1"/>
                <w:color w:val="auto"/>
                <w:w w:val="99"/>
              </w:rPr>
              <w:t>Presented</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(Liabilities)</w:t>
            </w:r>
          </w:p>
        </w:tc>
        <w:tc>
          <w:tcPr>
            <w:tcW w:w="2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Received (Pledged)</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8"/>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17,578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17,578</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15,771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15,771</w:t>
            </w:r>
          </w:p>
        </w:tc>
        <w:tc>
          <w:tcPr>
            <w:tcW w:w="0" w:type="dxa"/>
            <w:vAlign w:val="bottom"/>
          </w:tcPr>
          <w:p>
            <w:pPr>
              <w:spacing w:after="0"/>
              <w:rPr>
                <w:sz w:val="1"/>
                <w:szCs w:val="1"/>
                <w:color w:val="auto"/>
              </w:rPr>
            </w:pPr>
          </w:p>
        </w:tc>
      </w:tr>
      <w:tr>
        <w:trPr>
          <w:trHeight w:val="188"/>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rPr>
              <w:t>33,349</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33,349</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(8,513)</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(8,513)</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(4,853)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(4,853)</w:t>
            </w:r>
          </w:p>
        </w:tc>
        <w:tc>
          <w:tcPr>
            <w:tcW w:w="0" w:type="dxa"/>
            <w:vAlign w:val="bottom"/>
          </w:tcPr>
          <w:p>
            <w:pPr>
              <w:spacing w:after="0"/>
              <w:rPr>
                <w:sz w:val="1"/>
                <w:szCs w:val="1"/>
                <w:color w:val="auto"/>
              </w:rPr>
            </w:pPr>
          </w:p>
        </w:tc>
      </w:tr>
      <w:tr>
        <w:trPr>
          <w:trHeight w:val="188"/>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(13,385)</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70485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4780" w:space="720"/>
            <w:col w:w="5720"/>
          </w:cols>
          <w:pgMar w:left="340" w:top="353"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360" w:lineRule="exact"/>
        <w:rPr>
          <w:sz w:val="20"/>
          <w:szCs w:val="20"/>
          <w:color w:val="auto"/>
        </w:rPr>
      </w:pPr>
    </w:p>
    <w:p>
      <w:pPr>
        <w:ind w:right="7260" w:firstLine="3"/>
        <w:spacing w:after="0" w:line="436" w:lineRule="auto"/>
        <w:tabs>
          <w:tab w:leader="none" w:pos="191"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DEBT OBLIGATIONS AND CREDIT FACILITIES Debt Obligations of the Consolidated Funds</w:t>
      </w:r>
    </w:p>
    <w:p>
      <w:pPr>
        <w:spacing w:after="0" w:line="1" w:lineRule="exact"/>
        <w:rPr>
          <w:sz w:val="20"/>
          <w:szCs w:val="20"/>
          <w:color w:val="auto"/>
        </w:rPr>
      </w:pPr>
    </w:p>
    <w:p>
      <w:pPr>
        <w:jc w:val="both"/>
        <w:ind w:right="220" w:firstLine="619"/>
        <w:spacing w:after="0" w:line="271" w:lineRule="auto"/>
        <w:rPr>
          <w:sz w:val="20"/>
          <w:szCs w:val="20"/>
          <w:color w:val="auto"/>
        </w:rPr>
      </w:pPr>
      <w:r>
        <w:rPr>
          <w:rFonts w:ascii="Arial" w:cs="Arial" w:eastAsia="Arial" w:hAnsi="Arial"/>
          <w:sz w:val="17"/>
          <w:szCs w:val="17"/>
          <w:color w:val="auto"/>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funds had the following debt obligations outstanding: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1"/>
                <w:szCs w:val="11"/>
                <w:b w:val="1"/>
                <w:bCs w:val="1"/>
                <w:color w:val="auto"/>
              </w:rPr>
              <w:t>Outstanding Amount as of</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6"/>
          </w:tcPr>
          <w:p>
            <w:pPr>
              <w:ind w:left="740"/>
              <w:spacing w:after="0"/>
              <w:rPr>
                <w:sz w:val="20"/>
                <w:szCs w:val="20"/>
                <w:color w:val="auto"/>
              </w:rPr>
            </w:pPr>
            <w:r>
              <w:rPr>
                <w:rFonts w:ascii="Arial" w:cs="Arial" w:eastAsia="Arial" w:hAnsi="Arial"/>
                <w:sz w:val="11"/>
                <w:szCs w:val="11"/>
                <w:b w:val="1"/>
                <w:bCs w:val="1"/>
                <w:color w:val="auto"/>
              </w:rPr>
              <w:t>Key terms as of September 30, 2025</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Effective Interest</w:t>
            </w:r>
          </w:p>
        </w:tc>
        <w:tc>
          <w:tcPr>
            <w:tcW w:w="11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Weighted Average</w:t>
            </w: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Commitment Fee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1"/>
                <w:szCs w:val="11"/>
                <w:b w:val="1"/>
                <w:bCs w:val="1"/>
                <w:color w:val="auto"/>
                <w:w w:val="99"/>
              </w:rPr>
              <w:t>Credit Agreement</w:t>
            </w:r>
          </w:p>
        </w:tc>
        <w:tc>
          <w:tcPr>
            <w:tcW w:w="1960" w:type="dxa"/>
            <w:vAlign w:val="bottom"/>
            <w:vMerge w:val="restart"/>
          </w:tcPr>
          <w:p>
            <w:pPr>
              <w:spacing w:after="0"/>
              <w:rPr>
                <w:sz w:val="9"/>
                <w:szCs w:val="9"/>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September 30, 2025</w:t>
            </w:r>
          </w:p>
        </w:tc>
        <w:tc>
          <w:tcPr>
            <w:tcW w:w="1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December 31, 2024</w:t>
            </w:r>
          </w:p>
        </w:tc>
        <w:tc>
          <w:tcPr>
            <w:tcW w:w="140" w:type="dxa"/>
            <w:vAlign w:val="bottom"/>
          </w:tcPr>
          <w:p>
            <w:pPr>
              <w:spacing w:after="0"/>
              <w:rPr>
                <w:sz w:val="9"/>
                <w:szCs w:val="9"/>
                <w:color w:val="auto"/>
              </w:rPr>
            </w:pPr>
          </w:p>
        </w:tc>
        <w:tc>
          <w:tcPr>
            <w:tcW w:w="120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Facility Capacity</w:t>
            </w:r>
          </w:p>
        </w:tc>
        <w:tc>
          <w:tcPr>
            <w:tcW w:w="1140" w:type="dxa"/>
            <w:vAlign w:val="bottom"/>
            <w:gridSpan w:val="2"/>
            <w:vMerge w:val="continue"/>
          </w:tcPr>
          <w:p>
            <w:pPr>
              <w:spacing w:after="0"/>
              <w:rPr>
                <w:sz w:val="9"/>
                <w:szCs w:val="9"/>
                <w:color w:val="auto"/>
              </w:rPr>
            </w:pPr>
          </w:p>
        </w:tc>
        <w:tc>
          <w:tcPr>
            <w:tcW w:w="1180" w:type="dxa"/>
            <w:vAlign w:val="bottom"/>
            <w:gridSpan w:val="2"/>
          </w:tcPr>
          <w:p>
            <w:pPr>
              <w:jc w:val="center"/>
              <w:ind w:right="140"/>
              <w:spacing w:after="0" w:line="111" w:lineRule="exact"/>
              <w:rPr>
                <w:sz w:val="20"/>
                <w:szCs w:val="20"/>
                <w:color w:val="auto"/>
              </w:rPr>
            </w:pPr>
            <w:r>
              <w:rPr>
                <w:rFonts w:ascii="Arial" w:cs="Arial" w:eastAsia="Arial" w:hAnsi="Arial"/>
                <w:sz w:val="11"/>
                <w:szCs w:val="11"/>
                <w:b w:val="1"/>
                <w:bCs w:val="1"/>
                <w:color w:val="auto"/>
                <w:w w:val="99"/>
              </w:rPr>
              <w:t>Remaining</w:t>
            </w:r>
          </w:p>
        </w:tc>
        <w:tc>
          <w:tcPr>
            <w:tcW w:w="1240" w:type="dxa"/>
            <w:vAlign w:val="bottom"/>
            <w:gridSpan w:val="2"/>
            <w:vMerge w:val="continue"/>
          </w:tcPr>
          <w:p>
            <w:pPr>
              <w:spacing w:after="0"/>
              <w:rPr>
                <w:sz w:val="9"/>
                <w:szCs w:val="9"/>
                <w:color w:val="auto"/>
              </w:rPr>
            </w:pPr>
          </w:p>
        </w:tc>
        <w:tc>
          <w:tcPr>
            <w:tcW w:w="10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L/C Fee</w:t>
            </w: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40" w:type="dxa"/>
            <w:vAlign w:val="bottom"/>
            <w:gridSpan w:val="2"/>
          </w:tcPr>
          <w:p>
            <w:pPr>
              <w:jc w:val="center"/>
              <w:ind w:right="140"/>
              <w:spacing w:after="0" w:line="96" w:lineRule="exact"/>
              <w:rPr>
                <w:sz w:val="20"/>
                <w:szCs w:val="20"/>
                <w:color w:val="auto"/>
              </w:rPr>
            </w:pPr>
            <w:r>
              <w:rPr>
                <w:rFonts w:ascii="Arial" w:cs="Arial" w:eastAsia="Arial" w:hAnsi="Arial"/>
                <w:sz w:val="11"/>
                <w:szCs w:val="11"/>
                <w:b w:val="1"/>
                <w:bCs w:val="1"/>
                <w:color w:val="auto"/>
              </w:rPr>
              <w:t>Rate</w:t>
            </w:r>
          </w:p>
        </w:tc>
        <w:tc>
          <w:tcPr>
            <w:tcW w:w="1180" w:type="dxa"/>
            <w:vAlign w:val="bottom"/>
            <w:gridSpan w:val="2"/>
          </w:tcPr>
          <w:p>
            <w:pPr>
              <w:jc w:val="center"/>
              <w:ind w:right="140"/>
              <w:spacing w:after="0" w:line="96" w:lineRule="exact"/>
              <w:rPr>
                <w:sz w:val="20"/>
                <w:szCs w:val="20"/>
                <w:color w:val="auto"/>
              </w:rPr>
            </w:pPr>
            <w:r>
              <w:rPr>
                <w:rFonts w:ascii="Arial" w:cs="Arial" w:eastAsia="Arial" w:hAnsi="Arial"/>
                <w:sz w:val="11"/>
                <w:szCs w:val="11"/>
                <w:b w:val="1"/>
                <w:bCs w:val="1"/>
                <w:color w:val="auto"/>
              </w:rPr>
              <w:t>Maturity (years)</w:t>
            </w:r>
          </w:p>
        </w:tc>
        <w:tc>
          <w:tcPr>
            <w:tcW w:w="1240" w:type="dxa"/>
            <w:vAlign w:val="bottom"/>
            <w:gridSpan w:val="2"/>
          </w:tcPr>
          <w:p>
            <w:pPr>
              <w:jc w:val="center"/>
              <w:ind w:right="160"/>
              <w:spacing w:after="0" w:line="96" w:lineRule="exact"/>
              <w:rPr>
                <w:sz w:val="20"/>
                <w:szCs w:val="20"/>
                <w:color w:val="auto"/>
              </w:rPr>
            </w:pPr>
            <w:r>
              <w:rPr>
                <w:rFonts w:ascii="Arial" w:cs="Arial" w:eastAsia="Arial" w:hAnsi="Arial"/>
                <w:sz w:val="11"/>
                <w:szCs w:val="11"/>
                <w:b w:val="1"/>
                <w:bCs w:val="1"/>
                <w:color w:val="auto"/>
              </w:rPr>
              <w:t>Rate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ind w:left="20"/>
              <w:spacing w:after="0"/>
              <w:rPr>
                <w:sz w:val="20"/>
                <w:szCs w:val="20"/>
                <w:color w:val="auto"/>
              </w:rPr>
            </w:pPr>
            <w:r>
              <w:rPr>
                <w:rFonts w:ascii="Arial" w:cs="Arial" w:eastAsia="Arial" w:hAnsi="Arial"/>
                <w:sz w:val="14"/>
                <w:szCs w:val="14"/>
                <w:color w:val="auto"/>
              </w:rPr>
              <w:t xml:space="preserve">Revolving credit facilities </w:t>
            </w:r>
            <w:r>
              <w:rPr>
                <w:rFonts w:ascii="Arial" w:cs="Arial" w:eastAsia="Arial" w:hAnsi="Arial"/>
                <w:sz w:val="17"/>
                <w:szCs w:val="17"/>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gridSpan w:val="3"/>
            <w:vMerge w:val="continue"/>
          </w:tcPr>
          <w:p>
            <w:pPr>
              <w:spacing w:after="0"/>
              <w:rPr>
                <w:sz w:val="16"/>
                <w:szCs w:val="16"/>
                <w:color w:val="auto"/>
              </w:rPr>
            </w:pPr>
          </w:p>
        </w:tc>
        <w:tc>
          <w:tcPr>
            <w:tcW w:w="26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1,170,611</w:t>
            </w:r>
          </w:p>
        </w:tc>
        <w:tc>
          <w:tcPr>
            <w:tcW w:w="16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1,472,795</w:t>
            </w:r>
          </w:p>
        </w:tc>
        <w:tc>
          <w:tcPr>
            <w:tcW w:w="380" w:type="dxa"/>
            <w:vAlign w:val="bottom"/>
            <w:gridSpan w:val="2"/>
          </w:tcPr>
          <w:p>
            <w:pPr>
              <w:jc w:val="right"/>
              <w:ind w:right="84"/>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1,784,352</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5.92%</w:t>
            </w: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0.76</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6"/>
                <w:szCs w:val="16"/>
                <w:color w:val="auto"/>
              </w:rPr>
            </w:pPr>
          </w:p>
        </w:tc>
        <w:tc>
          <w:tcPr>
            <w:tcW w:w="1020" w:type="dxa"/>
            <w:vAlign w:val="bottom"/>
          </w:tcPr>
          <w:p>
            <w:pPr>
              <w:ind w:left="32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4"/>
        </w:trPr>
        <w:tc>
          <w:tcPr>
            <w:tcW w:w="2920" w:type="dxa"/>
            <w:vAlign w:val="bottom"/>
            <w:gridSpan w:val="3"/>
          </w:tcPr>
          <w:p>
            <w:pPr>
              <w:ind w:left="20"/>
              <w:spacing w:after="0"/>
              <w:rPr>
                <w:sz w:val="20"/>
                <w:szCs w:val="20"/>
                <w:color w:val="auto"/>
              </w:rPr>
            </w:pPr>
            <w:r>
              <w:rPr>
                <w:rFonts w:ascii="Arial" w:cs="Arial" w:eastAsia="Arial" w:hAnsi="Arial"/>
                <w:sz w:val="14"/>
                <w:szCs w:val="14"/>
                <w:color w:val="auto"/>
              </w:rPr>
              <w:t>Less: Debt issuance costs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(4,029)</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gridSpan w:val="3"/>
          </w:tcPr>
          <w:p>
            <w:pPr>
              <w:ind w:left="20"/>
              <w:spacing w:after="0" w:line="190" w:lineRule="exact"/>
              <w:rPr>
                <w:sz w:val="20"/>
                <w:szCs w:val="20"/>
                <w:color w:val="auto"/>
              </w:rPr>
            </w:pPr>
            <w:r>
              <w:rPr>
                <w:rFonts w:ascii="Arial" w:cs="Arial" w:eastAsia="Arial" w:hAnsi="Arial"/>
                <w:sz w:val="14"/>
                <w:szCs w:val="14"/>
                <w:color w:val="auto"/>
              </w:rPr>
              <w:t xml:space="preserve">Total debt obligations, net </w:t>
            </w:r>
            <w:r>
              <w:rPr>
                <w:rFonts w:ascii="Arial" w:cs="Arial" w:eastAsia="Arial" w:hAnsi="Arial"/>
                <w:sz w:val="17"/>
                <w:szCs w:val="17"/>
                <w:color w:val="auto"/>
                <w:vertAlign w:val="superscript"/>
              </w:rPr>
              <w:t>(2)</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1,166,582</w:t>
            </w:r>
          </w:p>
        </w:tc>
        <w:tc>
          <w:tcPr>
            <w:tcW w:w="160" w:type="dxa"/>
            <w:vAlign w:val="bottom"/>
          </w:tcPr>
          <w:p>
            <w:pPr>
              <w:spacing w:after="0"/>
              <w:rPr>
                <w:sz w:val="16"/>
                <w:szCs w:val="16"/>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1,470,110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credit facility capacity is calculated on a pro rata basis using fund commitments as of September 30, 2025.</w:t>
      </w:r>
    </w:p>
    <w:p>
      <w:pPr>
        <w:spacing w:after="0" w:line="45" w:lineRule="exact"/>
        <w:rPr>
          <w:rFonts w:ascii="Arial" w:cs="Arial" w:eastAsia="Arial" w:hAnsi="Arial"/>
          <w:sz w:val="14"/>
          <w:szCs w:val="14"/>
          <w:color w:val="auto"/>
        </w:rPr>
      </w:pPr>
    </w:p>
    <w:p>
      <w:pPr>
        <w:ind w:left="320" w:hanging="317"/>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Debt issuance costs are included in other assets as of September 30, 2025 and December 31, 2024.</w:t>
      </w:r>
    </w:p>
    <w:p>
      <w:pPr>
        <w:spacing w:after="0" w:line="152" w:lineRule="exact"/>
        <w:rPr>
          <w:sz w:val="20"/>
          <w:szCs w:val="20"/>
          <w:color w:val="auto"/>
        </w:rPr>
      </w:pPr>
    </w:p>
    <w:p>
      <w:pPr>
        <w:ind w:right="220" w:firstLine="619"/>
        <w:spacing w:after="0" w:line="271" w:lineRule="auto"/>
        <w:rPr>
          <w:sz w:val="20"/>
          <w:szCs w:val="20"/>
          <w:color w:val="auto"/>
        </w:rPr>
      </w:pPr>
      <w:r>
        <w:rPr>
          <w:rFonts w:ascii="Arial" w:cs="Arial" w:eastAsia="Arial" w:hAnsi="Arial"/>
          <w:sz w:val="17"/>
          <w:szCs w:val="17"/>
          <w:color w:val="auto"/>
        </w:rPr>
        <w:t>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214" w:lineRule="exact"/>
        <w:rPr>
          <w:sz w:val="20"/>
          <w:szCs w:val="20"/>
          <w:color w:val="auto"/>
        </w:rPr>
      </w:pPr>
    </w:p>
    <w:p>
      <w:pPr>
        <w:ind w:right="180" w:firstLine="619"/>
        <w:spacing w:after="0" w:line="271" w:lineRule="auto"/>
        <w:rPr>
          <w:sz w:val="20"/>
          <w:szCs w:val="20"/>
          <w:color w:val="auto"/>
        </w:rPr>
      </w:pPr>
      <w:r>
        <w:rPr>
          <w:rFonts w:ascii="Arial" w:cs="Arial" w:eastAsia="Arial" w:hAnsi="Arial"/>
          <w:sz w:val="17"/>
          <w:szCs w:val="17"/>
          <w:color w:val="auto"/>
        </w:rPr>
        <w:t>Following the 2024 Restructuring, with the deconsolidation of Oaktree Capital I, which acts as or controls the general partner of certain Oaktree funds and which holds a majority of Oaktree’s investments in its funds, the debt obligations of the funds consolidated by Oaktree Capital I are accounted for as part of the equity investment in Oaktree Capital I.</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NON-CONTROLLING REDEEMABLE INTERESTS IN CONSOLIDATED FUNDS</w:t>
      </w:r>
    </w:p>
    <w:p>
      <w:pPr>
        <w:spacing w:after="0" w:line="168" w:lineRule="exact"/>
        <w:rPr>
          <w:sz w:val="20"/>
          <w:szCs w:val="20"/>
          <w:color w:val="auto"/>
        </w:rPr>
      </w:pPr>
    </w:p>
    <w:p>
      <w:pPr>
        <w:ind w:right="560" w:firstLine="619"/>
        <w:spacing w:after="0" w:line="276" w:lineRule="auto"/>
        <w:rPr>
          <w:sz w:val="20"/>
          <w:szCs w:val="20"/>
          <w:color w:val="auto"/>
        </w:rPr>
      </w:pPr>
      <w:r>
        <w:rPr>
          <w:rFonts w:ascii="Arial" w:cs="Arial" w:eastAsia="Arial" w:hAnsi="Arial"/>
          <w:sz w:val="17"/>
          <w:szCs w:val="17"/>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2"/>
                <w:szCs w:val="12"/>
                <w:b w:val="1"/>
                <w:bCs w:val="1"/>
                <w:color w:val="auto"/>
              </w:rPr>
              <w:t>Nine months ended September 30,</w:t>
            </w:r>
          </w:p>
        </w:tc>
      </w:tr>
      <w:tr>
        <w:trPr>
          <w:trHeight w:val="163"/>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2024</w:t>
            </w:r>
          </w:p>
        </w:tc>
      </w:tr>
      <w:tr>
        <w:trPr>
          <w:trHeight w:val="289"/>
        </w:trPr>
        <w:tc>
          <w:tcPr>
            <w:tcW w:w="8000" w:type="dxa"/>
            <w:vAlign w:val="bottom"/>
          </w:tcPr>
          <w:p>
            <w:pPr>
              <w:spacing w:after="0"/>
              <w:rPr>
                <w:sz w:val="20"/>
                <w:szCs w:val="20"/>
                <w:color w:val="auto"/>
              </w:rPr>
            </w:pPr>
            <w:r>
              <w:rPr>
                <w:rFonts w:ascii="Arial" w:cs="Arial" w:eastAsia="Arial" w:hAnsi="Arial"/>
                <w:sz w:val="15"/>
                <w:szCs w:val="15"/>
                <w:color w:val="auto"/>
              </w:rPr>
              <w:t>Beginning balance</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3,069,084</w:t>
            </w:r>
          </w:p>
        </w:tc>
        <w:tc>
          <w:tcPr>
            <w:tcW w:w="20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3,336,548</w:t>
            </w:r>
          </w:p>
        </w:tc>
      </w:tr>
      <w:tr>
        <w:trPr>
          <w:trHeight w:val="206"/>
        </w:trPr>
        <w:tc>
          <w:tcPr>
            <w:tcW w:w="8000" w:type="dxa"/>
            <w:vAlign w:val="bottom"/>
          </w:tcPr>
          <w:p>
            <w:pPr>
              <w:ind w:left="300"/>
              <w:spacing w:after="0"/>
              <w:rPr>
                <w:sz w:val="20"/>
                <w:szCs w:val="20"/>
                <w:color w:val="auto"/>
              </w:rPr>
            </w:pPr>
            <w:r>
              <w:rPr>
                <w:rFonts w:ascii="Arial" w:cs="Arial" w:eastAsia="Arial" w:hAnsi="Arial"/>
                <w:sz w:val="15"/>
                <w:szCs w:val="15"/>
                <w:color w:val="auto"/>
              </w:rPr>
              <w:t>Deconsolidation of funds</w:t>
            </w:r>
          </w:p>
        </w:tc>
        <w:tc>
          <w:tcPr>
            <w:tcW w:w="36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(500,020)</w:t>
            </w:r>
          </w:p>
        </w:tc>
      </w:tr>
      <w:tr>
        <w:trPr>
          <w:trHeight w:val="206"/>
        </w:trPr>
        <w:tc>
          <w:tcPr>
            <w:tcW w:w="8000" w:type="dxa"/>
            <w:vAlign w:val="bottom"/>
          </w:tcPr>
          <w:p>
            <w:pPr>
              <w:ind w:left="300"/>
              <w:spacing w:after="0"/>
              <w:rPr>
                <w:sz w:val="20"/>
                <w:szCs w:val="20"/>
                <w:color w:val="auto"/>
              </w:rPr>
            </w:pPr>
            <w:r>
              <w:rPr>
                <w:rFonts w:ascii="Arial" w:cs="Arial" w:eastAsia="Arial" w:hAnsi="Arial"/>
                <w:sz w:val="15"/>
                <w:szCs w:val="15"/>
                <w:color w:val="auto"/>
              </w:rPr>
              <w:t>Contributions</w:t>
            </w:r>
          </w:p>
        </w:tc>
        <w:tc>
          <w:tcPr>
            <w:tcW w:w="36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633,232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269,994</w:t>
            </w:r>
          </w:p>
        </w:tc>
      </w:tr>
      <w:tr>
        <w:trPr>
          <w:trHeight w:val="206"/>
        </w:trPr>
        <w:tc>
          <w:tcPr>
            <w:tcW w:w="8000" w:type="dxa"/>
            <w:vAlign w:val="bottom"/>
          </w:tcPr>
          <w:p>
            <w:pPr>
              <w:ind w:left="300"/>
              <w:spacing w:after="0"/>
              <w:rPr>
                <w:sz w:val="20"/>
                <w:szCs w:val="20"/>
                <w:color w:val="auto"/>
              </w:rPr>
            </w:pPr>
            <w:r>
              <w:rPr>
                <w:rFonts w:ascii="Arial" w:cs="Arial" w:eastAsia="Arial" w:hAnsi="Arial"/>
                <w:sz w:val="15"/>
                <w:szCs w:val="15"/>
                <w:color w:val="auto"/>
              </w:rPr>
              <w:t>Distributions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(789,826)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(397,474)</w:t>
            </w:r>
          </w:p>
        </w:tc>
      </w:tr>
      <w:tr>
        <w:trPr>
          <w:trHeight w:val="206"/>
        </w:trPr>
        <w:tc>
          <w:tcPr>
            <w:tcW w:w="8000" w:type="dxa"/>
            <w:vAlign w:val="bottom"/>
          </w:tcPr>
          <w:p>
            <w:pPr>
              <w:ind w:left="300"/>
              <w:spacing w:after="0"/>
              <w:rPr>
                <w:sz w:val="20"/>
                <w:szCs w:val="20"/>
                <w:color w:val="auto"/>
              </w:rPr>
            </w:pPr>
            <w:r>
              <w:rPr>
                <w:rFonts w:ascii="Arial" w:cs="Arial" w:eastAsia="Arial" w:hAnsi="Arial"/>
                <w:sz w:val="15"/>
                <w:szCs w:val="15"/>
                <w:color w:val="auto"/>
              </w:rPr>
              <w:t>Net income</w:t>
            </w:r>
          </w:p>
        </w:tc>
        <w:tc>
          <w:tcPr>
            <w:tcW w:w="36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191,257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336,844</w:t>
            </w:r>
          </w:p>
        </w:tc>
      </w:tr>
      <w:tr>
        <w:trPr>
          <w:trHeight w:val="206"/>
        </w:trPr>
        <w:tc>
          <w:tcPr>
            <w:tcW w:w="8000" w:type="dxa"/>
            <w:vAlign w:val="bottom"/>
          </w:tcPr>
          <w:p>
            <w:pPr>
              <w:ind w:left="300"/>
              <w:spacing w:after="0"/>
              <w:rPr>
                <w:sz w:val="20"/>
                <w:szCs w:val="20"/>
                <w:color w:val="auto"/>
              </w:rPr>
            </w:pPr>
            <w:r>
              <w:rPr>
                <w:rFonts w:ascii="Arial" w:cs="Arial" w:eastAsia="Arial" w:hAnsi="Arial"/>
                <w:sz w:val="15"/>
                <w:szCs w:val="15"/>
                <w:color w:val="auto"/>
              </w:rPr>
              <w:t>Foreign currency translation and other, net</w:t>
            </w:r>
          </w:p>
        </w:tc>
        <w:tc>
          <w:tcPr>
            <w:tcW w:w="360" w:type="dxa"/>
            <w:vAlign w:val="bottom"/>
          </w:tcPr>
          <w:p>
            <w:pPr>
              <w:spacing w:after="0"/>
              <w:rPr>
                <w:sz w:val="17"/>
                <w:szCs w:val="17"/>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(1,005)</w:t>
            </w:r>
          </w:p>
        </w:tc>
      </w:tr>
      <w:tr>
        <w:trPr>
          <w:trHeight w:val="200"/>
        </w:trPr>
        <w:tc>
          <w:tcPr>
            <w:tcW w:w="8000" w:type="dxa"/>
            <w:vAlign w:val="bottom"/>
          </w:tcPr>
          <w:p>
            <w:pPr>
              <w:spacing w:after="0"/>
              <w:rPr>
                <w:sz w:val="20"/>
                <w:szCs w:val="20"/>
                <w:color w:val="auto"/>
              </w:rPr>
            </w:pPr>
            <w:r>
              <w:rPr>
                <w:rFonts w:ascii="Arial" w:cs="Arial" w:eastAsia="Arial" w:hAnsi="Arial"/>
                <w:sz w:val="15"/>
                <w:szCs w:val="15"/>
                <w:color w:val="auto"/>
              </w:rPr>
              <w:t>Ending balance</w:t>
            </w: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3,103,747</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3,044,887</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UNITHOLDERS’ CAPITAL</w:t>
      </w:r>
    </w:p>
    <w:p>
      <w:pPr>
        <w:spacing w:after="0" w:line="168"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Brookfield Oaktree Holdings, LLC and the holding companies through which the Company holds interests in Oaktree Capital I, are solely attributable to the Class A unitholders.</w:t>
      </w:r>
    </w:p>
    <w:p>
      <w:pPr>
        <w:spacing w:after="0" w:line="122"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As of September 30, 2025 and December 31, 2024, OCGH units represented 41,758,979 of the total 160,591,299 Oaktree Operating Group units and 43,822,210 of the total 160,195,444 Oaktree Operating Group units,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Unit Issuances</w:t>
      </w:r>
    </w:p>
    <w:p>
      <w:pPr>
        <w:spacing w:after="0" w:line="167" w:lineRule="exact"/>
        <w:rPr>
          <w:sz w:val="20"/>
          <w:szCs w:val="20"/>
          <w:color w:val="auto"/>
        </w:rPr>
      </w:pPr>
    </w:p>
    <w:p>
      <w:pPr>
        <w:ind w:right="20" w:firstLine="619"/>
        <w:spacing w:after="0" w:line="265" w:lineRule="auto"/>
        <w:rPr>
          <w:sz w:val="20"/>
          <w:szCs w:val="20"/>
          <w:color w:val="auto"/>
        </w:rPr>
      </w:pPr>
      <w:r>
        <w:rPr>
          <w:rFonts w:ascii="Arial" w:cs="Arial" w:eastAsia="Arial" w:hAnsi="Arial"/>
          <w:sz w:val="17"/>
          <w:szCs w:val="17"/>
          <w:color w:val="auto"/>
        </w:rPr>
        <w:t>On May 17, 2018, the Company issued 7,200,000 of its 6.625% Series A preferred units representing limited liability company interests with a liquidation preference of $ 25.00 per unit. The issuance resulted in $173.7 million in net proceeds to the Company.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w:t>
      </w:r>
    </w:p>
    <w:p>
      <w:pPr>
        <w:spacing w:after="0" w:line="116" w:lineRule="exact"/>
        <w:rPr>
          <w:sz w:val="20"/>
          <w:szCs w:val="20"/>
          <w:color w:val="auto"/>
        </w:rPr>
      </w:pPr>
    </w:p>
    <w:p>
      <w:pPr>
        <w:ind w:right="80" w:firstLine="619"/>
        <w:spacing w:after="0" w:line="265" w:lineRule="auto"/>
        <w:rPr>
          <w:sz w:val="20"/>
          <w:szCs w:val="20"/>
          <w:color w:val="auto"/>
        </w:rPr>
      </w:pPr>
      <w:r>
        <w:rPr>
          <w:rFonts w:ascii="Arial" w:cs="Arial" w:eastAsia="Arial" w:hAnsi="Arial"/>
          <w:sz w:val="17"/>
          <w:szCs w:val="17"/>
          <w:color w:val="auto"/>
        </w:rPr>
        <w:t>On August 9, 2018, the Company issued 9,400,000 of its 6.550% Series B preferred units representing limited liability company interests with a liquidation preference of $25.00 per unit. The issuance resulted in $226.9 million in net proceeds to the Company.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106"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The Company may redeem, at its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25"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a summary of weighted average units outstanding of the OCGH and other non-controlling interests and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Class A unitholders:</w:t>
      </w:r>
    </w:p>
    <w:p>
      <w:pPr>
        <w:spacing w:after="0" w:line="33"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4960" w:type="dxa"/>
            <w:vAlign w:val="bottom"/>
          </w:tcPr>
          <w:p>
            <w:pPr>
              <w:spacing w:after="0"/>
              <w:rPr>
                <w:sz w:val="14"/>
                <w:szCs w:val="14"/>
                <w:color w:val="auto"/>
              </w:rPr>
            </w:pPr>
          </w:p>
        </w:tc>
        <w:tc>
          <w:tcPr>
            <w:tcW w:w="3160" w:type="dxa"/>
            <w:vAlign w:val="bottom"/>
            <w:gridSpan w:val="4"/>
          </w:tcPr>
          <w:p>
            <w:pPr>
              <w:ind w:left="460"/>
              <w:spacing w:after="0"/>
              <w:rPr>
                <w:sz w:val="20"/>
                <w:szCs w:val="20"/>
                <w:color w:val="auto"/>
              </w:rPr>
            </w:pPr>
            <w:r>
              <w:rPr>
                <w:rFonts w:ascii="Arial" w:cs="Arial" w:eastAsia="Arial" w:hAnsi="Arial"/>
                <w:sz w:val="12"/>
                <w:szCs w:val="12"/>
                <w:b w:val="1"/>
                <w:bCs w:val="1"/>
                <w:color w:val="auto"/>
              </w:rPr>
              <w:t>Three months ended September 30,</w:t>
            </w:r>
          </w:p>
        </w:tc>
        <w:tc>
          <w:tcPr>
            <w:tcW w:w="2940" w:type="dxa"/>
            <w:vAlign w:val="bottom"/>
            <w:gridSpan w:val="3"/>
          </w:tcPr>
          <w:p>
            <w:pPr>
              <w:jc w:val="right"/>
              <w:ind w:right="407"/>
              <w:spacing w:after="0"/>
              <w:rPr>
                <w:sz w:val="20"/>
                <w:szCs w:val="20"/>
                <w:color w:val="auto"/>
              </w:rPr>
            </w:pPr>
            <w:r>
              <w:rPr>
                <w:rFonts w:ascii="Arial" w:cs="Arial" w:eastAsia="Arial" w:hAnsi="Arial"/>
                <w:sz w:val="12"/>
                <w:szCs w:val="12"/>
                <w:b w:val="1"/>
                <w:bCs w:val="1"/>
                <w:color w:val="auto"/>
              </w:rPr>
              <w:t>Nine months ended September 30,</w:t>
            </w:r>
          </w:p>
        </w:tc>
      </w:tr>
      <w:tr>
        <w:trPr>
          <w:trHeight w:val="162"/>
        </w:trPr>
        <w:tc>
          <w:tcPr>
            <w:tcW w:w="496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2024</w:t>
            </w:r>
          </w:p>
        </w:tc>
      </w:tr>
      <w:tr>
        <w:trPr>
          <w:trHeight w:val="138"/>
        </w:trPr>
        <w:tc>
          <w:tcPr>
            <w:tcW w:w="4960" w:type="dxa"/>
            <w:vAlign w:val="bottom"/>
          </w:tcPr>
          <w:p>
            <w:pPr>
              <w:spacing w:after="0" w:line="138" w:lineRule="exact"/>
              <w:rPr>
                <w:sz w:val="20"/>
                <w:szCs w:val="20"/>
                <w:color w:val="auto"/>
              </w:rPr>
            </w:pPr>
            <w:r>
              <w:rPr>
                <w:rFonts w:ascii="Arial" w:cs="Arial" w:eastAsia="Arial" w:hAnsi="Arial"/>
                <w:sz w:val="15"/>
                <w:szCs w:val="15"/>
                <w:color w:val="auto"/>
              </w:rPr>
              <w:t>Weighted average Oaktree Operating Group units outstanding (in</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4"/>
        </w:trPr>
        <w:tc>
          <w:tcPr>
            <w:tcW w:w="4960" w:type="dxa"/>
            <w:vAlign w:val="bottom"/>
          </w:tcPr>
          <w:p>
            <w:pPr>
              <w:spacing w:after="0"/>
              <w:rPr>
                <w:sz w:val="20"/>
                <w:szCs w:val="20"/>
                <w:color w:val="auto"/>
              </w:rPr>
            </w:pPr>
            <w:r>
              <w:rPr>
                <w:rFonts w:ascii="Arial" w:cs="Arial" w:eastAsia="Arial" w:hAnsi="Arial"/>
                <w:sz w:val="15"/>
                <w:szCs w:val="15"/>
                <w:color w:val="auto"/>
              </w:rPr>
              <w:t>thousands):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6"/>
        </w:trPr>
        <w:tc>
          <w:tcPr>
            <w:tcW w:w="4960" w:type="dxa"/>
            <w:vAlign w:val="bottom"/>
          </w:tcPr>
          <w:p>
            <w:pPr>
              <w:ind w:left="340"/>
              <w:spacing w:after="0"/>
              <w:rPr>
                <w:sz w:val="20"/>
                <w:szCs w:val="20"/>
                <w:color w:val="auto"/>
              </w:rPr>
            </w:pPr>
            <w:r>
              <w:rPr>
                <w:rFonts w:ascii="Arial" w:cs="Arial" w:eastAsia="Arial" w:hAnsi="Arial"/>
                <w:sz w:val="15"/>
                <w:szCs w:val="15"/>
                <w:color w:val="auto"/>
              </w:rPr>
              <w:t>OCGH and other non-controlling interests</w:t>
            </w:r>
          </w:p>
        </w:tc>
        <w:tc>
          <w:tcPr>
            <w:tcW w:w="1380" w:type="dxa"/>
            <w:vAlign w:val="bottom"/>
          </w:tcPr>
          <w:p>
            <w:pPr>
              <w:jc w:val="right"/>
              <w:ind w:right="10"/>
              <w:spacing w:after="0"/>
              <w:rPr>
                <w:sz w:val="20"/>
                <w:szCs w:val="20"/>
                <w:color w:val="auto"/>
              </w:rPr>
            </w:pPr>
            <w:r>
              <w:rPr>
                <w:rFonts w:ascii="Arial" w:cs="Arial" w:eastAsia="Arial" w:hAnsi="Arial"/>
                <w:sz w:val="15"/>
                <w:szCs w:val="15"/>
                <w:color w:val="auto"/>
              </w:rPr>
              <w:t>45,161</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47,450</w:t>
            </w:r>
          </w:p>
        </w:tc>
        <w:tc>
          <w:tcPr>
            <w:tcW w:w="220" w:type="dxa"/>
            <w:vAlign w:val="bottom"/>
          </w:tcPr>
          <w:p>
            <w:pPr>
              <w:spacing w:after="0"/>
              <w:rPr>
                <w:sz w:val="17"/>
                <w:szCs w:val="17"/>
                <w:color w:val="auto"/>
              </w:rPr>
            </w:pPr>
          </w:p>
        </w:tc>
        <w:tc>
          <w:tcPr>
            <w:tcW w:w="1380" w:type="dxa"/>
            <w:vAlign w:val="bottom"/>
          </w:tcPr>
          <w:p>
            <w:pPr>
              <w:jc w:val="right"/>
              <w:ind w:right="10"/>
              <w:spacing w:after="0"/>
              <w:rPr>
                <w:sz w:val="20"/>
                <w:szCs w:val="20"/>
                <w:color w:val="auto"/>
              </w:rPr>
            </w:pPr>
            <w:r>
              <w:rPr>
                <w:rFonts w:ascii="Arial" w:cs="Arial" w:eastAsia="Arial" w:hAnsi="Arial"/>
                <w:sz w:val="15"/>
                <w:szCs w:val="15"/>
                <w:color w:val="auto"/>
              </w:rPr>
              <w:t>45,882</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50,041</w:t>
            </w:r>
          </w:p>
        </w:tc>
      </w:tr>
      <w:tr>
        <w:trPr>
          <w:trHeight w:val="207"/>
        </w:trPr>
        <w:tc>
          <w:tcPr>
            <w:tcW w:w="4960" w:type="dxa"/>
            <w:vAlign w:val="bottom"/>
          </w:tcPr>
          <w:p>
            <w:pPr>
              <w:ind w:left="340"/>
              <w:spacing w:after="0"/>
              <w:rPr>
                <w:sz w:val="20"/>
                <w:szCs w:val="20"/>
                <w:color w:val="auto"/>
              </w:rPr>
            </w:pPr>
            <w:r>
              <w:rPr>
                <w:rFonts w:ascii="Arial" w:cs="Arial" w:eastAsia="Arial" w:hAnsi="Arial"/>
                <w:sz w:val="15"/>
                <w:szCs w:val="15"/>
                <w:color w:val="auto"/>
              </w:rPr>
              <w:t>Class A unitholders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115,406</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112,694</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114,452</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110,091</w:t>
            </w:r>
          </w:p>
        </w:tc>
      </w:tr>
      <w:tr>
        <w:trPr>
          <w:trHeight w:val="200"/>
        </w:trPr>
        <w:tc>
          <w:tcPr>
            <w:tcW w:w="4960" w:type="dxa"/>
            <w:vAlign w:val="bottom"/>
          </w:tcPr>
          <w:p>
            <w:pPr>
              <w:ind w:left="340"/>
              <w:spacing w:after="0"/>
              <w:rPr>
                <w:sz w:val="20"/>
                <w:szCs w:val="20"/>
                <w:color w:val="auto"/>
              </w:rPr>
            </w:pPr>
            <w:r>
              <w:rPr>
                <w:rFonts w:ascii="Arial" w:cs="Arial" w:eastAsia="Arial" w:hAnsi="Arial"/>
                <w:sz w:val="15"/>
                <w:szCs w:val="15"/>
                <w:color w:val="auto"/>
              </w:rPr>
              <w:t>Total weighted average units outstanding</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160,567</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160,144</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160,334</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160,132</w:t>
            </w:r>
          </w:p>
        </w:tc>
      </w:tr>
      <w:tr>
        <w:trPr>
          <w:trHeight w:val="20"/>
        </w:trPr>
        <w:tc>
          <w:tcPr>
            <w:tcW w:w="4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Please see notes 9 and 11 for additional information regarding transactions that impacted unitholders’ capital.</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EARNINGS PER UNIT</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computation of net income per Class A unit is set forth below:</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ind w:left="40"/>
              <w:spacing w:after="0"/>
              <w:rPr>
                <w:sz w:val="20"/>
                <w:szCs w:val="20"/>
                <w:color w:val="auto"/>
              </w:rPr>
            </w:pPr>
            <w:r>
              <w:rPr>
                <w:rFonts w:ascii="Arial" w:cs="Arial" w:eastAsia="Arial" w:hAnsi="Arial"/>
                <w:sz w:val="12"/>
                <w:szCs w:val="12"/>
                <w:b w:val="1"/>
                <w:bCs w:val="1"/>
                <w:color w:val="auto"/>
              </w:rPr>
              <w:t>Three months ended September 30,</w:t>
            </w:r>
          </w:p>
        </w:tc>
        <w:tc>
          <w:tcPr>
            <w:tcW w:w="160" w:type="dxa"/>
            <w:vAlign w:val="bottom"/>
          </w:tcPr>
          <w:p>
            <w:pPr>
              <w:spacing w:after="0"/>
              <w:rPr>
                <w:sz w:val="14"/>
                <w:szCs w:val="14"/>
                <w:color w:val="auto"/>
              </w:rPr>
            </w:pPr>
          </w:p>
        </w:tc>
        <w:tc>
          <w:tcPr>
            <w:tcW w:w="2220" w:type="dxa"/>
            <w:vAlign w:val="bottom"/>
            <w:gridSpan w:val="4"/>
          </w:tcPr>
          <w:p>
            <w:pPr>
              <w:jc w:val="right"/>
              <w:ind w:right="127"/>
              <w:spacing w:after="0"/>
              <w:rPr>
                <w:sz w:val="20"/>
                <w:szCs w:val="20"/>
                <w:color w:val="auto"/>
              </w:rPr>
            </w:pPr>
            <w:r>
              <w:rPr>
                <w:rFonts w:ascii="Arial" w:cs="Arial" w:eastAsia="Arial" w:hAnsi="Arial"/>
                <w:sz w:val="12"/>
                <w:szCs w:val="12"/>
                <w:b w:val="1"/>
                <w:bCs w:val="1"/>
                <w:color w:val="auto"/>
              </w:rPr>
              <w:t>Nine months ended September 30,</w:t>
            </w:r>
          </w:p>
        </w:tc>
      </w:tr>
      <w:tr>
        <w:trPr>
          <w:trHeight w:val="163"/>
        </w:trPr>
        <w:tc>
          <w:tcPr>
            <w:tcW w:w="6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2024</w:t>
            </w:r>
          </w:p>
        </w:tc>
      </w:tr>
      <w:tr>
        <w:trPr>
          <w:trHeight w:val="159"/>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b w:val="1"/>
                <w:bCs w:val="1"/>
                <w:color w:val="auto"/>
              </w:rPr>
              <w:t>(in thousands, except per unit amounts)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7"/>
        </w:trPr>
        <w:tc>
          <w:tcPr>
            <w:tcW w:w="6200" w:type="dxa"/>
            <w:vAlign w:val="bottom"/>
          </w:tcPr>
          <w:p>
            <w:pPr>
              <w:spacing w:after="0"/>
              <w:rPr>
                <w:sz w:val="20"/>
                <w:szCs w:val="20"/>
                <w:color w:val="auto"/>
              </w:rPr>
            </w:pPr>
            <w:r>
              <w:rPr>
                <w:rFonts w:ascii="Arial" w:cs="Arial" w:eastAsia="Arial" w:hAnsi="Arial"/>
                <w:sz w:val="15"/>
                <w:szCs w:val="15"/>
                <w:color w:val="auto"/>
              </w:rPr>
              <w:t>Net income per Class A unit (basic and diluted):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6200" w:type="dxa"/>
            <w:vAlign w:val="bottom"/>
          </w:tcPr>
          <w:p>
            <w:pPr>
              <w:ind w:left="300"/>
              <w:spacing w:after="0"/>
              <w:rPr>
                <w:sz w:val="20"/>
                <w:szCs w:val="20"/>
                <w:color w:val="auto"/>
              </w:rPr>
            </w:pPr>
            <w:r>
              <w:rPr>
                <w:rFonts w:ascii="Arial" w:cs="Arial" w:eastAsia="Arial" w:hAnsi="Arial"/>
                <w:sz w:val="15"/>
                <w:szCs w:val="15"/>
                <w:color w:val="auto"/>
              </w:rPr>
              <w:t>Net income attributable to BOH Class A unitholders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59,704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36,762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62,610</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151,522</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8"/>
        </w:trPr>
        <w:tc>
          <w:tcPr>
            <w:tcW w:w="6200" w:type="dxa"/>
            <w:vAlign w:val="bottom"/>
          </w:tcPr>
          <w:p>
            <w:pPr>
              <w:ind w:left="300"/>
              <w:spacing w:after="0"/>
              <w:rPr>
                <w:sz w:val="20"/>
                <w:szCs w:val="20"/>
                <w:color w:val="auto"/>
              </w:rPr>
            </w:pPr>
            <w:r>
              <w:rPr>
                <w:rFonts w:ascii="Arial" w:cs="Arial" w:eastAsia="Arial" w:hAnsi="Arial"/>
                <w:sz w:val="15"/>
                <w:szCs w:val="15"/>
                <w:color w:val="auto"/>
              </w:rPr>
              <w:t>Weighted average number of Class A units outstanding (basic and diluted)</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118,832</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112,694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117,968</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110,091</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8"/>
        </w:trPr>
        <w:tc>
          <w:tcPr>
            <w:tcW w:w="6200" w:type="dxa"/>
            <w:vAlign w:val="bottom"/>
          </w:tcPr>
          <w:p>
            <w:pPr>
              <w:ind w:left="300"/>
              <w:spacing w:after="0"/>
              <w:rPr>
                <w:sz w:val="20"/>
                <w:szCs w:val="20"/>
                <w:color w:val="auto"/>
              </w:rPr>
            </w:pPr>
            <w:r>
              <w:rPr>
                <w:rFonts w:ascii="Arial" w:cs="Arial" w:eastAsia="Arial" w:hAnsi="Arial"/>
                <w:sz w:val="15"/>
                <w:szCs w:val="15"/>
                <w:color w:val="auto"/>
              </w:rPr>
              <w:t>Basic and diluted net income (net of tax) per Class A unit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0.50</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0.33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0.53</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ind w:right="40" w:firstLine="619"/>
        <w:spacing w:after="0" w:line="271" w:lineRule="auto"/>
        <w:rPr>
          <w:sz w:val="20"/>
          <w:szCs w:val="20"/>
          <w:color w:val="auto"/>
        </w:rPr>
      </w:pPr>
      <w:r>
        <w:rPr>
          <w:rFonts w:ascii="Arial" w:cs="Arial" w:eastAsia="Arial" w:hAnsi="Arial"/>
          <w:sz w:val="17"/>
          <w:szCs w:val="17"/>
          <w:color w:val="auto"/>
        </w:rPr>
        <w:t>OCGH units are not exchangeable into Class A units. As the restrictions set forth in the then-current exchange agreement were in place for each applicable reporting period, OCGH units were not included in the computation of diluted earnings per unit for the three and nine months ended September 30, 2025 and 2024.</w:t>
      </w:r>
    </w:p>
    <w:p>
      <w:pPr>
        <w:spacing w:after="0" w:line="214" w:lineRule="exact"/>
        <w:rPr>
          <w:sz w:val="20"/>
          <w:szCs w:val="20"/>
          <w:color w:val="auto"/>
        </w:rPr>
      </w:pPr>
    </w:p>
    <w:p>
      <w:pPr>
        <w:ind w:right="3460" w:firstLine="619"/>
        <w:spacing w:after="0" w:line="290" w:lineRule="auto"/>
        <w:rPr>
          <w:sz w:val="20"/>
          <w:szCs w:val="20"/>
          <w:color w:val="auto"/>
        </w:rPr>
      </w:pPr>
      <w:r>
        <w:rPr>
          <w:rFonts w:ascii="Arial" w:cs="Arial" w:eastAsia="Arial" w:hAnsi="Arial"/>
          <w:sz w:val="17"/>
          <w:szCs w:val="17"/>
          <w:color w:val="auto"/>
        </w:rPr>
        <w:t>As a result of the 2024 Restructuring, earnings attributable to Oaktree Capital I are reflected in the Company's investment income for periods beginning in the third quarter of 2024.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AND RELATED PAYMENTS</w:t>
      </w:r>
    </w:p>
    <w:p>
      <w:pPr>
        <w:spacing w:after="0" w:line="168" w:lineRule="exact"/>
        <w:rPr>
          <w:sz w:val="20"/>
          <w:szCs w:val="20"/>
          <w:color w:val="auto"/>
        </w:rPr>
      </w:pPr>
    </w:p>
    <w:p>
      <w:pPr>
        <w:ind w:right="240" w:firstLine="619"/>
        <w:spacing w:after="0" w:line="262" w:lineRule="auto"/>
        <w:rPr>
          <w:sz w:val="20"/>
          <w:szCs w:val="20"/>
          <w:color w:val="auto"/>
        </w:rPr>
      </w:pPr>
      <w:r>
        <w:rPr>
          <w:rFonts w:ascii="Arial" w:cs="Arial" w:eastAsia="Arial" w:hAnsi="Arial"/>
          <w:sz w:val="17"/>
          <w:szCs w:val="17"/>
          <w:color w:val="auto"/>
        </w:rPr>
        <w:t>The Company files its tax returns as prescribed by the tax laws of the jurisdictions in which it operates. In the normal course of business, the Company is subject to examination by the relevant tax authorities. With limited exceptions, the Company is no longer subject to income tax audits by taxing authorities for periods before 2022. The Company believes that it has adequately provided for any reasonably foreseeable outcomes related to its tax examinations and that any settlements related thereto will not have a material adverse effect on the Company’s condensed consolidated financial statements; however, there can be no assurances as to the ultimate outcomes.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68"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Actions</w:t>
      </w:r>
    </w:p>
    <w:p>
      <w:pPr>
        <w:spacing w:after="0" w:line="180" w:lineRule="exact"/>
        <w:rPr>
          <w:sz w:val="20"/>
          <w:szCs w:val="20"/>
          <w:color w:val="auto"/>
        </w:rPr>
      </w:pPr>
    </w:p>
    <w:p>
      <w:pPr>
        <w:ind w:right="100" w:firstLine="619"/>
        <w:spacing w:after="0" w:line="260" w:lineRule="auto"/>
        <w:rPr>
          <w:sz w:val="20"/>
          <w:szCs w:val="20"/>
          <w:color w:val="auto"/>
        </w:rPr>
      </w:pPr>
      <w:r>
        <w:rPr>
          <w:rFonts w:ascii="Arial" w:cs="Arial" w:eastAsia="Arial" w:hAnsi="Arial"/>
          <w:sz w:val="17"/>
          <w:szCs w:val="17"/>
          <w:color w:val="auto"/>
        </w:rPr>
        <w:t>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The Company and Oaktree are currently not subject to any pending actions or regulatory proceedings that either individually or in the aggregate are expected to have a material impact on the Company’s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to Funds</w:t>
      </w:r>
    </w:p>
    <w:p>
      <w:pPr>
        <w:spacing w:after="0" w:line="167" w:lineRule="exact"/>
        <w:rPr>
          <w:sz w:val="20"/>
          <w:szCs w:val="20"/>
          <w:color w:val="auto"/>
        </w:rPr>
      </w:pPr>
    </w:p>
    <w:p>
      <w:pPr>
        <w:ind w:right="180" w:firstLine="619"/>
        <w:spacing w:after="0" w:line="255" w:lineRule="auto"/>
        <w:rPr>
          <w:sz w:val="20"/>
          <w:szCs w:val="20"/>
          <w:color w:val="auto"/>
        </w:rPr>
      </w:pPr>
      <w:r>
        <w:rPr>
          <w:rFonts w:ascii="Arial" w:cs="Arial" w:eastAsia="Arial" w:hAnsi="Arial"/>
          <w:sz w:val="17"/>
          <w:szCs w:val="17"/>
          <w:color w:val="auto"/>
        </w:rPr>
        <w:t>As of September 30, 2025 and December 31, 2024, the Company had undrawn capital commitments of $112.5 million in its capacity as a limited partner in Opps XI. As of September 30, 2025 and December 31, 2024, the Company had undrawn commitments of $577.3 million and $696.7 million, respectively, in its capacity as a limited partner in Opps XII (Opps XI and Opps XII as defined in note 14).</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Commitments of the Consolidated Funds</w:t>
      </w:r>
    </w:p>
    <w:p>
      <w:pPr>
        <w:spacing w:after="0" w:line="167"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condensed consolidated statements of financial condition. The unfunded liability associated with these credit arrangements is equal to the amount by which the contractual loan commitment exceeds the sum of funded debt and cash held in escrow, if any. As of September 30, 2025 and December 31, 2024, the consolidated funds had total outstanding debt commitments of $264.9 million and $327.1 million respectively. As of September 30, 2025 and December 31, 2024, the consolidated funds had potential unfunded investment commitments of $421.5 million and $411.4 million respectively.</w:t>
      </w:r>
    </w:p>
    <w:p>
      <w:pPr>
        <w:spacing w:after="0" w:line="122" w:lineRule="exact"/>
        <w:rPr>
          <w:sz w:val="20"/>
          <w:szCs w:val="20"/>
          <w:color w:val="auto"/>
        </w:rPr>
      </w:pPr>
    </w:p>
    <w:p>
      <w:pPr>
        <w:ind w:right="440" w:firstLine="619"/>
        <w:spacing w:after="0" w:line="290" w:lineRule="auto"/>
        <w:rPr>
          <w:sz w:val="20"/>
          <w:szCs w:val="20"/>
          <w:color w:val="auto"/>
        </w:rPr>
      </w:pPr>
      <w:r>
        <w:rPr>
          <w:rFonts w:ascii="Arial" w:cs="Arial" w:eastAsia="Arial" w:hAnsi="Arial"/>
          <w:sz w:val="17"/>
          <w:szCs w:val="17"/>
          <w:color w:val="auto"/>
        </w:rPr>
        <w:t>A consolidated fund may agree to guarantee the repayment obligations of certain investee companies. As of September 30, 2025 and December 31, 2024, there were no guaranteed amounts under such arrangements.</w:t>
      </w:r>
    </w:p>
    <w:p>
      <w:pPr>
        <w:spacing w:after="0" w:line="95" w:lineRule="exact"/>
        <w:rPr>
          <w:sz w:val="20"/>
          <w:szCs w:val="20"/>
          <w:color w:val="auto"/>
        </w:rPr>
      </w:pPr>
    </w:p>
    <w:p>
      <w:pPr>
        <w:ind w:firstLine="619"/>
        <w:spacing w:after="0" w:line="271" w:lineRule="auto"/>
        <w:rPr>
          <w:sz w:val="20"/>
          <w:szCs w:val="20"/>
          <w:color w:val="auto"/>
        </w:rPr>
      </w:pPr>
      <w:r>
        <w:rPr>
          <w:rFonts w:ascii="Arial" w:cs="Arial" w:eastAsia="Arial" w:hAnsi="Arial"/>
          <w:sz w:val="17"/>
          <w:szCs w:val="17"/>
          <w:color w:val="auto"/>
        </w:rPr>
        <w:t>Certain consolidated funds are investment companies that are required to disclose financial support provided or contractually required to be provided to any of their portfolio companies. During the nine months ended September 30, 2025, $43.2 million financial support was provided to investees pursuant to contractual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RELATED-PARTY TRANSACTIONS</w:t>
      </w:r>
    </w:p>
    <w:p>
      <w:pPr>
        <w:spacing w:after="0" w:line="167" w:lineRule="exact"/>
        <w:rPr>
          <w:sz w:val="20"/>
          <w:szCs w:val="20"/>
          <w:color w:val="auto"/>
        </w:rPr>
      </w:pPr>
    </w:p>
    <w:p>
      <w:pPr>
        <w:ind w:right="40" w:firstLine="619"/>
        <w:spacing w:after="0" w:line="290" w:lineRule="auto"/>
        <w:rPr>
          <w:sz w:val="20"/>
          <w:szCs w:val="20"/>
          <w:color w:val="auto"/>
        </w:rPr>
      </w:pPr>
      <w:r>
        <w:rPr>
          <w:rFonts w:ascii="Arial" w:cs="Arial" w:eastAsia="Arial" w:hAnsi="Arial"/>
          <w:sz w:val="17"/>
          <w:szCs w:val="17"/>
          <w:color w:val="auto"/>
        </w:rPr>
        <w:t>The Company considers its executive officers, employees, if any, and unconsolidated Oaktree funds to be affiliates (as defined in the FASB ASC Master Glossary). Amounts due from and to affiliates are set forth below.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fair value of amounts due from and to affiliates is a Level III valuation and was valued based on a discounted cash-flow analysis. The carrying value of amounts due from and to affiliates approximated fair value due to their short-term nature or because their weighted average interest rate approximated the Company’s cost of debt.</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8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2"/>
                <w:szCs w:val="12"/>
                <w:b w:val="1"/>
                <w:bCs w:val="1"/>
                <w:color w:val="auto"/>
                <w:w w:val="93"/>
              </w:rPr>
              <w:t>As of</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September 30, 2025</w:t>
            </w: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200"/>
        </w:trPr>
        <w:tc>
          <w:tcPr>
            <w:tcW w:w="8140" w:type="dxa"/>
            <w:vAlign w:val="bottom"/>
          </w:tcPr>
          <w:p>
            <w:pPr>
              <w:spacing w:after="0"/>
              <w:rPr>
                <w:sz w:val="20"/>
                <w:szCs w:val="20"/>
                <w:color w:val="auto"/>
              </w:rPr>
            </w:pPr>
            <w:r>
              <w:rPr>
                <w:rFonts w:ascii="Arial" w:cs="Arial" w:eastAsia="Arial" w:hAnsi="Arial"/>
                <w:sz w:val="15"/>
                <w:szCs w:val="15"/>
                <w:color w:val="auto"/>
              </w:rPr>
              <w:t>Due from affiliates: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tcPr>
          <w:p>
            <w:pPr>
              <w:ind w:left="300"/>
              <w:spacing w:after="0"/>
              <w:rPr>
                <w:sz w:val="20"/>
                <w:szCs w:val="20"/>
                <w:color w:val="auto"/>
              </w:rPr>
            </w:pPr>
            <w:r>
              <w:rPr>
                <w:rFonts w:ascii="Arial" w:cs="Arial" w:eastAsia="Arial" w:hAnsi="Arial"/>
                <w:sz w:val="15"/>
                <w:szCs w:val="15"/>
                <w:color w:val="auto"/>
              </w:rPr>
              <w:t>Payments made on behalf of unconsolidated entities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00"/>
        </w:trPr>
        <w:tc>
          <w:tcPr>
            <w:tcW w:w="8140" w:type="dxa"/>
            <w:vAlign w:val="bottom"/>
          </w:tcPr>
          <w:p>
            <w:pPr>
              <w:ind w:left="620"/>
              <w:spacing w:after="0"/>
              <w:rPr>
                <w:sz w:val="20"/>
                <w:szCs w:val="20"/>
                <w:color w:val="auto"/>
              </w:rPr>
            </w:pPr>
            <w:r>
              <w:rPr>
                <w:rFonts w:ascii="Arial" w:cs="Arial" w:eastAsia="Arial" w:hAnsi="Arial"/>
                <w:sz w:val="15"/>
                <w:szCs w:val="15"/>
                <w:color w:val="auto"/>
              </w:rPr>
              <w:t>Total due from affiliates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552</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5"/>
                <w:szCs w:val="15"/>
                <w:color w:val="auto"/>
              </w:rPr>
              <w:t>Due to affiliates: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40" w:type="dxa"/>
            <w:vAlign w:val="bottom"/>
          </w:tcPr>
          <w:p>
            <w:pPr>
              <w:ind w:left="300"/>
              <w:spacing w:after="0"/>
              <w:rPr>
                <w:sz w:val="20"/>
                <w:szCs w:val="20"/>
                <w:color w:val="auto"/>
              </w:rPr>
            </w:pPr>
            <w:r>
              <w:rPr>
                <w:rFonts w:ascii="Arial" w:cs="Arial" w:eastAsia="Arial" w:hAnsi="Arial"/>
                <w:sz w:val="15"/>
                <w:szCs w:val="15"/>
                <w:color w:val="auto"/>
              </w:rPr>
              <w:t>Amounts due to unconsolidated entities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0"/>
        </w:trPr>
        <w:tc>
          <w:tcPr>
            <w:tcW w:w="8140" w:type="dxa"/>
            <w:vAlign w:val="bottom"/>
          </w:tcPr>
          <w:p>
            <w:pPr>
              <w:ind w:left="620"/>
              <w:spacing w:after="0"/>
              <w:rPr>
                <w:sz w:val="20"/>
                <w:szCs w:val="20"/>
                <w:color w:val="auto"/>
              </w:rPr>
            </w:pPr>
            <w:r>
              <w:rPr>
                <w:rFonts w:ascii="Arial" w:cs="Arial" w:eastAsia="Arial" w:hAnsi="Arial"/>
                <w:sz w:val="15"/>
                <w:szCs w:val="15"/>
                <w:color w:val="auto"/>
              </w:rPr>
              <w:t>Total due to affiliates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Payments made on behalf of unconsolidated entities</w:t>
      </w:r>
    </w:p>
    <w:p>
      <w:pPr>
        <w:spacing w:after="0" w:line="168" w:lineRule="exact"/>
        <w:rPr>
          <w:sz w:val="20"/>
          <w:szCs w:val="20"/>
          <w:color w:val="auto"/>
        </w:rPr>
      </w:pPr>
    </w:p>
    <w:p>
      <w:pPr>
        <w:ind w:right="300" w:firstLine="619"/>
        <w:spacing w:after="0" w:line="290" w:lineRule="auto"/>
        <w:rPr>
          <w:sz w:val="20"/>
          <w:szCs w:val="20"/>
          <w:color w:val="auto"/>
        </w:rPr>
      </w:pPr>
      <w:r>
        <w:rPr>
          <w:rFonts w:ascii="Arial" w:cs="Arial" w:eastAsia="Arial" w:hAnsi="Arial"/>
          <w:sz w:val="17"/>
          <w:szCs w:val="17"/>
          <w:color w:val="auto"/>
        </w:rPr>
        <w:t>In the normal course of business, the Company advances certain expenses on behalf of Oaktree funds. Amounts advanced on behalf of consolidated funds are eliminated in consolidation.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Earned From Oaktree Funds</w:t>
      </w:r>
    </w:p>
    <w:p>
      <w:pPr>
        <w:spacing w:after="0" w:line="168"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Subsequent to the 2024 Restructuring, incentive income is no longer recognized by the Company due to the deconsolidation of Oaktree Capital I. The Company’s proportionate share of incentive income earned by Oaktree Capital I is included as a component of investment income.</w:t>
      </w:r>
    </w:p>
    <w:p>
      <w:pPr>
        <w:spacing w:after="0" w:line="95" w:lineRule="exact"/>
        <w:rPr>
          <w:sz w:val="20"/>
          <w:szCs w:val="20"/>
          <w:color w:val="auto"/>
        </w:rPr>
      </w:pPr>
    </w:p>
    <w:p>
      <w:pPr>
        <w:ind w:right="460" w:firstLine="619"/>
        <w:spacing w:after="0" w:line="290" w:lineRule="auto"/>
        <w:rPr>
          <w:sz w:val="20"/>
          <w:szCs w:val="20"/>
          <w:color w:val="auto"/>
        </w:rPr>
      </w:pPr>
      <w:r>
        <w:rPr>
          <w:rFonts w:ascii="Arial" w:cs="Arial" w:eastAsia="Arial" w:hAnsi="Arial"/>
          <w:sz w:val="17"/>
          <w:szCs w:val="17"/>
          <w:color w:val="auto"/>
        </w:rPr>
        <w:t>Incentive income earned from unconsolidated funds totaled $0 and $117.5 million for the three and nine months ended September 30, 2024,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Allocations</w:t>
      </w:r>
    </w:p>
    <w:p>
      <w:pPr>
        <w:spacing w:after="0" w:line="167" w:lineRule="exact"/>
        <w:rPr>
          <w:sz w:val="20"/>
          <w:szCs w:val="20"/>
          <w:color w:val="auto"/>
        </w:rPr>
      </w:pPr>
    </w:p>
    <w:p>
      <w:pPr>
        <w:ind w:right="260" w:firstLine="619"/>
        <w:spacing w:after="0" w:line="271" w:lineRule="auto"/>
        <w:rPr>
          <w:sz w:val="20"/>
          <w:szCs w:val="20"/>
          <w:color w:val="auto"/>
        </w:rPr>
      </w:pPr>
      <w:r>
        <w:rPr>
          <w:rFonts w:ascii="Arial" w:cs="Arial" w:eastAsia="Arial" w:hAnsi="Arial"/>
          <w:sz w:val="17"/>
          <w:szCs w:val="17"/>
          <w:color w:val="auto"/>
        </w:rPr>
        <w:t>Certain executive officers of the Company receive special allocations based on a percentage of profits of the Oaktree Operating Group. These special allocations are made on a current basis for so long as the executive officers remain senior executives of the Company, with limited exceptions.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 Services</w:t>
      </w:r>
    </w:p>
    <w:p>
      <w:pPr>
        <w:spacing w:after="0" w:line="167" w:lineRule="exact"/>
        <w:rPr>
          <w:sz w:val="20"/>
          <w:szCs w:val="20"/>
          <w:color w:val="auto"/>
        </w:rPr>
      </w:pPr>
    </w:p>
    <w:p>
      <w:pPr>
        <w:ind w:right="40" w:firstLine="619"/>
        <w:spacing w:after="0" w:line="260" w:lineRule="auto"/>
        <w:rPr>
          <w:sz w:val="20"/>
          <w:szCs w:val="20"/>
          <w:color w:val="auto"/>
        </w:rPr>
      </w:pPr>
      <w:r>
        <w:rPr>
          <w:rFonts w:ascii="Arial" w:cs="Arial" w:eastAsia="Arial" w:hAnsi="Arial"/>
          <w:sz w:val="17"/>
          <w:szCs w:val="17"/>
          <w:color w:val="auto"/>
        </w:rPr>
        <w:t>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w:t>
      </w:r>
    </w:p>
    <w:p>
      <w:pPr>
        <w:spacing w:after="0" w:line="122" w:lineRule="exact"/>
        <w:rPr>
          <w:sz w:val="20"/>
          <w:szCs w:val="20"/>
          <w:color w:val="auto"/>
        </w:rPr>
      </w:pPr>
    </w:p>
    <w:p>
      <w:pPr>
        <w:ind w:right="400" w:firstLine="619"/>
        <w:spacing w:after="0" w:line="265" w:lineRule="auto"/>
        <w:rPr>
          <w:sz w:val="20"/>
          <w:szCs w:val="20"/>
          <w:color w:val="auto"/>
        </w:rPr>
      </w:pPr>
      <w:r>
        <w:rPr>
          <w:rFonts w:ascii="Arial" w:cs="Arial" w:eastAsia="Arial" w:hAnsi="Arial"/>
          <w:sz w:val="17"/>
          <w:szCs w:val="17"/>
          <w:color w:val="auto"/>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 generally overseeing the payment of the Company’s expenses and the performance of administrative and professional services rendered to the Company by others.</w:t>
      </w:r>
    </w:p>
    <w:p>
      <w:pPr>
        <w:spacing w:after="0" w:line="116"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On an annual basis the Company reimburses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that perform duties for the Company. The Services Agreement may be terminated by either party without penalty upon 90 days’ written notice to the other.</w:t>
      </w:r>
    </w:p>
    <w:p>
      <w:pPr>
        <w:spacing w:after="0" w:line="95" w:lineRule="exact"/>
        <w:rPr>
          <w:sz w:val="20"/>
          <w:szCs w:val="20"/>
          <w:color w:val="auto"/>
        </w:rPr>
      </w:pPr>
    </w:p>
    <w:p>
      <w:pPr>
        <w:ind w:right="40" w:firstLine="619"/>
        <w:spacing w:after="0" w:line="290" w:lineRule="auto"/>
        <w:rPr>
          <w:sz w:val="20"/>
          <w:szCs w:val="20"/>
          <w:color w:val="auto"/>
        </w:rPr>
      </w:pPr>
      <w:r>
        <w:rPr>
          <w:rFonts w:ascii="Arial" w:cs="Arial" w:eastAsia="Arial" w:hAnsi="Arial"/>
          <w:sz w:val="17"/>
          <w:szCs w:val="17"/>
          <w:color w:val="auto"/>
        </w:rPr>
        <w:t>For the three and nine months ended September 30, 2025 and 2024, the Company incurred administrative services expense of $0.2 million and $0.6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Oaktree Opportunities Fund XI</w:t>
      </w:r>
    </w:p>
    <w:p>
      <w:pPr>
        <w:spacing w:after="0" w:line="168"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The Company has subscribed for a limited partner interest in, and made a capital commitment of, $ 750.0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solely for the benefit of the Class A unitholder, subject to applicable law. The Company’s preferred unitholders should not rely on distributions received by the Company in respect of the Company’s Opps XI Investment for payment of dividends or redemption of the preferred units. For the nine months ended September 30, 2025, the Company did not fund any of its capital commitment. As of September 30, 2025, the Company has funded in the aggregate $637.5 million of the $750.0 million of its capital commitment.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Oaktree Opportunities Fund XII</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May 22, 2023, the Company subscribed for a limited partner interest in, and made a capital commitment of, $750.0 million to Oaktree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Opportunities Fund XII, L.P., a parallel investment vehicle thereof or a feeder fund in respect of one of the foregoing (such limited partner interest,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“Opps XII Investment” and such fund entities collectively, “Opps XII”). Subsequently, the Company made an additional commitment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$46.2 million. In order to make the Opps XII Investment, the Company’s sole Class A unitholder, or one of its affiliates, will contribute cash as 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capital contribution (the “Opps XII Investment Cash”) as and to the extent required to satisfy the Company’s obligations to Opps XII. The Company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will use the Opps XII Investment Cash solely to fund the Opps XII Investment and satisfy its obligations in respect of Opps XII and distributions from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Opps XII Investment are intended solely for the benefit of the Class A unitholder, subject to applicable law. The Company’s preferred unitholders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should not rely on distributions received by the Company in respect of the Company’s Opps XII Investment for payment of distributions on 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redemption of the preferred units. For the nine months ended September 30, 2025, the Company funded $119.4 million of its capital commitment.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2025, the Company has funded in the aggregate $218.9 million of the $796.2 million of its capital commitment.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Non-Traded REIT</w:t>
      </w:r>
    </w:p>
    <w:p>
      <w:pPr>
        <w:spacing w:after="0" w:line="167"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w:t>
      </w:r>
    </w:p>
    <w:p>
      <w:pPr>
        <w:spacing w:after="0" w:line="2" w:lineRule="exact"/>
        <w:rPr>
          <w:sz w:val="20"/>
          <w:szCs w:val="20"/>
          <w:color w:val="auto"/>
        </w:rPr>
      </w:pPr>
    </w:p>
    <w:p>
      <w:pPr>
        <w:ind w:firstLine="3"/>
        <w:spacing w:after="0" w:line="257" w:lineRule="auto"/>
        <w:tabs>
          <w:tab w:leader="none" w:pos="143" w:val="left"/>
        </w:tabs>
        <w:numPr>
          <w:ilvl w:val="0"/>
          <w:numId w:val="16"/>
        </w:numPr>
        <w:rPr>
          <w:rFonts w:ascii="Arial" w:cs="Arial" w:eastAsia="Arial" w:hAnsi="Arial"/>
          <w:sz w:val="17"/>
          <w:szCs w:val="17"/>
          <w:color w:val="auto"/>
        </w:rPr>
      </w:pPr>
      <w:r>
        <w:rPr>
          <w:rFonts w:ascii="Arial" w:cs="Arial" w:eastAsia="Arial" w:hAnsi="Arial"/>
          <w:sz w:val="17"/>
          <w:szCs w:val="17"/>
          <w:color w:val="auto"/>
        </w:rPr>
        <w:t>SLP-GP LLC and Brookfield REIT OP Special Limited Partner L.P. (collectively, and together with any additional entities that may become direct or indirect subsidiaries of NTR (as defined in Note 5)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NTR, in connection with the Company’s indirect acquisition (the “Acquisition”) of 100% of the interests in the REIT Entities. An amount of $307.0 million in respect of the Contributed Amount was contributed to the Company on June 27,</w:t>
      </w:r>
    </w:p>
    <w:p>
      <w:pPr>
        <w:spacing w:after="0" w:line="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2023 (the “Purchase Price”) and a true-up contribution of $13.9 million was made on July 31, 2023 (the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of the interests in the REIT Entities from BUSI II NTR Sub LLC in exchange for cash. The Acquisition was completed on June 30, 2023.</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2025, the carrying value of NTR included in corporate investments was $306.7 million.</w:t>
      </w:r>
    </w:p>
    <w:p>
      <w:pPr>
        <w:spacing w:after="0" w:line="16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SPV Credit Facility</w:t>
      </w:r>
    </w:p>
    <w:p>
      <w:pPr>
        <w:spacing w:after="0" w:line="168"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 March 2024, BOH transferred a portion of its indirect interest in Opps XI to newly formed special purpose subsidiary (“SPV I”) and pledged its ownership interest in SPV I as collateral for a non-recourse credit facility of an affiliate. In June 2024, BOH transferred an additional portion of its indirect interest in Opps XI to a newly formed special purpose subsidiary (“SPV II”) and pledged its ownership interest in SPV II as collateral for a second non-recourse credit facility of the affiliate. Subsequently, in June 2025, BOH transferred a portion of its indirect interest in Opps XII to a newly formed special purpose subsidiary (“SPV III”) and pledged its ownership interest in SPV III as collateral to upsize the non-recourse credit facility originally closed in March 2024. While the outstanding borrowings on the facilities are the obligations of the affiliate, the co-borrowers, including SPV I, SPV II and SPV III, have joint and several liability under the credit facilities in the event of default and are required to comply with certain covenants. As of September 30, 2025, BOH’s potential exposure under these arrangements is limited to the carrying value of its pledged interests in SPV I, SPV II and SPV III of $178.1 million, $182.1 million and $102.0 million,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w:t>
      </w:r>
    </w:p>
    <w:p>
      <w:pPr>
        <w:spacing w:after="0" w:line="155" w:lineRule="exact"/>
        <w:rPr>
          <w:sz w:val="20"/>
          <w:szCs w:val="20"/>
          <w:color w:val="auto"/>
        </w:rPr>
      </w:pPr>
    </w:p>
    <w:p>
      <w:pPr>
        <w:ind w:right="220" w:firstLine="619"/>
        <w:spacing w:after="0" w:line="239" w:lineRule="auto"/>
        <w:rPr>
          <w:sz w:val="20"/>
          <w:szCs w:val="20"/>
          <w:color w:val="auto"/>
        </w:rPr>
      </w:pPr>
      <w:r>
        <w:rPr>
          <w:rFonts w:ascii="Arial" w:cs="Arial" w:eastAsia="Arial" w:hAnsi="Arial"/>
          <w:sz w:val="17"/>
          <w:szCs w:val="17"/>
          <w:color w:val="auto"/>
        </w:rPr>
        <w:t>We operate as a single operating segment, which is also our sole reportable segment. The Company’s chief operating decision maker (“CODM”) is our Chief Executive Officer, who reviews financial information presented on a consolidated basis, accompanied by information about</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our revenue, for purposes of making operating decisions, assessing financial performance and allocating resources. Net income is our primary measure of profit, and all costs and expense categories on our consolidated statements of operations are significant, and are regularly reviewed at a consolidated level by the CODM. The assets attributable to this segment are reflected in the consolidated financial statements.</w:t>
      </w:r>
    </w:p>
    <w:p>
      <w:pPr>
        <w:spacing w:after="0" w:line="225" w:lineRule="exact"/>
        <w:rPr>
          <w:sz w:val="20"/>
          <w:szCs w:val="20"/>
          <w:color w:val="auto"/>
        </w:rPr>
      </w:pPr>
    </w:p>
    <w:p>
      <w:pPr>
        <w:ind w:right="9000" w:firstLine="3"/>
        <w:spacing w:after="0" w:line="444" w:lineRule="auto"/>
        <w:tabs>
          <w:tab w:leader="none" w:pos="287"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Class A Unit Distribution</w:t>
      </w:r>
    </w:p>
    <w:p>
      <w:pPr>
        <w:spacing w:after="0" w:line="1" w:lineRule="exact"/>
        <w:rPr>
          <w:sz w:val="20"/>
          <w:szCs w:val="20"/>
          <w:color w:val="auto"/>
        </w:rPr>
      </w:pPr>
    </w:p>
    <w:p>
      <w:pPr>
        <w:ind w:right="480" w:firstLine="181"/>
        <w:spacing w:after="0" w:line="443" w:lineRule="auto"/>
        <w:rPr>
          <w:sz w:val="20"/>
          <w:szCs w:val="20"/>
          <w:color w:val="auto"/>
        </w:rPr>
      </w:pPr>
      <w:r>
        <w:rPr>
          <w:rFonts w:ascii="Arial" w:cs="Arial" w:eastAsia="Arial" w:hAnsi="Arial"/>
          <w:sz w:val="17"/>
          <w:szCs w:val="17"/>
          <w:color w:val="auto"/>
        </w:rPr>
        <w:t xml:space="preserve">A distribution of $0.24 per Class A unit was paid on November 10, 2025 to holders of record at the close of business on November 3, 2025. </w:t>
      </w:r>
      <w:r>
        <w:rPr>
          <w:rFonts w:ascii="Arial" w:cs="Arial" w:eastAsia="Arial" w:hAnsi="Arial"/>
          <w:sz w:val="17"/>
          <w:szCs w:val="17"/>
          <w:b w:val="1"/>
          <w:bCs w:val="1"/>
          <w:color w:val="auto"/>
        </w:rPr>
        <w:t>Preferred Unit Distributions</w:t>
      </w:r>
    </w:p>
    <w:p>
      <w:pPr>
        <w:ind w:right="60" w:firstLine="181"/>
        <w:spacing w:after="0" w:line="290" w:lineRule="auto"/>
        <w:rPr>
          <w:sz w:val="20"/>
          <w:szCs w:val="20"/>
          <w:color w:val="auto"/>
        </w:rPr>
      </w:pPr>
      <w:r>
        <w:rPr>
          <w:rFonts w:ascii="Arial" w:cs="Arial" w:eastAsia="Arial" w:hAnsi="Arial"/>
          <w:sz w:val="17"/>
          <w:szCs w:val="17"/>
          <w:color w:val="auto"/>
        </w:rPr>
        <w:t>A distribution of $0.414063 per Series A preferred unit will be paid on December 15, 2025 to Series A preferred unitholders of record at the close of business on December 1, 2025.</w:t>
      </w:r>
    </w:p>
    <w:p>
      <w:pPr>
        <w:spacing w:after="0" w:line="95" w:lineRule="exact"/>
        <w:rPr>
          <w:sz w:val="20"/>
          <w:szCs w:val="20"/>
          <w:color w:val="auto"/>
        </w:rPr>
      </w:pPr>
    </w:p>
    <w:p>
      <w:pPr>
        <w:ind w:right="60" w:firstLine="181"/>
        <w:spacing w:after="0" w:line="290" w:lineRule="auto"/>
        <w:rPr>
          <w:sz w:val="20"/>
          <w:szCs w:val="20"/>
          <w:color w:val="auto"/>
        </w:rPr>
      </w:pPr>
      <w:r>
        <w:rPr>
          <w:rFonts w:ascii="Arial" w:cs="Arial" w:eastAsia="Arial" w:hAnsi="Arial"/>
          <w:sz w:val="17"/>
          <w:szCs w:val="17"/>
          <w:color w:val="auto"/>
        </w:rPr>
        <w:t>A distribution of $0.409375 per Series B preferred unit will be paid on December 15, 2025 to Series B preferred unitholders of record at the close of business on December 1, 2025.</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7"/>
          <w:szCs w:val="17"/>
          <w:b w:val="1"/>
          <w:bCs w:val="1"/>
          <w:color w:val="auto"/>
        </w:rPr>
        <w:t>Brookfield Oaktree Holdings, LLC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September 30, 2025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Oaktree/Brookfield Transaction</w:t>
      </w:r>
    </w:p>
    <w:p>
      <w:pPr>
        <w:spacing w:after="0" w:line="155" w:lineRule="exact"/>
        <w:rPr>
          <w:sz w:val="20"/>
          <w:szCs w:val="20"/>
          <w:color w:val="auto"/>
        </w:rPr>
      </w:pPr>
    </w:p>
    <w:p>
      <w:pPr>
        <w:ind w:firstLine="619"/>
        <w:spacing w:after="0" w:line="246" w:lineRule="auto"/>
        <w:rPr>
          <w:sz w:val="20"/>
          <w:szCs w:val="20"/>
          <w:color w:val="auto"/>
        </w:rPr>
      </w:pPr>
      <w:r>
        <w:rPr>
          <w:rFonts w:ascii="Arial" w:cs="Arial" w:eastAsia="Arial" w:hAnsi="Arial"/>
          <w:sz w:val="17"/>
          <w:szCs w:val="17"/>
          <w:color w:val="auto"/>
        </w:rPr>
        <w:t>On October 13, 2025, Oaktree and Brookfield announced that they have agreed on a proposed transaction whereby Brookfield will acquire the approximately 26% interest in Oaktree that it does not already own such that, upon completion of the proposed transaction, Brookfield will own 100% of Oaktree (such transaction, the “Remaining Interest Acquisition”). Subsequent to the Remaining Interest Acquisition, Brookfield will have 100% economic and voting interests in Oaktree and BOH. The Remaining Interest Acquisition is expected to close in first quarter of 2026, subject to regulatory approvals and customary closing conditions.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353"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9" w:lineRule="exact"/>
        <w:rPr>
          <w:sz w:val="20"/>
          <w:szCs w:val="20"/>
          <w:color w:val="auto"/>
        </w:rPr>
      </w:pPr>
    </w:p>
    <w:p>
      <w:pPr>
        <w:ind w:right="240" w:firstLine="619"/>
        <w:spacing w:after="0" w:line="260" w:lineRule="auto"/>
        <w:rPr>
          <w:sz w:val="20"/>
          <w:szCs w:val="20"/>
          <w:color w:val="auto"/>
        </w:rPr>
      </w:pPr>
      <w:r>
        <w:rPr>
          <w:rFonts w:ascii="Arial" w:cs="Arial" w:eastAsia="Arial" w:hAnsi="Arial"/>
          <w:sz w:val="17"/>
          <w:szCs w:val="17"/>
          <w:i w:val="1"/>
          <w:iCs w:val="1"/>
          <w:color w:val="auto"/>
        </w:rPr>
        <w:t>The following discussion and analysis should be read in conjunction with the unaudited condensed consolidated financial statements of Brookfield Oaktree Holdings, LLC and the related notes included within this quarterly report.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quarterly report and under “Risk Factors” in our annual report provide examples of risks, uncertainties and events that may cause our actual results to differ materially from the expectations described in any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Brookfield Oaktree Holdings, LLC holds Credit, Real Estate and Equity investments managed by leading alternative asset management</w:t>
      </w:r>
    </w:p>
    <w:p>
      <w:pPr>
        <w:spacing w:after="0" w:line="37"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firms Oaktree Capital Management, L.P. and Brookfield Asset Management Ltd. The Company both directly invests in funds and has indirect exposure through its equity method investment in Oaktree Capital I, L.P. (“Oaktree Capital I”), which as of September 30, 2025, represented an approximately 74% economic interest in Oaktree Capital I, which holds a majority of Oaktree’s investments in its funds.</w:t>
      </w:r>
    </w:p>
    <w:p>
      <w:pPr>
        <w:spacing w:after="0" w:line="112"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Brookfield Oaktree Holdings, LLC is a Delaware limited liability company that was formed on April 13, 2007 under the name Oaktree Capital Group, LLC. The Company’s ownership and operational structure through September 30, 2025 are the result of certain mergers and restructurings.</w:t>
      </w:r>
    </w:p>
    <w:p>
      <w:pPr>
        <w:ind w:right="200"/>
        <w:spacing w:after="0" w:line="229" w:lineRule="auto"/>
        <w:rPr>
          <w:sz w:val="20"/>
          <w:szCs w:val="20"/>
          <w:color w:val="auto"/>
        </w:rPr>
      </w:pPr>
      <w:r>
        <w:rPr>
          <w:rFonts w:ascii="Arial" w:cs="Arial" w:eastAsia="Arial" w:hAnsi="Arial"/>
          <w:sz w:val="17"/>
          <w:szCs w:val="17"/>
          <w:color w:val="auto"/>
        </w:rPr>
        <w:t>The Company’s holdings and operations currently primarily represent (i) limited partner investments in certain of Oaktree’s flagship opportunistic credit funds, (ii) its equity method investment in Oaktree Capital I, which as of September 30, 2025, represented an approximately 74% economic</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interest in Oaktree Capital I, which holds a majority of Oaktree’s investments in its funds, and (iii) an indirect ownership interest in Brookfield Real Estate Income Trust Inc. (“Brookfield REIT”). The Company is the issuer of the Series A and Series B preferred units listed on the NYSE.</w:t>
      </w:r>
    </w:p>
    <w:p>
      <w:pPr>
        <w:spacing w:after="0" w:line="125"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and Part I, Item I included in the Company’s Annual Report on Form 10-K for the year ended December 31, 2022 filed with the SEC on March 21, 2023 for more information about the 2022 Restructuring. See Item 8.01 of the Company’s Current Report on Form 8-K filed with the SEC on July 1, 2024 for more information about the 2024 Restructuring.</w:t>
      </w:r>
    </w:p>
    <w:p>
      <w:pPr>
        <w:spacing w:after="0" w:line="106" w:lineRule="exact"/>
        <w:rPr>
          <w:sz w:val="20"/>
          <w:szCs w:val="20"/>
          <w:color w:val="auto"/>
        </w:rPr>
      </w:pPr>
    </w:p>
    <w:p>
      <w:pPr>
        <w:ind w:right="180" w:firstLine="619"/>
        <w:spacing w:after="0" w:line="246" w:lineRule="auto"/>
        <w:rPr>
          <w:sz w:val="20"/>
          <w:szCs w:val="20"/>
          <w:color w:val="auto"/>
        </w:rPr>
      </w:pPr>
      <w:r>
        <w:rPr>
          <w:rFonts w:ascii="Arial" w:cs="Arial" w:eastAsia="Arial" w:hAnsi="Arial"/>
          <w:sz w:val="17"/>
          <w:szCs w:val="17"/>
          <w:color w:val="auto"/>
        </w:rPr>
        <w:t>The results of the Company are largely driven by the performance of certain funds and other investments held directly or indirectly by Oaktree Capital I, which is one of the key operating entities of Oaktree, and managed by Oaktree. The distributions to holders of the Series A and Series B preferred units listed on the NYSE are generally serviced by the distributions from Oaktree Capital I, and payments to the preferred unitholders must be satisfied prior to declaration of any distributions to Class A or Class B unitholders, subject to the terms of the Series A and Series B preferred units and certain limitations and exceptions set forth therein.</w:t>
      </w:r>
    </w:p>
    <w:p>
      <w:pPr>
        <w:spacing w:after="0" w:line="120" w:lineRule="exact"/>
        <w:rPr>
          <w:sz w:val="20"/>
          <w:szCs w:val="20"/>
          <w:color w:val="auto"/>
        </w:rPr>
      </w:pPr>
    </w:p>
    <w:p>
      <w:pPr>
        <w:ind w:right="420" w:firstLine="619"/>
        <w:spacing w:after="0" w:line="274" w:lineRule="auto"/>
        <w:rPr>
          <w:sz w:val="20"/>
          <w:szCs w:val="20"/>
          <w:color w:val="auto"/>
        </w:rPr>
      </w:pPr>
      <w:r>
        <w:rPr>
          <w:rFonts w:ascii="Arial" w:cs="Arial" w:eastAsia="Arial" w:hAnsi="Arial"/>
          <w:sz w:val="17"/>
          <w:szCs w:val="17"/>
          <w:color w:val="auto"/>
        </w:rPr>
        <w:t>OCM provides certain administrative and other services relating to the operations of the Company’s business pursuant to the Services Agreement between the Company and OCM.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and Developments</w:t>
      </w:r>
    </w:p>
    <w:p>
      <w:pPr>
        <w:spacing w:after="0" w:line="155" w:lineRule="exact"/>
        <w:rPr>
          <w:sz w:val="20"/>
          <w:szCs w:val="20"/>
          <w:color w:val="auto"/>
        </w:rPr>
      </w:pPr>
    </w:p>
    <w:p>
      <w:pPr>
        <w:jc w:val="both"/>
        <w:ind w:right="20" w:firstLine="619"/>
        <w:spacing w:after="0" w:line="247" w:lineRule="auto"/>
        <w:rPr>
          <w:sz w:val="20"/>
          <w:szCs w:val="20"/>
          <w:color w:val="auto"/>
        </w:rPr>
      </w:pPr>
      <w:r>
        <w:rPr>
          <w:rFonts w:ascii="Arial" w:cs="Arial" w:eastAsia="Arial" w:hAnsi="Arial"/>
          <w:sz w:val="17"/>
          <w:szCs w:val="17"/>
          <w:color w:val="auto"/>
        </w:rPr>
        <w:t>The Company and Oaktree are affected by a wide range of factors, including the condition of the global economy and financial markets; the relative attractiveness of Oaktree’s investment strategies and investors’ demand for them; and regulatory or other governmental policies or actions.</w:t>
      </w:r>
    </w:p>
    <w:p>
      <w:pPr>
        <w:ind w:right="560"/>
        <w:spacing w:after="0" w:line="229" w:lineRule="auto"/>
        <w:rPr>
          <w:sz w:val="20"/>
          <w:szCs w:val="20"/>
          <w:color w:val="auto"/>
        </w:rPr>
      </w:pPr>
      <w:r>
        <w:rPr>
          <w:rFonts w:ascii="Arial" w:cs="Arial" w:eastAsia="Arial" w:hAnsi="Arial"/>
          <w:sz w:val="17"/>
          <w:szCs w:val="17"/>
          <w:color w:val="auto"/>
        </w:rPr>
        <w:t>Global economic conditions can significantly impact the values of fund investments and the ability to make new investments or sell existing investments for these funds. Historically, however, Oaktree’s diversified nature, of both investment strategies and revenue mix, has generally</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allowed it to benefit from both strong and weak economic environments. Weak economies and the declining financial markets that typically 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typically create favorable exit opportunities that enhance the prospect for incentive income and fund-related realized investment income proceeds for Oaktree and enhance the prospect for investment income for us.</w:t>
      </w:r>
    </w:p>
    <w:p>
      <w:pPr>
        <w:spacing w:after="0" w:line="126"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The ongoing Russia-Ukraine conflict, including global sanctions imposed on Russia, conflict in the Middle East, and changes in trade policies of the United States and other countries, including the imposition of tariffs and retaliatory tariffs, create continued uncertainty and volatility in the global financial markets and economy and, as 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9" w:name="page50"/>
    <w:bookmarkEnd w:id="49"/>
    <w:p>
      <w:pPr>
        <w:ind w:right="40"/>
        <w:spacing w:after="0" w:line="249" w:lineRule="auto"/>
        <w:rPr>
          <w:sz w:val="20"/>
          <w:szCs w:val="20"/>
          <w:color w:val="auto"/>
        </w:rPr>
      </w:pPr>
      <w:r>
        <w:rPr>
          <w:rFonts w:ascii="Arial" w:cs="Arial" w:eastAsia="Arial" w:hAnsi="Arial"/>
          <w:sz w:val="17"/>
          <w:szCs w:val="17"/>
          <w:color w:val="auto"/>
        </w:rPr>
        <w:t>result, may adversely impact Oaktree’s businesses and its funds’ and their respective portfolio companies’ business. As of the date of this filing, we are not aware of any material risk to the stability of our condensed consolidated financial statements caused by the Russia-Ukraine conflict, the conflict in the Middle East or changes in U.S. and global trade policies, or the materiality of any effect such uncertainties may have on our business and operations.</w:t>
      </w:r>
    </w:p>
    <w:p>
      <w:pPr>
        <w:spacing w:after="0" w:line="130" w:lineRule="exact"/>
        <w:rPr>
          <w:sz w:val="20"/>
          <w:szCs w:val="20"/>
          <w:color w:val="auto"/>
        </w:rPr>
      </w:pPr>
    </w:p>
    <w:p>
      <w:pPr>
        <w:ind w:right="380" w:firstLine="619"/>
        <w:spacing w:after="0" w:line="290" w:lineRule="auto"/>
        <w:rPr>
          <w:sz w:val="20"/>
          <w:szCs w:val="20"/>
          <w:color w:val="auto"/>
        </w:rPr>
      </w:pPr>
      <w:r>
        <w:rPr>
          <w:rFonts w:ascii="Arial" w:cs="Arial" w:eastAsia="Arial" w:hAnsi="Arial"/>
          <w:sz w:val="17"/>
          <w:szCs w:val="17"/>
          <w:color w:val="auto"/>
        </w:rPr>
        <w:t>There has been significant recent progress and developments in the area of generative artificial intelligence, such as ChatGPT, but the impact to our business of such evolving technology cannot be fully determined at this time.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Understanding Our Results—Consolidation of Oaktree Funds</w:t>
      </w:r>
    </w:p>
    <w:p>
      <w:pPr>
        <w:spacing w:after="0" w:line="168" w:lineRule="exact"/>
        <w:rPr>
          <w:sz w:val="20"/>
          <w:szCs w:val="20"/>
          <w:color w:val="auto"/>
        </w:rPr>
      </w:pPr>
    </w:p>
    <w:p>
      <w:pPr>
        <w:ind w:right="180" w:firstLine="619"/>
        <w:spacing w:after="0" w:line="260" w:lineRule="auto"/>
        <w:rPr>
          <w:sz w:val="20"/>
          <w:szCs w:val="20"/>
          <w:color w:val="auto"/>
        </w:rPr>
      </w:pPr>
      <w:r>
        <w:rPr>
          <w:rFonts w:ascii="Arial" w:cs="Arial" w:eastAsia="Arial" w:hAnsi="Arial"/>
          <w:sz w:val="17"/>
          <w:szCs w:val="17"/>
          <w:color w:val="auto"/>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condensed consolidated financial statements included elsewhere in this quarterly report for more information.</w:t>
      </w:r>
    </w:p>
    <w:p>
      <w:pPr>
        <w:spacing w:after="0" w:line="109" w:lineRule="exact"/>
        <w:rPr>
          <w:sz w:val="20"/>
          <w:szCs w:val="20"/>
          <w:color w:val="auto"/>
        </w:rPr>
      </w:pPr>
    </w:p>
    <w:p>
      <w:pPr>
        <w:ind w:right="80" w:firstLine="619"/>
        <w:spacing w:after="0" w:line="247" w:lineRule="auto"/>
        <w:rPr>
          <w:sz w:val="20"/>
          <w:szCs w:val="20"/>
          <w:color w:val="auto"/>
        </w:rPr>
      </w:pPr>
      <w:r>
        <w:rPr>
          <w:rFonts w:ascii="Arial" w:cs="Arial" w:eastAsia="Arial" w:hAnsi="Arial"/>
          <w:sz w:val="17"/>
          <w:szCs w:val="17"/>
          <w:color w:val="auto"/>
        </w:rPr>
        <w:t>As a result of the 2024 Restructuring, effected to facilitate the change of the general partner of Oaktree Capital I, the Company no longer indirectly controls Oaktree Capital I. Therefore, Oaktree Capital I was deconsolidated as of July 1, 2024. As such, certain Oaktree funds and CLOs</w:t>
      </w:r>
    </w:p>
    <w:p>
      <w:pPr>
        <w:ind w:right="60"/>
        <w:spacing w:after="0" w:line="229" w:lineRule="auto"/>
        <w:rPr>
          <w:sz w:val="20"/>
          <w:szCs w:val="20"/>
          <w:color w:val="auto"/>
        </w:rPr>
      </w:pPr>
      <w:r>
        <w:rPr>
          <w:rFonts w:ascii="Arial" w:cs="Arial" w:eastAsia="Arial" w:hAnsi="Arial"/>
          <w:sz w:val="17"/>
          <w:szCs w:val="17"/>
          <w:color w:val="auto"/>
        </w:rPr>
        <w:t>which were consolidated by Oaktree Capital I are no longer consolidated by the Company. The Company continues to consolidate the respective vehicles through which interests are held in Oaktree Opportunities Fund XI, L.P. and Oaktree Opportunities Fund XII, L.P. as the Company remains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primary beneficiary.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earn interest and dividend income which is primarily earned by our consolidated funds from their investment holdings.</w:t>
      </w:r>
    </w:p>
    <w:p>
      <w:pPr>
        <w:spacing w:after="0" w:line="191"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Historically, we had the potential to earn incentive income from many of the closed-end funds and certain evergreen funds managed by Oaktree in Oaktree Capital I’s capacity as the general partner of those funds. These closed-end funds generally provided that we received incentive income only after we had returned to Oaktree’s investors all of their contributed capital plus an annual preferred return, typically 8%. Once this occurred, we generally received as incentive income 80% of all distributions otherwise attributable to Oaktree’s investors, and those investors received the remaining 20% until we had received, as incentive income, 20% of all such distributions in excess of the contributed capital from the inception of the fund. Thereafter, all such future distributions attributable to Oaktree’s investors were distributed 80% to those investors and 20% to us as incentive income. As a result of the 2022 Restructuring, we were generally only entitled to earn one-third of the incentive income attributable to Oaktree Capital I in respect of Oaktree’s closed-end funds established in 2022 or later and in respect of incentive income from Oaktree’s evergreen funds earned subsequent to January 1, 2023. We were generally earning 100% of the incentive income attributable to Oaktree Capital I</w:t>
      </w:r>
    </w:p>
    <w:p>
      <w:pPr>
        <w:spacing w:after="0" w:line="4"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in respect of Oaktree’s closed-end funds established prior to 2022. Subsequent to the 2024 Restructuring, the Company no longer earns incentive income as a result of the deconsolidation of Oaktree Capital I. Rather the economics resulting from Oaktree Capital I’s right to earn incentive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income are reflected in the Company’s results through investment income earned from the Company’s equity method investment in Oaktree Capital I, which as of September 30, 2025, represented an approximately 74% interest in Oaktree Capital I.</w:t>
      </w:r>
    </w:p>
    <w:p>
      <w:pPr>
        <w:spacing w:after="0" w:line="60" w:lineRule="exact"/>
        <w:rPr>
          <w:sz w:val="20"/>
          <w:szCs w:val="20"/>
          <w:color w:val="auto"/>
        </w:rPr>
      </w:pPr>
    </w:p>
    <w:p>
      <w:pPr>
        <w:ind w:right="160" w:firstLine="619"/>
        <w:spacing w:after="0" w:line="244" w:lineRule="auto"/>
        <w:rPr>
          <w:sz w:val="20"/>
          <w:szCs w:val="20"/>
          <w:color w:val="auto"/>
        </w:rPr>
      </w:pPr>
      <w:r>
        <w:rPr>
          <w:rFonts w:ascii="Arial" w:cs="Arial" w:eastAsia="Arial" w:hAnsi="Arial"/>
          <w:sz w:val="17"/>
          <w:szCs w:val="17"/>
          <w:color w:val="auto"/>
        </w:rPr>
        <w:t>We earn revenue from investment income, which represents our pro-rata share of income or loss from our investments. Historically, investment income was generally from Oaktree Capital I’s capacity as general partner in Oaktree funds and as an investor in Oaktree’s CLOs and third-party managed funds and companies. Subsequent to the 2024 Restructuring, we no longer earn investment income from the direct fund-related holdings of Oaktree Capital I. Rather the economics resulting from Oaktree Capital I’s investments are reflected in the Company’s investment income earned from the Company’s equity method investment in Oaktree Capital I, which as of September 30, 2025, represented an approximately 74% interest in Oaktree Capital I.</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consolidated revenues reflect the elimination of all revenues, if any, related to funds that are consolidated by the Company.</w:t>
      </w:r>
    </w:p>
    <w:p>
      <w:pPr>
        <w:spacing w:after="0" w:line="165"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Please see “Business—Structure and Operation of Our Business—Structure of Funds” in our annual report for a detailed discussion of the structure of Oaktree funds.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General and Administrative Expenses</w:t>
      </w:r>
    </w:p>
    <w:p>
      <w:pPr>
        <w:spacing w:after="0" w:line="163"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Compensation has historically primarily reflected compensation expense directly related to incentive income, which generally consists of percentage interests (sometimes referred to as “points” or an allocation of shares received upon the completion of a successful SPAC merger) that are granted to Oaktree investment professionals associated with the particular fund or SPAC that generated the incentive income, and secondarily, compensation directly related to investment income. There was no fixed percentage for the incentive income-related portion of this compensation, either by fund, SPAC or strategy. The percentage that consolidated incentive compensation expense represented of the particular period’s consolidated incentive income may not have been meaningful because incentive income from consolidated funds or SPACs was eliminated in consolidation, whereas no incentive income compensation expense was eliminated in consolidation.</w:t>
      </w:r>
    </w:p>
    <w:p>
      <w:pPr>
        <w:spacing w:after="0" w:line="70" w:lineRule="exact"/>
        <w:rPr>
          <w:sz w:val="20"/>
          <w:szCs w:val="20"/>
          <w:color w:val="auto"/>
        </w:rPr>
      </w:pPr>
    </w:p>
    <w:p>
      <w:pPr>
        <w:ind w:right="40" w:firstLine="619"/>
        <w:spacing w:after="0" w:line="271" w:lineRule="auto"/>
        <w:rPr>
          <w:sz w:val="20"/>
          <w:szCs w:val="20"/>
          <w:color w:val="auto"/>
        </w:rPr>
      </w:pPr>
      <w:r>
        <w:rPr>
          <w:rFonts w:ascii="Arial" w:cs="Arial" w:eastAsia="Arial" w:hAnsi="Arial"/>
          <w:sz w:val="17"/>
          <w:szCs w:val="17"/>
          <w:color w:val="auto"/>
        </w:rPr>
        <w:t>Subsequent to the 2024 Restructuring, the Company no longer earns incentive income as a result of the deconsolidation of Oaktree Capital I, and therefore will no longer record incentive compensation expense. Compensation and benefits following the 2024 Restructuring primarily reflects compensation to the Company’s board of directors.</w:t>
      </w:r>
    </w:p>
    <w:p>
      <w:pPr>
        <w:spacing w:after="0" w:line="60" w:lineRule="exact"/>
        <w:rPr>
          <w:sz w:val="20"/>
          <w:szCs w:val="20"/>
          <w:color w:val="auto"/>
        </w:rPr>
      </w:pPr>
    </w:p>
    <w:p>
      <w:pPr>
        <w:jc w:val="both"/>
        <w:ind w:right="540" w:firstLine="619"/>
        <w:spacing w:after="0" w:line="271" w:lineRule="auto"/>
        <w:rPr>
          <w:sz w:val="20"/>
          <w:szCs w:val="20"/>
          <w:color w:val="auto"/>
        </w:rPr>
      </w:pPr>
      <w:r>
        <w:rPr>
          <w:rFonts w:ascii="Arial" w:cs="Arial" w:eastAsia="Arial" w:hAnsi="Arial"/>
          <w:sz w:val="17"/>
          <w:szCs w:val="17"/>
          <w:color w:val="auto"/>
        </w:rPr>
        <w:t>Subsequent to the 2022 Restructuring, general and administrative expenses generally included costs related to outside auditors, tax professionals, derivative and hedging activity, and other general items related directly to the Company’s operations. Subsequent to the 2024 Restructuring and deconsolidation of Oaktree Capital I, the Company no longer directly incurs costs related to derivative and hedging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Fund Expenses</w:t>
      </w:r>
    </w:p>
    <w:p>
      <w:pPr>
        <w:spacing w:after="0" w:line="163" w:lineRule="exact"/>
        <w:rPr>
          <w:sz w:val="20"/>
          <w:szCs w:val="20"/>
          <w:color w:val="auto"/>
        </w:rPr>
      </w:pPr>
    </w:p>
    <w:p>
      <w:pPr>
        <w:ind w:firstLine="619"/>
        <w:spacing w:after="0" w:line="263" w:lineRule="auto"/>
        <w:rPr>
          <w:sz w:val="20"/>
          <w:szCs w:val="20"/>
          <w:color w:val="auto"/>
        </w:rPr>
      </w:pPr>
      <w:r>
        <w:rPr>
          <w:rFonts w:ascii="Arial" w:cs="Arial" w:eastAsia="Arial" w:hAnsi="Arial"/>
          <w:sz w:val="17"/>
          <w:szCs w:val="17"/>
          <w:color w:val="auto"/>
        </w:rPr>
        <w:t>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w:t>
      </w:r>
    </w:p>
    <w:p>
      <w:pPr>
        <w:spacing w:after="0" w:line="329"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As a result of the 2024 Restructuring, the Company deconsolidated Oaktree Capital I as of July 1, 2024. As such, certain Oaktree funds and CLOs which were consolidated by Oaktree Capital I are no longer consolidated by the Company. The Company continues to consolidate the respective vehicles through which interests are held in Oaktree Opportunities Fund XI, L.P. and Oaktree Opportunities Fund XII, L.P. as the Company remains the primary beneficiary.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51" w:lineRule="exact"/>
        <w:rPr>
          <w:sz w:val="20"/>
          <w:szCs w:val="20"/>
          <w:color w:val="auto"/>
        </w:rPr>
      </w:pPr>
    </w:p>
    <w:p>
      <w:pPr>
        <w:ind w:right="140" w:firstLine="619"/>
        <w:spacing w:after="0" w:line="244" w:lineRule="auto"/>
        <w:rPr>
          <w:sz w:val="20"/>
          <w:szCs w:val="20"/>
          <w:color w:val="auto"/>
        </w:rPr>
      </w:pPr>
      <w:r>
        <w:rPr>
          <w:rFonts w:ascii="Arial" w:cs="Arial" w:eastAsia="Arial" w:hAnsi="Arial"/>
          <w:sz w:val="17"/>
          <w:szCs w:val="17"/>
          <w:color w:val="auto"/>
        </w:rPr>
        <w:t>Interest expense has historically primarily reflected the interest expense of the consolidated funds, as well as the interest expense of Oaktree and its operating subsidiaries. Subsequent to the 2022 Restructuring, our financial statements reflected debt obligations, interest expense or related liabilities associated with our operating subsidiary when Oaktree Capital I directly borrowed under Oaktree’s credit agreements, issued private placement notes or entered into another debt arrangement. Subsequent to the 2024 Restructuring, as a result of the deconsolidation of Oaktree Capital I, the Company no longer records interest expense for debt obligations of Oaktree Capital I or funds that were consolidated due to interests held by Oaktree Capital I.</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 (Loss) on Consolidated Funds’ Investments</w:t>
      </w:r>
    </w:p>
    <w:p>
      <w:pPr>
        <w:spacing w:after="0" w:line="163"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Net realized gain (loss) on consolidated funds’ investments consists of realized gains and losses arising from dispositions of investments held by our consolidated funds.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(Depreciation) on Consolidated Funds’ Investments</w:t>
      </w:r>
    </w:p>
    <w:p>
      <w:pPr>
        <w:spacing w:after="0" w:line="163"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Net change in unrealized appreciation (depreciation) on consolidated funds’ investments reflects both unrealized gains and losses on investments held by our consolidated funds and the reversal upon disposition of investments of unrealized gains and losses previously recognized for those investments.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The Company is a publicly traded partnership. Because it satisfies the qualifying income test, it is not required to be treated as a corporation for U.S. federal and state income tax purposes; rather it is taxed as a partnership.</w:t>
      </w:r>
    </w:p>
    <w:p>
      <w:pPr>
        <w:spacing w:after="0" w:line="95"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spacing w:after="0" w:line="116" w:lineRule="exact"/>
        <w:rPr>
          <w:sz w:val="20"/>
          <w:szCs w:val="20"/>
          <w:color w:val="auto"/>
        </w:rPr>
      </w:pPr>
    </w:p>
    <w:p>
      <w:pPr>
        <w:jc w:val="both"/>
        <w:ind w:right="300" w:firstLine="619"/>
        <w:spacing w:after="0" w:line="271"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111" w:lineRule="exact"/>
        <w:rPr>
          <w:sz w:val="20"/>
          <w:szCs w:val="20"/>
          <w:color w:val="auto"/>
        </w:rPr>
      </w:pPr>
    </w:p>
    <w:p>
      <w:pPr>
        <w:jc w:val="both"/>
        <w:ind w:right="180" w:firstLine="619"/>
        <w:spacing w:after="0" w:line="271" w:lineRule="auto"/>
        <w:rPr>
          <w:sz w:val="20"/>
          <w:szCs w:val="20"/>
          <w:color w:val="auto"/>
        </w:rPr>
      </w:pPr>
      <w:r>
        <w:rPr>
          <w:rFonts w:ascii="Arial" w:cs="Arial" w:eastAsia="Arial" w:hAnsi="Arial"/>
          <w:sz w:val="17"/>
          <w:szCs w:val="17"/>
          <w:color w:val="auto"/>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65" w:lineRule="exact"/>
        <w:rPr>
          <w:sz w:val="20"/>
          <w:szCs w:val="20"/>
          <w:color w:val="auto"/>
        </w:rPr>
      </w:pPr>
    </w:p>
    <w:p>
      <w:pPr>
        <w:ind w:right="40" w:firstLine="619"/>
        <w:spacing w:after="0" w:line="290" w:lineRule="auto"/>
        <w:rPr>
          <w:sz w:val="20"/>
          <w:szCs w:val="20"/>
          <w:color w:val="auto"/>
        </w:rPr>
      </w:pPr>
      <w:r>
        <w:rPr>
          <w:rFonts w:ascii="Arial" w:cs="Arial" w:eastAsia="Arial" w:hAnsi="Arial"/>
          <w:sz w:val="17"/>
          <w:szCs w:val="17"/>
          <w:color w:val="auto"/>
        </w:rPr>
        <w:t>Net income attributable to non-controlling interests represents the ownership interests that third parties hold in entities that are consolidated in our financial statements. These interests fall into two categories:</w:t>
      </w:r>
    </w:p>
    <w:p>
      <w:pPr>
        <w:spacing w:after="0" w:line="82" w:lineRule="exact"/>
        <w:rPr>
          <w:sz w:val="20"/>
          <w:szCs w:val="20"/>
          <w:color w:val="auto"/>
        </w:rPr>
      </w:pPr>
    </w:p>
    <w:p>
      <w:pPr>
        <w:ind w:left="940" w:right="80" w:hanging="279"/>
        <w:spacing w:after="0" w:line="246" w:lineRule="auto"/>
        <w:tabs>
          <w:tab w:leader="none" w:pos="936"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 Income Attributable to Non-controlling Interests in Consolidated Funds. </w:t>
      </w:r>
      <w:r>
        <w:rPr>
          <w:rFonts w:ascii="Arial" w:cs="Arial" w:eastAsia="Arial" w:hAnsi="Arial"/>
          <w:sz w:val="17"/>
          <w:szCs w:val="17"/>
          <w:color w:val="auto"/>
        </w:rPr>
        <w:t>This category represents the economic interests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unaffiliated investors in the consolidated funds. The net income of these interests is primarily driven by the investment performance of the consolidated funds. In comparison to net income, this measure excludes our operating results and other items solely attributable to the Company. Following the 2024 Restructuring, with the deconsolidation of Oaktree Capital I, we no longer reflect the economic interest owned by other investors in the funds consolidated by Oaktree Capital I as noncontrolling interests; and,</w:t>
      </w:r>
    </w:p>
    <w:p>
      <w:pPr>
        <w:spacing w:after="0" w:line="197" w:lineRule="exact"/>
        <w:rPr>
          <w:rFonts w:ascii="Arial" w:cs="Arial" w:eastAsia="Arial" w:hAnsi="Arial"/>
          <w:sz w:val="17"/>
          <w:szCs w:val="17"/>
          <w:color w:val="auto"/>
        </w:rPr>
      </w:pPr>
    </w:p>
    <w:p>
      <w:pPr>
        <w:ind w:left="940" w:right="20" w:hanging="318"/>
        <w:spacing w:after="0"/>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Net Income Attributable to Non-controlling Interests in Consolidated Subsidiaries. </w:t>
      </w:r>
      <w:r>
        <w:rPr>
          <w:rFonts w:ascii="Arial" w:cs="Arial" w:eastAsia="Arial" w:hAnsi="Arial"/>
          <w:sz w:val="17"/>
          <w:szCs w:val="17"/>
          <w:color w:val="auto"/>
        </w:rPr>
        <w:t>This category primarily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 interest in the Oaktree Operating Group owned by OCGH and OEP (“OCGH and other non-controlling interest”), as well as the economic interest in certain consolidated subsidiaries held by third parties. Subsequent to the 2022 Restructuring, this category included only the OCGH and other non-controlling interest in Oaktree Capital I. The OCGH and other non-controlling interest was determined at the Oaktree Operating Group level based on the weighted average proportionate share of Oaktree Operating Group units held by OCGH and other unitholders. Inasmuch as the number of outstanding Oaktree Operating Group units corresponded with the total number of outstanding Class A, OCGH and OEP units, changes in the economic interest held by the OCGH and other unitholders were driven by additional issuances of our Class A units and driven by additional issuances of OCGH and OEP units, as well as repurchases and forfeitures of, and exchanges between, Class A, OCGH and OEP units. Certain of our expenses, such as income tax and related administrative expenses of BOH and the holding companies through which we hold interests in Oaktree Capital I, were solely attributable to the Class A unitholders. Please see note 10 to our condensed consolidated financial statements included elsewhere in this quarterly report for additional information on the economic interest in the Oaktree Operating Group owned by OCGH. Subsequent to the 2024 Restructuring, we no longer reflect the economic interest owned by OCGH and OEP as noncontrolling interests.</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Preferred Unitholders</w:t>
      </w:r>
    </w:p>
    <w:p>
      <w:pPr>
        <w:spacing w:after="0" w:line="165" w:lineRule="exact"/>
        <w:rPr>
          <w:sz w:val="20"/>
          <w:szCs w:val="20"/>
          <w:color w:val="auto"/>
        </w:rPr>
      </w:pPr>
    </w:p>
    <w:p>
      <w:pPr>
        <w:ind w:right="200" w:firstLine="619"/>
        <w:spacing w:after="0" w:line="290" w:lineRule="auto"/>
        <w:rPr>
          <w:sz w:val="20"/>
          <w:szCs w:val="20"/>
          <w:color w:val="auto"/>
        </w:rPr>
      </w:pPr>
      <w:r>
        <w:rPr>
          <w:rFonts w:ascii="Arial" w:cs="Arial" w:eastAsia="Arial" w:hAnsi="Arial"/>
          <w:sz w:val="17"/>
          <w:szCs w:val="17"/>
          <w:color w:val="auto"/>
        </w:rPr>
        <w:t>This category represents distributions declared, if any, on our preferred units. Please see note 10 to our condensed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GAAP Consolidated Results of Operations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unaudited condensed consolidated statements of operations: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 September 30,</w:t>
            </w:r>
          </w:p>
        </w:tc>
        <w:tc>
          <w:tcPr>
            <w:tcW w:w="240" w:type="dxa"/>
            <w:vAlign w:val="bottom"/>
          </w:tcPr>
          <w:p>
            <w:pPr>
              <w:spacing w:after="0"/>
              <w:rPr>
                <w:sz w:val="14"/>
                <w:szCs w:val="14"/>
                <w:color w:val="auto"/>
              </w:rPr>
            </w:pPr>
          </w:p>
        </w:tc>
        <w:tc>
          <w:tcPr>
            <w:tcW w:w="2520" w:type="dxa"/>
            <w:vAlign w:val="bottom"/>
            <w:gridSpan w:val="4"/>
          </w:tcPr>
          <w:p>
            <w:pPr>
              <w:jc w:val="right"/>
              <w:ind w:right="323"/>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63"/>
        </w:trPr>
        <w:tc>
          <w:tcPr>
            <w:tcW w:w="55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59"/>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00" w:type="dxa"/>
            <w:vAlign w:val="bottom"/>
            <w:gridSpan w:val="5"/>
          </w:tcPr>
          <w:p>
            <w:pPr>
              <w:ind w:left="140"/>
              <w:spacing w:after="0"/>
              <w:rPr>
                <w:sz w:val="20"/>
                <w:szCs w:val="20"/>
                <w:color w:val="auto"/>
              </w:rPr>
            </w:pPr>
            <w:r>
              <w:rPr>
                <w:rFonts w:ascii="Arial" w:cs="Arial" w:eastAsia="Arial" w:hAnsi="Arial"/>
                <w:sz w:val="12"/>
                <w:szCs w:val="12"/>
                <w:b w:val="1"/>
                <w:bCs w:val="1"/>
                <w:color w:val="auto"/>
              </w:rPr>
              <w:t>(in thousands, except per unit data)</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5"/>
                <w:szCs w:val="15"/>
                <w:color w:val="auto"/>
              </w:rPr>
              <w:t>Revenues: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Interest and dividend income</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121,035</w:t>
            </w:r>
          </w:p>
        </w:tc>
        <w:tc>
          <w:tcPr>
            <w:tcW w:w="16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115,041</w:t>
            </w:r>
          </w:p>
        </w:tc>
        <w:tc>
          <w:tcPr>
            <w:tcW w:w="1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381,735</w:t>
            </w:r>
          </w:p>
        </w:tc>
        <w:tc>
          <w:tcPr>
            <w:tcW w:w="16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372,817</w:t>
            </w: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Incentive income</w:t>
            </w:r>
          </w:p>
        </w:tc>
        <w:tc>
          <w:tcPr>
            <w:tcW w:w="2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117,529</w:t>
            </w: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Investment income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39,321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25,279</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43,106</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60,033</w:t>
            </w:r>
          </w:p>
        </w:tc>
        <w:tc>
          <w:tcPr>
            <w:tcW w:w="0" w:type="dxa"/>
            <w:vAlign w:val="bottom"/>
          </w:tcPr>
          <w:p>
            <w:pPr>
              <w:spacing w:after="0"/>
              <w:rPr>
                <w:sz w:val="1"/>
                <w:szCs w:val="1"/>
                <w:color w:val="auto"/>
              </w:rPr>
            </w:pPr>
          </w:p>
        </w:tc>
      </w:tr>
      <w:tr>
        <w:trPr>
          <w:trHeight w:val="199"/>
        </w:trPr>
        <w:tc>
          <w:tcPr>
            <w:tcW w:w="5520" w:type="dxa"/>
            <w:vAlign w:val="bottom"/>
          </w:tcPr>
          <w:p>
            <w:pPr>
              <w:ind w:left="620"/>
              <w:spacing w:after="0"/>
              <w:rPr>
                <w:sz w:val="20"/>
                <w:szCs w:val="20"/>
                <w:color w:val="auto"/>
              </w:rPr>
            </w:pPr>
            <w:r>
              <w:rPr>
                <w:rFonts w:ascii="Arial" w:cs="Arial" w:eastAsia="Arial" w:hAnsi="Arial"/>
                <w:sz w:val="15"/>
                <w:szCs w:val="15"/>
                <w:color w:val="auto"/>
              </w:rPr>
              <w:t>Total revenues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160,356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140,320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424,841</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550,379</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Compensation and benefits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(808)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(737)</w:t>
            </w: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Incentive income compensation</w:t>
            </w:r>
          </w:p>
        </w:tc>
        <w:tc>
          <w:tcPr>
            <w:tcW w:w="2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(22,168)</w:t>
            </w: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(2,663)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(2,712)</w:t>
            </w: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Consolidated fund expenses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(16,234)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(19,642)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(65,499)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(64,303)</w:t>
            </w: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(16,896)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(69,223)</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(72,785)</w:t>
            </w:r>
          </w:p>
        </w:tc>
        <w:tc>
          <w:tcPr>
            <w:tcW w:w="0" w:type="dxa"/>
            <w:vAlign w:val="bottom"/>
          </w:tcPr>
          <w:p>
            <w:pPr>
              <w:spacing w:after="0"/>
              <w:rPr>
                <w:sz w:val="1"/>
                <w:szCs w:val="1"/>
                <w:color w:val="auto"/>
              </w:rPr>
            </w:pPr>
          </w:p>
        </w:tc>
      </w:tr>
      <w:tr>
        <w:trPr>
          <w:trHeight w:val="199"/>
        </w:trPr>
        <w:tc>
          <w:tcPr>
            <w:tcW w:w="5520" w:type="dxa"/>
            <w:vAlign w:val="bottom"/>
          </w:tcPr>
          <w:p>
            <w:pPr>
              <w:ind w:left="620"/>
              <w:spacing w:after="0"/>
              <w:rPr>
                <w:sz w:val="20"/>
                <w:szCs w:val="20"/>
                <w:color w:val="auto"/>
              </w:rPr>
            </w:pPr>
            <w:r>
              <w:rPr>
                <w:rFonts w:ascii="Arial" w:cs="Arial" w:eastAsia="Arial" w:hAnsi="Arial"/>
                <w:sz w:val="15"/>
                <w:szCs w:val="15"/>
                <w:color w:val="auto"/>
              </w:rPr>
              <w:t>Total expenses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(33,863)</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(41,936)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(138,193)</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(162,705)</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Arial" w:cs="Arial" w:eastAsia="Arial" w:hAnsi="Arial"/>
                <w:sz w:val="15"/>
                <w:szCs w:val="15"/>
                <w:color w:val="auto"/>
              </w:rPr>
              <w:t>Other income (loss):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Net realized gain on consolidated funds’ investments</w:t>
            </w:r>
          </w:p>
        </w:tc>
        <w:tc>
          <w:tcPr>
            <w:tcW w:w="2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31,278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32,533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106,415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35,614</w:t>
            </w:r>
          </w:p>
        </w:tc>
        <w:tc>
          <w:tcPr>
            <w:tcW w:w="0" w:type="dxa"/>
            <w:vAlign w:val="bottom"/>
          </w:tcPr>
          <w:p>
            <w:pPr>
              <w:spacing w:after="0"/>
              <w:rPr>
                <w:sz w:val="1"/>
                <w:szCs w:val="1"/>
                <w:color w:val="auto"/>
              </w:rPr>
            </w:pPr>
          </w:p>
        </w:tc>
      </w:tr>
      <w:tr>
        <w:trPr>
          <w:trHeight w:val="157"/>
        </w:trPr>
        <w:tc>
          <w:tcPr>
            <w:tcW w:w="5520" w:type="dxa"/>
            <w:vAlign w:val="bottom"/>
          </w:tcPr>
          <w:p>
            <w:pPr>
              <w:ind w:left="300"/>
              <w:spacing w:after="0" w:line="157" w:lineRule="exact"/>
              <w:rPr>
                <w:sz w:val="20"/>
                <w:szCs w:val="20"/>
                <w:color w:val="auto"/>
              </w:rPr>
            </w:pPr>
            <w:r>
              <w:rPr>
                <w:rFonts w:ascii="Arial" w:cs="Arial" w:eastAsia="Arial" w:hAnsi="Arial"/>
                <w:sz w:val="15"/>
                <w:szCs w:val="15"/>
                <w:color w:val="auto"/>
              </w:rPr>
              <w:t>Net change in unrealized appreciation (depreciation) on consolidated funds’</w:t>
            </w:r>
          </w:p>
        </w:tc>
        <w:tc>
          <w:tcPr>
            <w:tcW w:w="220" w:type="dxa"/>
            <w:vAlign w:val="bottom"/>
          </w:tcPr>
          <w:p>
            <w:pPr>
              <w:spacing w:after="0"/>
              <w:rPr>
                <w:sz w:val="13"/>
                <w:szCs w:val="13"/>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23,383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52,467</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(116,961)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147,646</w:t>
            </w:r>
          </w:p>
        </w:tc>
        <w:tc>
          <w:tcPr>
            <w:tcW w:w="0" w:type="dxa"/>
            <w:vAlign w:val="bottom"/>
          </w:tcPr>
          <w:p>
            <w:pPr>
              <w:spacing w:after="0"/>
              <w:rPr>
                <w:sz w:val="1"/>
                <w:szCs w:val="1"/>
                <w:color w:val="auto"/>
              </w:rPr>
            </w:pPr>
          </w:p>
        </w:tc>
      </w:tr>
      <w:tr>
        <w:trPr>
          <w:trHeight w:val="204"/>
        </w:trPr>
        <w:tc>
          <w:tcPr>
            <w:tcW w:w="5520" w:type="dxa"/>
            <w:vAlign w:val="bottom"/>
          </w:tcPr>
          <w:p>
            <w:pPr>
              <w:ind w:left="460"/>
              <w:spacing w:after="0"/>
              <w:rPr>
                <w:sz w:val="20"/>
                <w:szCs w:val="20"/>
                <w:color w:val="auto"/>
              </w:rPr>
            </w:pPr>
            <w:r>
              <w:rPr>
                <w:rFonts w:ascii="Arial" w:cs="Arial" w:eastAsia="Arial" w:hAnsi="Arial"/>
                <w:sz w:val="15"/>
                <w:szCs w:val="15"/>
                <w:color w:val="auto"/>
              </w:rPr>
              <w:t>investments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tcPr>
          <w:p>
            <w:pPr>
              <w:ind w:left="620"/>
              <w:spacing w:after="0"/>
              <w:rPr>
                <w:sz w:val="20"/>
                <w:szCs w:val="20"/>
                <w:color w:val="auto"/>
              </w:rPr>
            </w:pPr>
            <w:r>
              <w:rPr>
                <w:rFonts w:ascii="Arial" w:cs="Arial" w:eastAsia="Arial" w:hAnsi="Arial"/>
                <w:sz w:val="15"/>
                <w:szCs w:val="15"/>
                <w:color w:val="auto"/>
              </w:rPr>
              <w:t>Total other income (loss)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54,661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85,000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(10,546)</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183,260</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2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181,154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183,384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276,102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570,934</w:t>
            </w: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20"/>
                <w:szCs w:val="20"/>
                <w:color w:val="auto"/>
              </w:rPr>
            </w:pPr>
            <w:r>
              <w:rPr>
                <w:rFonts w:ascii="Arial" w:cs="Arial" w:eastAsia="Arial" w:hAnsi="Arial"/>
                <w:sz w:val="15"/>
                <w:szCs w:val="15"/>
                <w:color w:val="auto"/>
              </w:rPr>
              <w:t>Net income</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181,154</w:t>
            </w: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183,384</w:t>
            </w: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276,102</w:t>
            </w: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570,934</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5"/>
                <w:szCs w:val="15"/>
                <w:color w:val="auto"/>
              </w:rPr>
              <w:t>Less: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300"/>
              <w:spacing w:after="0"/>
              <w:rPr>
                <w:sz w:val="20"/>
                <w:szCs w:val="20"/>
                <w:color w:val="auto"/>
              </w:rPr>
            </w:pPr>
            <w:r>
              <w:rPr>
                <w:rFonts w:ascii="Arial" w:cs="Arial" w:eastAsia="Arial" w:hAnsi="Arial"/>
                <w:sz w:val="15"/>
                <w:szCs w:val="15"/>
                <w:color w:val="auto"/>
              </w:rPr>
              <w:t>Net income attributable to non-controlling interests in consolidated funds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(114,644)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(139,377)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(191,257)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(336,844)</w:t>
            </w:r>
          </w:p>
        </w:tc>
        <w:tc>
          <w:tcPr>
            <w:tcW w:w="0" w:type="dxa"/>
            <w:vAlign w:val="bottom"/>
          </w:tcPr>
          <w:p>
            <w:pPr>
              <w:spacing w:after="0"/>
              <w:rPr>
                <w:sz w:val="1"/>
                <w:szCs w:val="1"/>
                <w:color w:val="auto"/>
              </w:rPr>
            </w:pPr>
          </w:p>
        </w:tc>
      </w:tr>
      <w:tr>
        <w:trPr>
          <w:trHeight w:val="157"/>
        </w:trPr>
        <w:tc>
          <w:tcPr>
            <w:tcW w:w="5520" w:type="dxa"/>
            <w:vAlign w:val="bottom"/>
          </w:tcPr>
          <w:p>
            <w:pPr>
              <w:ind w:left="300"/>
              <w:spacing w:after="0" w:line="157" w:lineRule="exact"/>
              <w:rPr>
                <w:sz w:val="20"/>
                <w:szCs w:val="20"/>
                <w:color w:val="auto"/>
              </w:rPr>
            </w:pPr>
            <w:r>
              <w:rPr>
                <w:rFonts w:ascii="Arial" w:cs="Arial" w:eastAsia="Arial" w:hAnsi="Arial"/>
                <w:sz w:val="15"/>
                <w:szCs w:val="15"/>
                <w:color w:val="auto"/>
              </w:rPr>
              <w:t>Net (income) loss attributable to non-controlling interests in consolidated</w:t>
            </w:r>
          </w:p>
        </w:tc>
        <w:tc>
          <w:tcPr>
            <w:tcW w:w="220" w:type="dxa"/>
            <w:vAlign w:val="bottom"/>
          </w:tcPr>
          <w:p>
            <w:pPr>
              <w:spacing w:after="0"/>
              <w:rPr>
                <w:sz w:val="13"/>
                <w:szCs w:val="13"/>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(416)</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(1,748)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(62,081)</w:t>
            </w:r>
          </w:p>
        </w:tc>
        <w:tc>
          <w:tcPr>
            <w:tcW w:w="0" w:type="dxa"/>
            <w:vAlign w:val="bottom"/>
          </w:tcPr>
          <w:p>
            <w:pPr>
              <w:spacing w:after="0"/>
              <w:rPr>
                <w:sz w:val="1"/>
                <w:szCs w:val="1"/>
                <w:color w:val="auto"/>
              </w:rPr>
            </w:pPr>
          </w:p>
        </w:tc>
      </w:tr>
      <w:tr>
        <w:trPr>
          <w:trHeight w:val="204"/>
        </w:trPr>
        <w:tc>
          <w:tcPr>
            <w:tcW w:w="5520" w:type="dxa"/>
            <w:vAlign w:val="bottom"/>
          </w:tcPr>
          <w:p>
            <w:pPr>
              <w:ind w:left="460"/>
              <w:spacing w:after="0"/>
              <w:rPr>
                <w:sz w:val="20"/>
                <w:szCs w:val="20"/>
                <w:color w:val="auto"/>
              </w:rPr>
            </w:pPr>
            <w:r>
              <w:rPr>
                <w:rFonts w:ascii="Arial" w:cs="Arial" w:eastAsia="Arial" w:hAnsi="Arial"/>
                <w:sz w:val="15"/>
                <w:szCs w:val="15"/>
                <w:color w:val="auto"/>
              </w:rPr>
              <w:t>subsidiaries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tcPr>
          <w:p>
            <w:pPr>
              <w:spacing w:after="0"/>
              <w:rPr>
                <w:sz w:val="20"/>
                <w:szCs w:val="20"/>
                <w:color w:val="auto"/>
              </w:rPr>
            </w:pPr>
            <w:r>
              <w:rPr>
                <w:rFonts w:ascii="Arial" w:cs="Arial" w:eastAsia="Arial" w:hAnsi="Arial"/>
                <w:sz w:val="15"/>
                <w:szCs w:val="15"/>
                <w:color w:val="auto"/>
              </w:rPr>
              <w:t>Net income attributable to Brookfield Oaktree Holdings, LLC</w:t>
            </w:r>
          </w:p>
        </w:tc>
        <w:tc>
          <w:tcPr>
            <w:tcW w:w="22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66,533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43,591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83,097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172,009</w:t>
            </w:r>
          </w:p>
        </w:tc>
        <w:tc>
          <w:tcPr>
            <w:tcW w:w="0" w:type="dxa"/>
            <w:vAlign w:val="bottom"/>
          </w:tcPr>
          <w:p>
            <w:pPr>
              <w:spacing w:after="0"/>
              <w:rPr>
                <w:sz w:val="1"/>
                <w:szCs w:val="1"/>
                <w:color w:val="auto"/>
              </w:rPr>
            </w:pPr>
          </w:p>
        </w:tc>
      </w:tr>
      <w:tr>
        <w:trPr>
          <w:trHeight w:val="207"/>
        </w:trPr>
        <w:tc>
          <w:tcPr>
            <w:tcW w:w="5520" w:type="dxa"/>
            <w:vAlign w:val="bottom"/>
          </w:tcPr>
          <w:p>
            <w:pPr>
              <w:ind w:left="300"/>
              <w:spacing w:after="0"/>
              <w:rPr>
                <w:sz w:val="20"/>
                <w:szCs w:val="20"/>
                <w:color w:val="auto"/>
              </w:rPr>
            </w:pPr>
            <w:r>
              <w:rPr>
                <w:rFonts w:ascii="Arial" w:cs="Arial" w:eastAsia="Arial" w:hAnsi="Arial"/>
                <w:sz w:val="15"/>
                <w:szCs w:val="15"/>
                <w:color w:val="auto"/>
              </w:rPr>
              <w:t>Net income attributable to preferred unitholders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(20,487)</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(20,487)</w:t>
            </w:r>
          </w:p>
        </w:tc>
        <w:tc>
          <w:tcPr>
            <w:tcW w:w="0" w:type="dxa"/>
            <w:vAlign w:val="bottom"/>
          </w:tcPr>
          <w:p>
            <w:pPr>
              <w:spacing w:after="0"/>
              <w:rPr>
                <w:sz w:val="1"/>
                <w:szCs w:val="1"/>
                <w:color w:val="auto"/>
              </w:rPr>
            </w:pPr>
          </w:p>
        </w:tc>
      </w:tr>
      <w:tr>
        <w:trPr>
          <w:trHeight w:val="200"/>
        </w:trPr>
        <w:tc>
          <w:tcPr>
            <w:tcW w:w="5740" w:type="dxa"/>
            <w:vAlign w:val="bottom"/>
            <w:gridSpan w:val="2"/>
          </w:tcPr>
          <w:p>
            <w:pPr>
              <w:spacing w:after="0"/>
              <w:rPr>
                <w:sz w:val="20"/>
                <w:szCs w:val="20"/>
                <w:color w:val="auto"/>
              </w:rPr>
            </w:pPr>
            <w:r>
              <w:rPr>
                <w:rFonts w:ascii="Arial" w:cs="Arial" w:eastAsia="Arial" w:hAnsi="Arial"/>
                <w:sz w:val="15"/>
                <w:szCs w:val="15"/>
                <w:color w:val="auto"/>
              </w:rPr>
              <w:t>Net income attributable to Brookfield Oaktree Holdings, LLC Class A unitholders $</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59,704</w:t>
            </w:r>
          </w:p>
        </w:tc>
        <w:tc>
          <w:tcPr>
            <w:tcW w:w="16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36,762</w:t>
            </w:r>
          </w:p>
        </w:tc>
        <w:tc>
          <w:tcPr>
            <w:tcW w:w="1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62,610</w:t>
            </w:r>
          </w:p>
        </w:tc>
        <w:tc>
          <w:tcPr>
            <w:tcW w:w="16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151,522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520" w:type="dxa"/>
            <w:vAlign w:val="bottom"/>
          </w:tcPr>
          <w:p>
            <w:pPr>
              <w:spacing w:after="0"/>
              <w:rPr>
                <w:sz w:val="20"/>
                <w:szCs w:val="20"/>
                <w:color w:val="auto"/>
              </w:rPr>
            </w:pPr>
            <w:r>
              <w:rPr>
                <w:rFonts w:ascii="Arial" w:cs="Arial" w:eastAsia="Arial" w:hAnsi="Arial"/>
                <w:sz w:val="15"/>
                <w:szCs w:val="15"/>
                <w:color w:val="auto"/>
              </w:rPr>
              <w:t>Distributions declared per Class A unit</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0.28</w:t>
            </w:r>
          </w:p>
        </w:tc>
        <w:tc>
          <w:tcPr>
            <w:tcW w:w="160" w:type="dxa"/>
            <w:vAlign w:val="bottom"/>
          </w:tcPr>
          <w:p>
            <w:pPr>
              <w:spacing w:after="0"/>
              <w:rPr>
                <w:sz w:val="24"/>
                <w:szCs w:val="24"/>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0.65</w:t>
            </w:r>
          </w:p>
        </w:tc>
        <w:tc>
          <w:tcPr>
            <w:tcW w:w="180" w:type="dxa"/>
            <w:vAlign w:val="bottom"/>
          </w:tcPr>
          <w:p>
            <w:pPr>
              <w:spacing w:after="0"/>
              <w:rPr>
                <w:sz w:val="24"/>
                <w:szCs w:val="24"/>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1.86</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5"/>
                <w:szCs w:val="15"/>
                <w:color w:val="auto"/>
              </w:rPr>
              <w:t>Net income (loss) per Class A unit (basic and diluted):</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20" w:type="dxa"/>
            <w:vAlign w:val="bottom"/>
            <w:vMerge w:val="continue"/>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0.50</w:t>
            </w:r>
          </w:p>
        </w:tc>
        <w:tc>
          <w:tcPr>
            <w:tcW w:w="160" w:type="dxa"/>
            <w:vAlign w:val="bottom"/>
          </w:tcPr>
          <w:p>
            <w:pPr>
              <w:spacing w:after="0"/>
              <w:rPr>
                <w:sz w:val="14"/>
                <w:szCs w:val="14"/>
                <w:color w:val="auto"/>
              </w:rPr>
            </w:pP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0.33</w:t>
            </w:r>
          </w:p>
        </w:tc>
        <w:tc>
          <w:tcPr>
            <w:tcW w:w="180" w:type="dxa"/>
            <w:vAlign w:val="bottom"/>
          </w:tcPr>
          <w:p>
            <w:pPr>
              <w:spacing w:after="0"/>
              <w:rPr>
                <w:sz w:val="14"/>
                <w:szCs w:val="14"/>
                <w:color w:val="auto"/>
              </w:rPr>
            </w:pP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4"/>
              <w:spacing w:after="0"/>
              <w:rPr>
                <w:sz w:val="20"/>
                <w:szCs w:val="20"/>
                <w:color w:val="auto"/>
              </w:rPr>
            </w:pPr>
            <w:r>
              <w:rPr>
                <w:rFonts w:ascii="Arial" w:cs="Arial" w:eastAsia="Arial" w:hAnsi="Arial"/>
                <w:sz w:val="15"/>
                <w:szCs w:val="15"/>
                <w:color w:val="auto"/>
              </w:rPr>
              <w:t>0.53</w:t>
            </w:r>
          </w:p>
        </w:tc>
        <w:tc>
          <w:tcPr>
            <w:tcW w:w="160" w:type="dxa"/>
            <w:vAlign w:val="bottom"/>
          </w:tcPr>
          <w:p>
            <w:pPr>
              <w:spacing w:after="0"/>
              <w:rPr>
                <w:sz w:val="14"/>
                <w:szCs w:val="14"/>
                <w:color w:val="auto"/>
              </w:rPr>
            </w:pP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13"/>
        </w:trPr>
        <w:tc>
          <w:tcPr>
            <w:tcW w:w="5520" w:type="dxa"/>
            <w:vAlign w:val="bottom"/>
          </w:tcPr>
          <w:p>
            <w:pPr>
              <w:ind w:left="300"/>
              <w:spacing w:after="0"/>
              <w:rPr>
                <w:sz w:val="20"/>
                <w:szCs w:val="20"/>
                <w:color w:val="auto"/>
              </w:rPr>
            </w:pPr>
            <w:r>
              <w:rPr>
                <w:rFonts w:ascii="Arial" w:cs="Arial" w:eastAsia="Arial" w:hAnsi="Arial"/>
                <w:sz w:val="15"/>
                <w:szCs w:val="15"/>
                <w:color w:val="auto"/>
              </w:rPr>
              <w:t>Net income (loss) per Class A unit</w:t>
            </w:r>
          </w:p>
        </w:tc>
        <w:tc>
          <w:tcPr>
            <w:tcW w:w="2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tcPr>
          <w:p>
            <w:pPr>
              <w:ind w:left="300"/>
              <w:spacing w:after="0"/>
              <w:rPr>
                <w:sz w:val="20"/>
                <w:szCs w:val="20"/>
                <w:color w:val="auto"/>
              </w:rPr>
            </w:pPr>
            <w:r>
              <w:rPr>
                <w:rFonts w:ascii="Arial" w:cs="Arial" w:eastAsia="Arial" w:hAnsi="Arial"/>
                <w:sz w:val="15"/>
                <w:szCs w:val="15"/>
                <w:color w:val="auto"/>
              </w:rPr>
              <w:t>Weighted average number of Class A units outstanding</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118,832</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112,694</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117,968</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Third Quarter Ended September 30, 2025 Compared to the Third Quarter Ended September 30,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 Income</w:t>
      </w:r>
    </w:p>
    <w:p>
      <w:pPr>
        <w:spacing w:after="0" w:line="163" w:lineRule="exact"/>
        <w:rPr>
          <w:sz w:val="20"/>
          <w:szCs w:val="20"/>
          <w:color w:val="auto"/>
        </w:rPr>
      </w:pPr>
    </w:p>
    <w:p>
      <w:pPr>
        <w:ind w:right="80" w:firstLine="619"/>
        <w:spacing w:after="0" w:line="290" w:lineRule="auto"/>
        <w:rPr>
          <w:sz w:val="20"/>
          <w:szCs w:val="20"/>
          <w:color w:val="auto"/>
        </w:rPr>
      </w:pPr>
      <w:r>
        <w:rPr>
          <w:rFonts w:ascii="Arial" w:cs="Arial" w:eastAsia="Arial" w:hAnsi="Arial"/>
          <w:sz w:val="17"/>
          <w:szCs w:val="17"/>
          <w:color w:val="auto"/>
        </w:rPr>
        <w:t>Interest and dividend income increased $6.0 million, or 5.2%, to $121.0 million for the third quarter of 2025, from $115.0 million for the third quarter of 2024. The increase was primarily attributable to higher income from our investments in Opps XII.</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Subsequent to the 2024 Restructuring, we no longer earn incentive income due to the deconsolidation of Oaktree Capital I.</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Income</w:t>
      </w:r>
    </w:p>
    <w:p>
      <w:pPr>
        <w:spacing w:after="0" w:line="151" w:lineRule="exact"/>
        <w:rPr>
          <w:sz w:val="20"/>
          <w:szCs w:val="20"/>
          <w:color w:val="auto"/>
        </w:rPr>
      </w:pPr>
    </w:p>
    <w:p>
      <w:pPr>
        <w:ind w:right="40" w:firstLine="619"/>
        <w:spacing w:after="0" w:line="274" w:lineRule="auto"/>
        <w:rPr>
          <w:sz w:val="20"/>
          <w:szCs w:val="20"/>
          <w:color w:val="auto"/>
        </w:rPr>
      </w:pPr>
      <w:r>
        <w:rPr>
          <w:rFonts w:ascii="Arial" w:cs="Arial" w:eastAsia="Arial" w:hAnsi="Arial"/>
          <w:sz w:val="17"/>
          <w:szCs w:val="17"/>
          <w:color w:val="auto"/>
        </w:rPr>
        <w:t>Investment income increased $14.0 million, or 55.3%, to $39.3 million for the third quarter of 2025, from $25.3 million for the third quarter of 2024, primarily due to increases in the values of a publicly traded equity investment and a global opportunities fund held by Oaktree Capital I.</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63" w:lineRule="exact"/>
        <w:rPr>
          <w:sz w:val="20"/>
          <w:szCs w:val="20"/>
          <w:color w:val="auto"/>
        </w:rPr>
      </w:pPr>
    </w:p>
    <w:p>
      <w:pPr>
        <w:ind w:right="100" w:firstLine="619"/>
        <w:spacing w:after="0" w:line="290" w:lineRule="auto"/>
        <w:rPr>
          <w:sz w:val="20"/>
          <w:szCs w:val="20"/>
          <w:color w:val="auto"/>
        </w:rPr>
      </w:pPr>
      <w:r>
        <w:rPr>
          <w:rFonts w:ascii="Arial" w:cs="Arial" w:eastAsia="Arial" w:hAnsi="Arial"/>
          <w:sz w:val="17"/>
          <w:szCs w:val="17"/>
          <w:color w:val="auto"/>
        </w:rPr>
        <w:t>General and administrative expenses increased $0.1 million, or 25.0%, to $0.5 million for the third quarter of 2025, from $0.4 million for the third quarter of 2024, primarily due to higher accounting fees.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Fund Expenses</w:t>
      </w:r>
    </w:p>
    <w:p>
      <w:pPr>
        <w:spacing w:after="0" w:line="151" w:lineRule="exact"/>
        <w:rPr>
          <w:sz w:val="20"/>
          <w:szCs w:val="20"/>
          <w:color w:val="auto"/>
        </w:rPr>
      </w:pPr>
    </w:p>
    <w:p>
      <w:pPr>
        <w:ind w:right="120" w:firstLine="619"/>
        <w:spacing w:after="0" w:line="274" w:lineRule="auto"/>
        <w:rPr>
          <w:sz w:val="20"/>
          <w:szCs w:val="20"/>
          <w:color w:val="auto"/>
        </w:rPr>
      </w:pPr>
      <w:r>
        <w:rPr>
          <w:rFonts w:ascii="Arial" w:cs="Arial" w:eastAsia="Arial" w:hAnsi="Arial"/>
          <w:sz w:val="17"/>
          <w:szCs w:val="17"/>
          <w:color w:val="auto"/>
        </w:rPr>
        <w:t>Consolidated fund expenses decreased $3.4 million, or 17.3%, to $16.2 million for the third quarter of 2025, from $19.6 million for the third quarter of 2024. The decrease is primarily due to lower general costs incurred by Opps XI.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64"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Interest expense decreased $4.7 million, or 21.8%, to $16.9 million for the third quarter of 2025, from $21.6 million for the third quarter of 2024. The decrease was primarily driven by lower interest expense incurred by Opps XII, reflecting reduced debt balances during the third quarter of 2025.</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 on Consolidated Funds’ Investments</w:t>
      </w:r>
    </w:p>
    <w:p>
      <w:pPr>
        <w:spacing w:after="0" w:line="151" w:lineRule="exact"/>
        <w:rPr>
          <w:sz w:val="20"/>
          <w:szCs w:val="20"/>
          <w:color w:val="auto"/>
        </w:rPr>
      </w:pPr>
    </w:p>
    <w:p>
      <w:pPr>
        <w:jc w:val="both"/>
        <w:ind w:right="300" w:firstLine="619"/>
        <w:spacing w:after="0" w:line="255" w:lineRule="auto"/>
        <w:rPr>
          <w:sz w:val="20"/>
          <w:szCs w:val="20"/>
          <w:color w:val="auto"/>
        </w:rPr>
      </w:pPr>
      <w:r>
        <w:rPr>
          <w:rFonts w:ascii="Arial" w:cs="Arial" w:eastAsia="Arial" w:hAnsi="Arial"/>
          <w:sz w:val="17"/>
          <w:szCs w:val="17"/>
          <w:color w:val="auto"/>
        </w:rPr>
        <w:t>Net realized gain on consolidated funds’ investments decreased $1.2 million, or 3.7%, to $31.3 million for the third quarter of 2025 from $32.5 million for the third quarter of 2024 . The net realized gain during the third quarter of 2025 reflects our consolidated funds’ performance on investments sold and the decrease is primarily due to Opps XI.</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(Depreciation) on Consolidated Funds’ Investments</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change in unrealized appreciation (depreciation) on consolidated funds’ investments decreased $29.1 million, or 55.4%</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a gain of</w:t>
      </w:r>
    </w:p>
    <w:p>
      <w:pPr>
        <w:spacing w:after="0" w:line="1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$23.4 million for the third quarter of 2025, from a gain of $52.5 million for the third quarter of 2024. Excluding the impact of the reversal of net realized gain (loss) on consolidated funds’ investments, the net change in unrealized appreciation (depreciation) on consolidated funds’ investments</w:t>
      </w:r>
    </w:p>
    <w:p>
      <w:pPr>
        <w:spacing w:after="0" w:line="1" w:lineRule="exact"/>
        <w:rPr>
          <w:sz w:val="20"/>
          <w:szCs w:val="20"/>
          <w:color w:val="auto"/>
        </w:rPr>
      </w:pPr>
    </w:p>
    <w:p>
      <w:pPr>
        <w:ind w:right="400"/>
        <w:spacing w:after="0" w:line="254" w:lineRule="auto"/>
        <w:rPr>
          <w:sz w:val="20"/>
          <w:szCs w:val="20"/>
          <w:color w:val="auto"/>
        </w:rPr>
      </w:pPr>
      <w:r>
        <w:rPr>
          <w:rFonts w:ascii="Arial" w:cs="Arial" w:eastAsia="Arial" w:hAnsi="Arial"/>
          <w:sz w:val="17"/>
          <w:szCs w:val="17"/>
          <w:color w:val="auto"/>
        </w:rPr>
        <w:t>decreased $30.3 million, to a net gain of $54.7 million for the third quarter of 2025, from a net gain of $85.0 million for the third quarter of 2024, primarily resulting from our investment in Opps XI.</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Non-controlling Interests in Consolidated Funds</w:t>
      </w:r>
    </w:p>
    <w:p>
      <w:pPr>
        <w:spacing w:after="0" w:line="191" w:lineRule="exact"/>
        <w:rPr>
          <w:sz w:val="20"/>
          <w:szCs w:val="20"/>
          <w:color w:val="auto"/>
        </w:rPr>
      </w:pPr>
    </w:p>
    <w:p>
      <w:pPr>
        <w:jc w:val="both"/>
        <w:ind w:right="160" w:firstLine="619"/>
        <w:spacing w:after="0" w:line="271" w:lineRule="auto"/>
        <w:rPr>
          <w:sz w:val="20"/>
          <w:szCs w:val="20"/>
          <w:color w:val="auto"/>
        </w:rPr>
      </w:pPr>
      <w:r>
        <w:rPr>
          <w:rFonts w:ascii="Arial" w:cs="Arial" w:eastAsia="Arial" w:hAnsi="Arial"/>
          <w:sz w:val="17"/>
          <w:szCs w:val="17"/>
          <w:color w:val="auto"/>
        </w:rPr>
        <w:t>Net income attributable to non-controlling interests in consolidated funds decreased $24.8 million, or 17.8%</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$114.6 million for the third quarter of 2025, from $ 139.4 million for the third quarter of 2024. The decrease reflected our consolidated funds’ performance attributable to third-party investors in each period. These effects are described in more detail under “—Other Income (Loss)” above.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15"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Net Income Attributable to Brookfield Oaktree Holdings, LLC Class A Unitholders</w:t>
      </w:r>
    </w:p>
    <w:p>
      <w:pPr>
        <w:spacing w:after="0" w:line="153" w:lineRule="exact"/>
        <w:rPr>
          <w:sz w:val="20"/>
          <w:szCs w:val="20"/>
          <w:color w:val="auto"/>
        </w:rPr>
      </w:pPr>
    </w:p>
    <w:p>
      <w:pPr>
        <w:ind w:firstLine="619"/>
        <w:spacing w:after="0" w:line="249" w:lineRule="auto"/>
        <w:rPr>
          <w:sz w:val="20"/>
          <w:szCs w:val="20"/>
          <w:color w:val="auto"/>
        </w:rPr>
      </w:pPr>
      <w:r>
        <w:rPr>
          <w:rFonts w:ascii="Arial" w:cs="Arial" w:eastAsia="Arial" w:hAnsi="Arial"/>
          <w:sz w:val="17"/>
          <w:szCs w:val="17"/>
          <w:color w:val="auto"/>
        </w:rPr>
        <w:t>Net income attributable to Brookfield Oaktree Holdings, LLC Class A unitholders increased $22.9 million, or 62.2%, to $59.7 million for the third quarter of 2025, from $36.8 million for the third quarter of 2024, primarily reflecting decrease in net income attributable to non-controlling interests in consolidated funds. These effects are described in more detail under “— Net Income Attributable to Non-controlling Interests in Consolidated Funds” above.</w:t>
      </w: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012" w:right="49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Nine Months Ended September 30, 2025 Compared to the Nine Months Ended September 30,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 Income</w:t>
      </w:r>
    </w:p>
    <w:p>
      <w:pPr>
        <w:spacing w:after="0" w:line="163" w:lineRule="exact"/>
        <w:rPr>
          <w:sz w:val="20"/>
          <w:szCs w:val="20"/>
          <w:color w:val="auto"/>
        </w:rPr>
      </w:pPr>
    </w:p>
    <w:p>
      <w:pPr>
        <w:ind w:right="140" w:firstLine="619"/>
        <w:spacing w:after="0" w:line="271" w:lineRule="auto"/>
        <w:rPr>
          <w:sz w:val="20"/>
          <w:szCs w:val="20"/>
          <w:color w:val="auto"/>
        </w:rPr>
      </w:pPr>
      <w:r>
        <w:rPr>
          <w:rFonts w:ascii="Arial" w:cs="Arial" w:eastAsia="Arial" w:hAnsi="Arial"/>
          <w:sz w:val="17"/>
          <w:szCs w:val="17"/>
          <w:color w:val="auto"/>
        </w:rPr>
        <w:t>Interest and dividend income increased $8.9 million, or 2.4%, to $381.7 million for the first nine months of 2025, from $372.8 million for the first nine months of 2024. The increase was primarily attributable to higher income from our investments in Opps XII, partially offset by the deconsolidation of Oaktree Capital I as a result of the 2024 Restructuring.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w:t>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Subsequent to the 2024 Restructuring, we no longer earn incentive income due to the deconsolidation of Oaktree Capital I.</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Income</w:t>
      </w:r>
    </w:p>
    <w:p>
      <w:pPr>
        <w:spacing w:after="0" w:line="163" w:lineRule="exact"/>
        <w:rPr>
          <w:sz w:val="20"/>
          <w:szCs w:val="20"/>
          <w:color w:val="auto"/>
        </w:rPr>
      </w:pPr>
    </w:p>
    <w:p>
      <w:pPr>
        <w:ind w:right="140" w:firstLine="619"/>
        <w:spacing w:after="0" w:line="290" w:lineRule="auto"/>
        <w:rPr>
          <w:sz w:val="20"/>
          <w:szCs w:val="20"/>
          <w:color w:val="auto"/>
        </w:rPr>
      </w:pPr>
      <w:r>
        <w:rPr>
          <w:rFonts w:ascii="Arial" w:cs="Arial" w:eastAsia="Arial" w:hAnsi="Arial"/>
          <w:sz w:val="17"/>
          <w:szCs w:val="17"/>
          <w:color w:val="auto"/>
        </w:rPr>
        <w:t>Investment income decreased $16.9 million, or 28.2%, to $ 43.1 million for the first nine months of 2025, from $ 60.0 million for the first nine months of 2024, primarily due to decreases in the values of certain publicly-traded equity investments held by Oaktree Capital I.</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Income Compensation</w:t>
      </w:r>
    </w:p>
    <w:p>
      <w:pPr>
        <w:spacing w:after="0" w:line="151" w:lineRule="exact"/>
        <w:rPr>
          <w:sz w:val="20"/>
          <w:szCs w:val="20"/>
          <w:color w:val="auto"/>
        </w:rPr>
      </w:pPr>
    </w:p>
    <w:p>
      <w:pPr>
        <w:ind w:right="180" w:firstLine="619"/>
        <w:spacing w:after="0" w:line="274" w:lineRule="auto"/>
        <w:rPr>
          <w:sz w:val="20"/>
          <w:szCs w:val="20"/>
          <w:color w:val="auto"/>
        </w:rPr>
      </w:pPr>
      <w:r>
        <w:rPr>
          <w:rFonts w:ascii="Arial" w:cs="Arial" w:eastAsia="Arial" w:hAnsi="Arial"/>
          <w:sz w:val="17"/>
          <w:szCs w:val="17"/>
          <w:color w:val="auto"/>
        </w:rPr>
        <w:t>Subsequent to the 2024 Restructuring, we no longer incur incentive income compensation expense due to the deconsolidation of Oaktree Capital I.</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63" w:lineRule="exact"/>
        <w:rPr>
          <w:sz w:val="20"/>
          <w:szCs w:val="20"/>
          <w:color w:val="auto"/>
        </w:rPr>
      </w:pPr>
    </w:p>
    <w:p>
      <w:pPr>
        <w:ind w:right="260" w:firstLine="619"/>
        <w:spacing w:after="0" w:line="290" w:lineRule="auto"/>
        <w:rPr>
          <w:sz w:val="20"/>
          <w:szCs w:val="20"/>
          <w:color w:val="auto"/>
        </w:rPr>
      </w:pPr>
      <w:r>
        <w:rPr>
          <w:rFonts w:ascii="Arial" w:cs="Arial" w:eastAsia="Arial" w:hAnsi="Arial"/>
          <w:sz w:val="17"/>
          <w:szCs w:val="17"/>
          <w:color w:val="auto"/>
        </w:rPr>
        <w:t>General and administrative expenses were $2.7 million for each of the first nine months of 2025 and the first nine months of 2024, as the benefit from the deconsolidation of Oaktree Capital I following the 2024 Restructuring was offset by higher accounting costs.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Fund Expenses</w:t>
      </w:r>
    </w:p>
    <w:p>
      <w:pPr>
        <w:spacing w:after="0" w:line="163" w:lineRule="exact"/>
        <w:rPr>
          <w:sz w:val="20"/>
          <w:szCs w:val="20"/>
          <w:color w:val="auto"/>
        </w:rPr>
      </w:pPr>
    </w:p>
    <w:p>
      <w:pPr>
        <w:ind w:right="20" w:firstLine="619"/>
        <w:spacing w:after="0" w:line="271" w:lineRule="auto"/>
        <w:rPr>
          <w:sz w:val="20"/>
          <w:szCs w:val="20"/>
          <w:color w:val="auto"/>
        </w:rPr>
      </w:pPr>
      <w:r>
        <w:rPr>
          <w:rFonts w:ascii="Arial" w:cs="Arial" w:eastAsia="Arial" w:hAnsi="Arial"/>
          <w:sz w:val="17"/>
          <w:szCs w:val="17"/>
          <w:color w:val="auto"/>
        </w:rPr>
        <w:t>Consolidated fund expenses increased $1.2 million, or 1.9%, to $65.5 million for the first nine months of 2025, from $64.3 million for the first nine months of 2024. The increase is primarily due to higher general costs incurred by Opps XII, partially offset by the deconsolidation of Oaktree Capital I’s consolidated funds following the 2024 Restructuring.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63" w:lineRule="exact"/>
        <w:rPr>
          <w:sz w:val="20"/>
          <w:szCs w:val="20"/>
          <w:color w:val="auto"/>
        </w:rPr>
      </w:pPr>
    </w:p>
    <w:p>
      <w:pPr>
        <w:jc w:val="both"/>
        <w:ind w:right="460" w:firstLine="619"/>
        <w:spacing w:after="0" w:line="271" w:lineRule="auto"/>
        <w:rPr>
          <w:sz w:val="20"/>
          <w:szCs w:val="20"/>
          <w:color w:val="auto"/>
        </w:rPr>
      </w:pPr>
      <w:r>
        <w:rPr>
          <w:rFonts w:ascii="Arial" w:cs="Arial" w:eastAsia="Arial" w:hAnsi="Arial"/>
          <w:sz w:val="17"/>
          <w:szCs w:val="17"/>
          <w:color w:val="auto"/>
        </w:rPr>
        <w:t>Interest expense decreased $3.6 million, or 4.9%, to $69.2 million for the first nine months of 2025, from $72.8 million for the first nine months of 2024. The decrease is primarily driven by the deconsolidation of Oaktree Capital I and its consolidated funds as a result of the 2024 Restructuring, partially offset by higher interest incurred by Opps XI and Opps XII due to higher debt balances earlier in the year.</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Realized Gain on Consolidated Funds’ Investments</w:t>
      </w:r>
    </w:p>
    <w:p>
      <w:pPr>
        <w:spacing w:after="0" w:line="163" w:lineRule="exact"/>
        <w:rPr>
          <w:sz w:val="20"/>
          <w:szCs w:val="20"/>
          <w:color w:val="auto"/>
        </w:rPr>
      </w:pPr>
    </w:p>
    <w:p>
      <w:pPr>
        <w:jc w:val="both"/>
        <w:ind w:right="80" w:firstLine="619"/>
        <w:spacing w:after="0" w:line="271" w:lineRule="auto"/>
        <w:rPr>
          <w:sz w:val="20"/>
          <w:szCs w:val="20"/>
          <w:color w:val="auto"/>
        </w:rPr>
      </w:pPr>
      <w:r>
        <w:rPr>
          <w:rFonts w:ascii="Arial" w:cs="Arial" w:eastAsia="Arial" w:hAnsi="Arial"/>
          <w:sz w:val="17"/>
          <w:szCs w:val="17"/>
          <w:color w:val="auto"/>
        </w:rPr>
        <w:t>Net realized gain on consolidated funds’ investments increased $70.8 million, or 198.9%</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$ 106.4 million for the first nine months of 2025 from a net gain of $ 35.6 million for the first nine months of 2024. The net realized gain during the first nine months of 2025 reflects our consolidated funds’ performance on investments sold and the increase is primarily due to Opps XI and Opps XII.</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Change in Unrealized Appreciation (Depreciation) on Consolidated Funds’ Investments</w:t>
      </w:r>
    </w:p>
    <w:p>
      <w:pPr>
        <w:spacing w:after="0" w:line="163"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Net change in unrealized appreciation (depreciation) on consolidated funds’ investments decreased $264.6 million, or 179.3%</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a depreciation of $117.0 million for the first nine months of 2025, from an appreciation of $ 147.6 million for the first nine months of 2024. Excluding the impact of the reversal of net realized gain (loss) on consolidated funds’ investments, the net change in unrealized appreciation (depreciation) on consolidated funds’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6" w:name="page57"/>
    <w:bookmarkEnd w:id="56"/>
    <w:p>
      <w:pPr>
        <w:ind w:right="120"/>
        <w:spacing w:after="0" w:line="290" w:lineRule="auto"/>
        <w:rPr>
          <w:sz w:val="20"/>
          <w:szCs w:val="20"/>
          <w:color w:val="auto"/>
        </w:rPr>
      </w:pPr>
      <w:r>
        <w:rPr>
          <w:rFonts w:ascii="Arial" w:cs="Arial" w:eastAsia="Arial" w:hAnsi="Arial"/>
          <w:sz w:val="17"/>
          <w:szCs w:val="17"/>
          <w:color w:val="auto"/>
        </w:rPr>
        <w:t>investments decreased $193.8 million, to a net loss of $10.5 million for the first nine months of 2025, from a net gain of $183.3 million for the first nine months of 2024, primarily resulting from our investment in Opps XI.</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Non-controlling Interests in Consolidated Funds</w:t>
      </w:r>
    </w:p>
    <w:p>
      <w:pPr>
        <w:spacing w:after="0" w:line="178" w:lineRule="exact"/>
        <w:rPr>
          <w:sz w:val="20"/>
          <w:szCs w:val="20"/>
          <w:color w:val="auto"/>
        </w:rPr>
      </w:pPr>
    </w:p>
    <w:p>
      <w:pPr>
        <w:ind w:right="120" w:firstLine="619"/>
        <w:spacing w:after="0" w:line="271" w:lineRule="auto"/>
        <w:rPr>
          <w:sz w:val="20"/>
          <w:szCs w:val="20"/>
          <w:color w:val="auto"/>
        </w:rPr>
      </w:pPr>
      <w:r>
        <w:rPr>
          <w:rFonts w:ascii="Arial" w:cs="Arial" w:eastAsia="Arial" w:hAnsi="Arial"/>
          <w:sz w:val="17"/>
          <w:szCs w:val="17"/>
          <w:color w:val="auto"/>
        </w:rPr>
        <w:t>Net income attributable to non-controlling interests in consolidated funds decreased $145.5 million, to $191.3 million for the first nine months of 2025, from $336.8 million for the first nine months of 2024. The decrease reflected our consolidated funds’ performance attributable to third-party investors in each period. These effects are described in more detail under “—Other Income (Loss)” above.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Brookfield Oaktree Holdings, LLC Class A Unitholders</w:t>
      </w:r>
    </w:p>
    <w:p>
      <w:pPr>
        <w:spacing w:after="0" w:line="153"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Net income (loss) attributable to Brookfield Oaktree Holdings, LLC Class A unitholders decreased $88.9 million, or 58.7%, to $62.6 million for the first nine months of 2025, from $151.5 million for the first nine months of 2024, primarily reflecting unrealized investment losses. These effects are described in more detail under “— Net Change in Unrealized Appreciation (Depreciation) on Consolidated Funds’ Investment” above.</w:t>
      </w: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012" w:right="49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GAAP Statement of Financial Condition (Unaudited)</w:t>
      </w:r>
    </w:p>
    <w:p>
      <w:pPr>
        <w:spacing w:after="0" w:line="155" w:lineRule="exact"/>
        <w:rPr>
          <w:sz w:val="20"/>
          <w:szCs w:val="20"/>
          <w:color w:val="auto"/>
        </w:rPr>
      </w:pPr>
    </w:p>
    <w:p>
      <w:pPr>
        <w:ind w:right="20" w:firstLine="619"/>
        <w:spacing w:after="0" w:line="274" w:lineRule="auto"/>
        <w:rPr>
          <w:sz w:val="20"/>
          <w:szCs w:val="20"/>
          <w:color w:val="auto"/>
        </w:rPr>
      </w:pPr>
      <w:r>
        <w:rPr>
          <w:rFonts w:ascii="Arial" w:cs="Arial" w:eastAsia="Arial" w:hAnsi="Arial"/>
          <w:sz w:val="17"/>
          <w:szCs w:val="17"/>
          <w:color w:val="auto"/>
        </w:rPr>
        <w:t>We manage our financial condition without the consolidation of the Oaktree funds. Since Oaktree’s founding, Oaktree and, by extension, we have managed our financial condition in a way that builds our capital base and maintains sufficient liquidity for known and anticipated uses of cash.</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our unaudited condensed consolidating statement of financial condition:</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2"/>
                <w:szCs w:val="12"/>
                <w:b w:val="1"/>
                <w:bCs w:val="1"/>
                <w:color w:val="auto"/>
              </w:rPr>
              <w:t>As of September 30, 2025</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tcPr>
          <w:p>
            <w:pPr>
              <w:ind w:left="80"/>
              <w:spacing w:after="0" w:line="113" w:lineRule="exact"/>
              <w:rPr>
                <w:sz w:val="20"/>
                <w:szCs w:val="20"/>
                <w:color w:val="auto"/>
              </w:rPr>
            </w:pPr>
            <w:r>
              <w:rPr>
                <w:rFonts w:ascii="Arial" w:cs="Arial" w:eastAsia="Arial" w:hAnsi="Arial"/>
                <w:sz w:val="12"/>
                <w:szCs w:val="12"/>
                <w:b w:val="1"/>
                <w:bCs w:val="1"/>
                <w:color w:val="auto"/>
              </w:rPr>
              <w:t>BOH and its</w:t>
            </w:r>
          </w:p>
        </w:tc>
        <w:tc>
          <w:tcPr>
            <w:tcW w:w="15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Consolidated Funds</w:t>
            </w:r>
          </w:p>
        </w:tc>
        <w:tc>
          <w:tcPr>
            <w:tcW w:w="180" w:type="dxa"/>
            <w:vAlign w:val="bottom"/>
          </w:tcPr>
          <w:p>
            <w:pPr>
              <w:spacing w:after="0"/>
              <w:rPr>
                <w:sz w:val="9"/>
                <w:szCs w:val="9"/>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Eliminations</w:t>
            </w:r>
          </w:p>
        </w:tc>
        <w:tc>
          <w:tcPr>
            <w:tcW w:w="180" w:type="dxa"/>
            <w:vAlign w:val="bottom"/>
          </w:tcPr>
          <w:p>
            <w:pPr>
              <w:spacing w:after="0"/>
              <w:rPr>
                <w:sz w:val="9"/>
                <w:szCs w:val="9"/>
                <w:color w:val="auto"/>
              </w:rPr>
            </w:pPr>
          </w:p>
        </w:tc>
        <w:tc>
          <w:tcPr>
            <w:tcW w:w="106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77"/>
        </w:trPr>
        <w:tc>
          <w:tcPr>
            <w:tcW w:w="5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subsidiaries</w:t>
            </w:r>
          </w:p>
        </w:tc>
        <w:tc>
          <w:tcPr>
            <w:tcW w:w="154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580"/>
              <w:spacing w:after="0"/>
              <w:rPr>
                <w:sz w:val="20"/>
                <w:szCs w:val="20"/>
                <w:color w:val="auto"/>
              </w:rPr>
            </w:pPr>
            <w:r>
              <w:rPr>
                <w:rFonts w:ascii="Arial" w:cs="Arial" w:eastAsia="Arial" w:hAnsi="Arial"/>
                <w:sz w:val="12"/>
                <w:szCs w:val="12"/>
                <w:b w:val="1"/>
                <w:bCs w:val="1"/>
                <w:color w:val="auto"/>
                <w:w w:val="99"/>
              </w:rPr>
              <w:t>(in thousands)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40" w:type="dxa"/>
            <w:vAlign w:val="bottom"/>
          </w:tcPr>
          <w:p>
            <w:pPr>
              <w:spacing w:after="0"/>
              <w:rPr>
                <w:sz w:val="20"/>
                <w:szCs w:val="20"/>
                <w:color w:val="auto"/>
              </w:rPr>
            </w:pPr>
            <w:r>
              <w:rPr>
                <w:rFonts w:ascii="Arial" w:cs="Arial" w:eastAsia="Arial" w:hAnsi="Arial"/>
                <w:sz w:val="15"/>
                <w:szCs w:val="15"/>
                <w:color w:val="auto"/>
              </w:rPr>
              <w:t>Cash and cash-equivalents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8,587</w:t>
            </w:r>
          </w:p>
        </w:tc>
        <w:tc>
          <w:tcPr>
            <w:tcW w:w="30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2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8,587</w:t>
            </w:r>
          </w:p>
        </w:tc>
        <w:tc>
          <w:tcPr>
            <w:tcW w:w="0" w:type="dxa"/>
            <w:vAlign w:val="bottom"/>
          </w:tcPr>
          <w:p>
            <w:pPr>
              <w:spacing w:after="0"/>
              <w:rPr>
                <w:sz w:val="1"/>
                <w:szCs w:val="1"/>
                <w:color w:val="auto"/>
              </w:rPr>
            </w:pPr>
          </w:p>
        </w:tc>
      </w:tr>
      <w:tr>
        <w:trPr>
          <w:trHeight w:val="206"/>
        </w:trPr>
        <w:tc>
          <w:tcPr>
            <w:tcW w:w="5340" w:type="dxa"/>
            <w:vAlign w:val="bottom"/>
          </w:tcPr>
          <w:p>
            <w:pPr>
              <w:spacing w:after="0"/>
              <w:rPr>
                <w:sz w:val="20"/>
                <w:szCs w:val="20"/>
                <w:color w:val="auto"/>
              </w:rPr>
            </w:pPr>
            <w:r>
              <w:rPr>
                <w:rFonts w:ascii="Arial" w:cs="Arial" w:eastAsia="Arial" w:hAnsi="Arial"/>
                <w:sz w:val="15"/>
                <w:szCs w:val="15"/>
                <w:color w:val="auto"/>
              </w:rPr>
              <w:t>Corporate investments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2,140,863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(810,339)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1,330,524</w:t>
            </w:r>
          </w:p>
        </w:tc>
        <w:tc>
          <w:tcPr>
            <w:tcW w:w="0" w:type="dxa"/>
            <w:vAlign w:val="bottom"/>
          </w:tcPr>
          <w:p>
            <w:pPr>
              <w:spacing w:after="0"/>
              <w:rPr>
                <w:sz w:val="1"/>
                <w:szCs w:val="1"/>
                <w:color w:val="auto"/>
              </w:rPr>
            </w:pPr>
          </w:p>
        </w:tc>
      </w:tr>
      <w:tr>
        <w:trPr>
          <w:trHeight w:val="206"/>
        </w:trPr>
        <w:tc>
          <w:tcPr>
            <w:tcW w:w="5340" w:type="dxa"/>
            <w:vAlign w:val="bottom"/>
          </w:tcPr>
          <w:p>
            <w:pPr>
              <w:spacing w:after="0"/>
              <w:rPr>
                <w:sz w:val="20"/>
                <w:szCs w:val="20"/>
                <w:color w:val="auto"/>
              </w:rPr>
            </w:pPr>
            <w:r>
              <w:rPr>
                <w:rFonts w:ascii="Arial" w:cs="Arial" w:eastAsia="Arial" w:hAnsi="Arial"/>
                <w:sz w:val="15"/>
                <w:szCs w:val="15"/>
                <w:color w:val="auto"/>
              </w:rPr>
              <w:t>Receivables and other assets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32,078</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32,078</w:t>
            </w:r>
          </w:p>
        </w:tc>
        <w:tc>
          <w:tcPr>
            <w:tcW w:w="0" w:type="dxa"/>
            <w:vAlign w:val="bottom"/>
          </w:tcPr>
          <w:p>
            <w:pPr>
              <w:spacing w:after="0"/>
              <w:rPr>
                <w:sz w:val="1"/>
                <w:szCs w:val="1"/>
                <w:color w:val="auto"/>
              </w:rPr>
            </w:pPr>
          </w:p>
        </w:tc>
      </w:tr>
      <w:tr>
        <w:trPr>
          <w:trHeight w:val="207"/>
        </w:trPr>
        <w:tc>
          <w:tcPr>
            <w:tcW w:w="5340" w:type="dxa"/>
            <w:vAlign w:val="bottom"/>
          </w:tcPr>
          <w:p>
            <w:pPr>
              <w:spacing w:after="0"/>
              <w:rPr>
                <w:sz w:val="20"/>
                <w:szCs w:val="20"/>
                <w:color w:val="auto"/>
              </w:rPr>
            </w:pPr>
            <w:r>
              <w:rPr>
                <w:rFonts w:ascii="Arial" w:cs="Arial" w:eastAsia="Arial" w:hAnsi="Arial"/>
                <w:sz w:val="15"/>
                <w:szCs w:val="15"/>
                <w:color w:val="auto"/>
              </w:rPr>
              <w:t>Assets of consolidated funds</w:t>
            </w:r>
          </w:p>
        </w:tc>
        <w:tc>
          <w:tcPr>
            <w:tcW w:w="2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5,258,808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5,258,808</w:t>
            </w:r>
          </w:p>
        </w:tc>
        <w:tc>
          <w:tcPr>
            <w:tcW w:w="0" w:type="dxa"/>
            <w:vAlign w:val="bottom"/>
          </w:tcPr>
          <w:p>
            <w:pPr>
              <w:spacing w:after="0"/>
              <w:rPr>
                <w:sz w:val="1"/>
                <w:szCs w:val="1"/>
                <w:color w:val="auto"/>
              </w:rPr>
            </w:pPr>
          </w:p>
        </w:tc>
      </w:tr>
      <w:tr>
        <w:trPr>
          <w:trHeight w:val="200"/>
        </w:trPr>
        <w:tc>
          <w:tcPr>
            <w:tcW w:w="5340" w:type="dxa"/>
            <w:vAlign w:val="bottom"/>
          </w:tcPr>
          <w:p>
            <w:pPr>
              <w:ind w:left="620"/>
              <w:spacing w:after="0"/>
              <w:rPr>
                <w:sz w:val="20"/>
                <w:szCs w:val="20"/>
                <w:color w:val="auto"/>
              </w:rPr>
            </w:pPr>
            <w:r>
              <w:rPr>
                <w:rFonts w:ascii="Arial" w:cs="Arial" w:eastAsia="Arial" w:hAnsi="Arial"/>
                <w:sz w:val="15"/>
                <w:szCs w:val="15"/>
                <w:color w:val="auto"/>
              </w:rPr>
              <w:t>Total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2,181,528</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5,258,808</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(810,339)</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6,629,997</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Capital:</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340" w:type="dxa"/>
            <w:vAlign w:val="bottom"/>
          </w:tcPr>
          <w:p>
            <w:pPr>
              <w:spacing w:after="0"/>
              <w:rPr>
                <w:sz w:val="20"/>
                <w:szCs w:val="20"/>
                <w:color w:val="auto"/>
              </w:rPr>
            </w:pPr>
            <w:r>
              <w:rPr>
                <w:rFonts w:ascii="Arial" w:cs="Arial" w:eastAsia="Arial" w:hAnsi="Arial"/>
                <w:sz w:val="15"/>
                <w:szCs w:val="15"/>
                <w:color w:val="auto"/>
              </w:rPr>
              <w:t>Liabilities: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tcPr>
          <w:p>
            <w:pPr>
              <w:ind w:left="300"/>
              <w:spacing w:after="0"/>
              <w:rPr>
                <w:sz w:val="20"/>
                <w:szCs w:val="20"/>
                <w:color w:val="auto"/>
              </w:rPr>
            </w:pPr>
            <w:r>
              <w:rPr>
                <w:rFonts w:ascii="Arial" w:cs="Arial" w:eastAsia="Arial" w:hAnsi="Arial"/>
                <w:sz w:val="15"/>
                <w:szCs w:val="15"/>
                <w:color w:val="auto"/>
              </w:rPr>
              <w:t>Accounts payable and accrued expenses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590</w:t>
            </w:r>
          </w:p>
        </w:tc>
        <w:tc>
          <w:tcPr>
            <w:tcW w:w="30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12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590</w:t>
            </w:r>
          </w:p>
        </w:tc>
        <w:tc>
          <w:tcPr>
            <w:tcW w:w="0" w:type="dxa"/>
            <w:vAlign w:val="bottom"/>
          </w:tcPr>
          <w:p>
            <w:pPr>
              <w:spacing w:after="0"/>
              <w:rPr>
                <w:sz w:val="1"/>
                <w:szCs w:val="1"/>
                <w:color w:val="auto"/>
              </w:rPr>
            </w:pPr>
          </w:p>
        </w:tc>
      </w:tr>
      <w:tr>
        <w:trPr>
          <w:trHeight w:val="206"/>
        </w:trPr>
        <w:tc>
          <w:tcPr>
            <w:tcW w:w="5340" w:type="dxa"/>
            <w:vAlign w:val="bottom"/>
          </w:tcPr>
          <w:p>
            <w:pPr>
              <w:ind w:left="300"/>
              <w:spacing w:after="0"/>
              <w:rPr>
                <w:sz w:val="20"/>
                <w:szCs w:val="20"/>
                <w:color w:val="auto"/>
              </w:rPr>
            </w:pPr>
            <w:r>
              <w:rPr>
                <w:rFonts w:ascii="Arial" w:cs="Arial" w:eastAsia="Arial" w:hAnsi="Arial"/>
                <w:sz w:val="15"/>
                <w:szCs w:val="15"/>
                <w:color w:val="auto"/>
              </w:rPr>
              <w:t>Liabilities of consolidated funds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1,344,722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1,344,722</w:t>
            </w:r>
          </w:p>
        </w:tc>
        <w:tc>
          <w:tcPr>
            <w:tcW w:w="0" w:type="dxa"/>
            <w:vAlign w:val="bottom"/>
          </w:tcPr>
          <w:p>
            <w:pPr>
              <w:spacing w:after="0"/>
              <w:rPr>
                <w:sz w:val="1"/>
                <w:szCs w:val="1"/>
                <w:color w:val="auto"/>
              </w:rPr>
            </w:pPr>
          </w:p>
        </w:tc>
      </w:tr>
      <w:tr>
        <w:trPr>
          <w:trHeight w:val="199"/>
        </w:trPr>
        <w:tc>
          <w:tcPr>
            <w:tcW w:w="5340" w:type="dxa"/>
            <w:vAlign w:val="bottom"/>
          </w:tcPr>
          <w:p>
            <w:pPr>
              <w:ind w:left="62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1,344,722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1,345,312</w:t>
            </w:r>
          </w:p>
        </w:tc>
        <w:tc>
          <w:tcPr>
            <w:tcW w:w="0" w:type="dxa"/>
            <w:vAlign w:val="bottom"/>
          </w:tcPr>
          <w:p>
            <w:pPr>
              <w:spacing w:after="0"/>
              <w:rPr>
                <w:sz w:val="1"/>
                <w:szCs w:val="1"/>
                <w:color w:val="auto"/>
              </w:rPr>
            </w:pPr>
          </w:p>
        </w:tc>
      </w:tr>
      <w:tr>
        <w:trPr>
          <w:trHeight w:val="199"/>
        </w:trPr>
        <w:tc>
          <w:tcPr>
            <w:tcW w:w="5340" w:type="dxa"/>
            <w:vAlign w:val="bottom"/>
          </w:tcPr>
          <w:p>
            <w:pPr>
              <w:spacing w:after="0"/>
              <w:rPr>
                <w:sz w:val="20"/>
                <w:szCs w:val="20"/>
                <w:color w:val="auto"/>
              </w:rPr>
            </w:pPr>
            <w:r>
              <w:rPr>
                <w:rFonts w:ascii="Arial" w:cs="Arial" w:eastAsia="Arial" w:hAnsi="Arial"/>
                <w:sz w:val="15"/>
                <w:szCs w:val="15"/>
                <w:color w:val="auto"/>
              </w:rPr>
              <w:t>Non-controlling redeemable interests in consolidated funds</w:t>
            </w:r>
          </w:p>
        </w:tc>
        <w:tc>
          <w:tcPr>
            <w:tcW w:w="20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3,103,747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3,103,747</w:t>
            </w:r>
          </w:p>
        </w:tc>
        <w:tc>
          <w:tcPr>
            <w:tcW w:w="0" w:type="dxa"/>
            <w:vAlign w:val="bottom"/>
          </w:tcPr>
          <w:p>
            <w:pPr>
              <w:spacing w:after="0"/>
              <w:rPr>
                <w:sz w:val="1"/>
                <w:szCs w:val="1"/>
                <w:color w:val="auto"/>
              </w:rPr>
            </w:pPr>
          </w:p>
        </w:tc>
      </w:tr>
      <w:tr>
        <w:trPr>
          <w:trHeight w:val="206"/>
        </w:trPr>
        <w:tc>
          <w:tcPr>
            <w:tcW w:w="5340" w:type="dxa"/>
            <w:vAlign w:val="bottom"/>
          </w:tcPr>
          <w:p>
            <w:pPr>
              <w:spacing w:after="0"/>
              <w:rPr>
                <w:sz w:val="20"/>
                <w:szCs w:val="20"/>
                <w:color w:val="auto"/>
              </w:rPr>
            </w:pPr>
            <w:r>
              <w:rPr>
                <w:rFonts w:ascii="Arial" w:cs="Arial" w:eastAsia="Arial" w:hAnsi="Arial"/>
                <w:sz w:val="15"/>
                <w:szCs w:val="15"/>
                <w:color w:val="auto"/>
              </w:rPr>
              <w:t>Capital:</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tcPr>
          <w:p>
            <w:pPr>
              <w:ind w:left="300"/>
              <w:spacing w:after="0"/>
              <w:rPr>
                <w:sz w:val="20"/>
                <w:szCs w:val="20"/>
                <w:color w:val="auto"/>
              </w:rPr>
            </w:pPr>
            <w:r>
              <w:rPr>
                <w:rFonts w:ascii="Arial" w:cs="Arial" w:eastAsia="Arial" w:hAnsi="Arial"/>
                <w:sz w:val="15"/>
                <w:szCs w:val="15"/>
                <w:color w:val="auto"/>
              </w:rPr>
              <w:t>Capital attributable to BOH preferred unitholders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400,584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400,584</w:t>
            </w:r>
          </w:p>
        </w:tc>
        <w:tc>
          <w:tcPr>
            <w:tcW w:w="0" w:type="dxa"/>
            <w:vAlign w:val="bottom"/>
          </w:tcPr>
          <w:p>
            <w:pPr>
              <w:spacing w:after="0"/>
              <w:rPr>
                <w:sz w:val="1"/>
                <w:szCs w:val="1"/>
                <w:color w:val="auto"/>
              </w:rPr>
            </w:pPr>
          </w:p>
        </w:tc>
      </w:tr>
      <w:tr>
        <w:trPr>
          <w:trHeight w:val="206"/>
        </w:trPr>
        <w:tc>
          <w:tcPr>
            <w:tcW w:w="5340" w:type="dxa"/>
            <w:vAlign w:val="bottom"/>
          </w:tcPr>
          <w:p>
            <w:pPr>
              <w:ind w:left="300"/>
              <w:spacing w:after="0"/>
              <w:rPr>
                <w:sz w:val="20"/>
                <w:szCs w:val="20"/>
                <w:color w:val="auto"/>
              </w:rPr>
            </w:pPr>
            <w:r>
              <w:rPr>
                <w:rFonts w:ascii="Arial" w:cs="Arial" w:eastAsia="Arial" w:hAnsi="Arial"/>
                <w:sz w:val="15"/>
                <w:szCs w:val="15"/>
                <w:color w:val="auto"/>
              </w:rPr>
              <w:t>Capital attributable to BOH Class A unitholders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1,770,841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599,650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(599,650)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1,770,841</w:t>
            </w:r>
          </w:p>
        </w:tc>
        <w:tc>
          <w:tcPr>
            <w:tcW w:w="0" w:type="dxa"/>
            <w:vAlign w:val="bottom"/>
          </w:tcPr>
          <w:p>
            <w:pPr>
              <w:spacing w:after="0"/>
              <w:rPr>
                <w:sz w:val="1"/>
                <w:szCs w:val="1"/>
                <w:color w:val="auto"/>
              </w:rPr>
            </w:pPr>
          </w:p>
        </w:tc>
      </w:tr>
      <w:tr>
        <w:trPr>
          <w:trHeight w:val="206"/>
        </w:trPr>
        <w:tc>
          <w:tcPr>
            <w:tcW w:w="534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subsidiaries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9,513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210,688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(210,688)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9,513</w:t>
            </w:r>
          </w:p>
        </w:tc>
        <w:tc>
          <w:tcPr>
            <w:tcW w:w="0" w:type="dxa"/>
            <w:vAlign w:val="bottom"/>
          </w:tcPr>
          <w:p>
            <w:pPr>
              <w:spacing w:after="0"/>
              <w:rPr>
                <w:sz w:val="1"/>
                <w:szCs w:val="1"/>
                <w:color w:val="auto"/>
              </w:rPr>
            </w:pPr>
          </w:p>
        </w:tc>
      </w:tr>
      <w:tr>
        <w:trPr>
          <w:trHeight w:val="206"/>
        </w:trPr>
        <w:tc>
          <w:tcPr>
            <w:tcW w:w="5340" w:type="dxa"/>
            <w:vAlign w:val="bottom"/>
          </w:tcPr>
          <w:p>
            <w:pPr>
              <w:ind w:left="300"/>
              <w:spacing w:after="0"/>
              <w:rPr>
                <w:sz w:val="20"/>
                <w:szCs w:val="20"/>
                <w:color w:val="auto"/>
              </w:rPr>
            </w:pPr>
            <w:r>
              <w:rPr>
                <w:rFonts w:ascii="Arial" w:cs="Arial" w:eastAsia="Arial" w:hAnsi="Arial"/>
                <w:sz w:val="15"/>
                <w:szCs w:val="15"/>
                <w:color w:val="auto"/>
              </w:rPr>
              <w:t>Non-controlling interest in consolidated funds</w:t>
            </w:r>
          </w:p>
        </w:tc>
        <w:tc>
          <w:tcPr>
            <w:tcW w:w="20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3,103,748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(3,103,748)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340" w:type="dxa"/>
            <w:vAlign w:val="bottom"/>
          </w:tcPr>
          <w:p>
            <w:pPr>
              <w:ind w:left="620"/>
              <w:spacing w:after="0"/>
              <w:rPr>
                <w:sz w:val="20"/>
                <w:szCs w:val="20"/>
                <w:color w:val="auto"/>
              </w:rPr>
            </w:pPr>
            <w:r>
              <w:rPr>
                <w:rFonts w:ascii="Arial" w:cs="Arial" w:eastAsia="Arial" w:hAnsi="Arial"/>
                <w:sz w:val="15"/>
                <w:szCs w:val="15"/>
                <w:color w:val="auto"/>
              </w:rPr>
              <w:t>Total capital</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2,180,938</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3,914,086</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(3,914,086)</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2,180,938</w:t>
            </w:r>
          </w:p>
        </w:tc>
        <w:tc>
          <w:tcPr>
            <w:tcW w:w="0" w:type="dxa"/>
            <w:vAlign w:val="bottom"/>
          </w:tcPr>
          <w:p>
            <w:pPr>
              <w:spacing w:after="0"/>
              <w:rPr>
                <w:sz w:val="1"/>
                <w:szCs w:val="1"/>
                <w:color w:val="auto"/>
              </w:rPr>
            </w:pPr>
          </w:p>
        </w:tc>
      </w:tr>
      <w:tr>
        <w:trPr>
          <w:trHeight w:val="200"/>
        </w:trPr>
        <w:tc>
          <w:tcPr>
            <w:tcW w:w="5340" w:type="dxa"/>
            <w:vAlign w:val="bottom"/>
          </w:tcPr>
          <w:p>
            <w:pPr>
              <w:ind w:left="620"/>
              <w:spacing w:after="0"/>
              <w:rPr>
                <w:sz w:val="20"/>
                <w:szCs w:val="20"/>
                <w:color w:val="auto"/>
              </w:rPr>
            </w:pPr>
            <w:r>
              <w:rPr>
                <w:rFonts w:ascii="Arial" w:cs="Arial" w:eastAsia="Arial" w:hAnsi="Arial"/>
                <w:sz w:val="15"/>
                <w:szCs w:val="15"/>
                <w:color w:val="auto"/>
              </w:rPr>
              <w:t>Total liabilities and capital</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2,181,528</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5,258,808</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(810,339)</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6,629,997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Investments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2"/>
                <w:szCs w:val="12"/>
                <w:b w:val="1"/>
                <w:bCs w:val="1"/>
                <w:color w:val="auto"/>
                <w:w w:val="99"/>
              </w:rPr>
              <w:t>As of</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3"/>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September 30, 2025</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2"/>
                <w:szCs w:val="12"/>
                <w:b w:val="1"/>
                <w:bCs w:val="1"/>
                <w:color w:val="auto"/>
                <w:w w:val="99"/>
              </w:rPr>
              <w:t>June 30, 2025</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rPr>
              <w:t>September 30, 2024</w:t>
            </w:r>
          </w:p>
        </w:tc>
      </w:tr>
      <w:tr>
        <w:trPr>
          <w:trHeight w:val="159"/>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9"/>
              </w:rPr>
              <w:t>(in thousands)</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5"/>
                <w:szCs w:val="15"/>
                <w:color w:val="auto"/>
              </w:rPr>
              <w:t>Oaktree funds: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6"/>
        </w:trPr>
        <w:tc>
          <w:tcPr>
            <w:tcW w:w="5960" w:type="dxa"/>
            <w:vAlign w:val="bottom"/>
          </w:tcPr>
          <w:p>
            <w:pPr>
              <w:ind w:left="300"/>
              <w:spacing w:after="0"/>
              <w:rPr>
                <w:sz w:val="20"/>
                <w:szCs w:val="20"/>
                <w:color w:val="auto"/>
              </w:rPr>
            </w:pPr>
            <w:r>
              <w:rPr>
                <w:rFonts w:ascii="Arial" w:cs="Arial" w:eastAsia="Arial" w:hAnsi="Arial"/>
                <w:sz w:val="15"/>
                <w:szCs w:val="15"/>
                <w:color w:val="auto"/>
              </w:rPr>
              <w:t>Credit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5"/>
              <w:spacing w:after="0"/>
              <w:rPr>
                <w:sz w:val="20"/>
                <w:szCs w:val="20"/>
                <w:color w:val="auto"/>
              </w:rPr>
            </w:pPr>
            <w:r>
              <w:rPr>
                <w:rFonts w:ascii="Arial" w:cs="Arial" w:eastAsia="Arial" w:hAnsi="Arial"/>
                <w:sz w:val="15"/>
                <w:szCs w:val="15"/>
                <w:color w:val="auto"/>
              </w:rPr>
              <w:t>816,110</w:t>
            </w:r>
          </w:p>
        </w:tc>
        <w:tc>
          <w:tcPr>
            <w:tcW w:w="280" w:type="dxa"/>
            <w:vAlign w:val="bottom"/>
          </w:tcPr>
          <w:p>
            <w:pPr>
              <w:spacing w:after="0"/>
              <w:rPr>
                <w:sz w:val="17"/>
                <w:szCs w:val="17"/>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817,281</w:t>
            </w:r>
          </w:p>
        </w:tc>
        <w:tc>
          <w:tcPr>
            <w:tcW w:w="3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834,285</w:t>
            </w:r>
          </w:p>
        </w:tc>
      </w:tr>
      <w:tr>
        <w:trPr>
          <w:trHeight w:val="206"/>
        </w:trPr>
        <w:tc>
          <w:tcPr>
            <w:tcW w:w="5960" w:type="dxa"/>
            <w:vAlign w:val="bottom"/>
          </w:tcPr>
          <w:p>
            <w:pPr>
              <w:ind w:left="300"/>
              <w:spacing w:after="0"/>
              <w:rPr>
                <w:sz w:val="20"/>
                <w:szCs w:val="20"/>
                <w:color w:val="auto"/>
              </w:rPr>
            </w:pPr>
            <w:r>
              <w:rPr>
                <w:rFonts w:ascii="Arial" w:cs="Arial" w:eastAsia="Arial" w:hAnsi="Arial"/>
                <w:sz w:val="15"/>
                <w:szCs w:val="15"/>
                <w:color w:val="auto"/>
              </w:rPr>
              <w:t>Real Estate</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306,687</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304,063</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304,283</w:t>
            </w:r>
          </w:p>
        </w:tc>
      </w:tr>
      <w:tr>
        <w:trPr>
          <w:trHeight w:val="199"/>
        </w:trPr>
        <w:tc>
          <w:tcPr>
            <w:tcW w:w="5960" w:type="dxa"/>
            <w:vAlign w:val="bottom"/>
          </w:tcPr>
          <w:p>
            <w:pPr>
              <w:spacing w:after="0"/>
              <w:rPr>
                <w:sz w:val="20"/>
                <w:szCs w:val="20"/>
                <w:color w:val="auto"/>
              </w:rPr>
            </w:pPr>
            <w:r>
              <w:rPr>
                <w:rFonts w:ascii="Arial" w:cs="Arial" w:eastAsia="Arial" w:hAnsi="Arial"/>
                <w:sz w:val="15"/>
                <w:szCs w:val="15"/>
                <w:color w:val="auto"/>
              </w:rPr>
              <w:t>Total corporate investments – Before equity-method investment in Oaktree Capital I</w:t>
            </w:r>
          </w:p>
        </w:tc>
        <w:tc>
          <w:tcPr>
            <w:tcW w:w="160" w:type="dxa"/>
            <w:vAlign w:val="bottom"/>
          </w:tcPr>
          <w:p>
            <w:pPr>
              <w:spacing w:after="0"/>
              <w:rPr>
                <w:sz w:val="17"/>
                <w:szCs w:val="17"/>
                <w:color w:val="auto"/>
              </w:rPr>
            </w:pPr>
          </w:p>
        </w:tc>
        <w:tc>
          <w:tcPr>
            <w:tcW w:w="1400" w:type="dxa"/>
            <w:vAlign w:val="bottom"/>
          </w:tcPr>
          <w:p>
            <w:pPr>
              <w:jc w:val="right"/>
              <w:ind w:right="5"/>
              <w:spacing w:after="0"/>
              <w:rPr>
                <w:sz w:val="20"/>
                <w:szCs w:val="20"/>
                <w:color w:val="auto"/>
              </w:rPr>
            </w:pPr>
            <w:r>
              <w:rPr>
                <w:rFonts w:ascii="Arial" w:cs="Arial" w:eastAsia="Arial" w:hAnsi="Arial"/>
                <w:sz w:val="15"/>
                <w:szCs w:val="15"/>
                <w:color w:val="auto"/>
              </w:rPr>
              <w:t>1,122,797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1,121,344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1,138,568</w:t>
            </w:r>
          </w:p>
        </w:tc>
      </w:tr>
      <w:tr>
        <w:trPr>
          <w:trHeight w:val="206"/>
        </w:trPr>
        <w:tc>
          <w:tcPr>
            <w:tcW w:w="5960" w:type="dxa"/>
            <w:vAlign w:val="bottom"/>
          </w:tcPr>
          <w:p>
            <w:pPr>
              <w:ind w:left="160"/>
              <w:spacing w:after="0"/>
              <w:rPr>
                <w:sz w:val="20"/>
                <w:szCs w:val="20"/>
                <w:color w:val="auto"/>
              </w:rPr>
            </w:pPr>
            <w:r>
              <w:rPr>
                <w:rFonts w:ascii="Arial" w:cs="Arial" w:eastAsia="Arial" w:hAnsi="Arial"/>
                <w:sz w:val="15"/>
                <w:szCs w:val="15"/>
                <w:color w:val="auto"/>
              </w:rPr>
              <w:t>Equity-method Investment in Oaktree Capital I</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1,018,066</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1,007,375</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1,140,072</w:t>
            </w:r>
          </w:p>
        </w:tc>
      </w:tr>
      <w:tr>
        <w:trPr>
          <w:trHeight w:val="199"/>
        </w:trPr>
        <w:tc>
          <w:tcPr>
            <w:tcW w:w="5960" w:type="dxa"/>
            <w:vAlign w:val="bottom"/>
          </w:tcPr>
          <w:p>
            <w:pPr>
              <w:spacing w:after="0"/>
              <w:rPr>
                <w:sz w:val="20"/>
                <w:szCs w:val="20"/>
                <w:color w:val="auto"/>
              </w:rPr>
            </w:pPr>
            <w:r>
              <w:rPr>
                <w:rFonts w:ascii="Arial" w:cs="Arial" w:eastAsia="Arial" w:hAnsi="Arial"/>
                <w:sz w:val="15"/>
                <w:szCs w:val="15"/>
                <w:color w:val="auto"/>
              </w:rPr>
              <w:t>Total corporate investments – Oaktree and operating subsidiaries</w:t>
            </w:r>
          </w:p>
        </w:tc>
        <w:tc>
          <w:tcPr>
            <w:tcW w:w="160" w:type="dxa"/>
            <w:vAlign w:val="bottom"/>
          </w:tcPr>
          <w:p>
            <w:pPr>
              <w:spacing w:after="0"/>
              <w:rPr>
                <w:sz w:val="17"/>
                <w:szCs w:val="17"/>
                <w:color w:val="auto"/>
              </w:rPr>
            </w:pPr>
          </w:p>
        </w:tc>
        <w:tc>
          <w:tcPr>
            <w:tcW w:w="1400" w:type="dxa"/>
            <w:vAlign w:val="bottom"/>
          </w:tcPr>
          <w:p>
            <w:pPr>
              <w:jc w:val="right"/>
              <w:ind w:right="5"/>
              <w:spacing w:after="0"/>
              <w:rPr>
                <w:sz w:val="20"/>
                <w:szCs w:val="20"/>
                <w:color w:val="auto"/>
              </w:rPr>
            </w:pPr>
            <w:r>
              <w:rPr>
                <w:rFonts w:ascii="Arial" w:cs="Arial" w:eastAsia="Arial" w:hAnsi="Arial"/>
                <w:sz w:val="15"/>
                <w:szCs w:val="15"/>
                <w:color w:val="auto"/>
              </w:rPr>
              <w:t>2,140,863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2,128,719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2,278,640</w:t>
            </w:r>
          </w:p>
        </w:tc>
      </w:tr>
      <w:tr>
        <w:trPr>
          <w:trHeight w:val="207"/>
        </w:trPr>
        <w:tc>
          <w:tcPr>
            <w:tcW w:w="5960" w:type="dxa"/>
            <w:vAlign w:val="bottom"/>
          </w:tcPr>
          <w:p>
            <w:pPr>
              <w:ind w:left="160"/>
              <w:spacing w:after="0"/>
              <w:rPr>
                <w:sz w:val="20"/>
                <w:szCs w:val="20"/>
                <w:color w:val="auto"/>
              </w:rPr>
            </w:pPr>
            <w:r>
              <w:rPr>
                <w:rFonts w:ascii="Arial" w:cs="Arial" w:eastAsia="Arial" w:hAnsi="Arial"/>
                <w:sz w:val="15"/>
                <w:szCs w:val="15"/>
                <w:color w:val="auto"/>
              </w:rPr>
              <w:t>Eliminations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(810,339)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(811,608)</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(824,872)</w:t>
            </w:r>
          </w:p>
        </w:tc>
      </w:tr>
      <w:tr>
        <w:trPr>
          <w:trHeight w:val="200"/>
        </w:trPr>
        <w:tc>
          <w:tcPr>
            <w:tcW w:w="5960" w:type="dxa"/>
            <w:vAlign w:val="bottom"/>
          </w:tcPr>
          <w:p>
            <w:pPr>
              <w:spacing w:after="0"/>
              <w:rPr>
                <w:sz w:val="20"/>
                <w:szCs w:val="20"/>
                <w:color w:val="auto"/>
              </w:rPr>
            </w:pPr>
            <w:r>
              <w:rPr>
                <w:rFonts w:ascii="Arial" w:cs="Arial" w:eastAsia="Arial" w:hAnsi="Arial"/>
                <w:sz w:val="15"/>
                <w:szCs w:val="15"/>
                <w:color w:val="auto"/>
              </w:rPr>
              <w:t>Total corporate investments – Consolidated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1,330,524</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1,317,111</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1,453,768</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8"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We manage our liquidity and capital requirements by focusing on our cash flows before the consolidation of Oaktree funds and the effect of normal changes in short-term assets and liabilities. Prior to the 2024 Restructuring, our primary cash flow activities on an unconsolidated basis involved (a) generating cash flow from operations, (b) generating realized income and return of principal from investment activities, including strategic investments in certain third parties, (c) funding capital commitments that we have made to Oaktree funds, (d) funding our growth initiatives,</w:t>
      </w:r>
    </w:p>
    <w:p>
      <w:pPr>
        <w:spacing w:after="0" w:line="1" w:lineRule="exact"/>
        <w:rPr>
          <w:sz w:val="20"/>
          <w:szCs w:val="20"/>
          <w:color w:val="auto"/>
        </w:rPr>
      </w:pPr>
    </w:p>
    <w:p>
      <w:pPr>
        <w:ind w:right="80" w:firstLine="3"/>
        <w:spacing w:after="0" w:line="256" w:lineRule="auto"/>
        <w:tabs>
          <w:tab w:leader="none" w:pos="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distributing cash flow to our Class A unitholders and to OCGH and OEP, (f) borrowings, interest payments and repayments under credit agreements, our senior notes and other borrowing arrangements, and (g) issuances of, and distributions made on, our preferred units. Subsequent to the 2024 Restructuring, our primary cash flow activities on an unconsolidated basis involve (a) generating realized income and return of principal from investment activities, (b) funding capital commitments that we have made to Oaktree funds, (c) distributing cash flow to our Class A unitholders, (d) issuances of, and distributions made on, our preferred units, and (e) equity contribution from the investors of the Company to fulfill certain contractual capital commitments to its subsidiaries. As of September 30, 2025, the Company on an unconsolidated basis had $8.6 million of cash and cash equivalents.</w:t>
      </w:r>
    </w:p>
    <w:p>
      <w:pPr>
        <w:spacing w:after="0" w:line="12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Ongoing sources of cash include distributions from our equity method corporate investments. We primarily use distributions from our corporate investments to pay compensation and related expenses, service fees under the Services Agreement with OCM and distributions. Subject to applicable law and certain consent rights contained in our operating agreement, pursuant to a covenant in our operating agreement Oaktree plans to cause its operating group entities to distribute, on a quarterly basis, at least 85% of its adjusted distributable earnings, as defined in our operating agreement, and we plan to distribute amounts we receive in respect of such distributions, less any tax and tax receivable obligations, to holders of our Class A units. Distributions from each Oaktree Operating Group entity may not be proportionate to its share of adjusted distributable earnings.</w:t>
      </w:r>
    </w:p>
    <w:p>
      <w:pPr>
        <w:spacing w:after="0" w:line="333" w:lineRule="exact"/>
        <w:rPr>
          <w:sz w:val="20"/>
          <w:szCs w:val="20"/>
          <w:color w:val="auto"/>
        </w:rPr>
      </w:pPr>
    </w:p>
    <w:p>
      <w:pPr>
        <w:ind w:right="120" w:firstLine="619"/>
        <w:spacing w:after="0" w:line="265" w:lineRule="auto"/>
        <w:rPr>
          <w:sz w:val="20"/>
          <w:szCs w:val="20"/>
          <w:color w:val="auto"/>
        </w:rPr>
      </w:pPr>
      <w:r>
        <w:rPr>
          <w:rFonts w:ascii="Arial" w:cs="Arial" w:eastAsia="Arial" w:hAnsi="Arial"/>
          <w:sz w:val="17"/>
          <w:szCs w:val="17"/>
          <w:color w:val="auto"/>
        </w:rPr>
        <w:t>Distributions on the preferred units are discretionary and non-cumulative. 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16"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We have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will contribute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 us in respect of the Company’s Opps XI Investment for payment of distributions on or redemption of the preferred units. As of September 30, 2025, $637.5 million of the $750.0 million capital commitment was funded. $360.2 million of the investment interest was pledged as collateral for two non-recourse credit facilities of an affiliate. The potential exposure is limited to the pledged interests.</w:t>
      </w:r>
    </w:p>
    <w:p>
      <w:pPr>
        <w:spacing w:after="0" w:line="127"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have subscribed for a limited partner interest in, and made a capital commitment of, $796.2 million to Oaktree Opportunities Fund XII, L.P., a parallel investment vehicle thereof or a feeder fund in respect of one of the foregoing (such limited partner interest, the “Opps XII Investment” and such fund entities collectively, “Opps XII”). In order to fund the Opps XII Investment, our sole Class A unitholder, or one of its affiliates, will contribute cash as a capital contribution (the “Opps XII Investment Cash”) as and to the extent required to satisfy our obligations to Opps XII. We will use the Opps XII Investment Cash solely to fund the Opps XII Investment and satisfy our obligations in respect of Opps XII. Distributions from the Opps XII Investment are intended for the benefit of the Class A unitholder, subject to applicable law. Our preferred unitholders should not rely on distributions received by us in respect of the Company’s Opps XII Investment for payment of distributions on or redemption of the preferred units. As of September 30, 2025, the Company has funded in the aggregate $218.9 million of the $796.2 million capital commitment. $102.0 million of the investment interest was pledged as collateral for one non-recourse credit facilities of an affiliate. The potential exposure is limited to the pledged interests.</w:t>
      </w:r>
    </w:p>
    <w:p>
      <w:pPr>
        <w:spacing w:after="0" w:line="124" w:lineRule="exact"/>
        <w:rPr>
          <w:sz w:val="20"/>
          <w:szCs w:val="20"/>
          <w:color w:val="auto"/>
        </w:rPr>
      </w:pPr>
    </w:p>
    <w:p>
      <w:pPr>
        <w:jc w:val="both"/>
        <w:ind w:right="160" w:firstLine="619"/>
        <w:spacing w:after="0" w:line="271" w:lineRule="auto"/>
        <w:rPr>
          <w:sz w:val="20"/>
          <w:szCs w:val="20"/>
          <w:color w:val="auto"/>
        </w:rPr>
      </w:pPr>
      <w:r>
        <w:rPr>
          <w:rFonts w:ascii="Arial" w:cs="Arial" w:eastAsia="Arial" w:hAnsi="Arial"/>
          <w:sz w:val="17"/>
          <w:szCs w:val="17"/>
          <w:color w:val="auto"/>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9" w:name="page60"/>
    <w:bookmarkEnd w:id="59"/>
    <w:p>
      <w:pPr>
        <w:ind w:right="20"/>
        <w:spacing w:after="0" w:line="256" w:lineRule="auto"/>
        <w:rPr>
          <w:sz w:val="20"/>
          <w:szCs w:val="20"/>
          <w:color w:val="auto"/>
        </w:rPr>
      </w:pPr>
      <w:r>
        <w:rPr>
          <w:rFonts w:ascii="Arial" w:cs="Arial" w:eastAsia="Arial" w:hAnsi="Arial"/>
          <w:sz w:val="17"/>
          <w:szCs w:val="17"/>
          <w:color w:val="auto"/>
        </w:rPr>
        <w:t>amount (the “Contributed Amount”) equal to the value of BUSI II GP-C LLC, BUSI II-C L.P., BUSI II SLP-GP LLC and Brookfield REIT OP Special Limited Partner L.P. (collectively, and together with any additional entities that may become direct or indirect subsidiaries of NTR (as defined below)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OCG NTR Holdings, LLC, a wholly owned subsidiary of the Company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 (the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2025, the carrying value of the REIT Entities included in corporate investments was $306.7 million.</w:t>
      </w:r>
    </w:p>
    <w:p>
      <w:pPr>
        <w:spacing w:after="0" w:line="16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Cash Flows</w:t>
      </w:r>
    </w:p>
    <w:p>
      <w:pPr>
        <w:spacing w:after="0" w:line="88"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The accompanying condensed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condensed consolidated statements of cash flows. The primary cash flow activities of our consolidated funds involve:</w:t>
      </w:r>
    </w:p>
    <w:p>
      <w:pPr>
        <w:spacing w:after="0" w:line="39" w:lineRule="exact"/>
        <w:rPr>
          <w:sz w:val="20"/>
          <w:szCs w:val="20"/>
          <w:color w:val="auto"/>
        </w:rPr>
      </w:pPr>
    </w:p>
    <w:p>
      <w:pPr>
        <w:ind w:left="780" w:hanging="15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raising capital from third-party investors;</w:t>
      </w:r>
    </w:p>
    <w:p>
      <w:pPr>
        <w:spacing w:after="0" w:line="88" w:lineRule="exact"/>
        <w:rPr>
          <w:rFonts w:ascii="Arial" w:cs="Arial" w:eastAsia="Arial" w:hAnsi="Arial"/>
          <w:sz w:val="17"/>
          <w:szCs w:val="17"/>
          <w:color w:val="auto"/>
        </w:rPr>
      </w:pPr>
    </w:p>
    <w:p>
      <w:pPr>
        <w:ind w:left="780" w:hanging="15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using the capital provided by us and third-party investors to fund investments and operating expenses;</w:t>
      </w:r>
    </w:p>
    <w:p>
      <w:pPr>
        <w:spacing w:after="0" w:line="88" w:lineRule="exact"/>
        <w:rPr>
          <w:rFonts w:ascii="Arial" w:cs="Arial" w:eastAsia="Arial" w:hAnsi="Arial"/>
          <w:sz w:val="17"/>
          <w:szCs w:val="17"/>
          <w:color w:val="auto"/>
        </w:rPr>
      </w:pPr>
    </w:p>
    <w:p>
      <w:pPr>
        <w:ind w:left="780" w:hanging="15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financing certain investments with indebtedness;</w:t>
      </w:r>
    </w:p>
    <w:p>
      <w:pPr>
        <w:spacing w:after="0" w:line="88" w:lineRule="exact"/>
        <w:rPr>
          <w:rFonts w:ascii="Arial" w:cs="Arial" w:eastAsia="Arial" w:hAnsi="Arial"/>
          <w:sz w:val="17"/>
          <w:szCs w:val="17"/>
          <w:color w:val="auto"/>
        </w:rPr>
      </w:pPr>
    </w:p>
    <w:p>
      <w:pPr>
        <w:ind w:left="780" w:hanging="15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generating cash flows through the realization of investments, as well as the collection of interest and dividend income; and</w:t>
      </w:r>
    </w:p>
    <w:p>
      <w:pPr>
        <w:spacing w:after="0" w:line="88" w:lineRule="exact"/>
        <w:rPr>
          <w:rFonts w:ascii="Arial" w:cs="Arial" w:eastAsia="Arial" w:hAnsi="Arial"/>
          <w:sz w:val="17"/>
          <w:szCs w:val="17"/>
          <w:color w:val="auto"/>
        </w:rPr>
      </w:pPr>
    </w:p>
    <w:p>
      <w:pPr>
        <w:ind w:left="780" w:hanging="15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distributing net cash flows to fund investors and to us.</w:t>
      </w:r>
    </w:p>
    <w:p>
      <w:pPr>
        <w:spacing w:after="0" w:line="230" w:lineRule="exact"/>
        <w:rPr>
          <w:sz w:val="20"/>
          <w:szCs w:val="20"/>
          <w:color w:val="auto"/>
        </w:rPr>
      </w:pPr>
    </w:p>
    <w:p>
      <w:pPr>
        <w:ind w:right="20" w:firstLine="619"/>
        <w:spacing w:after="0" w:line="244" w:lineRule="auto"/>
        <w:rPr>
          <w:sz w:val="20"/>
          <w:szCs w:val="20"/>
          <w:color w:val="auto"/>
        </w:rPr>
      </w:pPr>
      <w:r>
        <w:rPr>
          <w:rFonts w:ascii="Arial" w:cs="Arial" w:eastAsia="Arial" w:hAnsi="Arial"/>
          <w:sz w:val="17"/>
          <w:szCs w:val="17"/>
          <w:color w:val="auto"/>
        </w:rPr>
        <w:t>Because our consolidated funds are either treated as investment companies for accounting purposes or represent CLOs whose primary operations are investing activities, their investing cash flow amounts are included in our cash flows from operations. We believe that we and each of the consolidated funds has sufficient access to cash to fund our and their respective operations in the near term. Subsequent to the 2022 Restructuring, the Company no longer consolidates CLOs whose direct ownership interests are held by OCM Cayman. As a result of the 2024 Restructuring, the Company no longer consolidates Oaktree Capital I, and the cash inflows and outflows related to Oaktree Capital I are now presented under the investing activities of the Company’s cash flow.</w:t>
      </w:r>
    </w:p>
    <w:p>
      <w:pPr>
        <w:spacing w:after="0" w:line="135" w:lineRule="exact"/>
        <w:rPr>
          <w:sz w:val="20"/>
          <w:szCs w:val="20"/>
          <w:color w:val="auto"/>
        </w:rPr>
      </w:pPr>
    </w:p>
    <w:p>
      <w:pPr>
        <w:ind w:right="160" w:firstLine="619"/>
        <w:spacing w:after="0" w:line="290" w:lineRule="auto"/>
        <w:rPr>
          <w:sz w:val="20"/>
          <w:szCs w:val="20"/>
          <w:color w:val="auto"/>
        </w:rPr>
      </w:pPr>
      <w:r>
        <w:rPr>
          <w:rFonts w:ascii="Arial" w:cs="Arial" w:eastAsia="Arial" w:hAnsi="Arial"/>
          <w:sz w:val="17"/>
          <w:szCs w:val="17"/>
          <w:color w:val="auto"/>
        </w:rPr>
        <w:t>Significant amounts from our condensed consolidated statements of cash flows for the nine months ended September 30, 2025 and 2024 are discussed below.</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0" w:name="page61"/>
    <w:bookmarkEnd w:id="60"/>
    <w:p>
      <w:pPr>
        <w:spacing w:after="0"/>
        <w:rPr>
          <w:sz w:val="20"/>
          <w:szCs w:val="20"/>
          <w:color w:val="auto"/>
        </w:rPr>
      </w:pPr>
      <w:r>
        <w:rPr>
          <w:rFonts w:ascii="Arial" w:cs="Arial" w:eastAsia="Arial" w:hAnsi="Arial"/>
          <w:sz w:val="17"/>
          <w:szCs w:val="17"/>
          <w:i w:val="1"/>
          <w:iCs w:val="1"/>
          <w:color w:val="auto"/>
        </w:rPr>
        <w:t>Operating Activities</w:t>
      </w:r>
    </w:p>
    <w:p>
      <w:pPr>
        <w:spacing w:after="0" w:line="86" w:lineRule="exact"/>
        <w:rPr>
          <w:sz w:val="20"/>
          <w:szCs w:val="20"/>
          <w:color w:val="auto"/>
        </w:rPr>
      </w:pPr>
    </w:p>
    <w:p>
      <w:pPr>
        <w:jc w:val="both"/>
        <w:ind w:right="80" w:firstLine="619"/>
        <w:spacing w:after="0" w:line="271" w:lineRule="auto"/>
        <w:rPr>
          <w:sz w:val="20"/>
          <w:szCs w:val="20"/>
          <w:color w:val="auto"/>
        </w:rPr>
      </w:pPr>
      <w:r>
        <w:rPr>
          <w:rFonts w:ascii="Arial" w:cs="Arial" w:eastAsia="Arial" w:hAnsi="Arial"/>
          <w:sz w:val="17"/>
          <w:szCs w:val="17"/>
          <w:color w:val="auto"/>
        </w:rPr>
        <w:t>Operating activities provided $543.7 million and used $508.6 million of cash for the first nine months of 2025 and 2024, respectively. These amounts principally reflected net income, net of non-cash adjustments, net realized and unrealized (gain) loss from consolidated fund investments in each of the respective periods as well as net purchases of, or proceeds from, securities of the consolidated funds.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86"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Investing activities provided $65.1 million and used $44.3 million of cash for the first nine months of 2025 and 2024, respectively. Net activity from purchases, maturities and sales of U.S. Treasury and other securities included net purchases of $0.0 million and $170.0 million for the first nine months of 2025 and 2024. No cash was invested in corporate investments in funds and companies in the first nine months of 2025. Corporate investments in funds and companies was $36.8 million for the first nine months of 2024. Distributions and proceeds from corporate investments in funds and companies were of $65.1 million and $162.5 million for the first nine months of 2025 and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63"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Financing activities used $768.2 million and provided $871.5 million of cash for the first nine months of 2025 and 2024, respectively, and included: (a) net distributions to non-controlling interests of $156.6 million and $127.8 million, respectively; (b) distributions to unitholders of $428.8 million and $314.3 million, respectively; (c) net capital contributions of $119.4 million and $37.2 million, respectively; and (d) payments of debt issuance costs of $0.0 million and $3.4 million, respectively. Additionally, the first nine months of 2025 and 2024 included borrowings of $963.1 million and $2.2 billion, respectively, and $1.3 billion and $907.7 million of repayments, respectively, related to consolidated funds.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Sources and Uses of Liquidity</w:t>
      </w:r>
    </w:p>
    <w:p>
      <w:pPr>
        <w:spacing w:after="0" w:line="165" w:lineRule="exact"/>
        <w:rPr>
          <w:sz w:val="20"/>
          <w:szCs w:val="20"/>
          <w:color w:val="auto"/>
        </w:rPr>
      </w:pPr>
    </w:p>
    <w:p>
      <w:pPr>
        <w:ind w:firstLine="619"/>
        <w:spacing w:after="0" w:line="260" w:lineRule="auto"/>
        <w:rPr>
          <w:sz w:val="20"/>
          <w:szCs w:val="20"/>
          <w:color w:val="auto"/>
        </w:rPr>
      </w:pPr>
      <w:r>
        <w:rPr>
          <w:rFonts w:ascii="Arial" w:cs="Arial" w:eastAsia="Arial" w:hAnsi="Arial"/>
          <w:sz w:val="17"/>
          <w:szCs w:val="17"/>
          <w:color w:val="auto"/>
        </w:rPr>
        <w:t>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or OEP units. The distributions from our corporate investments, including the distributions from the equity investment in Oaktree Capital I, also provide the Company with ongoing cash inflow.</w:t>
      </w:r>
    </w:p>
    <w:p>
      <w:pPr>
        <w:spacing w:after="0" w:line="122" w:lineRule="exact"/>
        <w:rPr>
          <w:sz w:val="20"/>
          <w:szCs w:val="20"/>
          <w:color w:val="auto"/>
        </w:rPr>
      </w:pPr>
    </w:p>
    <w:p>
      <w:pPr>
        <w:ind w:right="520" w:firstLine="619"/>
        <w:spacing w:after="0" w:line="290" w:lineRule="auto"/>
        <w:rPr>
          <w:sz w:val="20"/>
          <w:szCs w:val="20"/>
          <w:color w:val="auto"/>
        </w:rPr>
      </w:pPr>
      <w:r>
        <w:rPr>
          <w:rFonts w:ascii="Arial" w:cs="Arial" w:eastAsia="Arial" w:hAnsi="Arial"/>
          <w:sz w:val="17"/>
          <w:szCs w:val="17"/>
          <w:color w:val="auto"/>
        </w:rPr>
        <w:t>We believe that the sources of liquidity described above will be sufficient to fund our working capital requirements for at least the next twelve months.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Unit Issuances</w:t>
      </w:r>
    </w:p>
    <w:p>
      <w:pPr>
        <w:spacing w:after="0" w:line="163"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On May 17, 2018, we issued 7,200,000 of our 6.625% Series A preferred units representing limited liability company interests with a liquidation preference of $25.00 per unit. The issuance resulted in $173.7 million in net proceeds to us. Distributions on the Series A preferred units, when and if declared by the board of directors of Oaktree, will be paid quarterly on March 15, June 15, September 15 and December 15 of each year. Distributions on the Series A preferred units are non-cumulative.</w:t>
      </w:r>
    </w:p>
    <w:p>
      <w:pPr>
        <w:spacing w:after="0" w:line="116" w:lineRule="exact"/>
        <w:rPr>
          <w:sz w:val="20"/>
          <w:szCs w:val="20"/>
          <w:color w:val="auto"/>
        </w:rPr>
      </w:pPr>
    </w:p>
    <w:p>
      <w:pPr>
        <w:ind w:right="40" w:firstLine="619"/>
        <w:spacing w:after="0" w:line="265" w:lineRule="auto"/>
        <w:rPr>
          <w:sz w:val="20"/>
          <w:szCs w:val="20"/>
          <w:color w:val="auto"/>
        </w:rPr>
      </w:pPr>
      <w:r>
        <w:rPr>
          <w:rFonts w:ascii="Arial" w:cs="Arial" w:eastAsia="Arial" w:hAnsi="Arial"/>
          <w:sz w:val="17"/>
          <w:szCs w:val="17"/>
          <w:color w:val="auto"/>
        </w:rPr>
        <w:t>On August 9, 2018, we issued 9,400,000 of our 6.550% Series B preferred units representing limited liability company interests with a liquidation preference of $25.00 per unit. The issuance resulted in $226.9 million in net proceeds to us. Distributions on the Series B preferred units, when and if declared by the board of directors of Oaktree, will be paid quarterly on March 15, June 15, September 15 and December 15 of each year. Distributions on the Series B preferred units are non-cumulative.</w:t>
      </w:r>
    </w:p>
    <w:p>
      <w:pPr>
        <w:spacing w:after="0" w:line="116"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61" w:name="page62"/>
    <w:bookmarkEnd w:id="61"/>
    <w:p>
      <w:pPr>
        <w:ind w:right="300" w:firstLine="619"/>
        <w:spacing w:after="0" w:line="255" w:lineRule="auto"/>
        <w:rPr>
          <w:sz w:val="20"/>
          <w:szCs w:val="20"/>
          <w:color w:val="auto"/>
        </w:rPr>
      </w:pPr>
      <w:r>
        <w:rPr>
          <w:rFonts w:ascii="Arial" w:cs="Arial" w:eastAsia="Arial" w:hAnsi="Arial"/>
          <w:sz w:val="17"/>
          <w:szCs w:val="17"/>
          <w:color w:val="auto"/>
        </w:rPr>
        <w:t>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125" w:lineRule="exact"/>
        <w:rPr>
          <w:sz w:val="20"/>
          <w:szCs w:val="20"/>
          <w:color w:val="auto"/>
        </w:rPr>
      </w:pPr>
    </w:p>
    <w:p>
      <w:pPr>
        <w:jc w:val="both"/>
        <w:ind w:right="280" w:firstLine="619"/>
        <w:spacing w:after="0" w:line="271" w:lineRule="auto"/>
        <w:rPr>
          <w:sz w:val="20"/>
          <w:szCs w:val="20"/>
          <w:color w:val="auto"/>
        </w:rPr>
      </w:pPr>
      <w:r>
        <w:rPr>
          <w:rFonts w:ascii="Arial" w:cs="Arial" w:eastAsia="Arial" w:hAnsi="Arial"/>
          <w:sz w:val="17"/>
          <w:szCs w:val="17"/>
          <w:color w:val="auto"/>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Commitments and Contingencies</w:t>
      </w:r>
    </w:p>
    <w:p>
      <w:pPr>
        <w:spacing w:after="0" w:line="168" w:lineRule="exact"/>
        <w:rPr>
          <w:sz w:val="20"/>
          <w:szCs w:val="20"/>
          <w:color w:val="auto"/>
        </w:rPr>
      </w:pPr>
    </w:p>
    <w:p>
      <w:pPr>
        <w:ind w:right="660" w:firstLine="619"/>
        <w:spacing w:after="0" w:line="276" w:lineRule="auto"/>
        <w:rPr>
          <w:sz w:val="20"/>
          <w:szCs w:val="20"/>
          <w:color w:val="auto"/>
        </w:rPr>
      </w:pPr>
      <w:r>
        <w:rPr>
          <w:rFonts w:ascii="Arial" w:cs="Arial" w:eastAsia="Arial" w:hAnsi="Arial"/>
          <w:sz w:val="17"/>
          <w:szCs w:val="17"/>
          <w:color w:val="auto"/>
        </w:rPr>
        <w:t>In the ordinary course of business, we and our consolidated funds enter into contractual arrangements that may require future cash payments. The following table sets forth information related to anticipated future cash payments as of September 30,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Remainder of 2025</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2026-2027</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2028-2029</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Thereafter</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Total</w:t>
            </w:r>
          </w:p>
        </w:tc>
      </w:tr>
      <w:tr>
        <w:trPr>
          <w:trHeight w:val="162"/>
        </w:trPr>
        <w:tc>
          <w:tcPr>
            <w:tcW w:w="6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0"/>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Oaktree and Operating Subsidiaries: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6"/>
        </w:trPr>
        <w:tc>
          <w:tcPr>
            <w:tcW w:w="4020" w:type="dxa"/>
            <w:vAlign w:val="bottom"/>
            <w:gridSpan w:val="2"/>
          </w:tcPr>
          <w:p>
            <w:pPr>
              <w:ind w:left="20"/>
              <w:spacing w:after="0" w:line="206" w:lineRule="exact"/>
              <w:rPr>
                <w:sz w:val="20"/>
                <w:szCs w:val="20"/>
                <w:color w:val="auto"/>
              </w:rPr>
            </w:pPr>
            <w:r>
              <w:rPr>
                <w:rFonts w:ascii="Arial" w:cs="Arial" w:eastAsia="Arial" w:hAnsi="Arial"/>
                <w:sz w:val="15"/>
                <w:szCs w:val="15"/>
                <w:color w:val="auto"/>
              </w:rPr>
              <w:t xml:space="preserve">BOH limited partner commitments to Oaktree funds </w:t>
            </w:r>
            <w:r>
              <w:rPr>
                <w:rFonts w:ascii="Arial" w:cs="Arial" w:eastAsia="Arial" w:hAnsi="Arial"/>
                <w:sz w:val="20"/>
                <w:szCs w:val="20"/>
                <w:color w:val="auto"/>
                <w:vertAlign w:val="superscript"/>
              </w:rPr>
              <w:t>(1)</w:t>
            </w: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689,758</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689,758</w:t>
            </w:r>
          </w:p>
        </w:tc>
      </w:tr>
      <w:tr>
        <w:trPr>
          <w:trHeight w:val="198"/>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Subtotal</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689,758</w:t>
            </w:r>
          </w:p>
        </w:tc>
        <w:tc>
          <w:tcPr>
            <w:tcW w:w="2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689,758</w:t>
            </w:r>
          </w:p>
        </w:tc>
      </w:tr>
      <w:tr>
        <w:trPr>
          <w:trHeight w:val="209"/>
        </w:trPr>
        <w:tc>
          <w:tcPr>
            <w:tcW w:w="402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 Funds: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4020" w:type="dxa"/>
            <w:vAlign w:val="bottom"/>
            <w:gridSpan w:val="2"/>
          </w:tcPr>
          <w:p>
            <w:pPr>
              <w:ind w:left="20"/>
              <w:spacing w:after="0"/>
              <w:rPr>
                <w:sz w:val="20"/>
                <w:szCs w:val="20"/>
                <w:color w:val="auto"/>
              </w:rPr>
            </w:pPr>
            <w:r>
              <w:rPr>
                <w:rFonts w:ascii="Arial" w:cs="Arial" w:eastAsia="Arial" w:hAnsi="Arial"/>
                <w:sz w:val="15"/>
                <w:szCs w:val="15"/>
                <w:color w:val="auto"/>
              </w:rPr>
              <w:t>Debt obligations payable</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1,170,611</w:t>
            </w:r>
          </w:p>
        </w:tc>
        <w:tc>
          <w:tcPr>
            <w:tcW w:w="2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1,170,611</w:t>
            </w:r>
          </w:p>
        </w:tc>
      </w:tr>
      <w:tr>
        <w:trPr>
          <w:trHeight w:val="208"/>
        </w:trPr>
        <w:tc>
          <w:tcPr>
            <w:tcW w:w="402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 xml:space="preserve">Interest obligations on debt </w:t>
            </w:r>
            <w:r>
              <w:rPr>
                <w:rFonts w:ascii="Arial" w:cs="Arial" w:eastAsia="Arial" w:hAnsi="Arial"/>
                <w:sz w:val="20"/>
                <w:szCs w:val="20"/>
                <w:color w:val="auto"/>
                <w:vertAlign w:val="superscript"/>
              </w:rPr>
              <w:t>(2)</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17,710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34,657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52,367</w:t>
            </w:r>
          </w:p>
        </w:tc>
      </w:tr>
      <w:tr>
        <w:trPr>
          <w:trHeight w:val="199"/>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707,468</w:t>
            </w:r>
          </w:p>
        </w:tc>
        <w:tc>
          <w:tcPr>
            <w:tcW w:w="2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1,205,268</w:t>
            </w:r>
          </w:p>
        </w:tc>
        <w:tc>
          <w:tcPr>
            <w:tcW w:w="2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1,912,736</w:t>
            </w:r>
          </w:p>
        </w:tc>
      </w:tr>
      <w:tr>
        <w:trPr>
          <w:trHeight w:val="20"/>
        </w:trPr>
        <w:tc>
          <w:tcPr>
            <w:tcW w:w="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46"/>
        </w:trPr>
        <w:tc>
          <w:tcPr>
            <w:tcW w:w="600" w:type="dxa"/>
            <w:vAlign w:val="bottom"/>
            <w:tcBorders>
              <w:bottom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362" w:lineRule="exact"/>
        <w:rPr>
          <w:sz w:val="20"/>
          <w:szCs w:val="20"/>
          <w:color w:val="auto"/>
        </w:rPr>
      </w:pPr>
    </w:p>
    <w:p>
      <w:pPr>
        <w:ind w:left="380" w:right="180" w:hanging="377"/>
        <w:spacing w:after="0" w:line="294" w:lineRule="auto"/>
        <w:tabs>
          <w:tab w:leader="none" w:pos="352"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These obligations represent commitments by us to provide limited partner capital funding to our funds. These amounts are generally due on demand and are therefore presented in the 2025 column. Capital commitments are generally expected to be called over a period of several years.</w:t>
      </w:r>
    </w:p>
    <w:p>
      <w:pPr>
        <w:spacing w:after="0" w:line="2" w:lineRule="exact"/>
        <w:rPr>
          <w:rFonts w:ascii="Arial" w:cs="Arial" w:eastAsia="Arial" w:hAnsi="Arial"/>
          <w:sz w:val="15"/>
          <w:szCs w:val="15"/>
          <w:color w:val="auto"/>
        </w:rPr>
      </w:pPr>
    </w:p>
    <w:p>
      <w:pPr>
        <w:ind w:left="380" w:right="520" w:hanging="377"/>
        <w:spacing w:after="0" w:line="294" w:lineRule="auto"/>
        <w:tabs>
          <w:tab w:leader="none" w:pos="337"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Interest obligations include accrued interest on outstanding indebtedness. Where applicable, current interest rates are applied to estimate future interest obligations on variable-rate debt.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7" w:lineRule="exact"/>
        <w:rPr>
          <w:sz w:val="20"/>
          <w:szCs w:val="20"/>
          <w:color w:val="auto"/>
        </w:rPr>
      </w:pPr>
    </w:p>
    <w:p>
      <w:pPr>
        <w:ind w:right="280" w:firstLine="619"/>
        <w:spacing w:after="0" w:line="290" w:lineRule="auto"/>
        <w:rPr>
          <w:sz w:val="20"/>
          <w:szCs w:val="20"/>
          <w:color w:val="auto"/>
        </w:rPr>
      </w:pPr>
      <w:r>
        <w:rPr>
          <w:rFonts w:ascii="Arial" w:cs="Arial" w:eastAsia="Arial" w:hAnsi="Arial"/>
          <w:sz w:val="17"/>
          <w:szCs w:val="17"/>
          <w:color w:val="auto"/>
        </w:rPr>
        <w:t>Please see note 13 to our condensed consolidated financial statements included elsewhere in this quarterly report for information on our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67"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We prepare our condensed consolidated financial statements in accordance with GAAP. In applying many of these accounting principles, we need to make assumptions, estimates 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 different results if we were to change underlying assumptions, estimates or judgments. Our most significant assumptions and estimates are related to the valuation of our corporate investments and the investments of our consolidated funds. For a summary of our significant accounting policies and estimates, please see the notes to our condensed consolidated financial statements included elsewhere in this quarterly report. For a summary of our critical accounting policies, please see “Management’s Discussion and Analysis of Financial Condition and Result of Operations—Critical Accounting Estimates” in our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Developments</w:t>
      </w:r>
    </w:p>
    <w:p>
      <w:pPr>
        <w:spacing w:after="0" w:line="165" w:lineRule="exact"/>
        <w:rPr>
          <w:sz w:val="20"/>
          <w:szCs w:val="20"/>
          <w:color w:val="auto"/>
        </w:rPr>
      </w:pPr>
    </w:p>
    <w:p>
      <w:pPr>
        <w:ind w:right="140" w:firstLine="619"/>
        <w:spacing w:after="0" w:line="290" w:lineRule="auto"/>
        <w:rPr>
          <w:sz w:val="20"/>
          <w:szCs w:val="20"/>
          <w:color w:val="auto"/>
        </w:rPr>
      </w:pPr>
      <w:r>
        <w:rPr>
          <w:rFonts w:ascii="Arial" w:cs="Arial" w:eastAsia="Arial" w:hAnsi="Arial"/>
          <w:sz w:val="17"/>
          <w:szCs w:val="17"/>
          <w:color w:val="auto"/>
        </w:rPr>
        <w:t>Please see note 2 to our condensed consolidated financial statements included elsewhere in this quarterly report for information regarding recent accounting developments.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68"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In the normal course of business, we are exposed, directly or indirectly through our investments,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Oaktree’s investment approach, investment strategies, fundraising practices or other business activities that are designed to benefit, either in relative or absolute terms, from periods of economic weakness, tighter credit or financial market dislocations.</w:t>
      </w:r>
    </w:p>
    <w:p>
      <w:pPr>
        <w:spacing w:after="0" w:line="119" w:lineRule="exact"/>
        <w:rPr>
          <w:sz w:val="20"/>
          <w:szCs w:val="20"/>
          <w:color w:val="auto"/>
        </w:rPr>
      </w:pPr>
    </w:p>
    <w:p>
      <w:pPr>
        <w:ind w:right="180" w:firstLine="619"/>
        <w:spacing w:after="0" w:line="265" w:lineRule="auto"/>
        <w:rPr>
          <w:sz w:val="20"/>
          <w:szCs w:val="20"/>
          <w:color w:val="auto"/>
        </w:rPr>
      </w:pPr>
      <w:r>
        <w:rPr>
          <w:rFonts w:ascii="Arial" w:cs="Arial" w:eastAsia="Arial" w:hAnsi="Arial"/>
          <w:sz w:val="17"/>
          <w:szCs w:val="17"/>
          <w:color w:val="auto"/>
        </w:rPr>
        <w:t>Our predominant exposure to market risk is related to our investments in Oaktree funds and Brookfield REIT and our economic interest in Oaktree Capital I, which holds a general partner interest in certain Oaktree funds. The fair value of the financial assets and liabilities held by the funds, in which we are invested and Brookfield REIT may fluctuate in response to changes in, among many factors, the fair value of securities, foreign-exchange rates, commodities prices and interest rates.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Risk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on Net Change in Unrealized Appreciation (Depreciation) on Consolidated Funds’ Investments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2025, we had investments, at fair value of $4.8 billion related to our consolidated funds. We estimate that a 10%</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decline in market values would result in a decrease in unrealized appreciation (depreciation) on the consolidated funds’ investments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$484.7 million. Of this decline, approximately $99.3 million would impact net income attributable to BOH Class A unitholders, with the remainder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non-controlling interests. The magnitude of the impact on net income is largely affected by the percentage of our equity ownership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interest.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on Investment Income</w:t>
      </w:r>
    </w:p>
    <w:p>
      <w:pPr>
        <w:spacing w:after="0" w:line="165" w:lineRule="exact"/>
        <w:rPr>
          <w:sz w:val="20"/>
          <w:szCs w:val="20"/>
          <w:color w:val="auto"/>
        </w:rPr>
      </w:pPr>
    </w:p>
    <w:p>
      <w:pPr>
        <w:ind w:right="320" w:firstLine="619"/>
        <w:spacing w:after="0" w:line="262" w:lineRule="auto"/>
        <w:rPr>
          <w:sz w:val="20"/>
          <w:szCs w:val="20"/>
          <w:color w:val="auto"/>
        </w:rPr>
      </w:pPr>
      <w:r>
        <w:rPr>
          <w:rFonts w:ascii="Arial" w:cs="Arial" w:eastAsia="Arial" w:hAnsi="Arial"/>
          <w:sz w:val="17"/>
          <w:szCs w:val="17"/>
          <w:color w:val="auto"/>
        </w:rPr>
        <w:t>Investment income or loss arises from our pro-rata share of income or loss from our investments. This income is directly affected by changes in market risk factors. Based on investments held by our equity method investments as of September 30, 2025, a 10% decline in fair values of the investments held by Oaktree Capital I and Brookfield REIT would result in a $161.0 million decrease in the amount of investment income. These estimated effects are without regard to a number of factors that would be expected to increase or decrease the magnitude of the change to degrees that are not readily quantifiable, such as the timing of fund flows or the timing of new investments or realizations.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Exchange-rate Risk</w:t>
      </w:r>
    </w:p>
    <w:p>
      <w:pPr>
        <w:spacing w:after="0" w:line="155"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Subsequent to the 2022 Restructuring and the deconsolidation of OCM Cayman, we no longer have foreign subsidiaries and the associated exchange rate risk related to those operations. At any point in time, some of the investments held by the funds we are directly and indirectly</w:t>
      </w:r>
    </w:p>
    <w:p>
      <w:pPr>
        <w:ind w:right="360"/>
        <w:spacing w:after="0" w:line="229" w:lineRule="auto"/>
        <w:rPr>
          <w:sz w:val="20"/>
          <w:szCs w:val="20"/>
          <w:color w:val="auto"/>
        </w:rPr>
      </w:pPr>
      <w:r>
        <w:rPr>
          <w:rFonts w:ascii="Arial" w:cs="Arial" w:eastAsia="Arial" w:hAnsi="Arial"/>
          <w:sz w:val="17"/>
          <w:szCs w:val="17"/>
          <w:color w:val="auto"/>
        </w:rPr>
        <w:t>invested in may be denominated in non-U.S. dollar currencies on an unhedged basis. Changes in currency rates could affect our revenues with respect to such fund investments; however, the degree of impact is not readily determinable because of the many indirect effects that currency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movements may have on individual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167"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Interest-rate Risk</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2025, the Company prior to consolidation of funds had no debt obligations outstanding.</w:t>
      </w:r>
    </w:p>
    <w:p>
      <w:pPr>
        <w:spacing w:after="0" w:line="165" w:lineRule="exact"/>
        <w:rPr>
          <w:sz w:val="20"/>
          <w:szCs w:val="20"/>
          <w:color w:val="auto"/>
        </w:rPr>
      </w:pPr>
    </w:p>
    <w:p>
      <w:pPr>
        <w:ind w:right="460" w:firstLine="619"/>
        <w:spacing w:after="0" w:line="271" w:lineRule="auto"/>
        <w:rPr>
          <w:sz w:val="20"/>
          <w:szCs w:val="20"/>
          <w:color w:val="auto"/>
        </w:rPr>
      </w:pPr>
      <w:r>
        <w:rPr>
          <w:rFonts w:ascii="Arial" w:cs="Arial" w:eastAsia="Arial" w:hAnsi="Arial"/>
          <w:sz w:val="17"/>
          <w:szCs w:val="17"/>
          <w:color w:val="auto"/>
        </w:rPr>
        <w:t>Our consolidated funds have debt obligations, most of which accrue interest at variable rates. Changes in these rates would affect the amount of interest payments that our funds would have to make, impacting future earnings and cash flows. As of September 30, 2025, the consolidated funds had $1.2 billion of principal or par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63" w:name="page64"/>
    <w:bookmarkEnd w:id="63"/>
    <w:p>
      <w:pPr>
        <w:ind w:right="220"/>
        <w:spacing w:after="0" w:line="290" w:lineRule="auto"/>
        <w:rPr>
          <w:sz w:val="20"/>
          <w:szCs w:val="20"/>
          <w:color w:val="auto"/>
        </w:rPr>
      </w:pPr>
      <w:r>
        <w:rPr>
          <w:rFonts w:ascii="Arial" w:cs="Arial" w:eastAsia="Arial" w:hAnsi="Arial"/>
          <w:sz w:val="17"/>
          <w:szCs w:val="17"/>
          <w:color w:val="auto"/>
        </w:rPr>
        <w:t>value, as applicable, outstanding under these debt obligations. We estimate that interest expense relating to variable-rate debt would increase on an annualized basis by $11.7 million in the event interest rates were to increase by 100 basis points.</w:t>
      </w:r>
    </w:p>
    <w:p>
      <w:pPr>
        <w:spacing w:after="0" w:line="95"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76"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6" w:lineRule="exact"/>
        <w:rPr>
          <w:sz w:val="20"/>
          <w:szCs w:val="20"/>
          <w:color w:val="auto"/>
        </w:rPr>
      </w:pPr>
    </w:p>
    <w:p>
      <w:pPr>
        <w:ind w:right="320" w:firstLine="619"/>
        <w:spacing w:after="0" w:line="271" w:lineRule="auto"/>
        <w:rPr>
          <w:sz w:val="20"/>
          <w:szCs w:val="20"/>
          <w:color w:val="auto"/>
        </w:rPr>
      </w:pPr>
      <w:r>
        <w:rPr>
          <w:rFonts w:ascii="Arial" w:cs="Arial" w:eastAsia="Arial" w:hAnsi="Arial"/>
          <w:sz w:val="17"/>
          <w:szCs w:val="17"/>
          <w:color w:val="auto"/>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7"/>
          <w:szCs w:val="17"/>
          <w:b w:val="1"/>
          <w:bCs w:val="1"/>
          <w:color w:val="auto"/>
        </w:rPr>
        <w:t>PART II.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68" w:lineRule="exact"/>
        <w:rPr>
          <w:sz w:val="20"/>
          <w:szCs w:val="20"/>
          <w:color w:val="auto"/>
        </w:rPr>
      </w:pPr>
    </w:p>
    <w:p>
      <w:pPr>
        <w:ind w:firstLine="619"/>
        <w:spacing w:after="0" w:line="265" w:lineRule="auto"/>
        <w:rPr>
          <w:sz w:val="20"/>
          <w:szCs w:val="20"/>
          <w:color w:val="auto"/>
        </w:rPr>
      </w:pPr>
      <w:r>
        <w:rPr>
          <w:rFonts w:ascii="Arial" w:cs="Arial" w:eastAsia="Arial" w:hAnsi="Arial"/>
          <w:sz w:val="17"/>
          <w:szCs w:val="17"/>
          <w:color w:val="auto"/>
        </w:rPr>
        <w:t>For a discussion of legal proceedings, please see the section entitled “Legal Actions” in note 15 to our condensed consolidated financial statements included elsewhere in this quarterly report, which section is incorporated herein by reference. Also, please see “Item 1A. Risk Factors— Risks Related to Our Business—Extensive regulation in the United States and abroad affects our activities and creates the potential for significant liabilities and penalties that could adversely affect our business and results of operations” in our annual report.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8" w:lineRule="exact"/>
        <w:rPr>
          <w:sz w:val="20"/>
          <w:szCs w:val="20"/>
          <w:color w:val="auto"/>
        </w:rPr>
      </w:pPr>
    </w:p>
    <w:p>
      <w:pPr>
        <w:ind w:right="140" w:firstLine="619"/>
        <w:spacing w:after="0" w:line="290" w:lineRule="auto"/>
        <w:rPr>
          <w:sz w:val="20"/>
          <w:szCs w:val="20"/>
          <w:color w:val="auto"/>
        </w:rPr>
      </w:pPr>
      <w:r>
        <w:rPr>
          <w:rFonts w:ascii="Arial" w:cs="Arial" w:eastAsia="Arial" w:hAnsi="Arial"/>
          <w:sz w:val="17"/>
          <w:szCs w:val="17"/>
          <w:color w:val="auto"/>
        </w:rPr>
        <w:t>For a discussion of our potential risks and uncertainties, please see the information under “Risk Factors” in our annual report. There have been no material changes to the risk factors disclosed in those reports.</w:t>
      </w:r>
    </w:p>
    <w:p>
      <w:pPr>
        <w:spacing w:after="0" w:line="95" w:lineRule="exact"/>
        <w:rPr>
          <w:sz w:val="20"/>
          <w:szCs w:val="20"/>
          <w:color w:val="auto"/>
        </w:rPr>
      </w:pPr>
    </w:p>
    <w:p>
      <w:pPr>
        <w:ind w:right="60" w:firstLine="619"/>
        <w:spacing w:after="0" w:line="290" w:lineRule="auto"/>
        <w:rPr>
          <w:sz w:val="20"/>
          <w:szCs w:val="20"/>
          <w:color w:val="auto"/>
        </w:rPr>
      </w:pPr>
      <w:r>
        <w:rPr>
          <w:rFonts w:ascii="Arial" w:cs="Arial" w:eastAsia="Arial" w:hAnsi="Arial"/>
          <w:sz w:val="17"/>
          <w:szCs w:val="17"/>
          <w:color w:val="auto"/>
        </w:rPr>
        <w:t>The risks described in our annual report are not the only risks facing us. Additional risks and uncertainties not currently known to us or that we currently deem to be immaterial also may materially adversely affect our business, financial condition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10" w:right="39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Item 6. Exhibits</w:t>
      </w:r>
    </w:p>
    <w:p>
      <w:pPr>
        <w:spacing w:after="0" w:line="168" w:lineRule="exact"/>
        <w:rPr>
          <w:sz w:val="20"/>
          <w:szCs w:val="20"/>
          <w:color w:val="auto"/>
        </w:rPr>
      </w:pPr>
    </w:p>
    <w:p>
      <w:pPr>
        <w:ind w:firstLine="619"/>
        <w:spacing w:after="0" w:line="290" w:lineRule="auto"/>
        <w:rPr>
          <w:sz w:val="20"/>
          <w:szCs w:val="20"/>
          <w:color w:val="auto"/>
        </w:rPr>
      </w:pPr>
      <w:r>
        <w:rPr>
          <w:rFonts w:ascii="Arial" w:cs="Arial" w:eastAsia="Arial" w:hAnsi="Arial"/>
          <w:sz w:val="17"/>
          <w:szCs w:val="17"/>
          <w:color w:val="auto"/>
        </w:rPr>
        <w:t>For a list of exhibits filed with this report, refer to the Exhibits Index on the page immediately preceding the exhibits, which Exhibit Index is incorporated herein by reference.</w:t>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100" w:right="5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7"/>
          <w:szCs w:val="17"/>
          <w:b w:val="1"/>
          <w:bCs w:val="1"/>
          <w:color w:val="auto"/>
        </w:rPr>
        <w:t>SIGNATURE</w:t>
      </w:r>
    </w:p>
    <w:p>
      <w:pPr>
        <w:spacing w:after="0" w:line="168" w:lineRule="exact"/>
        <w:rPr>
          <w:sz w:val="20"/>
          <w:szCs w:val="20"/>
          <w:color w:val="auto"/>
        </w:rPr>
      </w:pPr>
    </w:p>
    <w:p>
      <w:pPr>
        <w:ind w:right="140" w:firstLine="619"/>
        <w:spacing w:after="0" w:line="290"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2025</w:t>
      </w:r>
    </w:p>
    <w:p>
      <w:pPr>
        <w:spacing w:after="0" w:line="47"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Brookfield Oaktree Holdings, LLC</w:t>
      </w:r>
    </w:p>
    <w:p>
      <w:pPr>
        <w:spacing w:after="0" w:line="42" w:lineRule="exact"/>
        <w:rPr>
          <w:sz w:val="20"/>
          <w:szCs w:val="20"/>
          <w:color w:val="auto"/>
        </w:rPr>
      </w:pPr>
    </w:p>
    <w:tbl>
      <w:tblPr>
        <w:tblLayout w:type="fixed"/>
        <w:tblInd w:w="638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Daniel D. Levin</w:t>
            </w:r>
          </w:p>
        </w:tc>
      </w:tr>
      <w:tr>
        <w:trPr>
          <w:trHeight w:val="158"/>
        </w:trPr>
        <w:tc>
          <w:tcPr>
            <w:tcW w:w="6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4200" w:type="dxa"/>
            <w:vAlign w:val="bottom"/>
          </w:tcPr>
          <w:p>
            <w:pPr>
              <w:jc w:val="center"/>
              <w:spacing w:after="0"/>
              <w:rPr>
                <w:sz w:val="20"/>
                <w:szCs w:val="20"/>
                <w:color w:val="auto"/>
              </w:rPr>
            </w:pPr>
            <w:r>
              <w:rPr>
                <w:rFonts w:ascii="Arial" w:cs="Arial" w:eastAsia="Arial" w:hAnsi="Arial"/>
                <w:sz w:val="12"/>
                <w:szCs w:val="12"/>
                <w:b w:val="1"/>
                <w:bCs w:val="1"/>
                <w:color w:val="auto"/>
                <w:w w:val="99"/>
              </w:rPr>
              <w:t>Daniel D. Levin</w:t>
            </w:r>
          </w:p>
        </w:tc>
      </w:tr>
      <w:tr>
        <w:trPr>
          <w:trHeight w:val="214"/>
        </w:trPr>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200" w:type="dxa"/>
            <w:vAlign w:val="bottom"/>
          </w:tcPr>
          <w:p>
            <w:pPr>
              <w:ind w:left="20"/>
              <w:spacing w:after="0"/>
              <w:rPr>
                <w:sz w:val="20"/>
                <w:szCs w:val="20"/>
                <w:color w:val="auto"/>
              </w:rPr>
            </w:pPr>
            <w:r>
              <w:rPr>
                <w:rFonts w:ascii="Arial" w:cs="Arial" w:eastAsia="Arial" w:hAnsi="Arial"/>
                <w:sz w:val="12"/>
                <w:szCs w:val="12"/>
                <w:b w:val="1"/>
                <w:bCs w:val="1"/>
                <w:color w:val="auto"/>
              </w:rPr>
              <w:t>Chief Financial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67" w:name="page68"/>
    <w:bookmarkEnd w:id="67"/>
    <w:tbl>
      <w:tblPr>
        <w:tblLayout w:type="fixed"/>
        <w:tblInd w:w="4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0" w:type="dxa"/>
            <w:vAlign w:val="bottom"/>
            <w:gridSpan w:val="14"/>
          </w:tcPr>
          <w:p>
            <w:pPr>
              <w:ind w:left="1360"/>
              <w:spacing w:after="0"/>
              <w:rPr>
                <w:sz w:val="20"/>
                <w:szCs w:val="20"/>
                <w:color w:val="auto"/>
              </w:rPr>
            </w:pPr>
            <w:r>
              <w:rPr>
                <w:rFonts w:ascii="Arial" w:cs="Arial" w:eastAsia="Arial" w:hAnsi="Arial"/>
                <w:sz w:val="17"/>
                <w:szCs w:val="17"/>
                <w:b w:val="1"/>
                <w:bCs w:val="1"/>
                <w:color w:val="auto"/>
              </w:rPr>
              <w:t>EXHIBITS INDEX</w:t>
            </w:r>
          </w:p>
        </w:tc>
        <w:tc>
          <w:tcPr>
            <w:tcW w:w="0" w:type="dxa"/>
            <w:vAlign w:val="bottom"/>
          </w:tcPr>
          <w:p>
            <w:pPr>
              <w:spacing w:after="0"/>
              <w:rPr>
                <w:sz w:val="1"/>
                <w:szCs w:val="1"/>
                <w:color w:val="auto"/>
              </w:rPr>
            </w:pPr>
          </w:p>
        </w:tc>
      </w:tr>
      <w:tr>
        <w:trPr>
          <w:trHeight w:val="142"/>
        </w:trPr>
        <w:tc>
          <w:tcPr>
            <w:tcW w:w="1300" w:type="dxa"/>
            <w:vAlign w:val="bottom"/>
            <w:gridSpan w:val="4"/>
          </w:tcPr>
          <w:p>
            <w:pPr>
              <w:spacing w:after="0"/>
              <w:rPr>
                <w:sz w:val="20"/>
                <w:szCs w:val="20"/>
                <w:color w:val="auto"/>
              </w:rPr>
            </w:pPr>
            <w:r>
              <w:rPr>
                <w:rFonts w:ascii="Arial" w:cs="Arial" w:eastAsia="Arial" w:hAnsi="Arial"/>
                <w:sz w:val="12"/>
                <w:szCs w:val="12"/>
                <w:b w:val="1"/>
                <w:bCs w:val="1"/>
                <w:color w:val="auto"/>
              </w:rPr>
              <w:t>Exhibit No.</w:t>
            </w: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20" w:type="dxa"/>
            <w:vAlign w:val="bottom"/>
            <w:gridSpan w:val="13"/>
          </w:tcPr>
          <w:p>
            <w:pPr>
              <w:ind w:left="500"/>
              <w:spacing w:after="0"/>
              <w:rPr>
                <w:sz w:val="20"/>
                <w:szCs w:val="20"/>
                <w:color w:val="auto"/>
              </w:rPr>
            </w:pPr>
            <w:r>
              <w:rPr>
                <w:rFonts w:ascii="Arial" w:cs="Arial" w:eastAsia="Arial" w:hAnsi="Arial"/>
                <w:sz w:val="12"/>
                <w:szCs w:val="12"/>
                <w:b w:val="1"/>
                <w:bCs w:val="1"/>
                <w:color w:val="auto"/>
              </w:rPr>
              <w:t>Description of Exhibit</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20" w:type="dxa"/>
            <w:vAlign w:val="bottom"/>
            <w:gridSpan w:val="2"/>
          </w:tcPr>
          <w:p>
            <w:pPr>
              <w:spacing w:after="0"/>
              <w:rPr>
                <w:rFonts w:ascii="Arial" w:cs="Arial" w:eastAsia="Arial" w:hAnsi="Arial"/>
                <w:sz w:val="17"/>
                <w:szCs w:val="17"/>
                <w:color w:val="0000FF"/>
              </w:rPr>
            </w:pPr>
            <w:hyperlink r:id="rId80">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7"/>
                <w:szCs w:val="17"/>
                <w:color w:val="0000FF"/>
              </w:rPr>
            </w:pPr>
            <w:hyperlink r:id="rId80">
              <w:r>
                <w:rPr>
                  <w:rFonts w:ascii="Arial" w:cs="Arial" w:eastAsia="Arial" w:hAnsi="Arial"/>
                  <w:sz w:val="17"/>
                  <w:szCs w:val="17"/>
                  <w:color w:val="0000FF"/>
                </w:rPr>
                <w:t>Amended and Restated Certificate of Formation of the Registrant effective as of March 15, 2024. (incorporated by reference to</w:t>
              </w:r>
            </w:hyperlink>
          </w:p>
        </w:tc>
        <w:tc>
          <w:tcPr>
            <w:tcW w:w="0" w:type="dxa"/>
            <w:vAlign w:val="bottom"/>
          </w:tcPr>
          <w:p>
            <w:pPr>
              <w:spacing w:after="0"/>
              <w:rPr>
                <w:sz w:val="1"/>
                <w:szCs w:val="1"/>
                <w:color w:val="auto"/>
              </w:rPr>
            </w:pPr>
          </w:p>
        </w:tc>
      </w:tr>
      <w:tr>
        <w:trPr>
          <w:trHeight w:val="128"/>
        </w:trPr>
        <w:tc>
          <w:tcPr>
            <w:tcW w:w="24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0" w:type="dxa"/>
            <w:vAlign w:val="bottom"/>
            <w:tcBorders>
              <w:top w:val="single" w:sz="8" w:color="0000FF"/>
            </w:tcBorders>
            <w:gridSpan w:val="11"/>
          </w:tcPr>
          <w:p>
            <w:pPr>
              <w:spacing w:after="0" w:line="128" w:lineRule="exact"/>
              <w:rPr>
                <w:rFonts w:ascii="Arial" w:cs="Arial" w:eastAsia="Arial" w:hAnsi="Arial"/>
                <w:sz w:val="14"/>
                <w:szCs w:val="14"/>
                <w:color w:val="0000FF"/>
              </w:rPr>
            </w:pPr>
            <w:hyperlink r:id="rId80">
              <w:r>
                <w:rPr>
                  <w:rFonts w:ascii="Arial" w:cs="Arial" w:eastAsia="Arial" w:hAnsi="Arial"/>
                  <w:sz w:val="14"/>
                  <w:szCs w:val="14"/>
                  <w:color w:val="0000FF"/>
                </w:rPr>
                <w:t>Exhibit 3.1 to the Registrant’s Annual Report on Form 10-K, filed with the SEC on March 21, 2024).</w:t>
              </w:r>
            </w:hyperlink>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700" w:type="dxa"/>
            <w:vAlign w:val="bottom"/>
            <w:gridSpan w:val="3"/>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20" w:type="dxa"/>
            <w:vAlign w:val="bottom"/>
            <w:gridSpan w:val="2"/>
          </w:tcPr>
          <w:p>
            <w:pPr>
              <w:spacing w:after="0"/>
              <w:rPr>
                <w:rFonts w:ascii="Arial" w:cs="Arial" w:eastAsia="Arial" w:hAnsi="Arial"/>
                <w:sz w:val="17"/>
                <w:szCs w:val="17"/>
                <w:color w:val="0000FF"/>
              </w:rPr>
            </w:pPr>
            <w:hyperlink r:id="rId81">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7"/>
                <w:szCs w:val="17"/>
                <w:color w:val="0000FF"/>
              </w:rPr>
            </w:pPr>
            <w:hyperlink r:id="rId81">
              <w:r>
                <w:rPr>
                  <w:rFonts w:ascii="Arial" w:cs="Arial" w:eastAsia="Arial" w:hAnsi="Arial"/>
                  <w:sz w:val="17"/>
                  <w:szCs w:val="17"/>
                  <w:color w:val="0000FF"/>
                </w:rPr>
                <w:t>Seventh Amended and Restated Operating Agreement of the Registrant dated as of March 15, 2024 (including Unit Designation</w:t>
              </w:r>
            </w:hyperlink>
          </w:p>
        </w:tc>
        <w:tc>
          <w:tcPr>
            <w:tcW w:w="0" w:type="dxa"/>
            <w:vAlign w:val="bottom"/>
          </w:tcPr>
          <w:p>
            <w:pPr>
              <w:spacing w:after="0"/>
              <w:rPr>
                <w:sz w:val="1"/>
                <w:szCs w:val="1"/>
                <w:color w:val="auto"/>
              </w:rPr>
            </w:pPr>
          </w:p>
        </w:tc>
      </w:tr>
      <w:tr>
        <w:trPr>
          <w:trHeight w:val="148"/>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52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rPr>
            </w:pPr>
            <w:hyperlink r:id="rId81">
              <w:r>
                <w:rPr>
                  <w:rFonts w:ascii="Arial" w:cs="Arial" w:eastAsia="Arial" w:hAnsi="Arial"/>
                  <w:sz w:val="17"/>
                  <w:szCs w:val="17"/>
                  <w:color w:val="0000FF"/>
                </w:rPr>
                <w:t>with respect to the Series A Preferred Units, dated May 17, 2018, and Unit Designation with respect to the Series B Preferred</w:t>
              </w:r>
            </w:hyperlink>
          </w:p>
        </w:tc>
        <w:tc>
          <w:tcPr>
            <w:tcW w:w="20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40" w:type="dxa"/>
            <w:vAlign w:val="bottom"/>
            <w:gridSpan w:val="16"/>
          </w:tcPr>
          <w:p>
            <w:pPr>
              <w:spacing w:after="0" w:line="161" w:lineRule="exact"/>
              <w:rPr>
                <w:rFonts w:ascii="Arial" w:cs="Arial" w:eastAsia="Arial" w:hAnsi="Arial"/>
                <w:sz w:val="17"/>
                <w:szCs w:val="17"/>
                <w:color w:val="0000FF"/>
              </w:rPr>
            </w:pPr>
            <w:hyperlink r:id="rId81">
              <w:r>
                <w:rPr>
                  <w:rFonts w:ascii="Arial" w:cs="Arial" w:eastAsia="Arial" w:hAnsi="Arial"/>
                  <w:sz w:val="17"/>
                  <w:szCs w:val="17"/>
                  <w:color w:val="0000FF"/>
                </w:rPr>
                <w:t>Units, dated August 9, 2018) (incorporated by reference to Exhibit 3.2 to the Registrant’s Annual Report on Form 10-K, filed with</w:t>
              </w:r>
            </w:hyperlink>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rPr>
            </w:pPr>
            <w:hyperlink r:id="rId81">
              <w:r>
                <w:rPr>
                  <w:rFonts w:ascii="Arial" w:cs="Arial" w:eastAsia="Arial" w:hAnsi="Arial"/>
                  <w:sz w:val="17"/>
                  <w:szCs w:val="17"/>
                  <w:color w:val="0000FF"/>
                </w:rPr>
                <w:t>the SEC on March 21, 2024).</w:t>
              </w:r>
            </w:hyperlink>
          </w:p>
        </w:tc>
        <w:tc>
          <w:tcPr>
            <w:tcW w:w="75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620" w:type="dxa"/>
            <w:vAlign w:val="bottom"/>
            <w:gridSpan w:val="3"/>
          </w:tcPr>
          <w:p>
            <w:pPr>
              <w:spacing w:after="0"/>
              <w:rPr>
                <w:rFonts w:ascii="Arial" w:cs="Arial" w:eastAsia="Arial" w:hAnsi="Arial"/>
                <w:sz w:val="17"/>
                <w:szCs w:val="17"/>
                <w:color w:val="0000FF"/>
              </w:rPr>
            </w:pPr>
            <w:hyperlink r:id="rId82">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680" w:type="dxa"/>
            <w:vAlign w:val="bottom"/>
          </w:tcPr>
          <w:p>
            <w:pPr>
              <w:spacing w:after="0"/>
              <w:rPr>
                <w:sz w:val="24"/>
                <w:szCs w:val="24"/>
                <w:color w:val="auto"/>
              </w:rPr>
            </w:pPr>
          </w:p>
        </w:tc>
        <w:tc>
          <w:tcPr>
            <w:tcW w:w="9840" w:type="dxa"/>
            <w:vAlign w:val="bottom"/>
            <w:gridSpan w:val="16"/>
          </w:tcPr>
          <w:p>
            <w:pPr>
              <w:spacing w:after="0"/>
              <w:rPr>
                <w:rFonts w:ascii="Arial" w:cs="Arial" w:eastAsia="Arial" w:hAnsi="Arial"/>
                <w:sz w:val="17"/>
                <w:szCs w:val="17"/>
                <w:color w:val="0000FF"/>
              </w:rPr>
            </w:pPr>
            <w:hyperlink r:id="rId82">
              <w:r>
                <w:rPr>
                  <w:rFonts w:ascii="Arial" w:cs="Arial" w:eastAsia="Arial" w:hAnsi="Arial"/>
                  <w:sz w:val="17"/>
                  <w:szCs w:val="17"/>
                  <w:color w:val="0000FF"/>
                </w:rPr>
                <w:t>Eighth Amended and Restated Limited Partnership Agreement of Oaktree Capital I, L.P. dated as of June 25, 2025 (incorporated</w:t>
              </w:r>
            </w:hyperlink>
          </w:p>
        </w:tc>
        <w:tc>
          <w:tcPr>
            <w:tcW w:w="0" w:type="dxa"/>
            <w:vAlign w:val="bottom"/>
          </w:tcPr>
          <w:p>
            <w:pPr>
              <w:spacing w:after="0"/>
              <w:rPr>
                <w:sz w:val="1"/>
                <w:szCs w:val="1"/>
                <w:color w:val="auto"/>
              </w:rPr>
            </w:pPr>
          </w:p>
        </w:tc>
      </w:tr>
      <w:tr>
        <w:trPr>
          <w:trHeight w:val="20"/>
        </w:trPr>
        <w:tc>
          <w:tcPr>
            <w:tcW w:w="2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60" w:type="dxa"/>
            <w:vAlign w:val="bottom"/>
            <w:tcBorders>
              <w:top w:val="single" w:sz="8" w:color="0000FF"/>
            </w:tcBorders>
            <w:gridSpan w:val="7"/>
            <w:vMerge w:val="restart"/>
          </w:tcPr>
          <w:p>
            <w:pPr>
              <w:spacing w:after="0" w:line="148" w:lineRule="exact"/>
              <w:rPr>
                <w:rFonts w:ascii="Arial" w:cs="Arial" w:eastAsia="Arial" w:hAnsi="Arial"/>
                <w:sz w:val="17"/>
                <w:szCs w:val="17"/>
                <w:color w:val="0000FF"/>
              </w:rPr>
            </w:pPr>
            <w:hyperlink r:id="rId82">
              <w:r>
                <w:rPr>
                  <w:rFonts w:ascii="Arial" w:cs="Arial" w:eastAsia="Arial" w:hAnsi="Arial"/>
                  <w:sz w:val="17"/>
                  <w:szCs w:val="17"/>
                  <w:color w:val="0000FF"/>
                </w:rPr>
                <w:t>by reference to Exhibit 10.1 to the Registrant’s Quarterly Report on Form 10-Q, filed with the SEC on August 13, 2025).</w:t>
              </w:r>
            </w:hyperlink>
          </w:p>
        </w:tc>
        <w:tc>
          <w:tcPr>
            <w:tcW w:w="700" w:type="dxa"/>
            <w:vAlign w:val="bottom"/>
            <w:tcBorders>
              <w:top w:val="single" w:sz="8" w:color="0000FF"/>
            </w:tcBorders>
            <w:gridSpan w:val="7"/>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20" w:type="dxa"/>
            <w:vAlign w:val="bottom"/>
            <w:gridSpan w:val="3"/>
            <w:vMerge w:val="restart"/>
          </w:tcPr>
          <w:p>
            <w:pPr>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680" w:type="dxa"/>
            <w:vAlign w:val="bottom"/>
          </w:tcPr>
          <w:p>
            <w:pPr>
              <w:spacing w:after="0"/>
              <w:rPr>
                <w:sz w:val="11"/>
                <w:szCs w:val="11"/>
                <w:color w:val="auto"/>
              </w:rPr>
            </w:pPr>
          </w:p>
        </w:tc>
        <w:tc>
          <w:tcPr>
            <w:tcW w:w="9060" w:type="dxa"/>
            <w:vAlign w:val="bottom"/>
            <w:tcBorders>
              <w:bottom w:val="single" w:sz="8" w:color="0000FF"/>
            </w:tcBorders>
            <w:gridSpan w:val="7"/>
            <w:vMerge w:val="continue"/>
          </w:tcPr>
          <w:p>
            <w:pPr>
              <w:spacing w:after="0"/>
              <w:rPr>
                <w:sz w:val="11"/>
                <w:szCs w:val="11"/>
                <w:color w:val="auto"/>
              </w:rPr>
            </w:pPr>
          </w:p>
        </w:tc>
        <w:tc>
          <w:tcPr>
            <w:tcW w:w="700" w:type="dxa"/>
            <w:vAlign w:val="bottom"/>
            <w:gridSpan w:val="7"/>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62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gridSpan w:val="16"/>
          </w:tcPr>
          <w:p>
            <w:pPr>
              <w:spacing w:after="0"/>
              <w:rPr>
                <w:sz w:val="20"/>
                <w:szCs w:val="20"/>
                <w:color w:val="auto"/>
              </w:rPr>
            </w:pPr>
            <w:r>
              <w:rPr>
                <w:rFonts w:ascii="Arial" w:cs="Arial" w:eastAsia="Arial" w:hAnsi="Arial"/>
                <w:sz w:val="17"/>
                <w:szCs w:val="17"/>
                <w:color w:val="0000FF"/>
              </w:rPr>
              <w:t>Certification of the Principal Executive Officer pursuant to Rule 13a-14(a) or 15d-14(a) of the Exchange Act, as adopted, pursuant</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40" w:type="dxa"/>
            <w:vAlign w:val="bottom"/>
            <w:tcBorders>
              <w:top w:val="single" w:sz="8" w:color="0000FF"/>
            </w:tcBorders>
            <w:gridSpan w:val="16"/>
          </w:tcPr>
          <w:p>
            <w:pPr>
              <w:spacing w:after="0"/>
              <w:rPr>
                <w:sz w:val="20"/>
                <w:szCs w:val="20"/>
                <w:color w:val="auto"/>
              </w:rPr>
            </w:pPr>
            <w:r>
              <w:rPr>
                <w:rFonts w:ascii="Arial" w:cs="Arial" w:eastAsia="Arial" w:hAnsi="Arial"/>
                <w:sz w:val="17"/>
                <w:szCs w:val="17"/>
                <w:color w:val="0000FF"/>
              </w:rPr>
              <w:t xml:space="preserve">to Section 302 of the Sarbanes-Oxley Act of 2002. </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20"/>
        </w:trPr>
        <w:tc>
          <w:tcPr>
            <w:tcW w:w="620" w:type="dxa"/>
            <w:vAlign w:val="bottom"/>
            <w:gridSpan w:val="3"/>
            <w:vMerge w:val="restart"/>
          </w:tcPr>
          <w:p>
            <w:pPr>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680" w:type="dxa"/>
            <w:vAlign w:val="bottom"/>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2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gridSpan w:val="16"/>
          </w:tcPr>
          <w:p>
            <w:pPr>
              <w:spacing w:after="0"/>
              <w:rPr>
                <w:sz w:val="20"/>
                <w:szCs w:val="20"/>
                <w:color w:val="auto"/>
              </w:rPr>
            </w:pPr>
            <w:r>
              <w:rPr>
                <w:rFonts w:ascii="Arial" w:cs="Arial" w:eastAsia="Arial" w:hAnsi="Arial"/>
                <w:sz w:val="17"/>
                <w:szCs w:val="17"/>
                <w:color w:val="0000FF"/>
              </w:rPr>
              <w:t>Certification of the Principal Financial Officer pursuant to Rule 13a-14(a) or 15d-14(a) of the Exchange Act, as adopted, pursuant</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8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 xml:space="preserve">to Section 302 of the Sarbanes-Oxley Act of 2002. </w:t>
            </w:r>
            <w:r>
              <w:rPr>
                <w:rFonts w:ascii="Arial" w:cs="Arial" w:eastAsia="Arial" w:hAnsi="Arial"/>
                <w:sz w:val="17"/>
                <w:szCs w:val="17"/>
                <w:color w:val="000000"/>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3"/>
            <w:vMerge w:val="restart"/>
          </w:tcPr>
          <w:p>
            <w:pPr>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680" w:type="dxa"/>
            <w:vAlign w:val="bottom"/>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2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gridSpan w:val="16"/>
          </w:tcPr>
          <w:p>
            <w:pPr>
              <w:spacing w:after="0"/>
              <w:rPr>
                <w:sz w:val="20"/>
                <w:szCs w:val="20"/>
                <w:color w:val="auto"/>
              </w:rPr>
            </w:pPr>
            <w:r>
              <w:rPr>
                <w:rFonts w:ascii="Arial" w:cs="Arial" w:eastAsia="Arial" w:hAnsi="Arial"/>
                <w:sz w:val="17"/>
                <w:szCs w:val="17"/>
                <w:color w:val="0000FF"/>
              </w:rPr>
              <w:t>Certification of the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6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0000FF"/>
              </w:rPr>
              <w:t xml:space="preserve">Sarbanes-Oxley Act of 2002. </w:t>
            </w:r>
            <w:r>
              <w:rPr>
                <w:rFonts w:ascii="Arial" w:cs="Arial" w:eastAsia="Arial" w:hAnsi="Arial"/>
                <w:sz w:val="17"/>
                <w:szCs w:val="17"/>
                <w:color w:val="000000"/>
              </w:rPr>
              <w:t>††</w:t>
            </w: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3"/>
            <w:vMerge w:val="restart"/>
          </w:tcPr>
          <w:p>
            <w:pPr>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2</w:t>
            </w:r>
          </w:p>
        </w:tc>
        <w:tc>
          <w:tcPr>
            <w:tcW w:w="680" w:type="dxa"/>
            <w:vAlign w:val="bottom"/>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7180" w:type="dxa"/>
            <w:vAlign w:val="bottom"/>
            <w:gridSpan w:val="7"/>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2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gridSpan w:val="16"/>
          </w:tcPr>
          <w:p>
            <w:pPr>
              <w:spacing w:after="0"/>
              <w:rPr>
                <w:sz w:val="20"/>
                <w:szCs w:val="20"/>
                <w:color w:val="auto"/>
              </w:rPr>
            </w:pPr>
            <w:r>
              <w:rPr>
                <w:rFonts w:ascii="Arial" w:cs="Arial" w:eastAsia="Arial" w:hAnsi="Arial"/>
                <w:sz w:val="17"/>
                <w:szCs w:val="17"/>
                <w:color w:val="0000FF"/>
              </w:rPr>
              <w:t>Certification of the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206"/>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0000FF"/>
              </w:rPr>
              <w:t xml:space="preserve">Sarbanes-Oxley Act of 2002. </w:t>
            </w:r>
            <w:r>
              <w:rPr>
                <w:rFonts w:ascii="Arial" w:cs="Arial" w:eastAsia="Arial" w:hAnsi="Arial"/>
                <w:sz w:val="17"/>
                <w:szCs w:val="17"/>
                <w:color w:val="000000"/>
              </w:rPr>
              <w:t>††</w:t>
            </w:r>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300" w:type="dxa"/>
            <w:vAlign w:val="bottom"/>
            <w:gridSpan w:val="4"/>
          </w:tcPr>
          <w:p>
            <w:pPr>
              <w:spacing w:after="0"/>
              <w:rPr>
                <w:sz w:val="20"/>
                <w:szCs w:val="20"/>
                <w:color w:val="auto"/>
              </w:rPr>
            </w:pPr>
            <w:r>
              <w:rPr>
                <w:rFonts w:ascii="Arial" w:cs="Arial" w:eastAsia="Arial" w:hAnsi="Arial"/>
                <w:sz w:val="17"/>
                <w:szCs w:val="17"/>
                <w:color w:val="auto"/>
              </w:rPr>
              <w:t>101.INS</w:t>
            </w:r>
          </w:p>
        </w:tc>
        <w:tc>
          <w:tcPr>
            <w:tcW w:w="2220" w:type="dxa"/>
            <w:vAlign w:val="bottom"/>
            <w:tcBorders>
              <w:top w:val="single" w:sz="8" w:color="0000FF"/>
            </w:tcBorders>
          </w:tcPr>
          <w:p>
            <w:pPr>
              <w:spacing w:after="0"/>
              <w:rPr>
                <w:sz w:val="20"/>
                <w:szCs w:val="20"/>
                <w:color w:val="auto"/>
              </w:rPr>
            </w:pPr>
            <w:r>
              <w:rPr>
                <w:rFonts w:ascii="Arial" w:cs="Arial" w:eastAsia="Arial" w:hAnsi="Arial"/>
                <w:sz w:val="17"/>
                <w:szCs w:val="17"/>
                <w:color w:val="auto"/>
              </w:rPr>
              <w:t>XBRL Instance Document.</w:t>
            </w:r>
          </w:p>
        </w:tc>
        <w:tc>
          <w:tcPr>
            <w:tcW w:w="76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00" w:type="dxa"/>
            <w:vAlign w:val="bottom"/>
            <w:gridSpan w:val="4"/>
          </w:tcPr>
          <w:p>
            <w:pPr>
              <w:spacing w:after="0"/>
              <w:rPr>
                <w:sz w:val="20"/>
                <w:szCs w:val="20"/>
                <w:color w:val="auto"/>
              </w:rPr>
            </w:pPr>
            <w:r>
              <w:rPr>
                <w:rFonts w:ascii="Arial" w:cs="Arial" w:eastAsia="Arial" w:hAnsi="Arial"/>
                <w:sz w:val="17"/>
                <w:szCs w:val="17"/>
                <w:color w:val="auto"/>
              </w:rPr>
              <w:t>101.SCH</w:t>
            </w:r>
          </w:p>
        </w:tc>
        <w:tc>
          <w:tcPr>
            <w:tcW w:w="9840" w:type="dxa"/>
            <w:vAlign w:val="bottom"/>
            <w:gridSpan w:val="16"/>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322"/>
        </w:trPr>
        <w:tc>
          <w:tcPr>
            <w:tcW w:w="1300" w:type="dxa"/>
            <w:vAlign w:val="bottom"/>
            <w:gridSpan w:val="4"/>
          </w:tcPr>
          <w:p>
            <w:pPr>
              <w:spacing w:after="0"/>
              <w:rPr>
                <w:sz w:val="20"/>
                <w:szCs w:val="20"/>
                <w:color w:val="auto"/>
              </w:rPr>
            </w:pPr>
            <w:r>
              <w:rPr>
                <w:rFonts w:ascii="Arial" w:cs="Arial" w:eastAsia="Arial" w:hAnsi="Arial"/>
                <w:sz w:val="17"/>
                <w:szCs w:val="17"/>
                <w:color w:val="auto"/>
              </w:rPr>
              <w:t>101.CAL</w:t>
            </w:r>
          </w:p>
        </w:tc>
        <w:tc>
          <w:tcPr>
            <w:tcW w:w="9840" w:type="dxa"/>
            <w:vAlign w:val="bottom"/>
            <w:gridSpan w:val="16"/>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322"/>
        </w:trPr>
        <w:tc>
          <w:tcPr>
            <w:tcW w:w="1300" w:type="dxa"/>
            <w:vAlign w:val="bottom"/>
            <w:gridSpan w:val="4"/>
          </w:tcPr>
          <w:p>
            <w:pPr>
              <w:spacing w:after="0"/>
              <w:rPr>
                <w:sz w:val="20"/>
                <w:szCs w:val="20"/>
                <w:color w:val="auto"/>
              </w:rPr>
            </w:pPr>
            <w:r>
              <w:rPr>
                <w:rFonts w:ascii="Arial" w:cs="Arial" w:eastAsia="Arial" w:hAnsi="Arial"/>
                <w:sz w:val="17"/>
                <w:szCs w:val="17"/>
                <w:color w:val="auto"/>
              </w:rPr>
              <w:t>101.LAB</w:t>
            </w:r>
          </w:p>
        </w:tc>
        <w:tc>
          <w:tcPr>
            <w:tcW w:w="9840" w:type="dxa"/>
            <w:vAlign w:val="bottom"/>
            <w:gridSpan w:val="16"/>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322"/>
        </w:trPr>
        <w:tc>
          <w:tcPr>
            <w:tcW w:w="1300" w:type="dxa"/>
            <w:vAlign w:val="bottom"/>
            <w:gridSpan w:val="4"/>
          </w:tcPr>
          <w:p>
            <w:pPr>
              <w:spacing w:after="0"/>
              <w:rPr>
                <w:sz w:val="20"/>
                <w:szCs w:val="20"/>
                <w:color w:val="auto"/>
              </w:rPr>
            </w:pPr>
            <w:r>
              <w:rPr>
                <w:rFonts w:ascii="Arial" w:cs="Arial" w:eastAsia="Arial" w:hAnsi="Arial"/>
                <w:sz w:val="17"/>
                <w:szCs w:val="17"/>
                <w:color w:val="auto"/>
              </w:rPr>
              <w:t>101.PRE</w:t>
            </w:r>
          </w:p>
        </w:tc>
        <w:tc>
          <w:tcPr>
            <w:tcW w:w="9840" w:type="dxa"/>
            <w:vAlign w:val="bottom"/>
            <w:gridSpan w:val="16"/>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322"/>
        </w:trPr>
        <w:tc>
          <w:tcPr>
            <w:tcW w:w="1300" w:type="dxa"/>
            <w:vAlign w:val="bottom"/>
            <w:gridSpan w:val="4"/>
          </w:tcPr>
          <w:p>
            <w:pPr>
              <w:spacing w:after="0"/>
              <w:rPr>
                <w:sz w:val="20"/>
                <w:szCs w:val="20"/>
                <w:color w:val="auto"/>
              </w:rPr>
            </w:pPr>
            <w:r>
              <w:rPr>
                <w:rFonts w:ascii="Arial" w:cs="Arial" w:eastAsia="Arial" w:hAnsi="Arial"/>
                <w:sz w:val="17"/>
                <w:szCs w:val="17"/>
                <w:color w:val="auto"/>
              </w:rPr>
              <w:t>101.DEF</w:t>
            </w:r>
          </w:p>
        </w:tc>
        <w:tc>
          <w:tcPr>
            <w:tcW w:w="9840" w:type="dxa"/>
            <w:vAlign w:val="bottom"/>
            <w:gridSpan w:val="16"/>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3848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180"/>
          </w:cols>
          <w:pgMar w:left="320" w:top="856" w:right="39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31.1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 Nicholas Goodman, certify that:</w:t>
      </w:r>
    </w:p>
    <w:p>
      <w:pPr>
        <w:spacing w:after="0" w:line="204" w:lineRule="exact"/>
        <w:rPr>
          <w:sz w:val="20"/>
          <w:szCs w:val="20"/>
          <w:color w:val="auto"/>
        </w:rPr>
      </w:pPr>
    </w:p>
    <w:p>
      <w:pPr>
        <w:ind w:left="360" w:hanging="318"/>
        <w:spacing w:after="0"/>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2025 of Brookfield Oaktree Holdings, LLC;</w:t>
      </w:r>
    </w:p>
    <w:p>
      <w:pPr>
        <w:spacing w:after="0" w:line="191" w:lineRule="exact"/>
        <w:rPr>
          <w:rFonts w:ascii="Arial" w:cs="Arial" w:eastAsia="Arial" w:hAnsi="Arial"/>
          <w:sz w:val="17"/>
          <w:szCs w:val="17"/>
          <w:color w:val="auto"/>
        </w:rPr>
      </w:pPr>
    </w:p>
    <w:p>
      <w:pPr>
        <w:ind w:left="360" w:hanging="318"/>
        <w:spacing w:after="0"/>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w:t>
      </w:r>
    </w:p>
    <w:p>
      <w:pPr>
        <w:spacing w:after="0" w:line="49" w:lineRule="exact"/>
        <w:rPr>
          <w:rFonts w:ascii="Arial" w:cs="Arial" w:eastAsia="Arial" w:hAnsi="Arial"/>
          <w:sz w:val="17"/>
          <w:szCs w:val="17"/>
          <w:color w:val="auto"/>
        </w:rPr>
      </w:pPr>
    </w:p>
    <w:p>
      <w:pPr>
        <w:ind w:left="420" w:right="640"/>
        <w:spacing w:after="0" w:line="321" w:lineRule="auto"/>
        <w:rPr>
          <w:rFonts w:ascii="Arial" w:cs="Arial" w:eastAsia="Arial" w:hAnsi="Arial"/>
          <w:sz w:val="17"/>
          <w:szCs w:val="17"/>
          <w:color w:val="auto"/>
        </w:rPr>
      </w:pPr>
      <w:r>
        <w:rPr>
          <w:rFonts w:ascii="Arial" w:cs="Arial" w:eastAsia="Arial" w:hAnsi="Arial"/>
          <w:sz w:val="17"/>
          <w:szCs w:val="17"/>
          <w:color w:val="auto"/>
        </w:rPr>
        <w:t>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7"/>
          <w:szCs w:val="17"/>
          <w:color w:val="auto"/>
        </w:rPr>
      </w:pPr>
    </w:p>
    <w:p>
      <w:pPr>
        <w:ind w:left="420" w:right="200" w:hanging="378"/>
        <w:spacing w:after="0" w:line="321" w:lineRule="auto"/>
        <w:tabs>
          <w:tab w:leader="none" w:pos="34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7"/>
          <w:szCs w:val="17"/>
          <w:color w:val="auto"/>
        </w:rPr>
      </w:pPr>
    </w:p>
    <w:p>
      <w:pPr>
        <w:ind w:left="360" w:hanging="318"/>
        <w:spacing w:after="0"/>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w:t>
      </w:r>
    </w:p>
    <w:p>
      <w:pPr>
        <w:spacing w:after="0" w:line="49"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in Exchange Act Rules 13a-15(e) and 15d-15(e)) and internal control over financial reporting (as defined in Exchange Act Rules 13a-15(f) and</w:t>
      </w:r>
    </w:p>
    <w:p>
      <w:pPr>
        <w:spacing w:after="0" w:line="36"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4" w:lineRule="exact"/>
        <w:rPr>
          <w:rFonts w:ascii="Arial" w:cs="Arial" w:eastAsia="Arial" w:hAnsi="Arial"/>
          <w:sz w:val="17"/>
          <w:szCs w:val="17"/>
          <w:color w:val="auto"/>
        </w:rPr>
      </w:pPr>
    </w:p>
    <w:p>
      <w:pPr>
        <w:ind w:left="820" w:right="140" w:hanging="391"/>
        <w:spacing w:after="0" w:line="311" w:lineRule="auto"/>
        <w:tabs>
          <w:tab w:leader="none" w:pos="7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7"/>
          <w:szCs w:val="17"/>
          <w:color w:val="auto"/>
        </w:rPr>
      </w:pPr>
    </w:p>
    <w:p>
      <w:pPr>
        <w:ind w:left="760" w:hanging="331"/>
        <w:spacing w:after="0"/>
        <w:tabs>
          <w:tab w:leader="none" w:pos="7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49" w:lineRule="exact"/>
        <w:rPr>
          <w:rFonts w:ascii="Arial" w:cs="Arial" w:eastAsia="Arial" w:hAnsi="Arial"/>
          <w:sz w:val="17"/>
          <w:szCs w:val="17"/>
          <w:color w:val="auto"/>
        </w:rPr>
      </w:pPr>
    </w:p>
    <w:p>
      <w:pPr>
        <w:ind w:left="820" w:right="60"/>
        <w:spacing w:after="0" w:line="321" w:lineRule="auto"/>
        <w:rPr>
          <w:rFonts w:ascii="Arial" w:cs="Arial" w:eastAsia="Arial" w:hAnsi="Arial"/>
          <w:sz w:val="17"/>
          <w:szCs w:val="17"/>
          <w:color w:val="auto"/>
        </w:rPr>
      </w:pPr>
      <w:r>
        <w:rPr>
          <w:rFonts w:ascii="Arial" w:cs="Arial" w:eastAsia="Arial" w:hAnsi="Arial"/>
          <w:sz w:val="17"/>
          <w:szCs w:val="17"/>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7"/>
          <w:szCs w:val="17"/>
          <w:color w:val="auto"/>
        </w:rPr>
      </w:pPr>
    </w:p>
    <w:p>
      <w:pPr>
        <w:ind w:left="820" w:right="60" w:hanging="391"/>
        <w:spacing w:after="0" w:line="321" w:lineRule="auto"/>
        <w:tabs>
          <w:tab w:leader="none" w:pos="7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7"/>
          <w:szCs w:val="17"/>
          <w:color w:val="auto"/>
        </w:rPr>
      </w:pPr>
    </w:p>
    <w:p>
      <w:pPr>
        <w:ind w:left="820" w:right="340" w:hanging="391"/>
        <w:spacing w:after="0" w:line="311" w:lineRule="auto"/>
        <w:tabs>
          <w:tab w:leader="none" w:pos="7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ind w:left="420" w:right="120" w:hanging="378"/>
        <w:spacing w:after="0" w:line="337" w:lineRule="auto"/>
        <w:tabs>
          <w:tab w:leader="none" w:pos="34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7"/>
          <w:szCs w:val="17"/>
          <w:color w:val="auto"/>
        </w:rPr>
      </w:pPr>
    </w:p>
    <w:p>
      <w:pPr>
        <w:ind w:left="820" w:right="640" w:hanging="391"/>
        <w:spacing w:after="0" w:line="321" w:lineRule="auto"/>
        <w:tabs>
          <w:tab w:leader="none" w:pos="7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7"/>
          <w:szCs w:val="17"/>
          <w:color w:val="auto"/>
        </w:rPr>
      </w:pPr>
    </w:p>
    <w:p>
      <w:pPr>
        <w:ind w:left="820" w:right="240" w:hanging="391"/>
        <w:spacing w:after="0" w:line="321" w:lineRule="auto"/>
        <w:tabs>
          <w:tab w:leader="none" w:pos="7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2025</w:t>
      </w:r>
    </w:p>
    <w:p>
      <w:pPr>
        <w:sectPr>
          <w:pgSz w:w="11900" w:h="16838" w:orient="portrait"/>
          <w:cols w:equalWidth="0" w:num="1">
            <w:col w:w="11240"/>
          </w:cols>
          <w:pgMar w:left="320" w:top="675" w:right="339" w:bottom="1440" w:gutter="0" w:footer="0" w:header="0"/>
        </w:sectPr>
      </w:pPr>
    </w:p>
    <w:bookmarkStart w:id="69" w:name="page70"/>
    <w:bookmarkEnd w:id="69"/>
    <w:p>
      <w:pPr>
        <w:ind w:left="4040"/>
        <w:spacing w:after="0"/>
        <w:rPr>
          <w:sz w:val="20"/>
          <w:szCs w:val="20"/>
          <w:color w:val="auto"/>
        </w:rPr>
      </w:pPr>
      <w:r>
        <w:rPr>
          <w:rFonts w:ascii="Arial" w:cs="Arial" w:eastAsia="Arial" w:hAnsi="Arial"/>
          <w:sz w:val="17"/>
          <w:szCs w:val="17"/>
          <w:color w:val="auto"/>
        </w:rPr>
        <w:t>/s/ Nicholas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17780</wp:posOffset>
            </wp:positionV>
            <wp:extent cx="1710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710690" cy="8255"/>
                    </a:xfrm>
                    <a:prstGeom prst="rect">
                      <a:avLst/>
                    </a:prstGeom>
                    <a:noFill/>
                  </pic:spPr>
                </pic:pic>
              </a:graphicData>
            </a:graphic>
          </wp:anchor>
        </w:drawing>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Nicholas Goodman</w:t>
      </w:r>
    </w:p>
    <w:p>
      <w:pPr>
        <w:spacing w:after="0" w:line="30" w:lineRule="exact"/>
        <w:rPr>
          <w:sz w:val="20"/>
          <w:szCs w:val="20"/>
          <w:color w:val="auto"/>
        </w:rPr>
      </w:pPr>
    </w:p>
    <w:p>
      <w:pPr>
        <w:ind w:left="4040"/>
        <w:spacing w:after="0"/>
        <w:rPr>
          <w:sz w:val="20"/>
          <w:szCs w:val="20"/>
          <w:color w:val="auto"/>
        </w:rPr>
      </w:pPr>
      <w:r>
        <w:rPr>
          <w:rFonts w:ascii="Arial" w:cs="Arial" w:eastAsia="Arial" w:hAnsi="Arial"/>
          <w:sz w:val="17"/>
          <w:szCs w:val="17"/>
          <w:i w:val="1"/>
          <w:iCs w:val="1"/>
          <w:color w:val="auto"/>
        </w:rPr>
        <w:t>Chief Executive Officer</w:t>
      </w:r>
    </w:p>
    <w:p>
      <w:pPr>
        <w:spacing w:after="0" w:line="24" w:lineRule="exact"/>
        <w:rPr>
          <w:sz w:val="20"/>
          <w:szCs w:val="20"/>
          <w:color w:val="auto"/>
        </w:rPr>
      </w:pPr>
    </w:p>
    <w:p>
      <w:pPr>
        <w:ind w:left="40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9019"/>
          </w:cols>
          <w:pgMar w:left="1440" w:top="922"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Daniel D. Levin, certify that:</w:t>
      </w:r>
    </w:p>
    <w:p>
      <w:pPr>
        <w:spacing w:after="0" w:line="191" w:lineRule="exact"/>
        <w:rPr>
          <w:sz w:val="20"/>
          <w:szCs w:val="20"/>
          <w:color w:val="auto"/>
        </w:rPr>
      </w:pPr>
    </w:p>
    <w:p>
      <w:pPr>
        <w:ind w:left="360" w:hanging="318"/>
        <w:spacing w:after="0"/>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2025 of Brookfield Oaktree Holdings, LLC;</w:t>
      </w:r>
    </w:p>
    <w:p>
      <w:pPr>
        <w:spacing w:after="0" w:line="204" w:lineRule="exact"/>
        <w:rPr>
          <w:rFonts w:ascii="Arial" w:cs="Arial" w:eastAsia="Arial" w:hAnsi="Arial"/>
          <w:sz w:val="17"/>
          <w:szCs w:val="17"/>
          <w:color w:val="auto"/>
        </w:rPr>
      </w:pPr>
    </w:p>
    <w:p>
      <w:pPr>
        <w:ind w:left="420" w:right="60" w:hanging="378"/>
        <w:spacing w:after="0" w:line="311" w:lineRule="auto"/>
        <w:tabs>
          <w:tab w:leader="none" w:pos="3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7"/>
          <w:szCs w:val="17"/>
          <w:color w:val="auto"/>
        </w:rPr>
      </w:pPr>
    </w:p>
    <w:p>
      <w:pPr>
        <w:ind w:left="420" w:right="200" w:hanging="378"/>
        <w:spacing w:after="0" w:line="337" w:lineRule="auto"/>
        <w:tabs>
          <w:tab w:leader="none" w:pos="3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7"/>
          <w:szCs w:val="17"/>
          <w:color w:val="auto"/>
        </w:rPr>
      </w:pPr>
    </w:p>
    <w:p>
      <w:pPr>
        <w:ind w:left="360" w:hanging="318"/>
        <w:spacing w:after="0"/>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w:t>
      </w:r>
    </w:p>
    <w:p>
      <w:pPr>
        <w:spacing w:after="0" w:line="49"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in Exchange Act Rules 13a-15(e) and 15d-15(e)) and internal control over financial reporting (as defined in Exchange Act Rules 13a-15(f) and</w:t>
      </w:r>
    </w:p>
    <w:p>
      <w:pPr>
        <w:spacing w:after="0" w:line="36"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4" w:lineRule="exact"/>
        <w:rPr>
          <w:rFonts w:ascii="Arial" w:cs="Arial" w:eastAsia="Arial" w:hAnsi="Arial"/>
          <w:sz w:val="17"/>
          <w:szCs w:val="17"/>
          <w:color w:val="auto"/>
        </w:rPr>
      </w:pPr>
    </w:p>
    <w:p>
      <w:pPr>
        <w:ind w:left="820" w:right="140" w:hanging="391"/>
        <w:spacing w:after="0" w:line="311" w:lineRule="auto"/>
        <w:tabs>
          <w:tab w:leader="none" w:pos="75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7"/>
          <w:szCs w:val="17"/>
          <w:color w:val="auto"/>
        </w:rPr>
      </w:pPr>
    </w:p>
    <w:p>
      <w:pPr>
        <w:ind w:left="820" w:right="60" w:hanging="391"/>
        <w:spacing w:after="0" w:line="319" w:lineRule="auto"/>
        <w:tabs>
          <w:tab w:leader="none" w:pos="75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820" w:right="60" w:hanging="391"/>
        <w:spacing w:after="0" w:line="337" w:lineRule="auto"/>
        <w:tabs>
          <w:tab w:leader="none" w:pos="7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7"/>
          <w:szCs w:val="17"/>
          <w:color w:val="auto"/>
        </w:rPr>
      </w:pPr>
    </w:p>
    <w:p>
      <w:pPr>
        <w:ind w:left="760" w:hanging="331"/>
        <w:spacing w:after="0"/>
        <w:tabs>
          <w:tab w:leader="none" w:pos="7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49" w:lineRule="exact"/>
        <w:rPr>
          <w:rFonts w:ascii="Arial" w:cs="Arial" w:eastAsia="Arial" w:hAnsi="Arial"/>
          <w:sz w:val="17"/>
          <w:szCs w:val="17"/>
          <w:color w:val="auto"/>
        </w:rPr>
      </w:pPr>
    </w:p>
    <w:p>
      <w:pPr>
        <w:ind w:left="820" w:right="340"/>
        <w:spacing w:after="0" w:line="321" w:lineRule="auto"/>
        <w:rPr>
          <w:rFonts w:ascii="Arial" w:cs="Arial" w:eastAsia="Arial" w:hAnsi="Arial"/>
          <w:sz w:val="17"/>
          <w:szCs w:val="17"/>
          <w:color w:val="auto"/>
        </w:rPr>
      </w:pPr>
      <w:r>
        <w:rPr>
          <w:rFonts w:ascii="Arial" w:cs="Arial" w:eastAsia="Arial" w:hAnsi="Arial"/>
          <w:sz w:val="17"/>
          <w:szCs w:val="17"/>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7"/>
          <w:szCs w:val="17"/>
          <w:color w:val="auto"/>
        </w:rPr>
      </w:pPr>
    </w:p>
    <w:p>
      <w:pPr>
        <w:ind w:left="420" w:right="120" w:hanging="378"/>
        <w:spacing w:after="0" w:line="321" w:lineRule="auto"/>
        <w:tabs>
          <w:tab w:leader="none" w:pos="3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7"/>
          <w:szCs w:val="17"/>
          <w:color w:val="auto"/>
        </w:rPr>
      </w:pPr>
    </w:p>
    <w:p>
      <w:pPr>
        <w:ind w:left="820" w:right="640" w:hanging="391"/>
        <w:spacing w:after="0" w:line="321" w:lineRule="auto"/>
        <w:tabs>
          <w:tab w:leader="none" w:pos="75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7"/>
          <w:szCs w:val="17"/>
          <w:color w:val="auto"/>
        </w:rPr>
      </w:pPr>
    </w:p>
    <w:p>
      <w:pPr>
        <w:ind w:left="820" w:right="240" w:hanging="391"/>
        <w:spacing w:after="0" w:line="321" w:lineRule="auto"/>
        <w:tabs>
          <w:tab w:leader="none" w:pos="75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2025</w:t>
      </w:r>
    </w:p>
    <w:p>
      <w:pPr>
        <w:spacing w:after="0" w:line="282"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17780</wp:posOffset>
            </wp:positionV>
            <wp:extent cx="18992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Daniel D. Levin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i w:val="1"/>
          <w:iCs w:val="1"/>
          <w:color w:val="auto"/>
        </w:rPr>
        <w:t>Chief Financial Officer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598" w:right="339" w:bottom="1440" w:gutter="0" w:footer="0" w:header="0"/>
        </w:sectPr>
      </w:pPr>
    </w:p>
    <w:bookmarkStart w:id="71" w:name="page72"/>
    <w:bookmarkEnd w:id="7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93" w:lineRule="exact"/>
        <w:rPr>
          <w:sz w:val="20"/>
          <w:szCs w:val="20"/>
          <w:color w:val="auto"/>
        </w:rPr>
      </w:pPr>
    </w:p>
    <w:p>
      <w:pPr>
        <w:jc w:val="both"/>
        <w:ind w:right="700" w:firstLine="619"/>
        <w:spacing w:after="0" w:line="311" w:lineRule="auto"/>
        <w:rPr>
          <w:sz w:val="20"/>
          <w:szCs w:val="20"/>
          <w:color w:val="auto"/>
        </w:rPr>
      </w:pPr>
      <w:r>
        <w:rPr>
          <w:rFonts w:ascii="Arial" w:cs="Arial" w:eastAsia="Arial" w:hAnsi="Arial"/>
          <w:sz w:val="17"/>
          <w:szCs w:val="17"/>
          <w:color w:val="auto"/>
        </w:rPr>
        <w:t>In connection with the Quarterly Report on Form 10-Q of Brookfield Oaktree Holdings, LLC (the “Company”) for the quarter ended September 30, 2025 as filed with the Securities and Exchange Commission on the date hereof (the “Report”), I, Nicholas Goodman, certify, pursuant to 18 U.S.C. § 1350, as adopted pursuant to Section 906 of the Sarbanes-Oxley Act of 2002, that:</w:t>
      </w:r>
    </w:p>
    <w:p>
      <w:pPr>
        <w:spacing w:after="0" w:line="117" w:lineRule="exact"/>
        <w:rPr>
          <w:sz w:val="20"/>
          <w:szCs w:val="20"/>
          <w:color w:val="auto"/>
        </w:rPr>
      </w:pPr>
    </w:p>
    <w:p>
      <w:pPr>
        <w:ind w:left="420" w:hanging="378"/>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1" w:lineRule="exact"/>
        <w:rPr>
          <w:rFonts w:ascii="Arial" w:cs="Arial" w:eastAsia="Arial" w:hAnsi="Arial"/>
          <w:sz w:val="17"/>
          <w:szCs w:val="17"/>
          <w:color w:val="auto"/>
        </w:rPr>
      </w:pPr>
    </w:p>
    <w:p>
      <w:pPr>
        <w:ind w:left="420" w:right="720" w:hanging="378"/>
        <w:spacing w:after="0" w:line="337" w:lineRule="auto"/>
        <w:tabs>
          <w:tab w:leader="none" w:pos="4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presented.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2025</w:t>
      </w:r>
    </w:p>
    <w:p>
      <w:pPr>
        <w:spacing w:after="0" w:line="294"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/s/ Nicholas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17780</wp:posOffset>
            </wp:positionV>
            <wp:extent cx="1899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Nicholas Goodman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(Principal Executive Officer)</w:t>
      </w:r>
    </w:p>
    <w:p>
      <w:pPr>
        <w:spacing w:after="0" w:line="172" w:lineRule="exact"/>
        <w:rPr>
          <w:sz w:val="20"/>
          <w:szCs w:val="20"/>
          <w:color w:val="auto"/>
        </w:rPr>
      </w:pPr>
    </w:p>
    <w:p>
      <w:pPr>
        <w:ind w:right="660" w:firstLine="812"/>
        <w:spacing w:after="0" w:line="321"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9" w:lineRule="exact"/>
        <w:rPr>
          <w:sz w:val="20"/>
          <w:szCs w:val="20"/>
          <w:color w:val="auto"/>
        </w:rPr>
      </w:pPr>
    </w:p>
    <w:p>
      <w:pPr>
        <w:ind w:right="60" w:firstLine="812"/>
        <w:spacing w:after="0" w:line="311" w:lineRule="auto"/>
        <w:rPr>
          <w:sz w:val="20"/>
          <w:szCs w:val="20"/>
          <w:color w:val="auto"/>
        </w:rPr>
      </w:pPr>
      <w:r>
        <w:rPr>
          <w:rFonts w:ascii="Arial" w:cs="Arial" w:eastAsia="Arial" w:hAnsi="Arial"/>
          <w:sz w:val="17"/>
          <w:szCs w:val="17"/>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86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93" w:lineRule="exact"/>
        <w:rPr>
          <w:sz w:val="20"/>
          <w:szCs w:val="20"/>
          <w:color w:val="auto"/>
        </w:rPr>
      </w:pPr>
    </w:p>
    <w:p>
      <w:pPr>
        <w:ind w:right="80" w:firstLine="619"/>
        <w:spacing w:after="0" w:line="292" w:lineRule="auto"/>
        <w:rPr>
          <w:sz w:val="20"/>
          <w:szCs w:val="20"/>
          <w:color w:val="auto"/>
        </w:rPr>
      </w:pPr>
      <w:r>
        <w:rPr>
          <w:rFonts w:ascii="Arial" w:cs="Arial" w:eastAsia="Arial" w:hAnsi="Arial"/>
          <w:sz w:val="17"/>
          <w:szCs w:val="17"/>
          <w:color w:val="auto"/>
        </w:rPr>
        <w:t>In connection with the Quarterly Report on Form 10-Q of Brookfield Oaktree Holdings, LLC (the “Company”) for the quarter ended September 30, 2025 as filed with the Securities and Exchange Commission on the date hereof (the “Report”), I, Daniel D. Levin, certify, pursuant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18 U.S.C. § 1350, as adopted pursuant to Section 906 of the Sarbanes-Oxley Act of 2002, that:</w:t>
      </w:r>
    </w:p>
    <w:p>
      <w:pPr>
        <w:spacing w:after="0" w:line="204" w:lineRule="exact"/>
        <w:rPr>
          <w:sz w:val="20"/>
          <w:szCs w:val="20"/>
          <w:color w:val="auto"/>
        </w:rPr>
      </w:pPr>
    </w:p>
    <w:p>
      <w:pPr>
        <w:ind w:left="420" w:hanging="378"/>
        <w:spacing w:after="0"/>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1" w:lineRule="exact"/>
        <w:rPr>
          <w:rFonts w:ascii="Arial" w:cs="Arial" w:eastAsia="Arial" w:hAnsi="Arial"/>
          <w:sz w:val="17"/>
          <w:szCs w:val="17"/>
          <w:color w:val="auto"/>
        </w:rPr>
      </w:pPr>
    </w:p>
    <w:p>
      <w:pPr>
        <w:ind w:left="420" w:right="720" w:hanging="378"/>
        <w:spacing w:after="0" w:line="337" w:lineRule="auto"/>
        <w:tabs>
          <w:tab w:leader="none" w:pos="4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presented.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12, 2025</w:t>
      </w:r>
    </w:p>
    <w:p>
      <w:pPr>
        <w:spacing w:after="0" w:line="75"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17780</wp:posOffset>
            </wp:positionV>
            <wp:extent cx="18992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17"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Daniel D. Levin</w:t>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(Principal Financial Officer)</w:t>
      </w:r>
    </w:p>
    <w:p>
      <w:pPr>
        <w:spacing w:after="0" w:line="172" w:lineRule="exact"/>
        <w:rPr>
          <w:sz w:val="20"/>
          <w:szCs w:val="20"/>
          <w:color w:val="auto"/>
        </w:rPr>
      </w:pPr>
    </w:p>
    <w:p>
      <w:pPr>
        <w:ind w:right="660" w:firstLine="812"/>
        <w:spacing w:after="0" w:line="321"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9" w:lineRule="exact"/>
        <w:rPr>
          <w:sz w:val="20"/>
          <w:szCs w:val="20"/>
          <w:color w:val="auto"/>
        </w:rPr>
      </w:pPr>
    </w:p>
    <w:p>
      <w:pPr>
        <w:ind w:right="60" w:firstLine="812"/>
        <w:spacing w:after="0" w:line="311" w:lineRule="auto"/>
        <w:rPr>
          <w:sz w:val="20"/>
          <w:szCs w:val="20"/>
          <w:color w:val="auto"/>
        </w:rPr>
      </w:pPr>
      <w:r>
        <w:rPr>
          <w:rFonts w:ascii="Arial" w:cs="Arial" w:eastAsia="Arial" w:hAnsi="Arial"/>
          <w:sz w:val="17"/>
          <w:szCs w:val="17"/>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8"/>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upperLetter"/>
      <w:start w:val="35"/>
    </w:lvl>
  </w:abstractNum>
  <w:abstractNum w:abstractNumId="16">
    <w:nsid w:val="628C895D"/>
    <w:multiLevelType w:val="hybridMultilevel"/>
    <w:lvl w:ilvl="0">
      <w:lvlJc w:val="left"/>
      <w:lvlText w:val="%1."/>
      <w:numFmt w:val="decimal"/>
      <w:start w:val="16"/>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1)"/>
      <w:numFmt w:val="lowerLetter"/>
      <w:start w:val="5"/>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0" Type="http://schemas.openxmlformats.org/officeDocument/2006/relationships/hyperlink" Target="https://www.sec.gov/Archives/edgar/data/1403528/000140352824000019/a31.htm" TargetMode="External"/><Relationship Id="rId81" Type="http://schemas.openxmlformats.org/officeDocument/2006/relationships/hyperlink" Target="https://www.sec.gov/Archives/edgar/data/1403528/000140352824000019/brookfieldoaktreeholdingsl.htm" TargetMode="External"/><Relationship Id="rId82" Type="http://schemas.openxmlformats.org/officeDocument/2006/relationships/hyperlink" Target="https://www.sec.gov/Archives/edgar/data/1403528/000140352825000039/oaktreecapitalilp-lpagr_.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2025-11-12T15:26:09Z</dcterms:created>
  <dcterms:modified xsi:type="dcterms:W3CDTF">2025-11-12T15:26:09Z</dcterms:modified>
</cp:coreProperties>
</file>